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757" w:lineRule="exact"/>
        <w:ind w:left="290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2621688" cy="1116139"/>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621688" cy="1116139"/>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河南辉煌科技股份有限公司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29"/>
          <w:szCs w:val="29"/>
        </w:rPr>
      </w:pPr>
    </w:p>
    <w:p>
      <w:pPr>
        <w:pStyle w:val="Heading2"/>
        <w:spacing w:line="240" w:lineRule="auto" w:before="0"/>
        <w:ind w:left="2786" w:right="3762"/>
        <w:jc w:val="center"/>
        <w:rPr>
          <w:rFonts w:ascii="宋体" w:hAnsi="宋体" w:cs="宋体" w:eastAsia="宋体" w:hint="default"/>
          <w:b w:val="0"/>
          <w:bCs w:val="0"/>
        </w:rPr>
      </w:pPr>
      <w:r>
        <w:rPr>
          <w:rFonts w:ascii="宋体"/>
        </w:rPr>
        <w:t>2016-013</w:t>
      </w:r>
      <w:r>
        <w:rPr>
          <w:rFonts w:ascii="宋体"/>
          <w:b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3"/>
        <w:rPr>
          <w:rFonts w:ascii="宋体" w:hAnsi="宋体" w:cs="宋体" w:eastAsia="宋体" w:hint="default"/>
          <w:b/>
          <w:bCs/>
          <w:sz w:val="35"/>
          <w:szCs w:val="35"/>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53"/>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BodyText"/>
        <w:spacing w:line="352" w:lineRule="auto" w:before="215"/>
        <w:ind w:right="1153" w:firstLine="480"/>
        <w:jc w:val="left"/>
      </w:pPr>
      <w:r>
        <w:rPr/>
        <w:t>本公司董事会、监事会及董事、监事、高级管理人员保证年度报告内容的真实、准确、 完整，不存在虚假记载、误导性陈述或重大遗漏，并承担个别和连带的法律责任。</w:t>
      </w:r>
    </w:p>
    <w:p>
      <w:pPr>
        <w:pStyle w:val="BodyText"/>
        <w:spacing w:line="350" w:lineRule="auto" w:before="32"/>
        <w:ind w:right="1153" w:firstLine="480"/>
        <w:jc w:val="left"/>
      </w:pPr>
      <w:r>
        <w:rPr/>
        <w:t>公司负责人李海鹰、主管会计工作负责人侯菊艳及会计机构负责人</w:t>
      </w:r>
      <w:r>
        <w:rPr>
          <w:rFonts w:ascii="宋体" w:hAnsi="宋体" w:cs="宋体" w:eastAsia="宋体" w:hint="default"/>
        </w:rPr>
        <w:t>(</w:t>
      </w:r>
      <w:r>
        <w:rPr/>
        <w:t>会计主管人员</w:t>
      </w:r>
      <w:r>
        <w:rPr>
          <w:rFonts w:ascii="宋体" w:hAnsi="宋体" w:cs="宋体" w:eastAsia="宋体" w:hint="default"/>
        </w:rPr>
        <w:t>)</w:t>
      </w:r>
      <w:r>
        <w:rPr/>
        <w:t>侯菊 艳声明：保证年度报告中财务报告的真实、准确、完整。</w:t>
      </w:r>
    </w:p>
    <w:p>
      <w:pPr>
        <w:pStyle w:val="BodyText"/>
        <w:spacing w:line="240" w:lineRule="auto"/>
        <w:ind w:left="633" w:right="1153"/>
        <w:jc w:val="left"/>
      </w:pPr>
      <w:r>
        <w:rPr/>
        <w:t>所有董事均已出席了审议本报告的董事会会议。</w:t>
      </w:r>
    </w:p>
    <w:p>
      <w:pPr>
        <w:pStyle w:val="BodyText"/>
        <w:spacing w:line="240" w:lineRule="auto" w:before="145"/>
        <w:ind w:left="634" w:right="0"/>
        <w:jc w:val="left"/>
      </w:pPr>
      <w:r>
        <w:rPr>
          <w:rFonts w:ascii="宋体" w:hAnsi="宋体" w:cs="宋体" w:eastAsia="宋体" w:hint="default"/>
        </w:rPr>
        <w:t>2015</w:t>
      </w:r>
      <w:r>
        <w:rPr>
          <w:rFonts w:ascii="宋体" w:hAnsi="宋体" w:cs="宋体" w:eastAsia="宋体" w:hint="default"/>
          <w:spacing w:val="-63"/>
        </w:rPr>
        <w:t> </w:t>
      </w:r>
      <w:r>
        <w:rPr/>
        <w:t>年度利润分配预案为：以</w:t>
      </w:r>
      <w:r>
        <w:rPr>
          <w:spacing w:val="-63"/>
        </w:rPr>
        <w:t> </w:t>
      </w:r>
      <w:r>
        <w:rPr>
          <w:rFonts w:ascii="宋体" w:hAnsi="宋体" w:cs="宋体" w:eastAsia="宋体" w:hint="default"/>
        </w:rPr>
        <w:t>2015</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日的公司总股本</w:t>
      </w:r>
      <w:r>
        <w:rPr>
          <w:spacing w:val="-63"/>
        </w:rPr>
        <w:t> </w:t>
      </w:r>
      <w:r>
        <w:rPr>
          <w:rFonts w:ascii="宋体" w:hAnsi="宋体" w:cs="宋体" w:eastAsia="宋体" w:hint="default"/>
        </w:rPr>
        <w:t>376,656,420</w:t>
      </w:r>
      <w:r>
        <w:rPr>
          <w:rFonts w:ascii="宋体" w:hAnsi="宋体" w:cs="宋体" w:eastAsia="宋体" w:hint="default"/>
          <w:spacing w:val="-63"/>
        </w:rPr>
        <w:t> </w:t>
      </w:r>
      <w:r>
        <w:rPr/>
        <w:t>股为基数，</w:t>
      </w:r>
    </w:p>
    <w:p>
      <w:pPr>
        <w:pStyle w:val="BodyText"/>
        <w:spacing w:line="352" w:lineRule="auto" w:before="145"/>
        <w:ind w:left="633" w:right="1153" w:hanging="480"/>
        <w:jc w:val="left"/>
      </w:pPr>
      <w:r>
        <w:rPr/>
        <w:t>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0"/>
        </w:rPr>
        <w:t> </w:t>
      </w:r>
      <w:r>
        <w:rPr>
          <w:rFonts w:ascii="宋体" w:hAnsi="宋体" w:cs="宋体" w:eastAsia="宋体" w:hint="default"/>
        </w:rPr>
        <w:t>0.3</w:t>
      </w:r>
      <w:r>
        <w:rPr>
          <w:rFonts w:ascii="宋体" w:hAnsi="宋体" w:cs="宋体" w:eastAsia="宋体" w:hint="default"/>
          <w:spacing w:val="-60"/>
        </w:rPr>
        <w:t> </w:t>
      </w:r>
      <w:r>
        <w:rPr/>
        <w:t>元（含税），不送红股，不以公积金转增股本。 本年度报告内容中如有涉及未来的计划、业绩预测等方面的前瞻性陈述，均不构成本公</w:t>
      </w:r>
    </w:p>
    <w:p>
      <w:pPr>
        <w:pStyle w:val="BodyText"/>
        <w:spacing w:line="350" w:lineRule="auto" w:before="32"/>
        <w:ind w:right="1153"/>
        <w:jc w:val="left"/>
      </w:pPr>
      <w:r>
        <w:rPr/>
        <w:t>司对任何投资者的实质承诺，能否实现取决于市场状况变化、经营团队的努力程度等多种因 素，存在很大的不确定性，请投资者注意投资风险。</w:t>
      </w:r>
    </w:p>
    <w:p>
      <w:pPr>
        <w:spacing w:after="0" w:line="350"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1"/>
        <w:ind w:left="2786" w:right="3763"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pStyle w:val="BodyText"/>
        <w:spacing w:line="350" w:lineRule="auto" w:before="216"/>
        <w:ind w:right="995" w:firstLine="480"/>
        <w:jc w:val="left"/>
      </w:pPr>
      <w:r>
        <w:rPr>
          <w:rFonts w:ascii="宋体" w:hAnsi="宋体" w:cs="宋体" w:eastAsia="宋体" w:hint="default"/>
        </w:rPr>
        <w:t>1</w:t>
      </w:r>
      <w:r>
        <w:rPr/>
        <w:t>、单一行业集中的风险。公司业务目前主要集中于铁路通信信号行业，存在业务单一、 行业集中度较高的风险。虽然在新建铁路维持大规模投入及未来既有铁路因升级改造产生刚 性需求的背景下，公司的业务收入和盈利能力有望得到有效保障，但是如果未来该行业的鼓 励政策发生不利变化，产品需求下降，公司业绩将会受到负面影响，公司将面临因行业政策 </w:t>
      </w:r>
      <w:r>
        <w:rPr>
          <w:spacing w:val="-2"/>
        </w:rPr>
        <w:t>调整而带来的风险。针对此方面的风险，公司在加大铁路市场新产品研发和市场推广的同时，</w:t>
      </w:r>
      <w:r>
        <w:rPr/>
        <w:t> 积极开拓城市轨道交通领域业务，并通过参股飞天联合、赛弗科技、七彩通达等公司，进入 </w:t>
      </w:r>
      <w:r>
        <w:rPr>
          <w:rFonts w:ascii="宋体" w:hAnsi="宋体" w:cs="宋体" w:eastAsia="宋体" w:hint="default"/>
        </w:rPr>
        <w:t>WiFi</w:t>
      </w:r>
      <w:r>
        <w:rPr>
          <w:rFonts w:ascii="宋体" w:hAnsi="宋体" w:cs="宋体" w:eastAsia="宋体" w:hint="default"/>
          <w:spacing w:val="-60"/>
        </w:rPr>
        <w:t> </w:t>
      </w:r>
      <w:r>
        <w:rPr/>
        <w:t>市场，开辟新的市场领域，增加新的利润增长点。</w:t>
      </w:r>
    </w:p>
    <w:p>
      <w:pPr>
        <w:pStyle w:val="BodyText"/>
        <w:spacing w:line="350" w:lineRule="auto" w:before="35"/>
        <w:ind w:right="995" w:firstLine="480"/>
        <w:jc w:val="left"/>
      </w:pPr>
      <w:r>
        <w:rPr>
          <w:rFonts w:ascii="宋体" w:hAnsi="宋体" w:cs="宋体" w:eastAsia="宋体" w:hint="default"/>
          <w:spacing w:val="-3"/>
        </w:rPr>
        <w:t>2</w:t>
      </w:r>
      <w:r>
        <w:rPr>
          <w:spacing w:val="-3"/>
        </w:rPr>
        <w:t>、毛利率下滑的风险。公司核心产品轨道交通信号监测、监控领域优势明显，在行业中</w:t>
      </w:r>
      <w:r>
        <w:rPr/>
        <w:t> 占据主导地位，行业排名居前。铁路信号集中监测系统主要功能是为铁路电务系统提供统一 的设备维护平台和手段，已经广泛应用，业内拥有一定时间安全运行记录的企业更能得到客 户的认可。公司在该领域具有领先的技术优势和品牌优势。如果公司在技术创新和新产品开 </w:t>
      </w:r>
      <w:r>
        <w:rPr>
          <w:spacing w:val="-2"/>
        </w:rPr>
        <w:t>发方面不能保持领先优势，在竞争加剧的市场环境下，公司产品可能面临毛利率下降的风险。</w:t>
      </w:r>
    </w:p>
    <w:p>
      <w:pPr>
        <w:pStyle w:val="BodyText"/>
        <w:spacing w:line="350" w:lineRule="auto"/>
        <w:ind w:right="1131" w:firstLine="480"/>
        <w:jc w:val="both"/>
      </w:pPr>
      <w:r>
        <w:rPr>
          <w:rFonts w:ascii="宋体" w:hAnsi="宋体" w:cs="宋体" w:eastAsia="宋体" w:hint="default"/>
          <w:spacing w:val="-3"/>
        </w:rPr>
        <w:t>3</w:t>
      </w:r>
      <w:r>
        <w:rPr>
          <w:spacing w:val="-3"/>
        </w:rPr>
        <w:t>、技术创新风险。铁路行车安全监控行业是技术密集型行业，在未来的竞争中，公司需</w:t>
      </w:r>
      <w:r>
        <w:rPr/>
        <w:t> 要加大研发的投入，不断开发新的产品，提升产品的技术竞争力，因此，如果公司对技术、 产品和市场的发展趋势不能作出正确判断，对行业关键技术的发展动态不能及时掌控，在新 产品的研发方向、重要产品的方案制定等方面不能正确把握，将导致公司的市场竞争能力下 降，公司因而会存在一定的技术风险。针对此风险，公司将加大研发投入力度，补充发展研 发人员队伍，使研发队伍规模在满足新产品开发需要的同时完成对既有产品升级维护。</w:t>
      </w:r>
    </w:p>
    <w:p>
      <w:pPr>
        <w:pStyle w:val="BodyText"/>
        <w:spacing w:line="350" w:lineRule="auto"/>
        <w:ind w:right="1131" w:firstLine="480"/>
        <w:jc w:val="both"/>
      </w:pPr>
      <w:r>
        <w:rPr>
          <w:rFonts w:ascii="宋体" w:hAnsi="宋体" w:cs="宋体" w:eastAsia="宋体" w:hint="default"/>
          <w:spacing w:val="-3"/>
        </w:rPr>
        <w:t>4</w:t>
      </w:r>
      <w:r>
        <w:rPr>
          <w:spacing w:val="-3"/>
        </w:rPr>
        <w:t>、人力资源风险。科技型企业一般都面临人员流动性大、知识结构更新快的问题，行业</w:t>
      </w:r>
      <w:r>
        <w:rPr/>
        <w:t> 内的市场竞争也越来越体现为高素质人才的竞争。公司非常重视人才的培养、引进和企业文 化的建设。目前，随着公司产品线的延伸，经营规模的扩大，对人力资源的扩充需求将进一 步显现，如果不能及时引进、保留和培养更多的人才，将对公司的经营发展造成不利影响。 报告期内公司加大了管理人才、销售人才、专业技术人才的引进力度。完善的人才招聘录用 机制、培训体系、薪酬激励机制，稳定企业核心员工，保证企业经营活动顺利进行，同时启 动了第一期员工持股计划，有效保证了公司高级管理人员和核心技术人员的稳定。</w:t>
      </w:r>
    </w:p>
    <w:p>
      <w:pPr>
        <w:pStyle w:val="BodyText"/>
        <w:spacing w:line="240" w:lineRule="auto" w:before="35"/>
        <w:ind w:left="633" w:right="0"/>
        <w:jc w:val="left"/>
      </w:pPr>
      <w:r>
        <w:rPr>
          <w:rFonts w:ascii="宋体" w:hAnsi="宋体" w:cs="宋体" w:eastAsia="宋体" w:hint="default"/>
          <w:spacing w:val="-3"/>
        </w:rPr>
        <w:t>5</w:t>
      </w:r>
      <w:r>
        <w:rPr>
          <w:spacing w:val="-3"/>
        </w:rPr>
        <w:t>、应收账款增加的风险。国家铁路及城市轨道交通领域的主要客户，在公司历史上未发</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left="154" w:right="1169"/>
        <w:jc w:val="both"/>
      </w:pPr>
      <w:r>
        <w:rPr/>
        <w:t>生坏账损失，但随着公司应收账款数额的不断增加和客户结构及账龄结构的改变，如账龄较 长的应收账款增大，则可能使公司资金周转速度与运营效率降低，存在流动性风险或坏账风 险。针对该风险，公司加大了应收账款的催收力度，将应收账款回收纳入销售人员的业绩考 核指标，报告期内，取得了较为明显的成效。</w:t>
      </w:r>
    </w:p>
    <w:p>
      <w:pPr>
        <w:pStyle w:val="BodyText"/>
        <w:spacing w:line="350" w:lineRule="auto" w:before="32"/>
        <w:ind w:right="1169" w:firstLine="480"/>
        <w:jc w:val="both"/>
      </w:pPr>
      <w:r>
        <w:rPr>
          <w:rFonts w:ascii="宋体" w:hAnsi="宋体" w:cs="宋体" w:eastAsia="宋体" w:hint="default"/>
        </w:rPr>
        <w:t>6</w:t>
      </w:r>
      <w:r>
        <w:rPr/>
        <w:t>、管理风险。随着公司的外延式扩张，在完成对子公司国铁路阳的</w:t>
      </w:r>
      <w:r>
        <w:rPr>
          <w:spacing w:val="-60"/>
        </w:rPr>
        <w:t> </w:t>
      </w:r>
      <w:r>
        <w:rPr>
          <w:rFonts w:ascii="宋体" w:hAnsi="宋体" w:cs="宋体" w:eastAsia="宋体" w:hint="default"/>
        </w:rPr>
        <w:t>100%</w:t>
      </w:r>
      <w:r>
        <w:rPr/>
        <w:t>股权控制、对 飞天联合的增资后，先后启动并实施了对赛弗科技、七彩通达等公司的注资，业务规模不断 扩大。虽然目前公司建立了健全的管理制度体系和组织运行模式，但是随着公司业务规模的 进一步扩大，在生产管理、质量管理、财务管理、营销管理以及资源整合等方面将对公司提 出更高的要求。如果公司管理层素质及管理水平不能适应公司规模迅速扩张的需要，管理制 度、组织模式不能随着公司规模的扩大而及时进行调整和完善，将影响公司的应变能力和发 展活力，进而削弱公司的市场竞争力。</w:t>
      </w:r>
    </w:p>
    <w:p>
      <w:pPr>
        <w:spacing w:after="0" w:line="35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3"/>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1"/>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2" w:val="right" w:leader="dot"/>
            </w:tabs>
            <w:spacing w:line="240" w:lineRule="auto" w:before="16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2" w:val="right" w:leader="dot"/>
            </w:tabs>
            <w:spacing w:line="240" w:lineRule="auto" w:before="16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before="167"/>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154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706"/>
        <w:ind w:left="1886" w:right="3763" w:firstLine="0"/>
        <w:jc w:val="center"/>
        <w:rPr>
          <w:rFonts w:ascii="宋体" w:hAnsi="宋体" w:cs="宋体" w:eastAsia="宋体" w:hint="default"/>
          <w:sz w:val="32"/>
          <w:szCs w:val="32"/>
        </w:rPr>
      </w:pPr>
      <w:r>
        <w:rPr>
          <w:rFonts w:ascii="宋体" w:hAnsi="宋体" w:cs="宋体" w:eastAsia="宋体" w:hint="default"/>
          <w:b/>
          <w:bCs/>
          <w:sz w:val="32"/>
          <w:szCs w:val="32"/>
        </w:rPr>
        <w:t>释</w:t>
      </w:r>
      <w:r>
        <w:rPr>
          <w:rFonts w:ascii="宋体" w:hAnsi="宋体" w:cs="宋体" w:eastAsia="宋体" w:hint="default"/>
          <w:b/>
          <w:bCs/>
          <w:spacing w:val="-2"/>
          <w:sz w:val="32"/>
          <w:szCs w:val="32"/>
        </w:rPr>
        <w:t> </w:t>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tbl>
      <w:tblPr>
        <w:tblW w:w="0" w:type="auto"/>
        <w:jc w:val="left"/>
        <w:tblInd w:w="182" w:type="dxa"/>
        <w:tblLayout w:type="fixed"/>
        <w:tblCellMar>
          <w:top w:w="0" w:type="dxa"/>
          <w:left w:w="0" w:type="dxa"/>
          <w:bottom w:w="0" w:type="dxa"/>
          <w:right w:w="0" w:type="dxa"/>
        </w:tblCellMar>
        <w:tblLook w:val="01E0"/>
      </w:tblPr>
      <w:tblGrid>
        <w:gridCol w:w="2235"/>
        <w:gridCol w:w="1134"/>
        <w:gridCol w:w="6202"/>
      </w:tblGrid>
      <w:tr>
        <w:trPr>
          <w:trHeight w:val="402"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释义项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释义内容</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年报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河南辉煌科技股份有限公司</w:t>
            </w:r>
            <w:r>
              <w:rPr>
                <w:rFonts w:ascii="宋体" w:hAnsi="宋体" w:cs="宋体" w:eastAsia="宋体" w:hint="default"/>
                <w:spacing w:val="-60"/>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年年度报告</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公司、辉煌科技</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河南辉煌科技股份有限公司</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辉煌软件</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河南辉煌软件有限公司，公司全资子公司</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北京全路信通</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北京全路信通软件科技有限公司，公司全资子公司</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国铁路阳</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北京国铁路阳技术有限公司，公司全资子公司</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辉煌城轨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河南辉煌城轨科技有限公司，公司全资子公司</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辉煌信通</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河南辉煌信通软件有限公司，公司全资子公司</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飞天联合</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飞天联合（北京）系统技术有限公司，公司参股子公司</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赛弗科技</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北京赛弗网络科技有限责任公司，公司参股子公司</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七彩通达</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北京七彩通达传媒股份有限公司，公司参股子公司</w:t>
            </w:r>
          </w:p>
        </w:tc>
      </w:tr>
      <w:tr>
        <w:trPr>
          <w:trHeight w:val="161" w:hRule="exact"/>
        </w:trPr>
        <w:tc>
          <w:tcPr>
            <w:tcW w:w="2235" w:type="dxa"/>
            <w:vMerge w:val="restart"/>
            <w:tcBorders>
              <w:top w:val="single" w:sz="4" w:space="0" w:color="000000"/>
              <w:left w:val="single" w:sz="4" w:space="0" w:color="000000"/>
              <w:right w:val="single" w:sz="9" w:space="0" w:color="D2D2D2"/>
            </w:tcBorders>
          </w:tcPr>
          <w:p>
            <w:pPr>
              <w:pStyle w:val="TableParagraph"/>
              <w:spacing w:line="240" w:lineRule="auto" w:before="1"/>
              <w:ind w:left="24" w:right="116"/>
              <w:jc w:val="left"/>
              <w:rPr>
                <w:rFonts w:ascii="宋体" w:hAnsi="宋体" w:cs="宋体" w:eastAsia="宋体" w:hint="default"/>
                <w:sz w:val="24"/>
                <w:szCs w:val="24"/>
              </w:rPr>
            </w:pPr>
            <w:r>
              <w:rPr>
                <w:rFonts w:ascii="宋体" w:hAnsi="宋体" w:cs="宋体" w:eastAsia="宋体" w:hint="default"/>
                <w:spacing w:val="-21"/>
                <w:sz w:val="24"/>
                <w:szCs w:val="24"/>
              </w:rPr>
              <w:t>股东大会</w:t>
            </w:r>
            <w:r>
              <w:rPr>
                <w:rFonts w:ascii="宋体" w:hAnsi="宋体" w:cs="宋体" w:eastAsia="宋体" w:hint="default"/>
                <w:spacing w:val="-21"/>
                <w:sz w:val="24"/>
                <w:szCs w:val="24"/>
              </w:rPr>
              <w:t>/</w:t>
            </w:r>
            <w:r>
              <w:rPr>
                <w:rFonts w:ascii="宋体" w:hAnsi="宋体" w:cs="宋体" w:eastAsia="宋体" w:hint="default"/>
                <w:spacing w:val="-21"/>
                <w:sz w:val="24"/>
                <w:szCs w:val="24"/>
              </w:rPr>
              <w:t>股东会、董</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事会、监事会</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02" w:type="dxa"/>
            <w:vMerge w:val="restart"/>
            <w:tcBorders>
              <w:top w:val="single" w:sz="4" w:space="0" w:color="000000"/>
              <w:left w:val="single" w:sz="9" w:space="0" w:color="D2D2D2"/>
              <w:right w:val="single" w:sz="4" w:space="0" w:color="000000"/>
            </w:tcBorders>
          </w:tcPr>
          <w:p>
            <w:pPr>
              <w:pStyle w:val="TableParagraph"/>
              <w:spacing w:line="240" w:lineRule="auto" w:before="157"/>
              <w:ind w:left="16" w:right="0"/>
              <w:jc w:val="left"/>
              <w:rPr>
                <w:rFonts w:ascii="宋体" w:hAnsi="宋体" w:cs="宋体" w:eastAsia="宋体" w:hint="default"/>
                <w:sz w:val="24"/>
                <w:szCs w:val="24"/>
              </w:rPr>
            </w:pPr>
            <w:r>
              <w:rPr>
                <w:rFonts w:ascii="宋体" w:hAnsi="宋体" w:cs="宋体" w:eastAsia="宋体" w:hint="default"/>
                <w:sz w:val="24"/>
                <w:szCs w:val="24"/>
              </w:rPr>
              <w:t>河南辉煌科技股份有限公司股东大会、董事会、监事会</w:t>
            </w:r>
          </w:p>
        </w:tc>
      </w:tr>
      <w:tr>
        <w:trPr>
          <w:trHeight w:val="392" w:hRule="exact"/>
        </w:trPr>
        <w:tc>
          <w:tcPr>
            <w:tcW w:w="2235" w:type="dxa"/>
            <w:vMerge/>
            <w:tcBorders>
              <w:left w:val="single" w:sz="4" w:space="0" w:color="000000"/>
              <w:right w:val="single" w:sz="9" w:space="0" w:color="D2D2D2"/>
            </w:tcBorders>
          </w:tcPr>
          <w:p>
            <w:pP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vMerge/>
            <w:tcBorders>
              <w:left w:val="single" w:sz="9" w:space="0" w:color="D2D2D2"/>
              <w:right w:val="single" w:sz="4" w:space="0" w:color="000000"/>
            </w:tcBorders>
          </w:tcPr>
          <w:p>
            <w:pPr/>
          </w:p>
        </w:tc>
      </w:tr>
      <w:tr>
        <w:trPr>
          <w:trHeight w:val="161" w:hRule="exact"/>
        </w:trPr>
        <w:tc>
          <w:tcPr>
            <w:tcW w:w="2235" w:type="dxa"/>
            <w:vMerge/>
            <w:tcBorders>
              <w:left w:val="single" w:sz="4" w:space="0" w:color="000000"/>
              <w:bottom w:val="single" w:sz="4" w:space="0" w:color="000000"/>
              <w:right w:val="single" w:sz="9" w:space="0" w:color="D2D2D2"/>
            </w:tcBorders>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02" w:type="dxa"/>
            <w:vMerge/>
            <w:tcBorders>
              <w:left w:val="single" w:sz="9" w:space="0" w:color="D2D2D2"/>
              <w:bottom w:val="single" w:sz="4" w:space="0" w:color="000000"/>
              <w:right w:val="single" w:sz="4" w:space="0" w:color="000000"/>
            </w:tcBorders>
          </w:tcPr>
          <w:p>
            <w:pP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《公司法》</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《中华人民共和国公司法》</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《证券法》</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《中华人民共和国证券法》</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《公司章程》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《河南辉煌科技股份有限公司公司章程》</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铁路总公司</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中国铁路总公司</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深交所</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中小板</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深圳证券交易所中小企业板</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报告期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1-12</w:t>
            </w:r>
            <w:r>
              <w:rPr>
                <w:rFonts w:ascii="宋体" w:hAnsi="宋体" w:cs="宋体" w:eastAsia="宋体" w:hint="default"/>
                <w:spacing w:val="-60"/>
                <w:sz w:val="24"/>
                <w:szCs w:val="24"/>
              </w:rPr>
              <w:t> </w:t>
            </w:r>
            <w:r>
              <w:rPr>
                <w:rFonts w:ascii="宋体" w:hAnsi="宋体" w:cs="宋体" w:eastAsia="宋体" w:hint="default"/>
                <w:sz w:val="24"/>
                <w:szCs w:val="24"/>
              </w:rPr>
              <w:t>月</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元</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人民币元</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sz w:val="24"/>
              </w:rPr>
              <w:t>CRCC</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铁路产品认证管理委员会暨中铁铁路产品认证中心</w:t>
            </w:r>
          </w:p>
        </w:tc>
      </w:tr>
      <w:tr>
        <w:trPr>
          <w:trHeight w:val="402" w:hRule="exact"/>
        </w:trPr>
        <w:tc>
          <w:tcPr>
            <w:tcW w:w="22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城轨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城市轨道交通</w:t>
            </w:r>
          </w:p>
        </w:tc>
      </w:tr>
    </w:tbl>
    <w:p>
      <w:pPr>
        <w:spacing w:after="0" w:line="240"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153"/>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Heading2"/>
        <w:spacing w:line="240" w:lineRule="auto"/>
        <w:ind w:right="1153"/>
        <w:jc w:val="left"/>
        <w:rPr>
          <w:b w:val="0"/>
          <w:bCs w:val="0"/>
        </w:rPr>
      </w:pPr>
      <w:r>
        <w:rPr/>
        <w:t>一、公司信息</w:t>
      </w:r>
      <w:r>
        <w:rPr>
          <w:b w:val="0"/>
          <w:bCs w:val="0"/>
        </w:rPr>
      </w:r>
    </w:p>
    <w:p>
      <w:pPr>
        <w:spacing w:line="240" w:lineRule="auto" w:before="5"/>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5" w:right="0"/>
              <w:jc w:val="center"/>
              <w:rPr>
                <w:rFonts w:ascii="宋体" w:hAnsi="宋体" w:cs="宋体" w:eastAsia="宋体" w:hint="default"/>
                <w:sz w:val="24"/>
                <w:szCs w:val="24"/>
              </w:rPr>
            </w:pPr>
            <w:r>
              <w:rPr>
                <w:rFonts w:ascii="宋体" w:hAnsi="宋体" w:cs="宋体" w:eastAsia="宋体" w:hint="default"/>
                <w:sz w:val="24"/>
                <w:szCs w:val="24"/>
              </w:rPr>
              <w:t>辉煌科技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592" w:right="0"/>
              <w:jc w:val="left"/>
              <w:rPr>
                <w:rFonts w:ascii="宋体" w:hAnsi="宋体" w:cs="宋体" w:eastAsia="宋体" w:hint="default"/>
                <w:sz w:val="24"/>
                <w:szCs w:val="24"/>
              </w:rPr>
            </w:pPr>
            <w:r>
              <w:rPr>
                <w:rFonts w:ascii="宋体" w:hAnsi="宋体" w:cs="宋体" w:eastAsia="宋体" w:hint="default"/>
                <w:sz w:val="24"/>
                <w:szCs w:val="24"/>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left="727" w:right="0"/>
              <w:jc w:val="left"/>
              <w:rPr>
                <w:rFonts w:ascii="宋体" w:hAnsi="宋体" w:cs="宋体" w:eastAsia="宋体" w:hint="default"/>
                <w:sz w:val="24"/>
                <w:szCs w:val="24"/>
              </w:rPr>
            </w:pPr>
            <w:r>
              <w:rPr>
                <w:rFonts w:ascii="宋体"/>
                <w:sz w:val="24"/>
              </w:rPr>
              <w:t>002296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股票上市证券交易所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6" w:right="0"/>
              <w:jc w:val="center"/>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2203" w:right="0"/>
              <w:jc w:val="left"/>
              <w:rPr>
                <w:rFonts w:ascii="宋体" w:hAnsi="宋体" w:cs="宋体" w:eastAsia="宋体" w:hint="default"/>
                <w:sz w:val="24"/>
                <w:szCs w:val="24"/>
              </w:rPr>
            </w:pPr>
            <w:r>
              <w:rPr>
                <w:rFonts w:ascii="宋体" w:hAnsi="宋体" w:cs="宋体" w:eastAsia="宋体" w:hint="default"/>
                <w:sz w:val="24"/>
                <w:szCs w:val="24"/>
              </w:rPr>
              <w:t>河南辉煌科技股份有限公司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6" w:right="0"/>
              <w:jc w:val="center"/>
              <w:rPr>
                <w:rFonts w:ascii="宋体" w:hAnsi="宋体" w:cs="宋体" w:eastAsia="宋体" w:hint="default"/>
                <w:sz w:val="24"/>
                <w:szCs w:val="24"/>
              </w:rPr>
            </w:pPr>
            <w:r>
              <w:rPr>
                <w:rFonts w:ascii="宋体" w:hAnsi="宋体" w:cs="宋体" w:eastAsia="宋体" w:hint="default"/>
                <w:sz w:val="24"/>
                <w:szCs w:val="24"/>
              </w:rPr>
              <w:t>辉煌科技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公司的外文名称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943" w:right="0"/>
              <w:jc w:val="left"/>
              <w:rPr>
                <w:rFonts w:ascii="宋体" w:hAnsi="宋体" w:cs="宋体" w:eastAsia="宋体" w:hint="default"/>
                <w:sz w:val="24"/>
                <w:szCs w:val="24"/>
              </w:rPr>
            </w:pPr>
            <w:r>
              <w:rPr>
                <w:rFonts w:ascii="宋体"/>
                <w:sz w:val="24"/>
              </w:rPr>
              <w:t>HeNan Splendor Science &amp; Technology Co., 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公司的外文名称缩写</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6" w:right="0"/>
              <w:jc w:val="center"/>
              <w:rPr>
                <w:rFonts w:ascii="宋体" w:hAnsi="宋体" w:cs="宋体" w:eastAsia="宋体" w:hint="default"/>
                <w:sz w:val="24"/>
                <w:szCs w:val="24"/>
              </w:rPr>
            </w:pPr>
            <w:r>
              <w:rPr>
                <w:rFonts w:ascii="宋体"/>
                <w:sz w:val="24"/>
              </w:rPr>
              <w:t>HHKJ</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6" w:right="0"/>
              <w:jc w:val="center"/>
              <w:rPr>
                <w:rFonts w:ascii="宋体" w:hAnsi="宋体" w:cs="宋体" w:eastAsia="宋体" w:hint="default"/>
                <w:sz w:val="24"/>
                <w:szCs w:val="24"/>
              </w:rPr>
            </w:pPr>
            <w:r>
              <w:rPr>
                <w:rFonts w:ascii="宋体" w:hAnsi="宋体" w:cs="宋体" w:eastAsia="宋体" w:hint="default"/>
                <w:sz w:val="24"/>
                <w:szCs w:val="24"/>
              </w:rPr>
              <w:t>李海鹰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1423" w:right="0"/>
              <w:jc w:val="left"/>
              <w:rPr>
                <w:rFonts w:ascii="宋体" w:hAnsi="宋体" w:cs="宋体" w:eastAsia="宋体" w:hint="default"/>
                <w:sz w:val="24"/>
                <w:szCs w:val="24"/>
              </w:rPr>
            </w:pPr>
            <w:r>
              <w:rPr>
                <w:rFonts w:ascii="宋体" w:hAnsi="宋体" w:cs="宋体" w:eastAsia="宋体" w:hint="default"/>
                <w:sz w:val="24"/>
                <w:szCs w:val="24"/>
              </w:rPr>
              <w:t>郑州市高新技术产业开发区科学大道</w:t>
            </w:r>
            <w:r>
              <w:rPr>
                <w:rFonts w:ascii="宋体" w:hAnsi="宋体" w:cs="宋体" w:eastAsia="宋体" w:hint="default"/>
                <w:spacing w:val="-60"/>
                <w:sz w:val="24"/>
                <w:szCs w:val="24"/>
              </w:rPr>
              <w:t> </w:t>
            </w:r>
            <w:r>
              <w:rPr>
                <w:rFonts w:ascii="宋体" w:hAnsi="宋体" w:cs="宋体" w:eastAsia="宋体" w:hint="default"/>
                <w:sz w:val="24"/>
                <w:szCs w:val="24"/>
              </w:rPr>
              <w:t>74</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6" w:right="0"/>
              <w:jc w:val="center"/>
              <w:rPr>
                <w:rFonts w:ascii="宋体" w:hAnsi="宋体" w:cs="宋体" w:eastAsia="宋体" w:hint="default"/>
                <w:sz w:val="24"/>
                <w:szCs w:val="24"/>
              </w:rPr>
            </w:pPr>
            <w:r>
              <w:rPr>
                <w:rFonts w:ascii="宋体"/>
                <w:sz w:val="24"/>
              </w:rPr>
              <w:t>450001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1423" w:right="0"/>
              <w:jc w:val="left"/>
              <w:rPr>
                <w:rFonts w:ascii="宋体" w:hAnsi="宋体" w:cs="宋体" w:eastAsia="宋体" w:hint="default"/>
                <w:sz w:val="24"/>
                <w:szCs w:val="24"/>
              </w:rPr>
            </w:pPr>
            <w:r>
              <w:rPr>
                <w:rFonts w:ascii="宋体" w:hAnsi="宋体" w:cs="宋体" w:eastAsia="宋体" w:hint="default"/>
                <w:sz w:val="24"/>
                <w:szCs w:val="24"/>
              </w:rPr>
              <w:t>郑州市高新技术产业开发区科学大道</w:t>
            </w:r>
            <w:r>
              <w:rPr>
                <w:rFonts w:ascii="宋体" w:hAnsi="宋体" w:cs="宋体" w:eastAsia="宋体" w:hint="default"/>
                <w:spacing w:val="-60"/>
                <w:sz w:val="24"/>
                <w:szCs w:val="24"/>
              </w:rPr>
              <w:t> </w:t>
            </w:r>
            <w:r>
              <w:rPr>
                <w:rFonts w:ascii="宋体" w:hAnsi="宋体" w:cs="宋体" w:eastAsia="宋体" w:hint="default"/>
                <w:sz w:val="24"/>
                <w:szCs w:val="24"/>
              </w:rPr>
              <w:t>74</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6" w:right="0"/>
              <w:jc w:val="center"/>
              <w:rPr>
                <w:rFonts w:ascii="宋体" w:hAnsi="宋体" w:cs="宋体" w:eastAsia="宋体" w:hint="default"/>
                <w:sz w:val="24"/>
                <w:szCs w:val="24"/>
              </w:rPr>
            </w:pPr>
            <w:r>
              <w:rPr>
                <w:rFonts w:ascii="宋体"/>
                <w:sz w:val="24"/>
              </w:rPr>
              <w:t>450001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6" w:right="0"/>
              <w:jc w:val="center"/>
              <w:rPr>
                <w:rFonts w:ascii="宋体" w:hAnsi="宋体" w:cs="宋体" w:eastAsia="宋体" w:hint="default"/>
                <w:sz w:val="24"/>
                <w:szCs w:val="24"/>
              </w:rPr>
            </w:pPr>
            <w:hyperlink r:id="rId9">
              <w:r>
                <w:rPr>
                  <w:rFonts w:ascii="宋体"/>
                  <w:sz w:val="24"/>
                </w:rPr>
                <w:t>http://www.hhkj.cn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6" w:right="0"/>
              <w:jc w:val="center"/>
              <w:rPr>
                <w:rFonts w:ascii="宋体" w:hAnsi="宋体" w:cs="宋体" w:eastAsia="宋体" w:hint="default"/>
                <w:sz w:val="24"/>
                <w:szCs w:val="24"/>
              </w:rPr>
            </w:pPr>
            <w:hyperlink r:id="rId10">
              <w:r>
                <w:rPr>
                  <w:rFonts w:ascii="宋体"/>
                  <w:sz w:val="24"/>
                </w:rPr>
                <w:t>zqb@hhkj.cn</w:t>
              </w:r>
            </w:hyperlink>
          </w:p>
        </w:tc>
      </w:tr>
    </w:tbl>
    <w:p>
      <w:pPr>
        <w:spacing w:line="240" w:lineRule="auto" w:before="10"/>
        <w:rPr>
          <w:rFonts w:ascii="宋体" w:hAnsi="宋体" w:cs="宋体" w:eastAsia="宋体" w:hint="default"/>
          <w:b/>
          <w:bCs/>
          <w:sz w:val="4"/>
          <w:szCs w:val="4"/>
        </w:rPr>
      </w:pPr>
    </w:p>
    <w:p>
      <w:pPr>
        <w:pStyle w:val="Heading2"/>
        <w:spacing w:line="240" w:lineRule="auto"/>
        <w:ind w:right="1153"/>
        <w:jc w:val="left"/>
        <w:rPr>
          <w:b w:val="0"/>
          <w:bCs w:val="0"/>
        </w:rPr>
      </w:pPr>
      <w:r>
        <w:rPr/>
        <w:t>二、联系人和联系方式</w:t>
      </w:r>
      <w:r>
        <w:rPr>
          <w:b w:val="0"/>
          <w:bCs w:val="0"/>
        </w:rPr>
      </w:r>
    </w:p>
    <w:p>
      <w:pPr>
        <w:spacing w:line="240" w:lineRule="auto" w:before="5"/>
        <w:rPr>
          <w:rFonts w:ascii="宋体" w:hAnsi="宋体" w:cs="宋体" w:eastAsia="宋体" w:hint="default"/>
          <w:b/>
          <w:bCs/>
          <w:sz w:val="4"/>
          <w:szCs w:val="4"/>
        </w:rPr>
      </w:pPr>
    </w:p>
    <w:tbl>
      <w:tblPr>
        <w:tblW w:w="0" w:type="auto"/>
        <w:jc w:val="left"/>
        <w:tblInd w:w="160" w:type="dxa"/>
        <w:tblLayout w:type="fixed"/>
        <w:tblCellMar>
          <w:top w:w="0" w:type="dxa"/>
          <w:left w:w="0" w:type="dxa"/>
          <w:bottom w:w="0" w:type="dxa"/>
          <w:right w:w="0" w:type="dxa"/>
        </w:tblCellMar>
        <w:tblLook w:val="01E0"/>
      </w:tblPr>
      <w:tblGrid>
        <w:gridCol w:w="1820"/>
        <w:gridCol w:w="4548"/>
        <w:gridCol w:w="3190"/>
      </w:tblGrid>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870"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4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韩瑞</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4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郑州市高新技术产业开发区科学大道</w:t>
            </w:r>
            <w:r>
              <w:rPr>
                <w:rFonts w:ascii="宋体" w:hAnsi="宋体" w:cs="宋体" w:eastAsia="宋体" w:hint="default"/>
                <w:spacing w:val="-60"/>
                <w:sz w:val="24"/>
                <w:szCs w:val="24"/>
              </w:rPr>
              <w:t> </w:t>
            </w:r>
            <w:r>
              <w:rPr>
                <w:rFonts w:ascii="宋体" w:hAnsi="宋体" w:cs="宋体" w:eastAsia="宋体" w:hint="default"/>
                <w:sz w:val="24"/>
                <w:szCs w:val="24"/>
              </w:rPr>
              <w:t>74</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4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0371-67371035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4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0371-67388201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4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hyperlink r:id="rId11">
              <w:r>
                <w:rPr>
                  <w:rFonts w:ascii="宋体"/>
                  <w:sz w:val="24"/>
                </w:rPr>
                <w:t>hanrui@hhkj.cn</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4"/>
          <w:szCs w:val="4"/>
        </w:rPr>
      </w:pPr>
    </w:p>
    <w:p>
      <w:pPr>
        <w:pStyle w:val="Heading2"/>
        <w:spacing w:line="240" w:lineRule="auto"/>
        <w:ind w:right="1153"/>
        <w:jc w:val="left"/>
        <w:rPr>
          <w:b w:val="0"/>
          <w:bCs w:val="0"/>
        </w:rPr>
      </w:pPr>
      <w:r>
        <w:rPr/>
        <w:t>三、信息披露及备置地点</w:t>
      </w:r>
      <w:r>
        <w:rPr>
          <w:b w:val="0"/>
          <w:bCs w:val="0"/>
        </w:rPr>
      </w:r>
    </w:p>
    <w:p>
      <w:pPr>
        <w:spacing w:line="240" w:lineRule="auto" w:before="6"/>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4963"/>
        <w:gridCol w:w="4606"/>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公司选定的信息披露媒体的名称</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《证券时报》、《中国证券报》</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登载年度报告的中国证监会指定网站的网址</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hyperlink r:id="rId12">
              <w:r>
                <w:rPr>
                  <w:rFonts w:ascii="宋体"/>
                  <w:sz w:val="24"/>
                </w:rPr>
                <w:t>http://www.cninfo.com.cn</w:t>
              </w:r>
            </w:hyperlink>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证券事务办公室</w:t>
            </w:r>
          </w:p>
        </w:tc>
      </w:tr>
    </w:tbl>
    <w:p>
      <w:pPr>
        <w:spacing w:line="240" w:lineRule="auto" w:before="10"/>
        <w:rPr>
          <w:rFonts w:ascii="宋体" w:hAnsi="宋体" w:cs="宋体" w:eastAsia="宋体" w:hint="default"/>
          <w:b/>
          <w:bCs/>
          <w:sz w:val="4"/>
          <w:szCs w:val="4"/>
        </w:rPr>
      </w:pPr>
    </w:p>
    <w:p>
      <w:pPr>
        <w:pStyle w:val="Heading2"/>
        <w:spacing w:line="240" w:lineRule="auto"/>
        <w:ind w:right="1153"/>
        <w:jc w:val="left"/>
        <w:rPr>
          <w:b w:val="0"/>
          <w:bCs w:val="0"/>
        </w:rPr>
      </w:pPr>
      <w:r>
        <w:rPr/>
        <w:t>四、注册变更情况</w:t>
      </w:r>
      <w:r>
        <w:rPr>
          <w:b w:val="0"/>
          <w:bCs w:val="0"/>
        </w:rPr>
      </w:r>
    </w:p>
    <w:p>
      <w:pPr>
        <w:spacing w:line="240" w:lineRule="auto" w:before="5"/>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3958"/>
        <w:gridCol w:w="5610"/>
      </w:tblGrid>
      <w:tr>
        <w:trPr>
          <w:trHeight w:val="403"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73248267-4</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公司上市以来主营业务的变化情况</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无变更</w:t>
            </w:r>
          </w:p>
        </w:tc>
      </w:tr>
      <w:tr>
        <w:trPr>
          <w:trHeight w:val="403"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历次控股股东的变更情况</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无变更</w:t>
            </w:r>
          </w:p>
        </w:tc>
      </w:tr>
    </w:tbl>
    <w:p>
      <w:pPr>
        <w:spacing w:after="0" w:line="240" w:lineRule="auto"/>
        <w:jc w:val="center"/>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350" w:lineRule="auto" w:before="199"/>
        <w:ind w:left="734" w:right="7632" w:firstLine="2"/>
        <w:jc w:val="left"/>
        <w:rPr>
          <w:rFonts w:ascii="宋体" w:hAnsi="宋体" w:cs="宋体" w:eastAsia="宋体" w:hint="default"/>
          <w:sz w:val="24"/>
          <w:szCs w:val="24"/>
        </w:rPr>
      </w:pPr>
      <w:r>
        <w:rPr/>
        <w:pict>
          <v:shape style="position:absolute;margin-left:56.459999pt;margin-top:51.565624pt;width:479.2pt;height:60.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4"/>
                            <w:szCs w:val="24"/>
                          </w:rPr>
                        </w:pPr>
                        <w:r>
                          <w:rPr>
                            <w:rFonts w:ascii="宋体" w:hAnsi="宋体" w:cs="宋体" w:eastAsia="宋体" w:hint="default"/>
                            <w:sz w:val="24"/>
                            <w:szCs w:val="24"/>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4"/>
                            <w:szCs w:val="24"/>
                          </w:rPr>
                        </w:pPr>
                        <w:r>
                          <w:rPr>
                            <w:rFonts w:ascii="宋体" w:hAnsi="宋体" w:cs="宋体" w:eastAsia="宋体" w:hint="default"/>
                            <w:sz w:val="24"/>
                            <w:szCs w:val="24"/>
                          </w:rPr>
                          <w:t>北京海淀区西四环中路</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号院</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号楼</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4"/>
                            <w:szCs w:val="24"/>
                          </w:rPr>
                        </w:pPr>
                        <w:r>
                          <w:rPr>
                            <w:rFonts w:ascii="宋体" w:hAnsi="宋体" w:cs="宋体" w:eastAsia="宋体" w:hint="default"/>
                            <w:sz w:val="24"/>
                            <w:szCs w:val="24"/>
                          </w:rPr>
                          <w:t>董超、胡丽娟</w:t>
                        </w:r>
                      </w:p>
                    </w:tc>
                  </w:tr>
                </w:tbl>
                <w:p>
                  <w:pPr/>
                </w:p>
              </w:txbxContent>
            </v:textbox>
            <w10:wrap type="none"/>
          </v:shape>
        </w:pict>
      </w:r>
      <w:r>
        <w:rPr>
          <w:rFonts w:ascii="宋体" w:hAnsi="宋体" w:cs="宋体" w:eastAsia="宋体" w:hint="default"/>
          <w:b/>
          <w:bCs/>
          <w:sz w:val="24"/>
          <w:szCs w:val="24"/>
        </w:rPr>
        <w:t>五、其他有关资料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5"/>
        <w:ind w:left="734" w:right="953"/>
        <w:jc w:val="left"/>
      </w:pPr>
      <w:r>
        <w:rPr/>
        <w:t>公司聘请的报告期内履行持续督导职责的保荐机构</w:t>
      </w:r>
    </w:p>
    <w:p>
      <w:pPr>
        <w:spacing w:line="240" w:lineRule="auto" w:before="6"/>
        <w:rPr>
          <w:rFonts w:ascii="宋体" w:hAnsi="宋体" w:cs="宋体" w:eastAsia="宋体" w:hint="default"/>
          <w:sz w:val="4"/>
          <w:szCs w:val="4"/>
        </w:rPr>
      </w:pPr>
    </w:p>
    <w:tbl>
      <w:tblPr>
        <w:tblW w:w="0" w:type="auto"/>
        <w:jc w:val="left"/>
        <w:tblInd w:w="249" w:type="dxa"/>
        <w:tblLayout w:type="fixed"/>
        <w:tblCellMar>
          <w:top w:w="0" w:type="dxa"/>
          <w:left w:w="0" w:type="dxa"/>
          <w:bottom w:w="0" w:type="dxa"/>
          <w:right w:w="0" w:type="dxa"/>
        </w:tblCellMar>
        <w:tblLook w:val="01E0"/>
      </w:tblPr>
      <w:tblGrid>
        <w:gridCol w:w="2553"/>
        <w:gridCol w:w="2835"/>
        <w:gridCol w:w="1790"/>
        <w:gridCol w:w="2392"/>
      </w:tblGrid>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保荐机构名称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52" w:right="0"/>
              <w:jc w:val="left"/>
              <w:rPr>
                <w:rFonts w:ascii="宋体" w:hAnsi="宋体" w:cs="宋体" w:eastAsia="宋体" w:hint="default"/>
                <w:sz w:val="24"/>
                <w:szCs w:val="24"/>
              </w:rPr>
            </w:pPr>
            <w:r>
              <w:rPr>
                <w:rFonts w:ascii="宋体" w:hAnsi="宋体" w:cs="宋体" w:eastAsia="宋体" w:hint="default"/>
                <w:sz w:val="24"/>
                <w:szCs w:val="24"/>
              </w:rPr>
              <w:t>保荐机构办公地址</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70" w:right="0"/>
              <w:jc w:val="left"/>
              <w:rPr>
                <w:rFonts w:ascii="宋体" w:hAnsi="宋体" w:cs="宋体" w:eastAsia="宋体" w:hint="default"/>
                <w:sz w:val="24"/>
                <w:szCs w:val="24"/>
              </w:rPr>
            </w:pPr>
            <w:r>
              <w:rPr>
                <w:rFonts w:ascii="宋体" w:hAnsi="宋体" w:cs="宋体" w:eastAsia="宋体" w:hint="default"/>
                <w:sz w:val="24"/>
                <w:szCs w:val="24"/>
              </w:rPr>
              <w:t>持续督导期间</w:t>
            </w:r>
          </w:p>
        </w:tc>
      </w:tr>
      <w:tr>
        <w:trPr>
          <w:trHeight w:val="102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中原证券股份有限公司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9"/>
              <w:ind w:left="32" w:right="30" w:firstLine="60"/>
              <w:jc w:val="left"/>
              <w:rPr>
                <w:rFonts w:ascii="宋体" w:hAnsi="宋体" w:cs="宋体" w:eastAsia="宋体" w:hint="default"/>
                <w:sz w:val="24"/>
                <w:szCs w:val="24"/>
              </w:rPr>
            </w:pPr>
            <w:r>
              <w:rPr>
                <w:rFonts w:ascii="宋体" w:hAnsi="宋体" w:cs="宋体" w:eastAsia="宋体" w:hint="default"/>
                <w:sz w:val="24"/>
                <w:szCs w:val="24"/>
              </w:rPr>
              <w:t>郑州市郑东新区商务外环 路</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号中原广发金融大厦</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tabs>
                <w:tab w:pos="719" w:val="left" w:leader="none"/>
              </w:tabs>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刘政</w:t>
              <w:tab/>
              <w:t>朱元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80"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日至</w:t>
            </w:r>
          </w:p>
          <w:p>
            <w:pPr>
              <w:pStyle w:val="TableParagraph"/>
              <w:spacing w:line="240" w:lineRule="auto"/>
              <w:ind w:left="230" w:right="79" w:hanging="15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年非公开发行募 集资金使用完毕。</w:t>
            </w:r>
          </w:p>
        </w:tc>
      </w:tr>
    </w:tbl>
    <w:p>
      <w:pPr>
        <w:spacing w:line="240" w:lineRule="auto" w:before="10"/>
        <w:rPr>
          <w:rFonts w:ascii="宋体" w:hAnsi="宋体" w:cs="宋体" w:eastAsia="宋体" w:hint="default"/>
          <w:sz w:val="4"/>
          <w:szCs w:val="4"/>
        </w:rPr>
      </w:pPr>
    </w:p>
    <w:p>
      <w:pPr>
        <w:pStyle w:val="Heading2"/>
        <w:spacing w:line="240" w:lineRule="auto"/>
        <w:ind w:left="736" w:right="953"/>
        <w:jc w:val="left"/>
        <w:rPr>
          <w:b w:val="0"/>
          <w:bCs w:val="0"/>
        </w:rPr>
      </w:pPr>
      <w:r>
        <w:rPr/>
        <w:t>公司聘请的报告期内履行持续督导职责的财务顾问</w:t>
      </w:r>
      <w:r>
        <w:rPr>
          <w:b w:val="0"/>
          <w:bCs w:val="0"/>
        </w:rPr>
      </w:r>
    </w:p>
    <w:p>
      <w:pPr>
        <w:spacing w:line="350" w:lineRule="auto" w:before="145"/>
        <w:ind w:left="736" w:right="5297"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六、主要会计数据和财务指标</w:t>
      </w:r>
      <w:r>
        <w:rPr>
          <w:rFonts w:ascii="宋体" w:hAnsi="宋体" w:cs="宋体" w:eastAsia="宋体" w:hint="default"/>
          <w:sz w:val="24"/>
          <w:szCs w:val="24"/>
        </w:rPr>
      </w:r>
    </w:p>
    <w:p>
      <w:pPr>
        <w:pStyle w:val="Heading2"/>
        <w:spacing w:line="240" w:lineRule="auto" w:before="36"/>
        <w:ind w:left="736" w:right="953"/>
        <w:jc w:val="left"/>
        <w:rPr>
          <w:b w:val="0"/>
          <w:bCs w:val="0"/>
        </w:rPr>
      </w:pPr>
      <w:r>
        <w:rPr/>
        <w:t>公司是否因会计政策变更及会计差错更正等追溯调整或重述以前年度会计数据</w:t>
      </w:r>
      <w:r>
        <w:rPr>
          <w:b w:val="0"/>
          <w:bCs w:val="0"/>
        </w:rPr>
      </w:r>
    </w:p>
    <w:p>
      <w:pPr>
        <w:pStyle w:val="BodyText"/>
        <w:spacing w:line="240" w:lineRule="auto" w:before="145"/>
        <w:ind w:left="733" w:right="7632"/>
        <w:jc w:val="left"/>
      </w:pPr>
      <w:r>
        <w:rPr/>
        <w:t>□ 是 √ 否</w:t>
      </w:r>
    </w:p>
    <w:p>
      <w:pPr>
        <w:spacing w:line="240" w:lineRule="auto" w:before="5"/>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3238"/>
        <w:gridCol w:w="211"/>
        <w:gridCol w:w="1360"/>
        <w:gridCol w:w="1560"/>
        <w:gridCol w:w="1985"/>
        <w:gridCol w:w="1559"/>
      </w:tblGrid>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5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5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left="218" w:right="0"/>
              <w:jc w:val="left"/>
              <w:rPr>
                <w:rFonts w:ascii="Times New Roman" w:hAnsi="Times New Roman" w:cs="Times New Roman" w:eastAsia="Times New Roman" w:hint="default"/>
                <w:sz w:val="21"/>
                <w:szCs w:val="21"/>
              </w:rPr>
            </w:pPr>
            <w:r>
              <w:rPr>
                <w:rFonts w:ascii="Times New Roman"/>
                <w:sz w:val="21"/>
              </w:rPr>
              <w:t>566,026,914.58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525,623,757.30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7.69%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387,553,675.59</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归属于上市公司股东的净利润（元</w:t>
            </w:r>
          </w:p>
        </w:tc>
        <w:tc>
          <w:tcPr>
            <w:tcW w:w="211"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27"/>
              <w:ind w:left="-134" w:right="0"/>
              <w:jc w:val="left"/>
              <w:rPr>
                <w:rFonts w:ascii="宋体" w:hAnsi="宋体" w:cs="宋体" w:eastAsia="宋体" w:hint="default"/>
                <w:sz w:val="21"/>
                <w:szCs w:val="21"/>
              </w:rPr>
            </w:pPr>
            <w:r>
              <w:rPr>
                <w:rFonts w:ascii="宋体" w:hAnsi="宋体" w:cs="宋体" w:eastAsia="宋体" w:hint="default"/>
                <w:sz w:val="21"/>
                <w:szCs w:val="21"/>
              </w:rPr>
              <w:t>）</w:t>
            </w:r>
          </w:p>
        </w:tc>
        <w:tc>
          <w:tcPr>
            <w:tcW w:w="1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00" w:right="0"/>
              <w:jc w:val="center"/>
              <w:rPr>
                <w:rFonts w:ascii="Times New Roman" w:hAnsi="Times New Roman" w:cs="Times New Roman" w:eastAsia="Times New Roman" w:hint="default"/>
                <w:sz w:val="21"/>
                <w:szCs w:val="21"/>
              </w:rPr>
            </w:pPr>
            <w:r>
              <w:rPr>
                <w:rFonts w:ascii="Times New Roman"/>
                <w:sz w:val="21"/>
              </w:rPr>
              <w:t>74,923,796.86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99,007,810.67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-24.33%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70,399,232.05</w:t>
            </w:r>
          </w:p>
        </w:tc>
      </w:tr>
      <w:tr>
        <w:trPr>
          <w:trHeight w:val="714"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66"/>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 性损益的净利润（元）</w:t>
            </w:r>
          </w:p>
        </w:tc>
        <w:tc>
          <w:tcPr>
            <w:tcW w:w="15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22" w:right="0"/>
              <w:jc w:val="left"/>
              <w:rPr>
                <w:rFonts w:ascii="Times New Roman" w:hAnsi="Times New Roman" w:cs="Times New Roman" w:eastAsia="Times New Roman" w:hint="default"/>
                <w:sz w:val="21"/>
                <w:szCs w:val="21"/>
              </w:rPr>
            </w:pPr>
            <w:r>
              <w:rPr>
                <w:rFonts w:ascii="Times New Roman"/>
                <w:sz w:val="21"/>
              </w:rPr>
              <w:t>72,324,525.20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92,095,243.99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-21.47%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56,054,412.34</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经营活动产生的现金流量净额（元</w:t>
            </w:r>
          </w:p>
        </w:tc>
        <w:tc>
          <w:tcPr>
            <w:tcW w:w="211"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27"/>
              <w:ind w:left="-134" w:right="0"/>
              <w:jc w:val="left"/>
              <w:rPr>
                <w:rFonts w:ascii="宋体" w:hAnsi="宋体" w:cs="宋体" w:eastAsia="宋体" w:hint="default"/>
                <w:sz w:val="21"/>
                <w:szCs w:val="21"/>
              </w:rPr>
            </w:pPr>
            <w:r>
              <w:rPr>
                <w:rFonts w:ascii="宋体" w:hAnsi="宋体" w:cs="宋体" w:eastAsia="宋体" w:hint="default"/>
                <w:sz w:val="21"/>
                <w:szCs w:val="21"/>
              </w:rPr>
              <w:t>）</w:t>
            </w:r>
          </w:p>
        </w:tc>
        <w:tc>
          <w:tcPr>
            <w:tcW w:w="13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99" w:right="0"/>
              <w:jc w:val="center"/>
              <w:rPr>
                <w:rFonts w:ascii="Times New Roman" w:hAnsi="Times New Roman" w:cs="Times New Roman" w:eastAsia="Times New Roman" w:hint="default"/>
                <w:sz w:val="21"/>
                <w:szCs w:val="21"/>
              </w:rPr>
            </w:pPr>
            <w:r>
              <w:rPr>
                <w:rFonts w:ascii="Times New Roman"/>
                <w:sz w:val="21"/>
              </w:rPr>
              <w:t>94,728,291.03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44,952,835.90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w w:val="95"/>
                <w:sz w:val="21"/>
              </w:rPr>
              <w:t>110.73%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66,052,091.18</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left="953" w:right="0"/>
              <w:jc w:val="left"/>
              <w:rPr>
                <w:rFonts w:ascii="Times New Roman" w:hAnsi="Times New Roman" w:cs="Times New Roman" w:eastAsia="Times New Roman" w:hint="default"/>
                <w:sz w:val="21"/>
                <w:szCs w:val="21"/>
              </w:rPr>
            </w:pPr>
            <w:r>
              <w:rPr>
                <w:rFonts w:ascii="Times New Roman"/>
                <w:sz w:val="21"/>
              </w:rPr>
              <w:t>0.1989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0.2629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-24.34%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0.2283</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left="953" w:right="0"/>
              <w:jc w:val="left"/>
              <w:rPr>
                <w:rFonts w:ascii="Times New Roman" w:hAnsi="Times New Roman" w:cs="Times New Roman" w:eastAsia="Times New Roman" w:hint="default"/>
                <w:sz w:val="21"/>
                <w:szCs w:val="21"/>
              </w:rPr>
            </w:pPr>
            <w:r>
              <w:rPr>
                <w:rFonts w:ascii="Times New Roman"/>
                <w:sz w:val="21"/>
              </w:rPr>
              <w:t>0.1989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0.2629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-24.34%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0.2283</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5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left="988" w:right="0"/>
              <w:jc w:val="left"/>
              <w:rPr>
                <w:rFonts w:ascii="Times New Roman" w:hAnsi="Times New Roman" w:cs="Times New Roman" w:eastAsia="Times New Roman" w:hint="default"/>
                <w:sz w:val="21"/>
                <w:szCs w:val="21"/>
              </w:rPr>
            </w:pPr>
            <w:r>
              <w:rPr>
                <w:rFonts w:ascii="Times New Roman"/>
                <w:sz w:val="21"/>
              </w:rPr>
              <w:t>5.28%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9.14%</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41"/>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5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left="67" w:right="0"/>
              <w:jc w:val="left"/>
              <w:rPr>
                <w:rFonts w:ascii="Times New Roman" w:hAnsi="Times New Roman" w:cs="Times New Roman" w:eastAsia="Times New Roman" w:hint="default"/>
                <w:sz w:val="21"/>
                <w:szCs w:val="21"/>
              </w:rPr>
            </w:pPr>
            <w:r>
              <w:rPr>
                <w:rFonts w:ascii="Times New Roman"/>
                <w:sz w:val="21"/>
              </w:rPr>
              <w:t>2,142,982,119.35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1,927,659,382.53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2"/>
                <w:sz w:val="21"/>
              </w:rPr>
              <w:t>11.17%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1,810,805,471.96</w:t>
            </w:r>
          </w:p>
        </w:tc>
      </w:tr>
      <w:tr>
        <w:trPr>
          <w:trHeight w:val="403"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归属于上市公司股东的净资产（元</w:t>
            </w:r>
          </w:p>
        </w:tc>
        <w:tc>
          <w:tcPr>
            <w:tcW w:w="15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27"/>
              <w:ind w:left="-134" w:right="-18"/>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p>
          <w:p>
            <w:pPr>
              <w:pStyle w:val="TableParagraph"/>
              <w:spacing w:line="240" w:lineRule="auto" w:before="76"/>
              <w:ind w:left="218" w:right="0"/>
              <w:jc w:val="left"/>
              <w:rPr>
                <w:rFonts w:ascii="Times New Roman" w:hAnsi="Times New Roman" w:cs="Times New Roman" w:eastAsia="Times New Roman" w:hint="default"/>
                <w:sz w:val="21"/>
                <w:szCs w:val="21"/>
              </w:rPr>
            </w:pPr>
            <w:r>
              <w:rPr>
                <w:rFonts w:ascii="Times New Roman"/>
                <w:sz w:val="21"/>
              </w:rPr>
              <w:t>451,526,151.67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1,387,902,047.41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1,440,517,855.80</w:t>
            </w:r>
          </w:p>
        </w:tc>
      </w:tr>
    </w:tbl>
    <w:p>
      <w:pPr>
        <w:spacing w:line="240" w:lineRule="auto" w:before="10"/>
        <w:rPr>
          <w:rFonts w:ascii="宋体" w:hAnsi="宋体" w:cs="宋体" w:eastAsia="宋体" w:hint="default"/>
          <w:sz w:val="4"/>
          <w:szCs w:val="4"/>
        </w:rPr>
      </w:pPr>
    </w:p>
    <w:p>
      <w:pPr>
        <w:pStyle w:val="Heading2"/>
        <w:spacing w:line="240" w:lineRule="auto"/>
        <w:ind w:left="736" w:right="953"/>
        <w:jc w:val="left"/>
        <w:rPr>
          <w:b w:val="0"/>
          <w:bCs w:val="0"/>
        </w:rPr>
      </w:pPr>
      <w:r>
        <w:rPr/>
        <w:t>七、境内外会计准则下会计数据差异</w:t>
      </w:r>
      <w:r>
        <w:rPr>
          <w:b w:val="0"/>
          <w:bCs w:val="0"/>
        </w:rPr>
      </w:r>
    </w:p>
    <w:p>
      <w:pPr>
        <w:pStyle w:val="Heading2"/>
        <w:spacing w:line="240" w:lineRule="auto" w:before="145"/>
        <w:ind w:left="736" w:right="953"/>
        <w:jc w:val="left"/>
        <w:rPr>
          <w:b w:val="0"/>
          <w:bCs w:val="0"/>
        </w:rPr>
      </w:pPr>
      <w:r>
        <w:rPr>
          <w:rFonts w:ascii="Times New Roman" w:hAnsi="Times New Roman" w:cs="Times New Roman" w:eastAsia="Times New Roman" w:hint="default"/>
        </w:rPr>
        <w:t>1</w:t>
      </w:r>
      <w:r>
        <w:rPr>
          <w:spacing w:val="-119"/>
          <w:w w:val="99"/>
        </w:rPr>
        <w:t>、</w:t>
      </w:r>
      <w:r>
        <w:rPr>
          <w:w w:val="99"/>
        </w:rPr>
        <w:t>同时按照国际会计</w:t>
      </w:r>
      <w:r>
        <w:rPr>
          <w:spacing w:val="1"/>
          <w:w w:val="99"/>
        </w:rPr>
        <w:t>准</w:t>
      </w:r>
      <w:r>
        <w:rPr>
          <w:w w:val="99"/>
        </w:rPr>
        <w:t>则与按照中国会计准则披露的财务报告中净利润和净资产差异情</w:t>
      </w:r>
      <w:r>
        <w:rPr>
          <w:b w:val="0"/>
          <w:bCs w:val="0"/>
        </w:rPr>
      </w:r>
    </w:p>
    <w:p>
      <w:pPr>
        <w:pStyle w:val="Heading2"/>
        <w:spacing w:line="240" w:lineRule="auto" w:before="127"/>
        <w:ind w:left="253" w:right="7632"/>
        <w:jc w:val="left"/>
        <w:rPr>
          <w:b w:val="0"/>
          <w:bCs w:val="0"/>
        </w:rPr>
      </w:pPr>
      <w:r>
        <w:rPr>
          <w:w w:val="99"/>
        </w:rPr>
        <w:t>况</w:t>
      </w:r>
      <w:r>
        <w:rPr>
          <w:b w:val="0"/>
          <w:bCs w:val="0"/>
        </w:rPr>
      </w:r>
    </w:p>
    <w:p>
      <w:pPr>
        <w:pStyle w:val="BodyText"/>
        <w:spacing w:line="240" w:lineRule="auto" w:before="147"/>
        <w:ind w:left="733" w:right="953"/>
        <w:jc w:val="left"/>
      </w:pPr>
      <w:r>
        <w:rPr/>
        <w:t>公司报告期不存在按照国际会计准则与按照中国会计准则披露的财务报告中净利润和净</w:t>
      </w:r>
    </w:p>
    <w:p>
      <w:pPr>
        <w:spacing w:line="240" w:lineRule="auto" w:before="2"/>
        <w:rPr>
          <w:rFonts w:ascii="宋体" w:hAnsi="宋体" w:cs="宋体" w:eastAsia="宋体" w:hint="default"/>
          <w:sz w:val="9"/>
          <w:szCs w:val="9"/>
        </w:rPr>
      </w:pPr>
    </w:p>
    <w:p>
      <w:pPr>
        <w:pStyle w:val="BodyText"/>
        <w:spacing w:line="240" w:lineRule="auto" w:before="26"/>
        <w:ind w:left="253" w:right="7632"/>
        <w:jc w:val="left"/>
      </w:pPr>
      <w:r>
        <w:rPr/>
        <w:t>资产差异情况。</w:t>
      </w:r>
    </w:p>
    <w:p>
      <w:pPr>
        <w:spacing w:after="0" w:line="240" w:lineRule="auto"/>
        <w:jc w:val="left"/>
        <w:sectPr>
          <w:pgSz w:w="11910" w:h="16840"/>
          <w:pgMar w:header="747" w:footer="979" w:top="1060" w:bottom="1160" w:left="880" w:right="0"/>
        </w:sectPr>
      </w:pPr>
    </w:p>
    <w:p>
      <w:pPr>
        <w:spacing w:line="240" w:lineRule="auto" w:before="0"/>
        <w:rPr>
          <w:rFonts w:ascii="宋体" w:hAnsi="宋体" w:cs="宋体" w:eastAsia="宋体" w:hint="default"/>
          <w:sz w:val="20"/>
          <w:szCs w:val="20"/>
        </w:rPr>
      </w:pPr>
    </w:p>
    <w:p>
      <w:pPr>
        <w:pStyle w:val="Heading2"/>
        <w:spacing w:line="240" w:lineRule="auto" w:before="199"/>
        <w:ind w:right="0"/>
        <w:jc w:val="left"/>
        <w:rPr>
          <w:b w:val="0"/>
          <w:bCs w:val="0"/>
        </w:rPr>
      </w:pPr>
      <w:r>
        <w:rPr>
          <w:rFonts w:ascii="Times New Roman" w:hAnsi="Times New Roman" w:cs="Times New Roman" w:eastAsia="Times New Roman" w:hint="default"/>
        </w:rPr>
        <w:t>2</w:t>
      </w:r>
      <w:r>
        <w:rPr>
          <w:spacing w:val="-119"/>
          <w:w w:val="99"/>
        </w:rPr>
        <w:t>、</w:t>
      </w:r>
      <w:r>
        <w:rPr>
          <w:w w:val="99"/>
        </w:rPr>
        <w:t>同时按照境外会计准则与按照中国会计准则披露的财务报告中净利润和净资产差异情</w:t>
      </w:r>
      <w:r>
        <w:rPr>
          <w:b w:val="0"/>
          <w:bCs w:val="0"/>
        </w:rPr>
      </w:r>
    </w:p>
    <w:p>
      <w:pPr>
        <w:pStyle w:val="Heading2"/>
        <w:spacing w:line="240" w:lineRule="auto" w:before="127"/>
        <w:ind w:left="154" w:right="1153"/>
        <w:jc w:val="left"/>
        <w:rPr>
          <w:b w:val="0"/>
          <w:bCs w:val="0"/>
        </w:rPr>
      </w:pPr>
      <w:r>
        <w:rPr>
          <w:w w:val="99"/>
        </w:rPr>
        <w:t>况</w:t>
      </w:r>
      <w:r>
        <w:rPr>
          <w:b w:val="0"/>
          <w:bCs w:val="0"/>
        </w:rPr>
      </w:r>
    </w:p>
    <w:p>
      <w:pPr>
        <w:pStyle w:val="BodyText"/>
        <w:spacing w:line="240" w:lineRule="auto" w:before="146"/>
        <w:ind w:left="634" w:right="0"/>
        <w:jc w:val="left"/>
      </w:pPr>
      <w:r>
        <w:rPr/>
        <w:t>公司报告期不存在按照境外会计准则与按照中国会计准则披露的财务报告中净利润和净</w:t>
      </w: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79" w:top="1060" w:bottom="1160" w:left="980" w:right="0"/>
        </w:sectPr>
      </w:pPr>
    </w:p>
    <w:p>
      <w:pPr>
        <w:spacing w:line="350" w:lineRule="auto" w:before="26"/>
        <w:ind w:left="636" w:right="0" w:hanging="483"/>
        <w:jc w:val="left"/>
        <w:rPr>
          <w:rFonts w:ascii="宋体" w:hAnsi="宋体" w:cs="宋体" w:eastAsia="宋体" w:hint="default"/>
          <w:sz w:val="24"/>
          <w:szCs w:val="24"/>
        </w:rPr>
      </w:pPr>
      <w:r>
        <w:rPr>
          <w:rFonts w:ascii="宋体" w:hAnsi="宋体" w:cs="宋体" w:eastAsia="宋体" w:hint="default"/>
          <w:sz w:val="24"/>
          <w:szCs w:val="24"/>
        </w:rPr>
        <w:t>资产差异情况。 </w:t>
      </w:r>
      <w:r>
        <w:rPr>
          <w:rFonts w:ascii="宋体" w:hAnsi="宋体" w:cs="宋体" w:eastAsia="宋体" w:hint="default"/>
          <w:b/>
          <w:bCs/>
          <w:w w:val="95"/>
          <w:sz w:val="24"/>
          <w:szCs w:val="24"/>
        </w:rPr>
        <w:t>八、分季度主要财务指标</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285" w:space="5515"/>
            <w:col w:w="2130"/>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096"/>
        <w:gridCol w:w="1571"/>
        <w:gridCol w:w="1702"/>
        <w:gridCol w:w="1559"/>
        <w:gridCol w:w="1631"/>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65"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26"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53"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89"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72,170,867.35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112,072,715.29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87,096,779.20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294,686,552.74</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4,002,808.34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27,017,466.97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5,400,293.48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38,503,228.07</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33"/>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 常性损益的净利润</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3,964,905.72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25,646,947.48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4,970,193.43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37,742,478.57</w:t>
            </w:r>
          </w:p>
        </w:tc>
      </w:tr>
      <w:tr>
        <w:trPr>
          <w:trHeight w:val="403"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-3,522,526.87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13,928,108.23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10,675,156.70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73,647,552.97</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2"/>
        <w:spacing w:line="352" w:lineRule="auto"/>
        <w:ind w:left="153" w:right="1153" w:firstLine="482"/>
        <w:jc w:val="left"/>
        <w:rPr>
          <w:b w:val="0"/>
          <w:bCs w:val="0"/>
        </w:rPr>
      </w:pPr>
      <w:r>
        <w:rPr>
          <w:w w:val="95"/>
        </w:rPr>
        <w:t>上述财务指标或其加总数是否与公司已披露季度报告、半年度报告相关财务指标存在重</w:t>
      </w:r>
      <w:r>
        <w:rPr>
          <w:w w:val="99"/>
        </w:rPr>
        <w:t> </w:t>
      </w:r>
      <w:r>
        <w:rPr/>
        <w:t>大差异</w:t>
      </w:r>
      <w:r>
        <w:rPr>
          <w:b w:val="0"/>
          <w:bCs w:val="0"/>
        </w:rPr>
      </w:r>
    </w:p>
    <w:p>
      <w:pPr>
        <w:spacing w:line="350" w:lineRule="auto" w:before="32"/>
        <w:ind w:left="636" w:right="6193" w:hanging="3"/>
        <w:jc w:val="left"/>
        <w:rPr>
          <w:rFonts w:ascii="宋体" w:hAnsi="宋体" w:cs="宋体" w:eastAsia="宋体" w:hint="default"/>
          <w:sz w:val="24"/>
          <w:szCs w:val="24"/>
        </w:rPr>
      </w:pPr>
      <w:r>
        <w:rPr>
          <w:rFonts w:ascii="宋体" w:hAnsi="宋体" w:cs="宋体" w:eastAsia="宋体" w:hint="default"/>
          <w:sz w:val="24"/>
          <w:szCs w:val="24"/>
        </w:rPr>
        <w:t>□ 是 √ 否 </w:t>
      </w:r>
      <w:r>
        <w:rPr>
          <w:rFonts w:ascii="宋体" w:hAnsi="宋体" w:cs="宋体" w:eastAsia="宋体" w:hint="default"/>
          <w:b/>
          <w:bCs/>
          <w:w w:val="95"/>
          <w:sz w:val="24"/>
          <w:szCs w:val="24"/>
        </w:rPr>
        <w:t>九、非经常性损益项目及金额</w:t>
      </w:r>
      <w:r>
        <w:rPr>
          <w:rFonts w:ascii="宋体" w:hAnsi="宋体" w:cs="宋体" w:eastAsia="宋体" w:hint="default"/>
          <w:sz w:val="24"/>
          <w:szCs w:val="24"/>
        </w:rPr>
      </w:r>
    </w:p>
    <w:p>
      <w:pPr>
        <w:spacing w:line="249" w:lineRule="exact"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089"/>
        <w:gridCol w:w="1571"/>
        <w:gridCol w:w="1560"/>
        <w:gridCol w:w="1702"/>
      </w:tblGrid>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7"/>
              <w:jc w:val="left"/>
              <w:rPr>
                <w:rFonts w:ascii="宋体" w:hAnsi="宋体" w:cs="宋体" w:eastAsia="宋体" w:hint="default"/>
                <w:sz w:val="21"/>
                <w:szCs w:val="21"/>
              </w:rPr>
            </w:pPr>
            <w:r>
              <w:rPr>
                <w:rFonts w:ascii="宋体" w:hAnsi="宋体" w:cs="宋体" w:eastAsia="宋体" w:hint="default"/>
                <w:spacing w:val="3"/>
                <w:sz w:val="21"/>
                <w:szCs w:val="21"/>
              </w:rPr>
              <w:t>非流动资产处置损益（包括已计提资产减值 </w:t>
            </w:r>
            <w:r>
              <w:rPr>
                <w:rFonts w:ascii="宋体" w:hAnsi="宋体" w:cs="宋体" w:eastAsia="宋体" w:hint="default"/>
                <w:sz w:val="21"/>
                <w:szCs w:val="21"/>
              </w:rPr>
              <w:t>准备的冲销部分）</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-5,193.93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-3,399.72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-11,492.34</w:t>
            </w:r>
          </w:p>
        </w:tc>
      </w:tr>
      <w:tr>
        <w:trPr>
          <w:trHeight w:val="1026"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7"/>
              <w:jc w:val="both"/>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 相关，按照国家统一标准定额或定量享受的 </w:t>
            </w:r>
            <w:r>
              <w:rPr>
                <w:rFonts w:ascii="宋体" w:hAnsi="宋体" w:cs="宋体" w:eastAsia="宋体" w:hint="default"/>
                <w:sz w:val="21"/>
                <w:szCs w:val="21"/>
              </w:rPr>
              <w:t>政府补助除外）</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2,772,891.00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8,157,600.00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13,252,000.00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236,055.39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77,799.59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-21,794.78</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3,792,107.43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482,280.39</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1,219,838.82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2,569,892.26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71" w:type="dxa"/>
            <w:tcBorders>
              <w:top w:val="single" w:sz="4" w:space="0" w:color="000000"/>
              <w:left w:val="single" w:sz="10"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117,903.12</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2,599,271.66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6,912,566.68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14,344,819.71</w:t>
            </w:r>
          </w:p>
        </w:tc>
      </w:tr>
    </w:tbl>
    <w:p>
      <w:pPr>
        <w:spacing w:line="240" w:lineRule="auto" w:before="10"/>
        <w:rPr>
          <w:rFonts w:ascii="宋体" w:hAnsi="宋体" w:cs="宋体" w:eastAsia="宋体" w:hint="default"/>
          <w:sz w:val="4"/>
          <w:szCs w:val="4"/>
        </w:rPr>
      </w:pPr>
    </w:p>
    <w:p>
      <w:pPr>
        <w:pStyle w:val="BodyText"/>
        <w:spacing w:line="350" w:lineRule="auto" w:before="26"/>
        <w:ind w:right="1152" w:firstLine="480"/>
        <w:jc w:val="left"/>
      </w:pPr>
      <w:r>
        <w:rPr/>
        <w:t>公司报告期不存在将根据《公开发行证券的公司信息披露解释性公告第</w:t>
      </w:r>
      <w:r>
        <w:rPr>
          <w:spacing w:val="-59"/>
        </w:rPr>
        <w:t> </w:t>
      </w:r>
      <w:r>
        <w:rPr>
          <w:rFonts w:ascii="宋体" w:hAnsi="宋体" w:cs="宋体" w:eastAsia="宋体" w:hint="default"/>
        </w:rPr>
        <w:t>1</w:t>
      </w:r>
      <w:r>
        <w:rPr>
          <w:rFonts w:ascii="宋体" w:hAnsi="宋体" w:cs="宋体" w:eastAsia="宋体" w:hint="default"/>
          <w:spacing w:val="-60"/>
        </w:rPr>
        <w:t> </w:t>
      </w:r>
      <w:r>
        <w:rPr/>
        <w:t>号——非经常 性损益》定义、列举的非经常性损益项目界定为经常性损益的项目的情形。</w:t>
      </w:r>
    </w:p>
    <w:p>
      <w:pPr>
        <w:spacing w:after="0" w:line="35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三节 公司业务概要" w:id="5"/>
      <w:bookmarkEnd w:id="5"/>
      <w:r>
        <w:rPr>
          <w:b w:val="0"/>
          <w:bCs w:val="0"/>
        </w:rPr>
      </w:r>
      <w:bookmarkStart w:name="_bookmark2" w:id="6"/>
      <w:bookmarkEnd w:id="6"/>
      <w:r>
        <w:rPr>
          <w:b w:val="0"/>
          <w:bCs w:val="0"/>
        </w:rPr>
      </w:r>
      <w:r>
        <w:rPr/>
        <w:t>第三节</w:t>
      </w:r>
      <w:r>
        <w:rPr>
          <w:spacing w:val="-7"/>
        </w:rPr>
        <w:t> </w:t>
      </w:r>
      <w:r>
        <w:rPr/>
        <w:t>公司业务概要</w:t>
      </w:r>
      <w:r>
        <w:rPr>
          <w:b w:val="0"/>
          <w:bCs w:val="0"/>
        </w:rPr>
      </w:r>
    </w:p>
    <w:p>
      <w:pPr>
        <w:spacing w:line="240" w:lineRule="auto" w:before="0"/>
        <w:rPr>
          <w:rFonts w:ascii="宋体" w:hAnsi="宋体" w:cs="宋体" w:eastAsia="宋体" w:hint="default"/>
          <w:b/>
          <w:bCs/>
          <w:sz w:val="32"/>
          <w:szCs w:val="32"/>
        </w:rPr>
      </w:pPr>
    </w:p>
    <w:p>
      <w:pPr>
        <w:pStyle w:val="Heading2"/>
        <w:spacing w:line="240" w:lineRule="auto" w:before="215"/>
        <w:ind w:right="1153"/>
        <w:jc w:val="left"/>
        <w:rPr>
          <w:b w:val="0"/>
          <w:bCs w:val="0"/>
        </w:rPr>
      </w:pPr>
      <w:r>
        <w:rPr/>
        <w:t>一、报告期内公司从事的主要业务</w:t>
      </w:r>
      <w:r>
        <w:rPr>
          <w:b w:val="0"/>
          <w:bCs w:val="0"/>
        </w:rPr>
      </w:r>
    </w:p>
    <w:p>
      <w:pPr>
        <w:pStyle w:val="Heading2"/>
        <w:spacing w:line="240" w:lineRule="auto" w:before="145"/>
        <w:ind w:right="1153"/>
        <w:jc w:val="left"/>
        <w:rPr>
          <w:b w:val="0"/>
          <w:bCs w:val="0"/>
        </w:rPr>
      </w:pPr>
      <w:r>
        <w:rPr/>
        <w:t>（一）公司主营业务及经营模式</w:t>
      </w:r>
      <w:r>
        <w:rPr>
          <w:b w:val="0"/>
          <w:bCs w:val="0"/>
        </w:rPr>
      </w:r>
    </w:p>
    <w:p>
      <w:pPr>
        <w:pStyle w:val="BodyText"/>
        <w:spacing w:line="331" w:lineRule="auto" w:before="146"/>
        <w:ind w:left="634" w:right="1152" w:firstLine="2"/>
        <w:jc w:val="left"/>
      </w:pPr>
      <w:r>
        <w:rPr>
          <w:rFonts w:ascii="Times New Roman" w:hAnsi="Times New Roman" w:cs="Times New Roman" w:eastAsia="Times New Roman" w:hint="default"/>
          <w:b/>
          <w:bCs/>
        </w:rPr>
        <w:t>1</w:t>
      </w:r>
      <w:r>
        <w:rPr>
          <w:rFonts w:ascii="宋体" w:hAnsi="宋体" w:cs="宋体" w:eastAsia="宋体" w:hint="default"/>
          <w:b/>
          <w:bCs/>
        </w:rPr>
        <w:t>、公司主营业务</w:t>
      </w:r>
      <w:r>
        <w:rPr>
          <w:rFonts w:ascii="宋体" w:hAnsi="宋体" w:cs="宋体" w:eastAsia="宋体" w:hint="default"/>
          <w:b/>
          <w:bCs/>
          <w:w w:val="99"/>
        </w:rPr>
        <w:t> </w:t>
      </w:r>
      <w:r>
        <w:rPr/>
        <w:t>公司的主营业务为铁路通信信号、铁路运输调度指挥管理和城市轨道交通通信信号等领</w:t>
      </w:r>
    </w:p>
    <w:p>
      <w:pPr>
        <w:pStyle w:val="BodyText"/>
        <w:spacing w:line="352" w:lineRule="auto" w:before="54"/>
        <w:ind w:left="154" w:right="0"/>
        <w:jc w:val="left"/>
      </w:pPr>
      <w:r>
        <w:rPr>
          <w:spacing w:val="-3"/>
        </w:rPr>
        <w:t>域产品的研发、生产和销售，主要产品包括铁路信号集中监测系统、铁路防灾安全监控系统、</w:t>
      </w:r>
      <w:r>
        <w:rPr>
          <w:spacing w:val="-81"/>
        </w:rPr>
        <w:t> </w:t>
      </w:r>
      <w:r>
        <w:rPr>
          <w:spacing w:val="-81"/>
        </w:rPr>
      </w:r>
      <w:r>
        <w:rPr/>
        <w:t>铁路综合视频监控系统、城轨综合监控系统、城轨信号维护支持系统、城轨自动售检票系统</w:t>
      </w:r>
    </w:p>
    <w:p>
      <w:pPr>
        <w:pStyle w:val="BodyText"/>
        <w:spacing w:line="350" w:lineRule="auto" w:before="32"/>
        <w:ind w:right="1033"/>
        <w:jc w:val="left"/>
      </w:pPr>
      <w:r>
        <w:rPr/>
        <w:t>（</w:t>
      </w:r>
      <w:r>
        <w:rPr>
          <w:rFonts w:ascii="宋体" w:hAnsi="宋体" w:cs="宋体" w:eastAsia="宋体" w:hint="default"/>
        </w:rPr>
        <w:t>AFC</w:t>
      </w:r>
      <w:r>
        <w:rPr/>
        <w:t>）、城轨视频监控系统（</w:t>
      </w:r>
      <w:r>
        <w:rPr>
          <w:rFonts w:ascii="宋体" w:hAnsi="宋体" w:cs="宋体" w:eastAsia="宋体" w:hint="default"/>
        </w:rPr>
        <w:t>CCTV)</w:t>
      </w:r>
      <w:r>
        <w:rPr/>
        <w:t>、列车运行监视系统、分散自律调度集中系统（</w:t>
      </w:r>
      <w:r>
        <w:rPr>
          <w:rFonts w:ascii="宋体" w:hAnsi="宋体" w:cs="宋体" w:eastAsia="宋体" w:hint="default"/>
        </w:rPr>
        <w:t>CTC</w:t>
      </w:r>
      <w:r>
        <w:rPr/>
        <w:t>）、 列车调度指挥系统（</w:t>
      </w:r>
      <w:r>
        <w:rPr>
          <w:rFonts w:ascii="宋体" w:hAnsi="宋体" w:cs="宋体" w:eastAsia="宋体" w:hint="default"/>
        </w:rPr>
        <w:t>TDCS</w:t>
      </w:r>
      <w:r>
        <w:rPr/>
        <w:t>）、无线调车机车信号和监控系统、电务管理信息系统、铁路安全 生产指挥综合系统、铁路电源及机房环境监控系统、铁路运输指挥综合系统、厂矿铁路综合 信息管理系统、铁路信号计算机联锁系统、计轴系统、电加热道岔融雪系统设备、机车综合 无线通信设备、无线车次号校核系统以及普通轨道交通信号智能电源系统、变压器。公司产 品的主要功能是保障行车安全、提高铁路、城市轨道交通的调度指挥效率。</w:t>
      </w:r>
    </w:p>
    <w:p>
      <w:pPr>
        <w:pStyle w:val="BodyText"/>
        <w:spacing w:line="331" w:lineRule="auto" w:before="35"/>
        <w:ind w:left="633" w:right="1153" w:firstLine="2"/>
        <w:jc w:val="left"/>
      </w:pPr>
      <w:r>
        <w:rPr>
          <w:rFonts w:ascii="Times New Roman" w:hAnsi="Times New Roman" w:cs="Times New Roman" w:eastAsia="Times New Roman" w:hint="default"/>
          <w:b/>
          <w:bCs/>
        </w:rPr>
        <w:t>2</w:t>
      </w:r>
      <w:r>
        <w:rPr>
          <w:rFonts w:ascii="宋体" w:hAnsi="宋体" w:cs="宋体" w:eastAsia="宋体" w:hint="default"/>
          <w:b/>
          <w:bCs/>
        </w:rPr>
        <w:t>、公司经营模式</w:t>
      </w:r>
      <w:r>
        <w:rPr>
          <w:rFonts w:ascii="宋体" w:hAnsi="宋体" w:cs="宋体" w:eastAsia="宋体" w:hint="default"/>
          <w:b/>
          <w:bCs/>
          <w:w w:val="99"/>
        </w:rPr>
        <w:t> </w:t>
      </w:r>
      <w:r>
        <w:rPr/>
        <w:t>本公司产品、系统按照已经开发完成的既有制式，直接销售；并采取以销定产的经营模</w:t>
      </w:r>
    </w:p>
    <w:p>
      <w:pPr>
        <w:pStyle w:val="BodyText"/>
        <w:spacing w:line="350" w:lineRule="auto" w:before="55"/>
        <w:ind w:right="1153"/>
        <w:jc w:val="left"/>
      </w:pPr>
      <w:r>
        <w:rPr/>
        <w:t>式，根据客户订单数量安排生产；在具体的生产过程中，根据用户需求将公司生产、外协、 外购的器件、组件及设备集成为系统，经公司联调、现场联调、用户验收后投入使用。</w:t>
      </w:r>
    </w:p>
    <w:p>
      <w:pPr>
        <w:pStyle w:val="Heading2"/>
        <w:spacing w:line="240" w:lineRule="auto" w:before="35"/>
        <w:ind w:right="1153"/>
        <w:jc w:val="left"/>
        <w:rPr>
          <w:b w:val="0"/>
          <w:bCs w:val="0"/>
        </w:rPr>
      </w:pPr>
      <w:r>
        <w:rPr/>
        <w:t>（二）行业发展情况</w:t>
      </w:r>
      <w:r>
        <w:rPr>
          <w:b w:val="0"/>
          <w:bCs w:val="0"/>
        </w:rPr>
      </w:r>
    </w:p>
    <w:p>
      <w:pPr>
        <w:pStyle w:val="Heading2"/>
        <w:spacing w:line="240" w:lineRule="auto" w:before="146"/>
        <w:ind w:right="1153"/>
        <w:jc w:val="left"/>
        <w:rPr>
          <w:b w:val="0"/>
          <w:bCs w:val="0"/>
        </w:rPr>
      </w:pPr>
      <w:r>
        <w:rPr>
          <w:rFonts w:ascii="Times New Roman" w:hAnsi="Times New Roman" w:cs="Times New Roman" w:eastAsia="Times New Roman" w:hint="default"/>
        </w:rPr>
        <w:t>1</w:t>
      </w:r>
      <w:r>
        <w:rPr/>
        <w:t>、行业发展阶段</w:t>
      </w:r>
      <w:r>
        <w:rPr>
          <w:b w:val="0"/>
          <w:bCs w:val="0"/>
        </w:rPr>
      </w:r>
    </w:p>
    <w:p>
      <w:pPr>
        <w:pStyle w:val="BodyText"/>
        <w:spacing w:line="350" w:lineRule="auto" w:before="127"/>
        <w:ind w:left="154" w:right="994" w:firstLine="480"/>
        <w:jc w:val="left"/>
      </w:pPr>
      <w:r>
        <w:rPr/>
        <w:t>（</w:t>
      </w:r>
      <w:r>
        <w:rPr>
          <w:rFonts w:ascii="宋体" w:hAnsi="宋体" w:cs="宋体" w:eastAsia="宋体" w:hint="default"/>
        </w:rPr>
        <w:t>1</w:t>
      </w:r>
      <w:r>
        <w:rPr/>
        <w:t>）铁路方面：自</w:t>
      </w:r>
      <w:r>
        <w:rPr>
          <w:spacing w:val="-60"/>
        </w:rPr>
        <w:t> </w:t>
      </w:r>
      <w:r>
        <w:rPr>
          <w:rFonts w:ascii="宋体" w:hAnsi="宋体" w:cs="宋体" w:eastAsia="宋体" w:hint="default"/>
        </w:rPr>
        <w:t>1997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日，中国铁路实施第一次大面积提速以来，铁路部门 已先后进行了六次大提速，随着列车速度的不断提高，铁路系统对现代化信息设备的需求量 和依赖程度都在不断增加。同时，随着计算机和电子技术的发展进步，铁路信号领域的相关 </w:t>
      </w:r>
      <w:r>
        <w:rPr>
          <w:spacing w:val="-2"/>
        </w:rPr>
        <w:t>产品也经历了从功能单一到功能多样化，从一般附属设备到必备的行车安全设备的转变过程。</w:t>
      </w:r>
      <w:r>
        <w:rPr/>
        <w:t> 随着国家铁路建设稳步发展，公司所处的铁路通信信号行业也将进入稳定发展期。</w:t>
      </w:r>
    </w:p>
    <w:p>
      <w:pPr>
        <w:pStyle w:val="BodyText"/>
        <w:spacing w:line="240" w:lineRule="auto"/>
        <w:ind w:left="633" w:right="1153"/>
        <w:jc w:val="left"/>
      </w:pPr>
      <w:r>
        <w:rPr/>
        <w:t>（</w:t>
      </w:r>
      <w:r>
        <w:rPr>
          <w:rFonts w:ascii="宋体" w:hAnsi="宋体" w:cs="宋体" w:eastAsia="宋体" w:hint="default"/>
        </w:rPr>
        <w:t>2</w:t>
      </w:r>
      <w:r>
        <w:rPr/>
        <w:t>）轨道交通方面：我国城市轨道交通主要经历了三个发展阶段：</w:t>
      </w:r>
    </w:p>
    <w:p>
      <w:pPr>
        <w:pStyle w:val="BodyText"/>
        <w:spacing w:line="350" w:lineRule="auto" w:before="146"/>
        <w:ind w:right="1118" w:firstLine="480"/>
        <w:jc w:val="left"/>
      </w:pPr>
      <w:r>
        <w:rPr/>
        <w:t>起步阶段（</w:t>
      </w:r>
      <w:r>
        <w:rPr>
          <w:rFonts w:ascii="宋体" w:hAnsi="宋体" w:cs="宋体" w:eastAsia="宋体" w:hint="default"/>
        </w:rPr>
        <w:t>1965</w:t>
      </w:r>
      <w:r>
        <w:rPr>
          <w:rFonts w:ascii="宋体" w:hAnsi="宋体" w:cs="宋体" w:eastAsia="宋体" w:hint="default"/>
          <w:spacing w:val="-61"/>
        </w:rPr>
        <w:t> </w:t>
      </w:r>
      <w:r>
        <w:rPr/>
        <w:t>年至</w:t>
      </w:r>
      <w:r>
        <w:rPr>
          <w:spacing w:val="-61"/>
        </w:rPr>
        <w:t> </w:t>
      </w:r>
      <w:r>
        <w:rPr>
          <w:rFonts w:ascii="宋体" w:hAnsi="宋体" w:cs="宋体" w:eastAsia="宋体" w:hint="default"/>
        </w:rPr>
        <w:t>1997</w:t>
      </w:r>
      <w:r>
        <w:rPr>
          <w:rFonts w:ascii="宋体" w:hAnsi="宋体" w:cs="宋体" w:eastAsia="宋体" w:hint="default"/>
          <w:spacing w:val="-61"/>
        </w:rPr>
        <w:t> </w:t>
      </w:r>
      <w:r>
        <w:rPr/>
        <w:t>年）：城市化率处于较低水平，国家经济实力有限，地铁建 设基本限于核心城市北京和上海，除此之外仅天津建成地铁</w:t>
      </w:r>
      <w:r>
        <w:rPr>
          <w:spacing w:val="-65"/>
        </w:rPr>
        <w:t> </w:t>
      </w:r>
      <w:r>
        <w:rPr>
          <w:rFonts w:ascii="宋体" w:hAnsi="宋体" w:cs="宋体" w:eastAsia="宋体" w:hint="default"/>
        </w:rPr>
        <w:t>1</w:t>
      </w:r>
      <w:r>
        <w:rPr>
          <w:rFonts w:ascii="宋体" w:hAnsi="宋体" w:cs="宋体" w:eastAsia="宋体" w:hint="default"/>
          <w:spacing w:val="-65"/>
        </w:rPr>
        <w:t> </w:t>
      </w:r>
      <w:r>
        <w:rPr/>
        <w:t>号线。</w:t>
      </w:r>
      <w:r>
        <w:rPr>
          <w:rFonts w:ascii="宋体" w:hAnsi="宋体" w:cs="宋体" w:eastAsia="宋体" w:hint="default"/>
        </w:rPr>
        <w:t>1965</w:t>
      </w:r>
      <w:r>
        <w:rPr>
          <w:rFonts w:ascii="宋体" w:hAnsi="宋体" w:cs="宋体" w:eastAsia="宋体" w:hint="default"/>
          <w:spacing w:val="-65"/>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月，北京地铁</w:t>
      </w:r>
    </w:p>
    <w:p>
      <w:pPr>
        <w:pStyle w:val="BodyText"/>
        <w:spacing w:line="240" w:lineRule="auto"/>
        <w:ind w:right="0"/>
        <w:jc w:val="left"/>
      </w:pPr>
      <w:r>
        <w:rPr>
          <w:rFonts w:ascii="宋体" w:hAnsi="宋体" w:cs="宋体" w:eastAsia="宋体" w:hint="default"/>
        </w:rPr>
        <w:t>1</w:t>
      </w:r>
      <w:r>
        <w:rPr>
          <w:rFonts w:ascii="宋体" w:hAnsi="宋体" w:cs="宋体" w:eastAsia="宋体" w:hint="default"/>
          <w:spacing w:val="-67"/>
        </w:rPr>
        <w:t> </w:t>
      </w:r>
      <w:r>
        <w:rPr/>
        <w:t>号线一期工程开工标志着我国地铁交通发展的起步，</w:t>
      </w:r>
      <w:r>
        <w:rPr>
          <w:rFonts w:ascii="宋体" w:hAnsi="宋体" w:cs="宋体" w:eastAsia="宋体" w:hint="default"/>
        </w:rPr>
        <w:t>1969</w:t>
      </w:r>
      <w:r>
        <w:rPr>
          <w:rFonts w:ascii="宋体" w:hAnsi="宋体" w:cs="宋体" w:eastAsia="宋体" w:hint="default"/>
          <w:spacing w:val="-67"/>
        </w:rPr>
        <w:t> </w:t>
      </w:r>
      <w:r>
        <w:rPr/>
        <w:t>年</w:t>
      </w:r>
      <w:r>
        <w:rPr>
          <w:spacing w:val="-67"/>
        </w:rPr>
        <w:t> </w:t>
      </w:r>
      <w:r>
        <w:rPr>
          <w:rFonts w:ascii="宋体" w:hAnsi="宋体" w:cs="宋体" w:eastAsia="宋体" w:hint="default"/>
        </w:rPr>
        <w:t>10</w:t>
      </w:r>
      <w:r>
        <w:rPr>
          <w:rFonts w:ascii="宋体" w:hAnsi="宋体" w:cs="宋体" w:eastAsia="宋体" w:hint="default"/>
          <w:spacing w:val="-67"/>
        </w:rPr>
        <w:t> </w:t>
      </w:r>
      <w:r>
        <w:rPr>
          <w:spacing w:val="-7"/>
        </w:rPr>
        <w:t>月，北京地铁</w:t>
      </w:r>
      <w:r>
        <w:rPr>
          <w:spacing w:val="-67"/>
        </w:rPr>
        <w:t> </w:t>
      </w:r>
      <w:r>
        <w:rPr>
          <w:rFonts w:ascii="宋体" w:hAnsi="宋体" w:cs="宋体" w:eastAsia="宋体" w:hint="default"/>
        </w:rPr>
        <w:t>1</w:t>
      </w:r>
      <w:r>
        <w:rPr>
          <w:rFonts w:ascii="宋体" w:hAnsi="宋体" w:cs="宋体" w:eastAsia="宋体" w:hint="default"/>
          <w:spacing w:val="-67"/>
        </w:rPr>
        <w:t> </w:t>
      </w:r>
      <w:r>
        <w:rPr/>
        <w:t>号线一期建</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3" w:right="997" w:hanging="480"/>
        <w:jc w:val="left"/>
      </w:pPr>
      <w:r>
        <w:rPr>
          <w:spacing w:val="-6"/>
        </w:rPr>
        <w:t>成完工，成为我国第一条投入运营的地铁线路。截至</w:t>
      </w:r>
      <w:r>
        <w:rPr>
          <w:spacing w:val="-59"/>
        </w:rPr>
        <w:t> </w:t>
      </w:r>
      <w:r>
        <w:rPr>
          <w:rFonts w:ascii="宋体" w:hAnsi="宋体" w:cs="宋体" w:eastAsia="宋体" w:hint="default"/>
        </w:rPr>
        <w:t>1997</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spacing w:val="-7"/>
        </w:rPr>
        <w:t>月，全国共建成运营线路</w:t>
      </w:r>
      <w:r>
        <w:rPr>
          <w:spacing w:val="-59"/>
        </w:rPr>
        <w:t> </w:t>
      </w:r>
      <w:r>
        <w:rPr>
          <w:rFonts w:ascii="宋体" w:hAnsi="宋体" w:cs="宋体" w:eastAsia="宋体" w:hint="default"/>
        </w:rPr>
        <w:t>4</w:t>
      </w:r>
      <w:r>
        <w:rPr>
          <w:rFonts w:ascii="宋体" w:hAnsi="宋体" w:cs="宋体" w:eastAsia="宋体" w:hint="default"/>
          <w:spacing w:val="-59"/>
        </w:rPr>
        <w:t> </w:t>
      </w:r>
      <w:r>
        <w:rPr/>
        <w:t>条。 发展阶段（</w:t>
      </w:r>
      <w:r>
        <w:rPr>
          <w:rFonts w:ascii="宋体" w:hAnsi="宋体" w:cs="宋体" w:eastAsia="宋体" w:hint="default"/>
        </w:rPr>
        <w:t>1997</w:t>
      </w:r>
      <w:r>
        <w:rPr>
          <w:rFonts w:ascii="宋体" w:hAnsi="宋体" w:cs="宋体" w:eastAsia="宋体" w:hint="default"/>
          <w:spacing w:val="-68"/>
        </w:rPr>
        <w:t> </w:t>
      </w:r>
      <w:r>
        <w:rPr/>
        <w:t>年至</w:t>
      </w:r>
      <w:r>
        <w:rPr>
          <w:spacing w:val="-68"/>
        </w:rPr>
        <w:t> </w:t>
      </w:r>
      <w:r>
        <w:rPr>
          <w:rFonts w:ascii="宋体" w:hAnsi="宋体" w:cs="宋体" w:eastAsia="宋体" w:hint="default"/>
        </w:rPr>
        <w:t>2004</w:t>
      </w:r>
      <w:r>
        <w:rPr>
          <w:rFonts w:ascii="宋体" w:hAnsi="宋体" w:cs="宋体" w:eastAsia="宋体" w:hint="default"/>
          <w:spacing w:val="-68"/>
        </w:rPr>
        <w:t> </w:t>
      </w:r>
      <w:r>
        <w:rPr/>
        <w:t>年）：城市化进程加快，主要城市规模增长、经济实力增强；</w:t>
      </w:r>
    </w:p>
    <w:p>
      <w:pPr>
        <w:pStyle w:val="BodyText"/>
        <w:spacing w:line="352" w:lineRule="auto"/>
        <w:ind w:right="1131"/>
        <w:jc w:val="both"/>
      </w:pPr>
      <w:r>
        <w:rPr/>
        <w:t>城市地面交通问题逐步显现、环境污染日益严重。地铁作为缓解城市交通压力、降低运输能 耗、减少环境污染的国际通行手段，已具备内在需求和外部经济实力保障，发展步伐开始加 </w:t>
      </w:r>
      <w:r>
        <w:rPr>
          <w:spacing w:val="-6"/>
        </w:rPr>
        <w:t>快。截至</w:t>
      </w:r>
      <w:r>
        <w:rPr>
          <w:spacing w:val="-60"/>
        </w:rPr>
        <w:t> </w:t>
      </w:r>
      <w:r>
        <w:rPr>
          <w:rFonts w:ascii="宋体" w:hAnsi="宋体" w:cs="宋体" w:eastAsia="宋体" w:hint="default"/>
        </w:rPr>
        <w:t>2004</w:t>
      </w:r>
      <w:r>
        <w:rPr>
          <w:rFonts w:ascii="宋体" w:hAnsi="宋体" w:cs="宋体" w:eastAsia="宋体" w:hint="default"/>
          <w:spacing w:val="-60"/>
        </w:rPr>
        <w:t> </w:t>
      </w:r>
      <w:r>
        <w:rPr/>
        <w:t>年底，拥有地铁的城市增加到</w:t>
      </w:r>
      <w:r>
        <w:rPr>
          <w:spacing w:val="-60"/>
        </w:rPr>
        <w:t> </w:t>
      </w:r>
      <w:r>
        <w:rPr>
          <w:rFonts w:ascii="宋体" w:hAnsi="宋体" w:cs="宋体" w:eastAsia="宋体" w:hint="default"/>
        </w:rPr>
        <w:t>7</w:t>
      </w:r>
      <w:r>
        <w:rPr>
          <w:rFonts w:ascii="宋体" w:hAnsi="宋体" w:cs="宋体" w:eastAsia="宋体" w:hint="default"/>
          <w:spacing w:val="-60"/>
        </w:rPr>
        <w:t> </w:t>
      </w:r>
      <w:r>
        <w:rPr>
          <w:spacing w:val="-3"/>
        </w:rPr>
        <w:t>个，北京、上海在这一时期继续进行新线和老</w:t>
      </w:r>
      <w:r>
        <w:rPr/>
        <w:t> 线延伸建设工作。</w:t>
      </w:r>
    </w:p>
    <w:p>
      <w:pPr>
        <w:pStyle w:val="BodyText"/>
        <w:spacing w:line="350" w:lineRule="auto" w:before="32"/>
        <w:ind w:right="1133" w:firstLine="480"/>
        <w:jc w:val="both"/>
      </w:pPr>
      <w:r>
        <w:rPr/>
        <w:t>提速阶段（</w:t>
      </w:r>
      <w:r>
        <w:rPr>
          <w:rFonts w:ascii="宋体" w:hAnsi="宋体" w:cs="宋体" w:eastAsia="宋体" w:hint="default"/>
        </w:rPr>
        <w:t>2005</w:t>
      </w:r>
      <w:r>
        <w:rPr>
          <w:rFonts w:ascii="宋体" w:hAnsi="宋体" w:cs="宋体" w:eastAsia="宋体" w:hint="default"/>
          <w:spacing w:val="-82"/>
        </w:rPr>
        <w:t> </w:t>
      </w:r>
      <w:r>
        <w:rPr/>
        <w:t>年至今）：城市化率显著提高，经济实力进一步提升，地铁成为经济发 展较快的大城市公共交通建设的重要内容，地铁运营网络初具规模，运量和网络密度仍远低 于世界主要大城市。我国地铁运营里程正处于快速增长期，按照发达国家的建设经验，这一 阶段将伴随整个城市化进程持续存在。</w:t>
      </w:r>
    </w:p>
    <w:p>
      <w:pPr>
        <w:spacing w:line="333" w:lineRule="auto" w:before="35"/>
        <w:ind w:left="633" w:right="115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、行业周期性特点</w:t>
      </w:r>
      <w:r>
        <w:rPr>
          <w:rFonts w:ascii="宋体" w:hAnsi="宋体" w:cs="宋体" w:eastAsia="宋体" w:hint="default"/>
          <w:b/>
          <w:bCs/>
          <w:w w:val="99"/>
          <w:sz w:val="24"/>
          <w:szCs w:val="24"/>
        </w:rPr>
        <w:t> </w:t>
      </w:r>
      <w:r>
        <w:rPr>
          <w:rFonts w:ascii="宋体" w:hAnsi="宋体" w:cs="宋体" w:eastAsia="宋体" w:hint="default"/>
          <w:sz w:val="24"/>
          <w:szCs w:val="24"/>
        </w:rPr>
        <w:t>公司所处的铁路通信信号行业具有较明显的季节性特征。原铁道部一般在每年一季度制</w:t>
      </w:r>
    </w:p>
    <w:p>
      <w:pPr>
        <w:pStyle w:val="BodyText"/>
        <w:spacing w:line="352" w:lineRule="auto" w:before="52"/>
        <w:ind w:right="0"/>
        <w:jc w:val="left"/>
      </w:pPr>
      <w:r>
        <w:rPr/>
        <w:t>定当年的投资计划，随后陆续安排投资资金并实施投资计划。因此，行业企业主要在一、二 </w:t>
      </w:r>
      <w:r>
        <w:rPr>
          <w:spacing w:val="-3"/>
        </w:rPr>
        <w:t>季度通过招标签订供货合同，三、四季度进入设计、安装和调试阶段，年底前交付业主使用，</w:t>
      </w:r>
      <w:r>
        <w:rPr>
          <w:spacing w:val="-81"/>
        </w:rPr>
        <w:t> </w:t>
      </w:r>
      <w:r>
        <w:rPr>
          <w:spacing w:val="-81"/>
        </w:rPr>
      </w:r>
      <w:r>
        <w:rPr/>
        <w:t>取得销售收入。因此，报告期内销售收入及货款回收一般在每年年末直到下一年春节之前进 行。铁道部撤消后，中国铁路总公司将承接原铁道部企业职责，原铁道部下属基础架构（如 路段、车站）将保持存续状态，国家铁路经营方式并不会发生根本性变化。所以，原有的行 业季节性特征短期内不会改变。</w:t>
      </w:r>
    </w:p>
    <w:p>
      <w:pPr>
        <w:pStyle w:val="Heading2"/>
        <w:spacing w:line="240" w:lineRule="auto" w:before="32"/>
        <w:ind w:right="1153"/>
        <w:jc w:val="left"/>
        <w:rPr>
          <w:b w:val="0"/>
          <w:bCs w:val="0"/>
        </w:rPr>
      </w:pPr>
      <w:r>
        <w:rPr>
          <w:rFonts w:ascii="Times New Roman" w:hAnsi="Times New Roman" w:cs="Times New Roman" w:eastAsia="Times New Roman" w:hint="default"/>
        </w:rPr>
        <w:t>3</w:t>
      </w:r>
      <w:r>
        <w:rPr/>
        <w:t>、公司所处的行业地位</w:t>
      </w:r>
      <w:r>
        <w:rPr>
          <w:b w:val="0"/>
          <w:bCs w:val="0"/>
        </w:rPr>
      </w:r>
    </w:p>
    <w:p>
      <w:pPr>
        <w:pStyle w:val="BodyText"/>
        <w:spacing w:line="352" w:lineRule="auto" w:before="127"/>
        <w:ind w:left="154" w:right="1132" w:firstLine="480"/>
        <w:jc w:val="both"/>
      </w:pPr>
      <w:r>
        <w:rPr>
          <w:spacing w:val="-3"/>
        </w:rPr>
        <w:t>（</w:t>
      </w:r>
      <w:r>
        <w:rPr>
          <w:rFonts w:ascii="宋体" w:hAnsi="宋体" w:cs="宋体" w:eastAsia="宋体" w:hint="default"/>
          <w:spacing w:val="-3"/>
        </w:rPr>
        <w:t>1</w:t>
      </w:r>
      <w:r>
        <w:rPr>
          <w:spacing w:val="-3"/>
        </w:rPr>
        <w:t>）铁路行业：公司现有产品主要面向国家铁路交通行业，公司的优势产品如铁路信号</w:t>
      </w:r>
      <w:r>
        <w:rPr/>
        <w:t> 集中监测系统、铁路防灾安全监控系统、轨道交通信号智能电源系统等产品在市场占有、标 准化技术和品牌推广上具有优势地位。</w:t>
      </w:r>
    </w:p>
    <w:p>
      <w:pPr>
        <w:pStyle w:val="BodyText"/>
        <w:spacing w:line="352" w:lineRule="auto" w:before="32"/>
        <w:ind w:right="1169" w:firstLine="480"/>
        <w:jc w:val="both"/>
      </w:pPr>
      <w:r>
        <w:rPr/>
        <w:t>（</w:t>
      </w:r>
      <w:r>
        <w:rPr>
          <w:rFonts w:ascii="宋体" w:hAnsi="宋体" w:cs="宋体" w:eastAsia="宋体" w:hint="default"/>
        </w:rPr>
        <w:t>2</w:t>
      </w:r>
      <w:r>
        <w:rPr/>
        <w:t>）城市轨道交通行业：公司于</w:t>
      </w:r>
      <w:r>
        <w:rPr>
          <w:spacing w:val="-60"/>
        </w:rPr>
        <w:t> </w:t>
      </w:r>
      <w:r>
        <w:rPr>
          <w:rFonts w:ascii="宋体" w:hAnsi="宋体" w:cs="宋体" w:eastAsia="宋体" w:hint="default"/>
        </w:rPr>
        <w:t>2011</w:t>
      </w:r>
      <w:r>
        <w:rPr>
          <w:rFonts w:ascii="宋体" w:hAnsi="宋体" w:cs="宋体" w:eastAsia="宋体" w:hint="default"/>
          <w:spacing w:val="-60"/>
        </w:rPr>
        <w:t> </w:t>
      </w:r>
      <w:r>
        <w:rPr/>
        <w:t>年中标郑州地铁</w:t>
      </w:r>
      <w:r>
        <w:rPr>
          <w:spacing w:val="-60"/>
        </w:rPr>
        <w:t> </w:t>
      </w:r>
      <w:r>
        <w:rPr>
          <w:rFonts w:ascii="宋体" w:hAnsi="宋体" w:cs="宋体" w:eastAsia="宋体" w:hint="default"/>
        </w:rPr>
        <w:t>1</w:t>
      </w:r>
      <w:r>
        <w:rPr>
          <w:rFonts w:ascii="宋体" w:hAnsi="宋体" w:cs="宋体" w:eastAsia="宋体" w:hint="default"/>
          <w:spacing w:val="-60"/>
        </w:rPr>
        <w:t> </w:t>
      </w:r>
      <w:r>
        <w:rPr/>
        <w:t>号线正式进入该领域，目前在 河南区域内具有一定的优势。公司将立足于本地市场积极向全国城市轨道交通市场拓展。</w:t>
      </w:r>
    </w:p>
    <w:p>
      <w:pPr>
        <w:pStyle w:val="Heading2"/>
        <w:spacing w:line="240" w:lineRule="auto" w:before="32"/>
        <w:ind w:right="1153"/>
        <w:jc w:val="left"/>
        <w:rPr>
          <w:b w:val="0"/>
          <w:bCs w:val="0"/>
        </w:rPr>
      </w:pPr>
      <w:r>
        <w:rPr/>
        <w:t>二、主要资产重大变化情况</w:t>
      </w:r>
      <w:r>
        <w:rPr>
          <w:b w:val="0"/>
          <w:bCs w:val="0"/>
        </w:rPr>
      </w:r>
    </w:p>
    <w:p>
      <w:pPr>
        <w:pStyle w:val="Heading2"/>
        <w:spacing w:line="240" w:lineRule="auto" w:before="145"/>
        <w:ind w:right="115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
        <w:rPr>
          <w:rFonts w:ascii="宋体" w:hAnsi="宋体" w:cs="宋体" w:eastAsia="宋体" w:hint="default"/>
          <w:b/>
          <w:bCs/>
          <w:sz w:val="3"/>
          <w:szCs w:val="3"/>
        </w:rPr>
      </w:pPr>
    </w:p>
    <w:tbl>
      <w:tblPr>
        <w:tblW w:w="0" w:type="auto"/>
        <w:jc w:val="left"/>
        <w:tblInd w:w="160" w:type="dxa"/>
        <w:tblLayout w:type="fixed"/>
        <w:tblCellMar>
          <w:top w:w="0" w:type="dxa"/>
          <w:left w:w="0" w:type="dxa"/>
          <w:bottom w:w="0" w:type="dxa"/>
          <w:right w:w="0" w:type="dxa"/>
        </w:tblCellMar>
        <w:tblLook w:val="01E0"/>
      </w:tblPr>
      <w:tblGrid>
        <w:gridCol w:w="974"/>
        <w:gridCol w:w="8797"/>
      </w:tblGrid>
      <w:tr>
        <w:trPr>
          <w:trHeight w:val="186" w:hRule="exact"/>
        </w:trPr>
        <w:tc>
          <w:tcPr>
            <w:tcW w:w="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87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60"/>
              <w:jc w:val="right"/>
              <w:rPr>
                <w:rFonts w:ascii="宋体" w:hAnsi="宋体" w:cs="宋体" w:eastAsia="宋体" w:hint="default"/>
                <w:sz w:val="21"/>
                <w:szCs w:val="21"/>
              </w:rPr>
            </w:pPr>
            <w:r>
              <w:rPr>
                <w:rFonts w:ascii="宋体" w:hAnsi="宋体" w:cs="宋体" w:eastAsia="宋体" w:hint="default"/>
                <w:sz w:val="21"/>
                <w:szCs w:val="21"/>
              </w:rPr>
              <w:t>主要资产</w:t>
            </w:r>
          </w:p>
        </w:tc>
        <w:tc>
          <w:tcPr>
            <w:tcW w:w="8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186" w:hRule="exact"/>
        </w:trPr>
        <w:tc>
          <w:tcPr>
            <w:tcW w:w="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87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60"/>
              <w:jc w:val="right"/>
              <w:rPr>
                <w:rFonts w:ascii="宋体" w:hAnsi="宋体" w:cs="宋体" w:eastAsia="宋体" w:hint="default"/>
                <w:sz w:val="21"/>
                <w:szCs w:val="21"/>
              </w:rPr>
            </w:pPr>
            <w:r>
              <w:rPr>
                <w:rFonts w:ascii="宋体" w:hAnsi="宋体" w:cs="宋体" w:eastAsia="宋体" w:hint="default"/>
                <w:sz w:val="21"/>
                <w:szCs w:val="21"/>
              </w:rPr>
              <w:t>股权资产</w:t>
            </w:r>
          </w:p>
        </w:tc>
        <w:tc>
          <w:tcPr>
            <w:tcW w:w="8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402" w:hRule="exact"/>
        </w:trPr>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60"/>
              <w:jc w:val="right"/>
              <w:rPr>
                <w:rFonts w:ascii="宋体" w:hAnsi="宋体" w:cs="宋体" w:eastAsia="宋体" w:hint="default"/>
                <w:sz w:val="21"/>
                <w:szCs w:val="21"/>
              </w:rPr>
            </w:pPr>
            <w:r>
              <w:rPr>
                <w:rFonts w:ascii="宋体" w:hAnsi="宋体" w:cs="宋体" w:eastAsia="宋体" w:hint="default"/>
                <w:sz w:val="21"/>
                <w:szCs w:val="21"/>
              </w:rPr>
              <w:t>固定资产</w:t>
            </w:r>
          </w:p>
        </w:tc>
        <w:tc>
          <w:tcPr>
            <w:tcW w:w="8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403" w:hRule="exact"/>
        </w:trPr>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60"/>
              <w:jc w:val="right"/>
              <w:rPr>
                <w:rFonts w:ascii="宋体" w:hAnsi="宋体" w:cs="宋体" w:eastAsia="宋体" w:hint="default"/>
                <w:sz w:val="21"/>
                <w:szCs w:val="21"/>
              </w:rPr>
            </w:pPr>
            <w:r>
              <w:rPr>
                <w:rFonts w:ascii="宋体" w:hAnsi="宋体" w:cs="宋体" w:eastAsia="宋体" w:hint="default"/>
                <w:sz w:val="21"/>
                <w:szCs w:val="21"/>
              </w:rPr>
              <w:t>无形资产</w:t>
            </w:r>
          </w:p>
        </w:tc>
        <w:tc>
          <w:tcPr>
            <w:tcW w:w="8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无重大变化</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89" w:type="dxa"/>
        <w:tblLayout w:type="fixed"/>
        <w:tblCellMar>
          <w:top w:w="0" w:type="dxa"/>
          <w:left w:w="0" w:type="dxa"/>
          <w:bottom w:w="0" w:type="dxa"/>
          <w:right w:w="0" w:type="dxa"/>
        </w:tblCellMar>
        <w:tblLook w:val="01E0"/>
      </w:tblPr>
      <w:tblGrid>
        <w:gridCol w:w="998"/>
        <w:gridCol w:w="8785"/>
      </w:tblGrid>
      <w:tr>
        <w:trPr>
          <w:trHeight w:val="714" w:hRule="exact"/>
        </w:trPr>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785"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23"/>
              <w:jc w:val="left"/>
              <w:rPr>
                <w:rFonts w:ascii="宋体" w:hAnsi="宋体" w:cs="宋体" w:eastAsia="宋体" w:hint="default"/>
                <w:sz w:val="21"/>
                <w:szCs w:val="21"/>
              </w:rPr>
            </w:pPr>
            <w:r>
              <w:rPr>
                <w:rFonts w:ascii="宋体" w:hAnsi="宋体" w:cs="宋体" w:eastAsia="宋体" w:hint="default"/>
                <w:sz w:val="21"/>
                <w:szCs w:val="21"/>
              </w:rPr>
              <w:t>在建工程期末余额比期初增长了</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92.91%</w:t>
            </w:r>
            <w:r>
              <w:rPr>
                <w:rFonts w:ascii="宋体" w:hAnsi="宋体" w:cs="宋体" w:eastAsia="宋体" w:hint="default"/>
                <w:spacing w:val="-5"/>
                <w:sz w:val="21"/>
                <w:szCs w:val="21"/>
              </w:rPr>
              <w:t>，主要是由于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年非公开发行募投项目投入及新厂区 建设投资增加所致。</w:t>
            </w:r>
          </w:p>
        </w:tc>
      </w:tr>
    </w:tbl>
    <w:p>
      <w:pPr>
        <w:spacing w:line="240" w:lineRule="auto" w:before="10"/>
        <w:rPr>
          <w:rFonts w:ascii="宋体" w:hAnsi="宋体" w:cs="宋体" w:eastAsia="宋体" w:hint="default"/>
          <w:b/>
          <w:bCs/>
          <w:sz w:val="4"/>
          <w:szCs w:val="4"/>
        </w:rPr>
      </w:pPr>
    </w:p>
    <w:p>
      <w:pPr>
        <w:pStyle w:val="Heading2"/>
        <w:spacing w:line="240" w:lineRule="auto"/>
        <w:ind w:left="676"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340" w:lineRule="auto" w:before="129"/>
        <w:ind w:left="676" w:right="8101" w:firstLine="118"/>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三、核心竞争力分析</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、专利情况</w:t>
      </w:r>
      <w:r>
        <w:rPr>
          <w:rFonts w:ascii="宋体" w:hAnsi="宋体" w:cs="宋体" w:eastAsia="宋体" w:hint="default"/>
          <w:sz w:val="24"/>
          <w:szCs w:val="24"/>
        </w:rPr>
      </w:r>
    </w:p>
    <w:p>
      <w:pPr>
        <w:pStyle w:val="BodyText"/>
        <w:spacing w:line="240" w:lineRule="auto" w:before="17"/>
        <w:ind w:left="673" w:right="0"/>
        <w:jc w:val="left"/>
      </w:pPr>
      <w:r>
        <w:rPr/>
        <w:t>报告期内，公司共有</w:t>
      </w:r>
      <w:r>
        <w:rPr>
          <w:spacing w:val="-60"/>
        </w:rPr>
        <w:t> </w:t>
      </w:r>
      <w:r>
        <w:rPr>
          <w:rFonts w:ascii="宋体" w:hAnsi="宋体" w:cs="宋体" w:eastAsia="宋体" w:hint="default"/>
        </w:rPr>
        <w:t>19</w:t>
      </w:r>
      <w:r>
        <w:rPr>
          <w:rFonts w:ascii="宋体" w:hAnsi="宋体" w:cs="宋体" w:eastAsia="宋体" w:hint="default"/>
          <w:spacing w:val="-60"/>
        </w:rPr>
        <w:t> </w:t>
      </w:r>
      <w:r>
        <w:rPr/>
        <w:t>项专利获得授权，其中发明专利</w:t>
      </w:r>
      <w:r>
        <w:rPr>
          <w:spacing w:val="-60"/>
        </w:rPr>
        <w:t> </w:t>
      </w:r>
      <w:r>
        <w:rPr>
          <w:rFonts w:ascii="宋体" w:hAnsi="宋体" w:cs="宋体" w:eastAsia="宋体" w:hint="default"/>
        </w:rPr>
        <w:t>9</w:t>
      </w:r>
      <w:r>
        <w:rPr>
          <w:rFonts w:ascii="宋体" w:hAnsi="宋体" w:cs="宋体" w:eastAsia="宋体" w:hint="default"/>
          <w:spacing w:val="-60"/>
        </w:rPr>
        <w:t> </w:t>
      </w:r>
      <w:r>
        <w:rPr/>
        <w:t>项；</w:t>
      </w:r>
      <w:r>
        <w:rPr>
          <w:rFonts w:ascii="宋体" w:hAnsi="宋体" w:cs="宋体" w:eastAsia="宋体" w:hint="default"/>
        </w:rPr>
        <w:t>20</w:t>
      </w:r>
      <w:r>
        <w:rPr>
          <w:rFonts w:ascii="宋体" w:hAnsi="宋体" w:cs="宋体" w:eastAsia="宋体" w:hint="default"/>
          <w:spacing w:val="-60"/>
        </w:rPr>
        <w:t> </w:t>
      </w:r>
      <w:r>
        <w:rPr/>
        <w:t>项专利获得受理，其</w:t>
      </w:r>
    </w:p>
    <w:p>
      <w:pPr>
        <w:pStyle w:val="BodyText"/>
        <w:spacing w:line="240" w:lineRule="auto" w:before="145"/>
        <w:ind w:left="193" w:right="0"/>
        <w:jc w:val="left"/>
      </w:pPr>
      <w:r>
        <w:rPr/>
        <w:t>中发明专利</w:t>
      </w:r>
      <w:r>
        <w:rPr>
          <w:spacing w:val="-57"/>
        </w:rPr>
        <w:t> </w:t>
      </w:r>
      <w:r>
        <w:rPr>
          <w:rFonts w:ascii="宋体" w:hAnsi="宋体" w:cs="宋体" w:eastAsia="宋体" w:hint="default"/>
        </w:rPr>
        <w:t>9</w:t>
      </w:r>
      <w:r>
        <w:rPr>
          <w:rFonts w:ascii="宋体" w:hAnsi="宋体" w:cs="宋体" w:eastAsia="宋体" w:hint="default"/>
          <w:spacing w:val="-57"/>
        </w:rPr>
        <w:t> </w:t>
      </w:r>
      <w:r>
        <w:rPr>
          <w:spacing w:val="-3"/>
        </w:rPr>
        <w:t>项。截止到报告期末，公司共计拥有专利</w:t>
      </w:r>
      <w:r>
        <w:rPr>
          <w:spacing w:val="-57"/>
        </w:rPr>
        <w:t> </w:t>
      </w:r>
      <w:r>
        <w:rPr>
          <w:rFonts w:ascii="宋体" w:hAnsi="宋体" w:cs="宋体" w:eastAsia="宋体" w:hint="default"/>
        </w:rPr>
        <w:t>165</w:t>
      </w:r>
      <w:r>
        <w:rPr>
          <w:rFonts w:ascii="宋体" w:hAnsi="宋体" w:cs="宋体" w:eastAsia="宋体" w:hint="default"/>
          <w:spacing w:val="-57"/>
        </w:rPr>
        <w:t> </w:t>
      </w:r>
      <w:r>
        <w:rPr>
          <w:spacing w:val="-3"/>
        </w:rPr>
        <w:t>项，其中发明专利</w:t>
      </w:r>
      <w:r>
        <w:rPr>
          <w:spacing w:val="-57"/>
        </w:rPr>
        <w:t> </w:t>
      </w:r>
      <w:r>
        <w:rPr>
          <w:rFonts w:ascii="宋体" w:hAnsi="宋体" w:cs="宋体" w:eastAsia="宋体" w:hint="default"/>
        </w:rPr>
        <w:t>29</w:t>
      </w:r>
      <w:r>
        <w:rPr>
          <w:rFonts w:ascii="宋体" w:hAnsi="宋体" w:cs="宋体" w:eastAsia="宋体" w:hint="default"/>
          <w:spacing w:val="-57"/>
        </w:rPr>
        <w:t> </w:t>
      </w:r>
      <w:r>
        <w:rPr>
          <w:spacing w:val="-5"/>
        </w:rPr>
        <w:t>项，实用新</w:t>
      </w:r>
    </w:p>
    <w:p>
      <w:pPr>
        <w:pStyle w:val="BodyText"/>
        <w:spacing w:line="240" w:lineRule="auto" w:before="145"/>
        <w:ind w:left="193" w:right="0"/>
        <w:jc w:val="left"/>
      </w:pPr>
      <w:r>
        <w:rPr/>
        <w:t>型专利</w:t>
      </w:r>
      <w:r>
        <w:rPr>
          <w:spacing w:val="-60"/>
        </w:rPr>
        <w:t> </w:t>
      </w:r>
      <w:r>
        <w:rPr>
          <w:rFonts w:ascii="宋体" w:hAnsi="宋体" w:cs="宋体" w:eastAsia="宋体" w:hint="default"/>
        </w:rPr>
        <w:t>135</w:t>
      </w:r>
      <w:r>
        <w:rPr>
          <w:rFonts w:ascii="宋体" w:hAnsi="宋体" w:cs="宋体" w:eastAsia="宋体" w:hint="default"/>
          <w:spacing w:val="-60"/>
        </w:rPr>
        <w:t> </w:t>
      </w:r>
      <w:r>
        <w:rPr/>
        <w:t>项，外观专利</w:t>
      </w:r>
      <w:r>
        <w:rPr>
          <w:spacing w:val="-60"/>
        </w:rPr>
        <w:t> </w:t>
      </w:r>
      <w:r>
        <w:rPr>
          <w:rFonts w:ascii="宋体" w:hAnsi="宋体" w:cs="宋体" w:eastAsia="宋体" w:hint="default"/>
        </w:rPr>
        <w:t>1</w:t>
      </w:r>
      <w:r>
        <w:rPr>
          <w:rFonts w:ascii="宋体" w:hAnsi="宋体" w:cs="宋体" w:eastAsia="宋体" w:hint="default"/>
          <w:spacing w:val="-60"/>
        </w:rPr>
        <w:t> </w:t>
      </w:r>
      <w:r>
        <w:rPr/>
        <w:t>项。</w:t>
      </w:r>
    </w:p>
    <w:p>
      <w:pPr>
        <w:pStyle w:val="Heading2"/>
        <w:spacing w:line="240" w:lineRule="auto" w:before="187"/>
        <w:ind w:left="3549" w:right="4488"/>
        <w:jc w:val="center"/>
        <w:rPr>
          <w:b w:val="0"/>
          <w:bCs w:val="0"/>
        </w:rPr>
      </w:pPr>
      <w:r>
        <w:rPr>
          <w:rFonts w:ascii="Times New Roman" w:hAnsi="Times New Roman" w:cs="Times New Roman" w:eastAsia="Times New Roman" w:hint="default"/>
        </w:rPr>
        <w:t>2015</w:t>
      </w:r>
      <w:r>
        <w:rPr/>
        <w:t>年专利授权情况一览表</w:t>
      </w:r>
      <w:r>
        <w:rPr>
          <w:b w:val="0"/>
          <w:bCs w:val="0"/>
        </w:rPr>
      </w:r>
    </w:p>
    <w:p>
      <w:pPr>
        <w:spacing w:line="240" w:lineRule="auto" w:before="0"/>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617"/>
        <w:gridCol w:w="2687"/>
        <w:gridCol w:w="992"/>
        <w:gridCol w:w="1134"/>
        <w:gridCol w:w="1844"/>
        <w:gridCol w:w="1277"/>
        <w:gridCol w:w="1260"/>
      </w:tblGrid>
      <w:tr>
        <w:trPr>
          <w:trHeight w:val="528"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b/>
                <w:bCs/>
                <w:sz w:val="21"/>
                <w:szCs w:val="21"/>
              </w:rPr>
              <w:t>申请日期</w:t>
            </w:r>
            <w:r>
              <w:rPr>
                <w:rFonts w:ascii="宋体" w:hAnsi="宋体" w:cs="宋体" w:eastAsia="宋体" w:hint="default"/>
                <w:sz w:val="21"/>
                <w:szCs w:val="21"/>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b/>
                <w:bCs/>
                <w:sz w:val="21"/>
                <w:szCs w:val="21"/>
              </w:rPr>
              <w:t>公告日期</w:t>
            </w:r>
            <w:r>
              <w:rPr>
                <w:rFonts w:ascii="宋体" w:hAnsi="宋体" w:cs="宋体" w:eastAsia="宋体" w:hint="default"/>
                <w:sz w:val="21"/>
                <w:szCs w:val="21"/>
              </w:rPr>
            </w:r>
          </w:p>
        </w:tc>
      </w:tr>
      <w:tr>
        <w:trPr>
          <w:trHeight w:val="930"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34"/>
              <w:ind w:left="50" w:right="101"/>
              <w:jc w:val="left"/>
              <w:rPr>
                <w:rFonts w:ascii="宋体" w:hAnsi="宋体" w:cs="宋体" w:eastAsia="宋体" w:hint="default"/>
                <w:sz w:val="21"/>
                <w:szCs w:val="21"/>
              </w:rPr>
            </w:pPr>
            <w:r>
              <w:rPr>
                <w:rFonts w:ascii="宋体" w:hAnsi="宋体" w:cs="宋体" w:eastAsia="宋体" w:hint="default"/>
                <w:sz w:val="21"/>
                <w:szCs w:val="21"/>
              </w:rPr>
              <w:t>机车无线通信中多工作模式 切换方法及其系统</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201110192699.2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2011.7.11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2015.1.7</w:t>
            </w:r>
          </w:p>
        </w:tc>
      </w:tr>
      <w:tr>
        <w:trPr>
          <w:trHeight w:val="5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50" w:right="0"/>
              <w:jc w:val="left"/>
              <w:rPr>
                <w:rFonts w:ascii="宋体" w:hAnsi="宋体" w:cs="宋体" w:eastAsia="宋体" w:hint="default"/>
                <w:sz w:val="21"/>
                <w:szCs w:val="21"/>
              </w:rPr>
            </w:pPr>
            <w:r>
              <w:rPr>
                <w:rFonts w:ascii="宋体" w:hAnsi="宋体" w:cs="宋体" w:eastAsia="宋体" w:hint="default"/>
                <w:sz w:val="21"/>
                <w:szCs w:val="21"/>
              </w:rPr>
              <w:t>视频数据完整性检测方法</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201210578870.8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sz w:val="21"/>
              </w:rPr>
              <w:t>2012.12.28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2015.2.25</w:t>
            </w:r>
          </w:p>
        </w:tc>
      </w:tr>
      <w:tr>
        <w:trPr>
          <w:trHeight w:val="9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132"/>
              <w:ind w:left="50" w:right="100"/>
              <w:jc w:val="left"/>
              <w:rPr>
                <w:rFonts w:ascii="宋体" w:hAnsi="宋体" w:cs="宋体" w:eastAsia="宋体" w:hint="default"/>
                <w:sz w:val="21"/>
                <w:szCs w:val="21"/>
              </w:rPr>
            </w:pPr>
            <w:r>
              <w:rPr>
                <w:rFonts w:ascii="宋体" w:hAnsi="宋体" w:cs="宋体" w:eastAsia="宋体" w:hint="default"/>
                <w:sz w:val="21"/>
                <w:szCs w:val="21"/>
              </w:rPr>
              <w:t>大型</w:t>
            </w:r>
            <w:r>
              <w:rPr>
                <w:rFonts w:ascii="宋体" w:hAnsi="宋体" w:cs="宋体" w:eastAsia="宋体" w:hint="default"/>
                <w:sz w:val="21"/>
                <w:szCs w:val="21"/>
              </w:rPr>
              <w:t>BS</w:t>
            </w:r>
            <w:r>
              <w:rPr>
                <w:rFonts w:ascii="宋体" w:hAnsi="宋体" w:cs="宋体" w:eastAsia="宋体" w:hint="default"/>
                <w:sz w:val="21"/>
                <w:szCs w:val="21"/>
              </w:rPr>
              <w:t>结构系统中对资源的 控制方法</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201210151182.3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2012.5.16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2015.5.13</w:t>
            </w:r>
          </w:p>
        </w:tc>
      </w:tr>
      <w:tr>
        <w:trPr>
          <w:trHeight w:val="5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5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z w:val="21"/>
                <w:szCs w:val="21"/>
              </w:rPr>
              <w:t>JavaEE</w:t>
            </w:r>
            <w:r>
              <w:rPr>
                <w:rFonts w:ascii="宋体" w:hAnsi="宋体" w:cs="宋体" w:eastAsia="宋体" w:hint="default"/>
                <w:sz w:val="21"/>
                <w:szCs w:val="21"/>
              </w:rPr>
              <w:t>的敏捷开发方法</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201210151211.6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2012.5.16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2015.5.13</w:t>
            </w:r>
          </w:p>
        </w:tc>
      </w:tr>
      <w:tr>
        <w:trPr>
          <w:trHeight w:val="9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32"/>
              <w:ind w:left="50" w:right="101"/>
              <w:jc w:val="left"/>
              <w:rPr>
                <w:rFonts w:ascii="宋体" w:hAnsi="宋体" w:cs="宋体" w:eastAsia="宋体" w:hint="default"/>
                <w:sz w:val="21"/>
                <w:szCs w:val="21"/>
              </w:rPr>
            </w:pPr>
            <w:r>
              <w:rPr>
                <w:rFonts w:ascii="宋体" w:hAnsi="宋体" w:cs="宋体" w:eastAsia="宋体" w:hint="default"/>
                <w:sz w:val="21"/>
                <w:szCs w:val="21"/>
              </w:rPr>
              <w:t>城市轨道交通路网设备综合 监视方法</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201310408530.5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2013.9.10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2015.10.7</w:t>
            </w:r>
          </w:p>
        </w:tc>
      </w:tr>
      <w:tr>
        <w:trPr>
          <w:trHeight w:val="5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50" w:right="0"/>
              <w:jc w:val="left"/>
              <w:rPr>
                <w:rFonts w:ascii="宋体" w:hAnsi="宋体" w:cs="宋体" w:eastAsia="宋体" w:hint="default"/>
                <w:sz w:val="21"/>
                <w:szCs w:val="21"/>
              </w:rPr>
            </w:pPr>
            <w:r>
              <w:rPr>
                <w:rFonts w:ascii="宋体" w:hAnsi="宋体" w:cs="宋体" w:eastAsia="宋体" w:hint="default"/>
                <w:sz w:val="21"/>
                <w:szCs w:val="21"/>
              </w:rPr>
              <w:t>机车实时定位装置</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201420862849.5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sz w:val="21"/>
              </w:rPr>
              <w:t>2014.12.31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sz w:val="21"/>
              </w:rPr>
              <w:t>2015.06.17</w:t>
            </w:r>
          </w:p>
        </w:tc>
      </w:tr>
      <w:tr>
        <w:trPr>
          <w:trHeight w:val="528"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50" w:right="0"/>
              <w:jc w:val="left"/>
              <w:rPr>
                <w:rFonts w:ascii="宋体" w:hAnsi="宋体" w:cs="宋体" w:eastAsia="宋体" w:hint="default"/>
                <w:sz w:val="21"/>
                <w:szCs w:val="21"/>
              </w:rPr>
            </w:pPr>
            <w:r>
              <w:rPr>
                <w:rFonts w:ascii="宋体" w:hAnsi="宋体" w:cs="宋体" w:eastAsia="宋体" w:hint="default"/>
                <w:sz w:val="21"/>
                <w:szCs w:val="21"/>
              </w:rPr>
              <w:t>便携应答器测试仪</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201420864914.8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sz w:val="21"/>
              </w:rPr>
              <w:t>2014.12.31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sz w:val="21"/>
              </w:rPr>
              <w:t>2015.05.13</w:t>
            </w:r>
          </w:p>
        </w:tc>
      </w:tr>
      <w:tr>
        <w:trPr>
          <w:trHeight w:val="930"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132"/>
              <w:ind w:left="50" w:right="101"/>
              <w:jc w:val="left"/>
              <w:rPr>
                <w:rFonts w:ascii="宋体" w:hAnsi="宋体" w:cs="宋体" w:eastAsia="宋体" w:hint="default"/>
                <w:sz w:val="21"/>
                <w:szCs w:val="21"/>
              </w:rPr>
            </w:pPr>
            <w:r>
              <w:rPr>
                <w:rFonts w:ascii="宋体" w:hAnsi="宋体" w:cs="宋体" w:eastAsia="宋体" w:hint="default"/>
                <w:sz w:val="21"/>
                <w:szCs w:val="21"/>
              </w:rPr>
              <w:t>基于北斗卫星导航的无线调 车监控系统</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201420863208.1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2014.12.31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2015.8.12</w:t>
            </w:r>
          </w:p>
        </w:tc>
      </w:tr>
      <w:tr>
        <w:trPr>
          <w:trHeight w:val="9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sz w:val="21"/>
              </w:rPr>
              <w:t>9</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32"/>
              <w:ind w:left="50" w:right="101"/>
              <w:jc w:val="left"/>
              <w:rPr>
                <w:rFonts w:ascii="宋体" w:hAnsi="宋体" w:cs="宋体" w:eastAsia="宋体" w:hint="default"/>
                <w:sz w:val="21"/>
                <w:szCs w:val="21"/>
              </w:rPr>
            </w:pPr>
            <w:r>
              <w:rPr>
                <w:rFonts w:ascii="宋体" w:hAnsi="宋体" w:cs="宋体" w:eastAsia="宋体" w:hint="default"/>
                <w:sz w:val="21"/>
                <w:szCs w:val="21"/>
              </w:rPr>
              <w:t>一种电动液压转辙机用同步 传动机构</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201110363437.8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2011.11.16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2015.3.18</w:t>
            </w:r>
          </w:p>
        </w:tc>
      </w:tr>
      <w:tr>
        <w:trPr>
          <w:trHeight w:val="9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10</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32"/>
              <w:ind w:left="50" w:right="101"/>
              <w:jc w:val="left"/>
              <w:rPr>
                <w:rFonts w:ascii="宋体" w:hAnsi="宋体" w:cs="宋体" w:eastAsia="宋体" w:hint="default"/>
                <w:sz w:val="21"/>
                <w:szCs w:val="21"/>
              </w:rPr>
            </w:pPr>
            <w:r>
              <w:rPr>
                <w:rFonts w:ascii="宋体" w:hAnsi="宋体" w:cs="宋体" w:eastAsia="宋体" w:hint="default"/>
                <w:sz w:val="21"/>
                <w:szCs w:val="21"/>
              </w:rPr>
              <w:t>一种双路实时信号电源检测 装置的控制方法</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201310322543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2013.07.29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2015.05.20</w:t>
            </w:r>
          </w:p>
        </w:tc>
      </w:tr>
      <w:tr>
        <w:trPr>
          <w:trHeight w:val="930"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11</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32"/>
              <w:ind w:left="50" w:right="101"/>
              <w:jc w:val="left"/>
              <w:rPr>
                <w:rFonts w:ascii="宋体" w:hAnsi="宋体" w:cs="宋体" w:eastAsia="宋体" w:hint="default"/>
                <w:sz w:val="21"/>
                <w:szCs w:val="21"/>
              </w:rPr>
            </w:pPr>
            <w:r>
              <w:rPr>
                <w:rFonts w:ascii="宋体" w:hAnsi="宋体" w:cs="宋体" w:eastAsia="宋体" w:hint="default"/>
                <w:sz w:val="21"/>
                <w:szCs w:val="21"/>
              </w:rPr>
              <w:t>一种基于双总线供电的铁路 信号设备电源</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合作研发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201520162377.7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2015.3.20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2015.09.02</w:t>
            </w:r>
          </w:p>
        </w:tc>
      </w:tr>
    </w:tbl>
    <w:p>
      <w:pPr>
        <w:spacing w:after="0" w:line="240" w:lineRule="auto"/>
        <w:jc w:val="center"/>
        <w:rPr>
          <w:rFonts w:ascii="宋体" w:hAnsi="宋体" w:cs="宋体" w:eastAsia="宋体" w:hint="default"/>
          <w:sz w:val="21"/>
          <w:szCs w:val="21"/>
        </w:rPr>
        <w:sectPr>
          <w:pgSz w:w="11910" w:h="16840"/>
          <w:pgMar w:header="747" w:footer="979" w:top="1060" w:bottom="1160" w:left="940" w:right="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617"/>
        <w:gridCol w:w="2687"/>
        <w:gridCol w:w="992"/>
        <w:gridCol w:w="1134"/>
        <w:gridCol w:w="1844"/>
        <w:gridCol w:w="1277"/>
        <w:gridCol w:w="1260"/>
      </w:tblGrid>
      <w:tr>
        <w:trPr>
          <w:trHeight w:val="5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12</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50" w:right="0"/>
              <w:jc w:val="left"/>
              <w:rPr>
                <w:rFonts w:ascii="宋体" w:hAnsi="宋体" w:cs="宋体" w:eastAsia="宋体" w:hint="default"/>
                <w:sz w:val="21"/>
                <w:szCs w:val="21"/>
              </w:rPr>
            </w:pPr>
            <w:r>
              <w:rPr>
                <w:rFonts w:ascii="宋体" w:hAnsi="宋体" w:cs="宋体" w:eastAsia="宋体" w:hint="default"/>
                <w:sz w:val="21"/>
                <w:szCs w:val="21"/>
              </w:rPr>
              <w:t>电动液压转辙机</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受让获得</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ZL201110363005.7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sz w:val="21"/>
              </w:rPr>
              <w:t>2011.11.17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2015.6.24</w:t>
            </w:r>
          </w:p>
        </w:tc>
      </w:tr>
      <w:tr>
        <w:trPr>
          <w:trHeight w:val="9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13</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32"/>
              <w:ind w:left="50" w:right="101"/>
              <w:jc w:val="left"/>
              <w:rPr>
                <w:rFonts w:ascii="宋体" w:hAnsi="宋体" w:cs="宋体" w:eastAsia="宋体" w:hint="default"/>
                <w:sz w:val="21"/>
                <w:szCs w:val="21"/>
              </w:rPr>
            </w:pPr>
            <w:r>
              <w:rPr>
                <w:rFonts w:ascii="宋体" w:hAnsi="宋体" w:cs="宋体" w:eastAsia="宋体" w:hint="default"/>
                <w:sz w:val="21"/>
                <w:szCs w:val="21"/>
              </w:rPr>
              <w:t>一种电动液压转辙机用液压 总成</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受让获得</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ZL201110363305.5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2011.11.17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2015.6.24</w:t>
            </w:r>
          </w:p>
        </w:tc>
      </w:tr>
      <w:tr>
        <w:trPr>
          <w:trHeight w:val="5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14</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50" w:right="0"/>
              <w:jc w:val="left"/>
              <w:rPr>
                <w:rFonts w:ascii="宋体" w:hAnsi="宋体" w:cs="宋体" w:eastAsia="宋体" w:hint="default"/>
                <w:sz w:val="21"/>
                <w:szCs w:val="21"/>
              </w:rPr>
            </w:pPr>
            <w:r>
              <w:rPr>
                <w:rFonts w:ascii="宋体" w:hAnsi="宋体" w:cs="宋体" w:eastAsia="宋体" w:hint="default"/>
                <w:sz w:val="21"/>
                <w:szCs w:val="21"/>
              </w:rPr>
              <w:t>转辙机用速动爪</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ZL201520572456.5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2015.7.31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sz w:val="21"/>
              </w:rPr>
              <w:t>2015.12.30</w:t>
            </w:r>
          </w:p>
        </w:tc>
      </w:tr>
      <w:tr>
        <w:trPr>
          <w:trHeight w:val="5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15</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50" w:right="0"/>
              <w:jc w:val="left"/>
              <w:rPr>
                <w:rFonts w:ascii="宋体" w:hAnsi="宋体" w:cs="宋体" w:eastAsia="宋体" w:hint="default"/>
                <w:sz w:val="21"/>
                <w:szCs w:val="21"/>
              </w:rPr>
            </w:pPr>
            <w:r>
              <w:rPr>
                <w:rFonts w:ascii="宋体" w:hAnsi="宋体" w:cs="宋体" w:eastAsia="宋体" w:hint="default"/>
                <w:sz w:val="21"/>
                <w:szCs w:val="21"/>
              </w:rPr>
              <w:t>转辙机动接点组的限位结构</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ZL201520574405.6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2015.7.31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sz w:val="21"/>
              </w:rPr>
              <w:t>2015.12.30</w:t>
            </w:r>
          </w:p>
        </w:tc>
      </w:tr>
      <w:tr>
        <w:trPr>
          <w:trHeight w:val="5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16</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50" w:right="0"/>
              <w:jc w:val="left"/>
              <w:rPr>
                <w:rFonts w:ascii="宋体" w:hAnsi="宋体" w:cs="宋体" w:eastAsia="宋体" w:hint="default"/>
                <w:sz w:val="21"/>
                <w:szCs w:val="21"/>
              </w:rPr>
            </w:pPr>
            <w:r>
              <w:rPr>
                <w:rFonts w:ascii="宋体" w:hAnsi="宋体" w:cs="宋体" w:eastAsia="宋体" w:hint="default"/>
                <w:sz w:val="21"/>
                <w:szCs w:val="21"/>
              </w:rPr>
              <w:t>转辙机用箱体</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ZL201520572571.2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2015.7.31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sz w:val="21"/>
              </w:rPr>
              <w:t>2015.12.30</w:t>
            </w:r>
          </w:p>
        </w:tc>
      </w:tr>
      <w:tr>
        <w:trPr>
          <w:trHeight w:val="528"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17</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50" w:right="0"/>
              <w:jc w:val="left"/>
              <w:rPr>
                <w:rFonts w:ascii="宋体" w:hAnsi="宋体" w:cs="宋体" w:eastAsia="宋体" w:hint="default"/>
                <w:sz w:val="21"/>
                <w:szCs w:val="21"/>
              </w:rPr>
            </w:pPr>
            <w:r>
              <w:rPr>
                <w:rFonts w:ascii="宋体" w:hAnsi="宋体" w:cs="宋体" w:eastAsia="宋体" w:hint="default"/>
                <w:sz w:val="21"/>
                <w:szCs w:val="21"/>
              </w:rPr>
              <w:t>转辙机表示杆</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ZL201520570821.9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2015.7.31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sz w:val="21"/>
              </w:rPr>
              <w:t>2015.12.30</w:t>
            </w:r>
          </w:p>
        </w:tc>
      </w:tr>
      <w:tr>
        <w:trPr>
          <w:trHeight w:val="529"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18</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50" w:right="0"/>
              <w:jc w:val="left"/>
              <w:rPr>
                <w:rFonts w:ascii="宋体" w:hAnsi="宋体" w:cs="宋体" w:eastAsia="宋体" w:hint="default"/>
                <w:sz w:val="21"/>
                <w:szCs w:val="21"/>
              </w:rPr>
            </w:pPr>
            <w:r>
              <w:rPr>
                <w:rFonts w:ascii="宋体" w:hAnsi="宋体" w:cs="宋体" w:eastAsia="宋体" w:hint="default"/>
                <w:sz w:val="21"/>
                <w:szCs w:val="21"/>
              </w:rPr>
              <w:t>转辙机堵孔板组</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ZL201520570519.3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2015.7.31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sz w:val="21"/>
              </w:rPr>
              <w:t>2015.12.30</w:t>
            </w:r>
          </w:p>
        </w:tc>
      </w:tr>
      <w:tr>
        <w:trPr>
          <w:trHeight w:val="530" w:hRule="exact"/>
        </w:trPr>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19</w:t>
            </w:r>
          </w:p>
        </w:tc>
        <w:tc>
          <w:tcPr>
            <w:tcW w:w="2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50" w:right="0"/>
              <w:jc w:val="left"/>
              <w:rPr>
                <w:rFonts w:ascii="宋体" w:hAnsi="宋体" w:cs="宋体" w:eastAsia="宋体" w:hint="default"/>
                <w:sz w:val="21"/>
                <w:szCs w:val="21"/>
              </w:rPr>
            </w:pPr>
            <w:r>
              <w:rPr>
                <w:rFonts w:ascii="宋体" w:hAnsi="宋体" w:cs="宋体" w:eastAsia="宋体" w:hint="default"/>
                <w:sz w:val="21"/>
                <w:szCs w:val="21"/>
              </w:rPr>
              <w:t>电动转辙机用减速器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ZL201420422176.1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2014.7.29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2015.1.7</w:t>
            </w:r>
          </w:p>
        </w:tc>
      </w:tr>
    </w:tbl>
    <w:p>
      <w:pPr>
        <w:spacing w:line="240" w:lineRule="auto" w:before="1"/>
        <w:rPr>
          <w:rFonts w:ascii="宋体" w:hAnsi="宋体" w:cs="宋体" w:eastAsia="宋体" w:hint="default"/>
          <w:b/>
          <w:bCs/>
          <w:sz w:val="20"/>
          <w:szCs w:val="20"/>
        </w:rPr>
      </w:pPr>
    </w:p>
    <w:p>
      <w:pPr>
        <w:pStyle w:val="Heading2"/>
        <w:spacing w:line="240" w:lineRule="auto"/>
        <w:ind w:left="3586" w:right="0"/>
        <w:jc w:val="left"/>
        <w:rPr>
          <w:b w:val="0"/>
          <w:bCs w:val="0"/>
        </w:rPr>
      </w:pPr>
      <w:r>
        <w:rPr>
          <w:rFonts w:ascii="宋体" w:hAnsi="宋体" w:cs="宋体" w:eastAsia="宋体" w:hint="default"/>
        </w:rPr>
        <w:t>2015</w:t>
      </w:r>
      <w:r>
        <w:rPr/>
        <w:t>年专利受理情况一览表</w:t>
      </w:r>
      <w:r>
        <w:rPr>
          <w:b w:val="0"/>
          <w:bCs w:val="0"/>
        </w:rPr>
      </w:r>
    </w:p>
    <w:p>
      <w:pPr>
        <w:spacing w:line="240" w:lineRule="auto" w:before="5"/>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554"/>
        <w:gridCol w:w="4282"/>
        <w:gridCol w:w="1134"/>
        <w:gridCol w:w="992"/>
        <w:gridCol w:w="1701"/>
        <w:gridCol w:w="1180"/>
      </w:tblGrid>
      <w:tr>
        <w:trPr>
          <w:trHeight w:val="43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8"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b/>
                <w:bCs/>
                <w:sz w:val="21"/>
                <w:szCs w:val="21"/>
              </w:rPr>
              <w:t>申请日期</w:t>
            </w:r>
            <w:r>
              <w:rPr>
                <w:rFonts w:ascii="宋体" w:hAnsi="宋体" w:cs="宋体" w:eastAsia="宋体" w:hint="default"/>
                <w:sz w:val="21"/>
                <w:szCs w:val="21"/>
              </w:rPr>
            </w:r>
          </w:p>
        </w:tc>
      </w:tr>
      <w:tr>
        <w:trPr>
          <w:trHeight w:val="431"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一种动车所动车组入所动车组号的识别方法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201510094085.9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2015.2.11</w:t>
            </w:r>
          </w:p>
        </w:tc>
      </w:tr>
      <w:tr>
        <w:trPr>
          <w:trHeight w:val="43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21"/>
                <w:szCs w:val="21"/>
              </w:rPr>
            </w:pPr>
            <w:r>
              <w:rPr>
                <w:rFonts w:ascii="宋体" w:hAnsi="宋体" w:cs="宋体" w:eastAsia="宋体" w:hint="default"/>
                <w:sz w:val="21"/>
                <w:szCs w:val="21"/>
              </w:rPr>
              <w:t>一种基于信号微机监测系统的视频电子地图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201510402966.2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2015.6.29</w:t>
            </w:r>
          </w:p>
        </w:tc>
      </w:tr>
      <w:tr>
        <w:trPr>
          <w:trHeight w:val="43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3</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铁路自然灾害及异物侵限监测网络系统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201510403032.0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2015.6.29</w:t>
            </w:r>
          </w:p>
        </w:tc>
      </w:tr>
      <w:tr>
        <w:trPr>
          <w:trHeight w:val="431"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4</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基于振动光纤的铁路周界防护方法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201510912578.9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2015.11.30</w:t>
            </w:r>
          </w:p>
        </w:tc>
      </w:tr>
      <w:tr>
        <w:trPr>
          <w:trHeight w:val="43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5</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21"/>
                <w:szCs w:val="21"/>
              </w:rPr>
            </w:pPr>
            <w:r>
              <w:rPr>
                <w:rFonts w:ascii="宋体" w:hAnsi="宋体" w:cs="宋体" w:eastAsia="宋体" w:hint="default"/>
                <w:sz w:val="21"/>
                <w:szCs w:val="21"/>
              </w:rPr>
              <w:t>安全型双路电源切换装置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201521024672.2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2015.11.30</w:t>
            </w:r>
          </w:p>
        </w:tc>
      </w:tr>
      <w:tr>
        <w:trPr>
          <w:trHeight w:val="43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6</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STP</w:t>
            </w:r>
            <w:r>
              <w:rPr>
                <w:rFonts w:ascii="宋体" w:hAnsi="宋体" w:cs="宋体" w:eastAsia="宋体" w:hint="default"/>
                <w:spacing w:val="-54"/>
                <w:sz w:val="21"/>
                <w:szCs w:val="21"/>
              </w:rPr>
              <w:t> </w:t>
            </w:r>
            <w:r>
              <w:rPr>
                <w:rFonts w:ascii="宋体" w:hAnsi="宋体" w:cs="宋体" w:eastAsia="宋体" w:hint="default"/>
                <w:sz w:val="21"/>
                <w:szCs w:val="21"/>
              </w:rPr>
              <w:t>手持式综合诊断仪</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201521040753.1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2015.11.30</w:t>
            </w:r>
          </w:p>
        </w:tc>
      </w:tr>
      <w:tr>
        <w:trPr>
          <w:trHeight w:val="431"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7</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3"/>
                <w:sz w:val="21"/>
                <w:szCs w:val="21"/>
              </w:rPr>
              <w:t> </w:t>
            </w:r>
            <w:r>
              <w:rPr>
                <w:rFonts w:ascii="宋体" w:hAnsi="宋体" w:cs="宋体" w:eastAsia="宋体" w:hint="default"/>
                <w:sz w:val="21"/>
                <w:szCs w:val="21"/>
              </w:rPr>
              <w:t>STP</w:t>
            </w:r>
            <w:r>
              <w:rPr>
                <w:rFonts w:ascii="宋体" w:hAnsi="宋体" w:cs="宋体" w:eastAsia="宋体" w:hint="default"/>
                <w:spacing w:val="-53"/>
                <w:sz w:val="21"/>
                <w:szCs w:val="21"/>
              </w:rPr>
              <w:t> </w:t>
            </w:r>
            <w:r>
              <w:rPr>
                <w:rFonts w:ascii="宋体" w:hAnsi="宋体" w:cs="宋体" w:eastAsia="宋体" w:hint="default"/>
                <w:sz w:val="21"/>
                <w:szCs w:val="21"/>
              </w:rPr>
              <w:t>系统的调车机油量实时监测系统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201521024666.7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2015.11.30</w:t>
            </w:r>
          </w:p>
        </w:tc>
      </w:tr>
      <w:tr>
        <w:trPr>
          <w:trHeight w:val="43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8</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21"/>
                <w:szCs w:val="21"/>
              </w:rPr>
            </w:pPr>
            <w:r>
              <w:rPr>
                <w:rFonts w:ascii="宋体" w:hAnsi="宋体" w:cs="宋体" w:eastAsia="宋体" w:hint="default"/>
                <w:sz w:val="21"/>
                <w:szCs w:val="21"/>
              </w:rPr>
              <w:t>一种新型地铁切换系统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201520687085.5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sz w:val="21"/>
              </w:rPr>
              <w:t>2015.9.8</w:t>
            </w:r>
          </w:p>
        </w:tc>
      </w:tr>
      <w:tr>
        <w:trPr>
          <w:trHeight w:val="43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9</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一种采用延时继电器来控制冲击电流的控制柜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201520687083.6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sz w:val="21"/>
              </w:rPr>
              <w:t>2015.9.8</w:t>
            </w:r>
          </w:p>
        </w:tc>
      </w:tr>
      <w:tr>
        <w:trPr>
          <w:trHeight w:val="431"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10</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一种两路电源转换控制电路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201520793982.4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2015.12.03</w:t>
            </w:r>
          </w:p>
        </w:tc>
      </w:tr>
      <w:tr>
        <w:trPr>
          <w:trHeight w:val="43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11</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21"/>
                <w:szCs w:val="21"/>
              </w:rPr>
            </w:pPr>
            <w:r>
              <w:rPr>
                <w:rFonts w:ascii="宋体" w:hAnsi="宋体" w:cs="宋体" w:eastAsia="宋体" w:hint="default"/>
                <w:sz w:val="21"/>
                <w:szCs w:val="21"/>
              </w:rPr>
              <w:t>液压转辙机油箱用通气阀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201521040204.4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2015.12.11</w:t>
            </w:r>
          </w:p>
        </w:tc>
      </w:tr>
      <w:tr>
        <w:trPr>
          <w:trHeight w:val="43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12</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液压转辙机油箱用通气阀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201510924596.9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2015.12.11</w:t>
            </w:r>
          </w:p>
        </w:tc>
      </w:tr>
      <w:tr>
        <w:trPr>
          <w:trHeight w:val="431"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13</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电动转辙机用导轨式活塞齿条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201521035161.0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2015.12.11</w:t>
            </w:r>
          </w:p>
        </w:tc>
      </w:tr>
      <w:tr>
        <w:trPr>
          <w:trHeight w:val="43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14</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21"/>
                <w:szCs w:val="21"/>
              </w:rPr>
            </w:pPr>
            <w:r>
              <w:rPr>
                <w:rFonts w:ascii="宋体" w:hAnsi="宋体" w:cs="宋体" w:eastAsia="宋体" w:hint="default"/>
                <w:sz w:val="21"/>
                <w:szCs w:val="21"/>
              </w:rPr>
              <w:t>电动转辙机用导轨式活塞齿条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201510924599.2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2015.12.11</w:t>
            </w:r>
          </w:p>
        </w:tc>
      </w:tr>
      <w:tr>
        <w:trPr>
          <w:trHeight w:val="43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15</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转辙机防凝露结构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201521035082.X</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2015.12.11</w:t>
            </w:r>
          </w:p>
        </w:tc>
      </w:tr>
      <w:tr>
        <w:trPr>
          <w:trHeight w:val="431"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16</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转辙机防凝露结构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201510922659.7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2015.12.11</w:t>
            </w:r>
          </w:p>
        </w:tc>
      </w:tr>
      <w:tr>
        <w:trPr>
          <w:trHeight w:val="43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17</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21"/>
                <w:szCs w:val="21"/>
              </w:rPr>
            </w:pPr>
            <w:r>
              <w:rPr>
                <w:rFonts w:ascii="宋体" w:hAnsi="宋体" w:cs="宋体" w:eastAsia="宋体" w:hint="default"/>
                <w:sz w:val="21"/>
                <w:szCs w:val="21"/>
              </w:rPr>
              <w:t>转辙机双轴承支撑径向柱塞泵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201521033462.X</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2015.12.11</w:t>
            </w:r>
          </w:p>
        </w:tc>
      </w:tr>
      <w:tr>
        <w:trPr>
          <w:trHeight w:val="430"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18</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转辙机双轴承支撑径向柱塞泵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201510924562.X</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2015.12.11</w:t>
            </w:r>
          </w:p>
        </w:tc>
      </w:tr>
      <w:tr>
        <w:trPr>
          <w:trHeight w:val="431"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19</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转辙机的闭锁结构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201521033388.1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2015.12.11</w:t>
            </w:r>
          </w:p>
        </w:tc>
      </w:tr>
    </w:tbl>
    <w:p>
      <w:pPr>
        <w:spacing w:after="0" w:line="240" w:lineRule="auto"/>
        <w:jc w:val="center"/>
        <w:rPr>
          <w:rFonts w:ascii="宋体" w:hAnsi="宋体" w:cs="宋体" w:eastAsia="宋体" w:hint="default"/>
          <w:sz w:val="21"/>
          <w:szCs w:val="21"/>
        </w:rPr>
        <w:sectPr>
          <w:pgSz w:w="11910" w:h="16840"/>
          <w:pgMar w:header="747" w:footer="979" w:top="1060" w:bottom="1160" w:left="920" w:right="0"/>
        </w:sectPr>
      </w:pPr>
    </w:p>
    <w:p>
      <w:pPr>
        <w:spacing w:line="240" w:lineRule="auto" w:before="6"/>
        <w:rPr>
          <w:rFonts w:ascii="宋体" w:hAnsi="宋体" w:cs="宋体" w:eastAsia="宋体" w:hint="default"/>
          <w:b/>
          <w:bCs/>
          <w:sz w:val="28"/>
          <w:szCs w:val="28"/>
        </w:rPr>
      </w:pPr>
    </w:p>
    <w:tbl>
      <w:tblPr>
        <w:tblW w:w="0" w:type="auto"/>
        <w:jc w:val="left"/>
        <w:tblInd w:w="507" w:type="dxa"/>
        <w:tblLayout w:type="fixed"/>
        <w:tblCellMar>
          <w:top w:w="0" w:type="dxa"/>
          <w:left w:w="0" w:type="dxa"/>
          <w:bottom w:w="0" w:type="dxa"/>
          <w:right w:w="0" w:type="dxa"/>
        </w:tblCellMar>
        <w:tblLook w:val="01E0"/>
      </w:tblPr>
      <w:tblGrid>
        <w:gridCol w:w="554"/>
        <w:gridCol w:w="4282"/>
        <w:gridCol w:w="1134"/>
        <w:gridCol w:w="992"/>
        <w:gridCol w:w="1701"/>
        <w:gridCol w:w="1180"/>
      </w:tblGrid>
      <w:tr>
        <w:trPr>
          <w:trHeight w:val="431"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6" w:right="0"/>
              <w:jc w:val="left"/>
              <w:rPr>
                <w:rFonts w:ascii="宋体" w:hAnsi="宋体" w:cs="宋体" w:eastAsia="宋体" w:hint="default"/>
                <w:sz w:val="21"/>
                <w:szCs w:val="21"/>
              </w:rPr>
            </w:pPr>
            <w:r>
              <w:rPr>
                <w:rFonts w:ascii="宋体"/>
                <w:sz w:val="21"/>
              </w:rPr>
              <w:t>20</w:t>
            </w:r>
          </w:p>
        </w:tc>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转辙机的闭锁结构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1"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0" w:right="0"/>
              <w:jc w:val="left"/>
              <w:rPr>
                <w:rFonts w:ascii="宋体" w:hAnsi="宋体" w:cs="宋体" w:eastAsia="宋体" w:hint="default"/>
                <w:sz w:val="21"/>
                <w:szCs w:val="21"/>
              </w:rPr>
            </w:pPr>
            <w:r>
              <w:rPr>
                <w:rFonts w:ascii="宋体"/>
                <w:sz w:val="21"/>
              </w:rPr>
              <w:t>201510924649.7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0" w:right="0"/>
              <w:jc w:val="left"/>
              <w:rPr>
                <w:rFonts w:ascii="宋体" w:hAnsi="宋体" w:cs="宋体" w:eastAsia="宋体" w:hint="default"/>
                <w:sz w:val="21"/>
                <w:szCs w:val="21"/>
              </w:rPr>
            </w:pPr>
            <w:r>
              <w:rPr>
                <w:rFonts w:ascii="宋体"/>
                <w:sz w:val="21"/>
              </w:rPr>
              <w:t>2015.12.11</w:t>
            </w:r>
          </w:p>
        </w:tc>
      </w:tr>
    </w:tbl>
    <w:p>
      <w:pPr>
        <w:spacing w:line="240" w:lineRule="auto" w:before="10"/>
        <w:rPr>
          <w:rFonts w:ascii="宋体" w:hAnsi="宋体" w:cs="宋体" w:eastAsia="宋体" w:hint="default"/>
          <w:b/>
          <w:bCs/>
          <w:sz w:val="4"/>
          <w:szCs w:val="4"/>
        </w:rPr>
      </w:pPr>
    </w:p>
    <w:p>
      <w:pPr>
        <w:pStyle w:val="Heading2"/>
        <w:spacing w:line="240" w:lineRule="auto"/>
        <w:ind w:left="1096" w:right="1573"/>
        <w:jc w:val="left"/>
        <w:rPr>
          <w:b w:val="0"/>
          <w:bCs w:val="0"/>
        </w:rPr>
      </w:pPr>
      <w:r>
        <w:rPr>
          <w:rFonts w:ascii="Times New Roman" w:hAnsi="Times New Roman" w:cs="Times New Roman" w:eastAsia="Times New Roman" w:hint="default"/>
        </w:rPr>
        <w:t>2</w:t>
      </w:r>
      <w:r>
        <w:rPr/>
        <w:t>、软件著作权情况</w:t>
      </w:r>
      <w:r>
        <w:rPr>
          <w:b w:val="0"/>
          <w:bCs w:val="0"/>
        </w:rPr>
      </w:r>
    </w:p>
    <w:p>
      <w:pPr>
        <w:spacing w:line="381" w:lineRule="auto" w:before="127"/>
        <w:ind w:left="3866" w:right="1573" w:hanging="2773"/>
        <w:jc w:val="left"/>
        <w:rPr>
          <w:rFonts w:ascii="宋体" w:hAnsi="宋体" w:cs="宋体" w:eastAsia="宋体" w:hint="default"/>
          <w:sz w:val="24"/>
          <w:szCs w:val="24"/>
        </w:rPr>
      </w:pPr>
      <w:r>
        <w:rPr/>
        <w:pict>
          <v:shape style="position:absolute;margin-left:34.619999pt;margin-top:51.945625pt;width:526.35pt;height:129.5500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2"/>
                    <w:gridCol w:w="3974"/>
                    <w:gridCol w:w="1470"/>
                    <w:gridCol w:w="1649"/>
                    <w:gridCol w:w="1612"/>
                    <w:gridCol w:w="1276"/>
                  </w:tblGrid>
                  <w:tr>
                    <w:trPr>
                      <w:trHeight w:val="431"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b/>
                            <w:bCs/>
                            <w:sz w:val="21"/>
                            <w:szCs w:val="21"/>
                          </w:rPr>
                          <w:t>软件产品全称</w:t>
                        </w:r>
                        <w:r>
                          <w:rPr>
                            <w:rFonts w:ascii="宋体" w:hAnsi="宋体" w:cs="宋体" w:eastAsia="宋体" w:hint="default"/>
                            <w:sz w:val="21"/>
                            <w:szCs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b/>
                            <w:bCs/>
                            <w:sz w:val="21"/>
                            <w:szCs w:val="21"/>
                          </w:rPr>
                          <w:t>版本号</w:t>
                        </w:r>
                        <w:r>
                          <w:rPr>
                            <w:rFonts w:ascii="宋体" w:hAnsi="宋体" w:cs="宋体" w:eastAsia="宋体" w:hint="default"/>
                            <w:sz w:val="21"/>
                            <w:szCs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b/>
                            <w:bCs/>
                            <w:sz w:val="21"/>
                            <w:szCs w:val="21"/>
                          </w:rPr>
                          <w:t>开发完成日期</w:t>
                        </w:r>
                        <w:r>
                          <w:rPr>
                            <w:rFonts w:ascii="宋体" w:hAnsi="宋体" w:cs="宋体" w:eastAsia="宋体" w:hint="default"/>
                            <w:sz w:val="21"/>
                            <w:szCs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430"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1</w:t>
                        </w:r>
                      </w:p>
                    </w:tc>
                    <w:tc>
                      <w:tcPr>
                        <w:tcW w:w="3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21"/>
                            <w:szCs w:val="21"/>
                          </w:rPr>
                        </w:pPr>
                        <w:r>
                          <w:rPr>
                            <w:rFonts w:ascii="宋体" w:hAnsi="宋体" w:cs="宋体" w:eastAsia="宋体" w:hint="default"/>
                            <w:sz w:val="21"/>
                            <w:szCs w:val="21"/>
                          </w:rPr>
                          <w:t>集成化电务监测数据综合分析系统</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V1.0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2015SR065872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sz w:val="21"/>
                          </w:rPr>
                          <w:t>2015.1.9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2015.4.21</w:t>
                        </w:r>
                      </w:p>
                    </w:tc>
                  </w:tr>
                  <w:tr>
                    <w:trPr>
                      <w:trHeight w:val="430"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w:t>
                        </w:r>
                      </w:p>
                    </w:tc>
                    <w:tc>
                      <w:tcPr>
                        <w:tcW w:w="3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LYX2Z1-182S24</w:t>
                        </w:r>
                        <w:r>
                          <w:rPr>
                            <w:rFonts w:ascii="宋体" w:hAnsi="宋体" w:cs="宋体" w:eastAsia="宋体" w:hint="default"/>
                            <w:spacing w:val="-55"/>
                            <w:sz w:val="21"/>
                            <w:szCs w:val="21"/>
                          </w:rPr>
                          <w:t> </w:t>
                        </w:r>
                        <w:r>
                          <w:rPr>
                            <w:rFonts w:ascii="宋体" w:hAnsi="宋体" w:cs="宋体" w:eastAsia="宋体" w:hint="default"/>
                            <w:sz w:val="21"/>
                            <w:szCs w:val="21"/>
                          </w:rPr>
                          <w:t>高频直流电源模块控制软件</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V1.0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2015SR047324</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2014.12.10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2015.3.17</w:t>
                        </w:r>
                      </w:p>
                    </w:tc>
                  </w:tr>
                  <w:tr>
                    <w:trPr>
                      <w:trHeight w:val="431"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3</w:t>
                        </w:r>
                      </w:p>
                    </w:tc>
                    <w:tc>
                      <w:tcPr>
                        <w:tcW w:w="3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铁路信号设备电源系统监测软件</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V2.0_2014122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2015SR128474</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2014.12.30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2015.05.22</w:t>
                        </w:r>
                      </w:p>
                    </w:tc>
                  </w:tr>
                  <w:tr>
                    <w:trPr>
                      <w:trHeight w:val="430"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4</w:t>
                        </w:r>
                      </w:p>
                    </w:tc>
                    <w:tc>
                      <w:tcPr>
                        <w:tcW w:w="3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 w:right="0"/>
                          <w:jc w:val="left"/>
                          <w:rPr>
                            <w:rFonts w:ascii="宋体" w:hAnsi="宋体" w:cs="宋体" w:eastAsia="宋体" w:hint="default"/>
                            <w:sz w:val="21"/>
                            <w:szCs w:val="21"/>
                          </w:rPr>
                        </w:pPr>
                        <w:r>
                          <w:rPr>
                            <w:rFonts w:ascii="宋体" w:hAnsi="宋体" w:cs="宋体" w:eastAsia="宋体" w:hint="default"/>
                            <w:sz w:val="21"/>
                            <w:szCs w:val="21"/>
                          </w:rPr>
                          <w:t>轨道电路电码化测试自动控制软件</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V1.0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2015SR138055</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2015.4.15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2015.7.20</w:t>
                        </w:r>
                      </w:p>
                    </w:tc>
                  </w:tr>
                  <w:tr>
                    <w:trPr>
                      <w:trHeight w:val="431"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5</w:t>
                        </w:r>
                      </w:p>
                    </w:tc>
                    <w:tc>
                      <w:tcPr>
                        <w:tcW w:w="3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数字化电源模块监测软件</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V1.0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2015SR146228</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2015.03.01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2015.07.29</w:t>
                        </w:r>
                      </w:p>
                    </w:tc>
                  </w:tr>
                </w:tbl>
                <w:p>
                  <w:pPr/>
                </w:p>
              </w:txbxContent>
            </v:textbox>
            <w10:wrap type="none"/>
          </v:shape>
        </w:pict>
      </w:r>
      <w:r>
        <w:rPr>
          <w:rFonts w:ascii="宋体" w:hAnsi="宋体" w:cs="宋体" w:eastAsia="宋体" w:hint="default"/>
          <w:sz w:val="24"/>
          <w:szCs w:val="24"/>
        </w:rPr>
        <w:t>报告期内，公司共</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个软件获得软件著作权登记</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个软件获得软件产品登记证书。 </w:t>
      </w:r>
      <w:r>
        <w:rPr>
          <w:rFonts w:ascii="宋体" w:hAnsi="宋体" w:cs="宋体" w:eastAsia="宋体" w:hint="default"/>
          <w:b/>
          <w:bCs/>
          <w:sz w:val="24"/>
          <w:szCs w:val="24"/>
        </w:rPr>
        <w:t>2015</w:t>
      </w:r>
      <w:r>
        <w:rPr>
          <w:rFonts w:ascii="宋体" w:hAnsi="宋体" w:cs="宋体" w:eastAsia="宋体" w:hint="default"/>
          <w:b/>
          <w:bCs/>
          <w:sz w:val="24"/>
          <w:szCs w:val="24"/>
        </w:rPr>
        <w:t>年软件著作权登记一览表</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pStyle w:val="Heading2"/>
        <w:spacing w:line="240" w:lineRule="auto"/>
        <w:ind w:left="4008" w:right="4207"/>
        <w:jc w:val="center"/>
        <w:rPr>
          <w:b w:val="0"/>
          <w:bCs w:val="0"/>
        </w:rPr>
      </w:pPr>
      <w:r>
        <w:rPr>
          <w:rFonts w:ascii="Times New Roman" w:hAnsi="Times New Roman" w:cs="Times New Roman" w:eastAsia="Times New Roman" w:hint="default"/>
        </w:rPr>
        <w:t>2015</w:t>
      </w:r>
      <w:r>
        <w:rPr/>
        <w:t>软件产品登记证书一览表</w:t>
      </w:r>
      <w:r>
        <w:rPr>
          <w:b w:val="0"/>
          <w:bCs w:val="0"/>
        </w:rPr>
      </w:r>
    </w:p>
    <w:p>
      <w:pPr>
        <w:spacing w:line="240" w:lineRule="auto" w:before="3"/>
        <w:rPr>
          <w:rFonts w:ascii="宋体" w:hAnsi="宋体" w:cs="宋体" w:eastAsia="宋体" w:hint="default"/>
          <w:b/>
          <w:bCs/>
          <w:sz w:val="15"/>
          <w:szCs w:val="15"/>
        </w:rPr>
      </w:pPr>
    </w:p>
    <w:tbl>
      <w:tblPr>
        <w:tblW w:w="0" w:type="auto"/>
        <w:jc w:val="left"/>
        <w:tblInd w:w="112" w:type="dxa"/>
        <w:tblLayout w:type="fixed"/>
        <w:tblCellMar>
          <w:top w:w="0" w:type="dxa"/>
          <w:left w:w="0" w:type="dxa"/>
          <w:bottom w:w="0" w:type="dxa"/>
          <w:right w:w="0" w:type="dxa"/>
        </w:tblCellMar>
        <w:tblLook w:val="01E0"/>
      </w:tblPr>
      <w:tblGrid>
        <w:gridCol w:w="566"/>
        <w:gridCol w:w="4112"/>
        <w:gridCol w:w="992"/>
        <w:gridCol w:w="2268"/>
        <w:gridCol w:w="1418"/>
        <w:gridCol w:w="1276"/>
      </w:tblGrid>
      <w:tr>
        <w:trPr>
          <w:trHeight w:val="43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hAnsi="宋体" w:cs="宋体" w:eastAsia="宋体" w:hint="default"/>
                <w:b/>
                <w:bCs/>
                <w:sz w:val="21"/>
                <w:szCs w:val="21"/>
              </w:rPr>
              <w:t>软件全称</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宋体" w:hAnsi="宋体" w:cs="宋体" w:eastAsia="宋体" w:hint="default"/>
                <w:b/>
                <w:bCs/>
                <w:sz w:val="21"/>
                <w:szCs w:val="21"/>
              </w:rPr>
              <w:t>版本号</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b/>
                <w:bCs/>
                <w:sz w:val="21"/>
                <w:szCs w:val="21"/>
              </w:rPr>
              <w:t>软件产品登记证书号</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center"/>
              <w:rPr>
                <w:rFonts w:ascii="宋体" w:hAnsi="宋体" w:cs="宋体" w:eastAsia="宋体" w:hint="default"/>
                <w:sz w:val="21"/>
                <w:szCs w:val="21"/>
              </w:rPr>
            </w:pPr>
            <w:r>
              <w:rPr>
                <w:rFonts w:ascii="宋体" w:hAnsi="宋体" w:cs="宋体" w:eastAsia="宋体" w:hint="default"/>
                <w:b/>
                <w:bCs/>
                <w:sz w:val="21"/>
                <w:szCs w:val="21"/>
              </w:rPr>
              <w:t>开发完成日期</w:t>
            </w:r>
            <w:r>
              <w:rPr>
                <w:rFonts w:ascii="宋体" w:hAnsi="宋体" w:cs="宋体" w:eastAsia="宋体" w:hint="default"/>
                <w:sz w:val="21"/>
                <w:szCs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11" w:right="0"/>
              <w:jc w:val="left"/>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43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 w:right="0"/>
              <w:jc w:val="left"/>
              <w:rPr>
                <w:rFonts w:ascii="宋体" w:hAnsi="宋体" w:cs="宋体" w:eastAsia="宋体" w:hint="default"/>
                <w:sz w:val="21"/>
                <w:szCs w:val="21"/>
              </w:rPr>
            </w:pPr>
            <w:r>
              <w:rPr>
                <w:rFonts w:ascii="宋体" w:hAnsi="宋体" w:cs="宋体" w:eastAsia="宋体" w:hint="default"/>
                <w:sz w:val="21"/>
                <w:szCs w:val="21"/>
              </w:rPr>
              <w:t>辉煌分散自律调度集中系统</w:t>
            </w:r>
            <w:r>
              <w:rPr>
                <w:rFonts w:ascii="宋体" w:hAnsi="宋体" w:cs="宋体" w:eastAsia="宋体" w:hint="default"/>
                <w:spacing w:val="-52"/>
                <w:sz w:val="21"/>
                <w:szCs w:val="21"/>
              </w:rPr>
              <w:t> </w:t>
            </w:r>
            <w:r>
              <w:rPr>
                <w:rFonts w:ascii="宋体" w:hAnsi="宋体" w:cs="宋体" w:eastAsia="宋体" w:hint="default"/>
                <w:sz w:val="21"/>
                <w:szCs w:val="21"/>
              </w:rPr>
              <w:t>V1.0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21"/>
                <w:szCs w:val="21"/>
              </w:rPr>
            </w:pPr>
            <w:r>
              <w:rPr>
                <w:rFonts w:ascii="宋体"/>
                <w:sz w:val="21"/>
              </w:rPr>
              <w:t>V1.0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豫</w:t>
            </w:r>
            <w:r>
              <w:rPr>
                <w:rFonts w:ascii="宋体" w:hAnsi="宋体" w:cs="宋体" w:eastAsia="宋体" w:hint="default"/>
                <w:spacing w:val="-55"/>
                <w:sz w:val="21"/>
                <w:szCs w:val="21"/>
              </w:rPr>
              <w:t> </w:t>
            </w:r>
            <w:r>
              <w:rPr>
                <w:rFonts w:ascii="宋体" w:hAnsi="宋体" w:cs="宋体" w:eastAsia="宋体" w:hint="default"/>
                <w:sz w:val="21"/>
                <w:szCs w:val="21"/>
              </w:rPr>
              <w:t>DGY</w:t>
            </w:r>
            <w:r>
              <w:rPr>
                <w:rFonts w:ascii="宋体" w:hAnsi="宋体" w:cs="宋体" w:eastAsia="宋体" w:hint="default"/>
                <w:sz w:val="21"/>
                <w:szCs w:val="21"/>
              </w:rPr>
              <w:t>－</w:t>
            </w:r>
            <w:r>
              <w:rPr>
                <w:rFonts w:ascii="宋体" w:hAnsi="宋体" w:cs="宋体" w:eastAsia="宋体" w:hint="default"/>
                <w:sz w:val="21"/>
                <w:szCs w:val="21"/>
              </w:rPr>
              <w:t>2004-0083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1"/>
                <w:szCs w:val="21"/>
              </w:rPr>
            </w:pPr>
            <w:r>
              <w:rPr>
                <w:rFonts w:ascii="宋体"/>
                <w:sz w:val="21"/>
              </w:rPr>
              <w:t>2004.12.10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2" w:right="0"/>
              <w:jc w:val="left"/>
              <w:rPr>
                <w:rFonts w:ascii="宋体" w:hAnsi="宋体" w:cs="宋体" w:eastAsia="宋体" w:hint="default"/>
                <w:sz w:val="21"/>
                <w:szCs w:val="21"/>
              </w:rPr>
            </w:pPr>
            <w:r>
              <w:rPr>
                <w:rFonts w:ascii="宋体"/>
                <w:sz w:val="21"/>
              </w:rPr>
              <w:t>2015.3.2</w:t>
            </w:r>
          </w:p>
        </w:tc>
      </w:tr>
      <w:tr>
        <w:trPr>
          <w:trHeight w:val="431"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 w:right="0"/>
              <w:jc w:val="left"/>
              <w:rPr>
                <w:rFonts w:ascii="宋体" w:hAnsi="宋体" w:cs="宋体" w:eastAsia="宋体" w:hint="default"/>
                <w:sz w:val="21"/>
                <w:szCs w:val="21"/>
              </w:rPr>
            </w:pPr>
            <w:r>
              <w:rPr>
                <w:rFonts w:ascii="宋体" w:hAnsi="宋体" w:cs="宋体" w:eastAsia="宋体" w:hint="default"/>
                <w:sz w:val="21"/>
                <w:szCs w:val="21"/>
              </w:rPr>
              <w:t>辉煌无线调车机车信号和监控系统</w:t>
            </w:r>
            <w:r>
              <w:rPr>
                <w:rFonts w:ascii="宋体" w:hAnsi="宋体" w:cs="宋体" w:eastAsia="宋体" w:hint="default"/>
                <w:spacing w:val="-52"/>
                <w:sz w:val="21"/>
                <w:szCs w:val="21"/>
              </w:rPr>
              <w:t> </w:t>
            </w:r>
            <w:r>
              <w:rPr>
                <w:rFonts w:ascii="宋体" w:hAnsi="宋体" w:cs="宋体" w:eastAsia="宋体" w:hint="default"/>
                <w:sz w:val="21"/>
                <w:szCs w:val="21"/>
              </w:rPr>
              <w:t>V1.0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sz w:val="21"/>
              </w:rPr>
              <w:t>V1.0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豫</w:t>
            </w:r>
            <w:r>
              <w:rPr>
                <w:rFonts w:ascii="宋体" w:hAnsi="宋体" w:cs="宋体" w:eastAsia="宋体" w:hint="default"/>
                <w:spacing w:val="-55"/>
                <w:sz w:val="21"/>
                <w:szCs w:val="21"/>
              </w:rPr>
              <w:t> </w:t>
            </w:r>
            <w:r>
              <w:rPr>
                <w:rFonts w:ascii="宋体" w:hAnsi="宋体" w:cs="宋体" w:eastAsia="宋体" w:hint="default"/>
                <w:sz w:val="21"/>
                <w:szCs w:val="21"/>
              </w:rPr>
              <w:t>DGY</w:t>
            </w:r>
            <w:r>
              <w:rPr>
                <w:rFonts w:ascii="宋体" w:hAnsi="宋体" w:cs="宋体" w:eastAsia="宋体" w:hint="default"/>
                <w:sz w:val="21"/>
                <w:szCs w:val="21"/>
              </w:rPr>
              <w:t>－</w:t>
            </w:r>
            <w:r>
              <w:rPr>
                <w:rFonts w:ascii="宋体" w:hAnsi="宋体" w:cs="宋体" w:eastAsia="宋体" w:hint="default"/>
                <w:sz w:val="21"/>
                <w:szCs w:val="21"/>
              </w:rPr>
              <w:t>2004-0084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1"/>
                <w:szCs w:val="21"/>
              </w:rPr>
            </w:pPr>
            <w:r>
              <w:rPr>
                <w:rFonts w:ascii="宋体"/>
                <w:sz w:val="21"/>
              </w:rPr>
              <w:t>2004.12.10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12" w:right="0"/>
              <w:jc w:val="left"/>
              <w:rPr>
                <w:rFonts w:ascii="宋体" w:hAnsi="宋体" w:cs="宋体" w:eastAsia="宋体" w:hint="default"/>
                <w:sz w:val="21"/>
                <w:szCs w:val="21"/>
              </w:rPr>
            </w:pPr>
            <w:r>
              <w:rPr>
                <w:rFonts w:ascii="宋体"/>
                <w:sz w:val="21"/>
              </w:rPr>
              <w:t>2015.3.2</w:t>
            </w:r>
          </w:p>
        </w:tc>
      </w:tr>
      <w:tr>
        <w:trPr>
          <w:trHeight w:val="43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3</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 w:right="0"/>
              <w:jc w:val="left"/>
              <w:rPr>
                <w:rFonts w:ascii="宋体" w:hAnsi="宋体" w:cs="宋体" w:eastAsia="宋体" w:hint="default"/>
                <w:sz w:val="21"/>
                <w:szCs w:val="21"/>
              </w:rPr>
            </w:pPr>
            <w:r>
              <w:rPr>
                <w:rFonts w:ascii="宋体" w:hAnsi="宋体" w:cs="宋体" w:eastAsia="宋体" w:hint="default"/>
                <w:sz w:val="21"/>
                <w:szCs w:val="21"/>
              </w:rPr>
              <w:t>辉煌铁路运输调度指挥管理信息系统</w:t>
            </w:r>
            <w:r>
              <w:rPr>
                <w:rFonts w:ascii="宋体" w:hAnsi="宋体" w:cs="宋体" w:eastAsia="宋体" w:hint="default"/>
                <w:spacing w:val="-52"/>
                <w:sz w:val="21"/>
                <w:szCs w:val="21"/>
              </w:rPr>
              <w:t> </w:t>
            </w:r>
            <w:r>
              <w:rPr>
                <w:rFonts w:ascii="宋体" w:hAnsi="宋体" w:cs="宋体" w:eastAsia="宋体" w:hint="default"/>
                <w:sz w:val="21"/>
                <w:szCs w:val="21"/>
              </w:rPr>
              <w:t>V1.0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21"/>
                <w:szCs w:val="21"/>
              </w:rPr>
            </w:pPr>
            <w:r>
              <w:rPr>
                <w:rFonts w:ascii="宋体"/>
                <w:sz w:val="21"/>
              </w:rPr>
              <w:t>V1.0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豫</w:t>
            </w:r>
            <w:r>
              <w:rPr>
                <w:rFonts w:ascii="宋体" w:hAnsi="宋体" w:cs="宋体" w:eastAsia="宋体" w:hint="default"/>
                <w:spacing w:val="-55"/>
                <w:sz w:val="21"/>
                <w:szCs w:val="21"/>
              </w:rPr>
              <w:t> </w:t>
            </w:r>
            <w:r>
              <w:rPr>
                <w:rFonts w:ascii="宋体" w:hAnsi="宋体" w:cs="宋体" w:eastAsia="宋体" w:hint="default"/>
                <w:sz w:val="21"/>
                <w:szCs w:val="21"/>
              </w:rPr>
              <w:t>DGY</w:t>
            </w:r>
            <w:r>
              <w:rPr>
                <w:rFonts w:ascii="宋体" w:hAnsi="宋体" w:cs="宋体" w:eastAsia="宋体" w:hint="default"/>
                <w:sz w:val="21"/>
                <w:szCs w:val="21"/>
              </w:rPr>
              <w:t>－</w:t>
            </w:r>
            <w:r>
              <w:rPr>
                <w:rFonts w:ascii="宋体" w:hAnsi="宋体" w:cs="宋体" w:eastAsia="宋体" w:hint="default"/>
                <w:sz w:val="21"/>
                <w:szCs w:val="21"/>
              </w:rPr>
              <w:t>2004-0046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sz w:val="21"/>
              </w:rPr>
              <w:t>2004.4.9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2" w:right="0"/>
              <w:jc w:val="left"/>
              <w:rPr>
                <w:rFonts w:ascii="宋体" w:hAnsi="宋体" w:cs="宋体" w:eastAsia="宋体" w:hint="default"/>
                <w:sz w:val="21"/>
                <w:szCs w:val="21"/>
              </w:rPr>
            </w:pPr>
            <w:r>
              <w:rPr>
                <w:rFonts w:ascii="宋体"/>
                <w:sz w:val="21"/>
              </w:rPr>
              <w:t>2015.7.9</w:t>
            </w:r>
          </w:p>
        </w:tc>
      </w:tr>
      <w:tr>
        <w:trPr>
          <w:trHeight w:val="431"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4</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 w:right="0"/>
              <w:jc w:val="left"/>
              <w:rPr>
                <w:rFonts w:ascii="宋体" w:hAnsi="宋体" w:cs="宋体" w:eastAsia="宋体" w:hint="default"/>
                <w:sz w:val="21"/>
                <w:szCs w:val="21"/>
              </w:rPr>
            </w:pPr>
            <w:r>
              <w:rPr>
                <w:rFonts w:ascii="宋体" w:hAnsi="宋体" w:cs="宋体" w:eastAsia="宋体" w:hint="default"/>
                <w:sz w:val="21"/>
                <w:szCs w:val="21"/>
              </w:rPr>
              <w:t>辉煌</w:t>
            </w:r>
            <w:r>
              <w:rPr>
                <w:rFonts w:ascii="宋体" w:hAnsi="宋体" w:cs="宋体" w:eastAsia="宋体" w:hint="default"/>
                <w:spacing w:val="-72"/>
                <w:sz w:val="21"/>
                <w:szCs w:val="21"/>
              </w:rPr>
              <w:t> </w:t>
            </w:r>
            <w:r>
              <w:rPr>
                <w:rFonts w:ascii="宋体" w:hAnsi="宋体" w:cs="宋体" w:eastAsia="宋体" w:hint="default"/>
                <w:sz w:val="21"/>
                <w:szCs w:val="21"/>
              </w:rPr>
              <w:t>HH-IVMSR</w:t>
            </w:r>
            <w:r>
              <w:rPr>
                <w:rFonts w:ascii="宋体" w:hAnsi="宋体" w:cs="宋体" w:eastAsia="宋体" w:hint="default"/>
                <w:spacing w:val="-72"/>
                <w:sz w:val="21"/>
                <w:szCs w:val="21"/>
              </w:rPr>
              <w:t> </w:t>
            </w:r>
            <w:r>
              <w:rPr>
                <w:rFonts w:ascii="宋体" w:hAnsi="宋体" w:cs="宋体" w:eastAsia="宋体" w:hint="default"/>
                <w:sz w:val="21"/>
                <w:szCs w:val="21"/>
              </w:rPr>
              <w:t>型铁路综合视频监控系统</w:t>
            </w:r>
            <w:r>
              <w:rPr>
                <w:rFonts w:ascii="宋体" w:hAnsi="宋体" w:cs="宋体" w:eastAsia="宋体" w:hint="default"/>
                <w:spacing w:val="-72"/>
                <w:sz w:val="21"/>
                <w:szCs w:val="21"/>
              </w:rPr>
              <w:t> </w:t>
            </w:r>
            <w:r>
              <w:rPr>
                <w:rFonts w:ascii="宋体" w:hAnsi="宋体" w:cs="宋体" w:eastAsia="宋体" w:hint="default"/>
                <w:sz w:val="21"/>
                <w:szCs w:val="21"/>
              </w:rPr>
              <w:t>V1.0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21"/>
                <w:szCs w:val="21"/>
              </w:rPr>
            </w:pPr>
            <w:r>
              <w:rPr>
                <w:rFonts w:ascii="宋体"/>
                <w:sz w:val="21"/>
              </w:rPr>
              <w:t>V1.0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豫</w:t>
            </w:r>
            <w:r>
              <w:rPr>
                <w:rFonts w:ascii="宋体" w:hAnsi="宋体" w:cs="宋体" w:eastAsia="宋体" w:hint="default"/>
                <w:spacing w:val="-55"/>
                <w:sz w:val="21"/>
                <w:szCs w:val="21"/>
              </w:rPr>
              <w:t> </w:t>
            </w:r>
            <w:r>
              <w:rPr>
                <w:rFonts w:ascii="宋体" w:hAnsi="宋体" w:cs="宋体" w:eastAsia="宋体" w:hint="default"/>
                <w:sz w:val="21"/>
                <w:szCs w:val="21"/>
              </w:rPr>
              <w:t>DGY</w:t>
            </w:r>
            <w:r>
              <w:rPr>
                <w:rFonts w:ascii="宋体" w:hAnsi="宋体" w:cs="宋体" w:eastAsia="宋体" w:hint="default"/>
                <w:sz w:val="21"/>
                <w:szCs w:val="21"/>
              </w:rPr>
              <w:t>－</w:t>
            </w:r>
            <w:r>
              <w:rPr>
                <w:rFonts w:ascii="宋体" w:hAnsi="宋体" w:cs="宋体" w:eastAsia="宋体" w:hint="default"/>
                <w:sz w:val="21"/>
                <w:szCs w:val="21"/>
              </w:rPr>
              <w:t>2015-0356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sz w:val="21"/>
              </w:rPr>
              <w:t>2008.12.1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60" w:right="0"/>
              <w:jc w:val="left"/>
              <w:rPr>
                <w:rFonts w:ascii="宋体" w:hAnsi="宋体" w:cs="宋体" w:eastAsia="宋体" w:hint="default"/>
                <w:sz w:val="21"/>
                <w:szCs w:val="21"/>
              </w:rPr>
            </w:pPr>
            <w:r>
              <w:rPr>
                <w:rFonts w:ascii="宋体"/>
                <w:sz w:val="21"/>
              </w:rPr>
              <w:t>2015.9.10</w:t>
            </w:r>
          </w:p>
        </w:tc>
      </w:tr>
    </w:tbl>
    <w:p>
      <w:pPr>
        <w:spacing w:after="0" w:line="240" w:lineRule="auto"/>
        <w:jc w:val="left"/>
        <w:rPr>
          <w:rFonts w:ascii="宋体" w:hAnsi="宋体" w:cs="宋体" w:eastAsia="宋体" w:hint="default"/>
          <w:sz w:val="21"/>
          <w:szCs w:val="21"/>
        </w:rPr>
        <w:sectPr>
          <w:pgSz w:w="11910" w:h="16840"/>
          <w:pgMar w:header="747" w:footer="979" w:top="1060" w:bottom="1160" w:left="5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784" w:right="3763"/>
        <w:jc w:val="center"/>
        <w:rPr>
          <w:b w:val="0"/>
          <w:bCs w:val="0"/>
        </w:rPr>
      </w:pPr>
      <w:bookmarkStart w:name="第四节 管理层讨论与分析" w:id="7"/>
      <w:bookmarkEnd w:id="7"/>
      <w:r>
        <w:rPr>
          <w:b w:val="0"/>
          <w:bCs w:val="0"/>
        </w:rPr>
      </w:r>
      <w:bookmarkStart w:name="_bookmark3" w:id="8"/>
      <w:bookmarkEnd w:id="8"/>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32"/>
          <w:szCs w:val="32"/>
        </w:rPr>
      </w:pPr>
    </w:p>
    <w:p>
      <w:pPr>
        <w:pStyle w:val="Heading2"/>
        <w:spacing w:line="240" w:lineRule="auto" w:before="215"/>
        <w:ind w:right="1153"/>
        <w:jc w:val="left"/>
        <w:rPr>
          <w:b w:val="0"/>
          <w:bCs w:val="0"/>
        </w:rPr>
      </w:pPr>
      <w:r>
        <w:rPr/>
        <w:t>一、概述</w:t>
      </w:r>
      <w:r>
        <w:rPr>
          <w:b w:val="0"/>
          <w:bCs w:val="0"/>
        </w:rPr>
      </w:r>
    </w:p>
    <w:p>
      <w:pPr>
        <w:pStyle w:val="BodyText"/>
        <w:spacing w:line="350" w:lineRule="auto" w:before="146"/>
        <w:ind w:right="1093" w:firstLine="480"/>
        <w:jc w:val="left"/>
      </w:pPr>
      <w:r>
        <w:rPr>
          <w:rFonts w:ascii="宋体" w:hAnsi="宋体" w:cs="宋体" w:eastAsia="宋体" w:hint="default"/>
        </w:rPr>
        <w:t>2015</w:t>
      </w:r>
      <w:r>
        <w:rPr>
          <w:rFonts w:ascii="宋体" w:hAnsi="宋体" w:cs="宋体" w:eastAsia="宋体" w:hint="default"/>
          <w:spacing w:val="-60"/>
        </w:rPr>
        <w:t> </w:t>
      </w:r>
      <w:r>
        <w:rPr/>
        <w:t>年，公司所处的铁路和城市轨道交通行业的投资基本保持稳定。在铁路投资方面， 根据中国铁路总公司的统计，</w:t>
      </w:r>
      <w:r>
        <w:rPr>
          <w:rFonts w:ascii="宋体" w:hAnsi="宋体" w:cs="宋体" w:eastAsia="宋体" w:hint="default"/>
        </w:rPr>
        <w:t>2015</w:t>
      </w:r>
      <w:r>
        <w:rPr>
          <w:rFonts w:ascii="宋体" w:hAnsi="宋体" w:cs="宋体" w:eastAsia="宋体" w:hint="default"/>
          <w:spacing w:val="-60"/>
        </w:rPr>
        <w:t> </w:t>
      </w:r>
      <w:r>
        <w:rPr/>
        <w:t>年度全国铁路完成固资投资计划</w:t>
      </w:r>
      <w:r>
        <w:rPr>
          <w:spacing w:val="-60"/>
        </w:rPr>
        <w:t> </w:t>
      </w:r>
      <w:r>
        <w:rPr>
          <w:rFonts w:ascii="宋体" w:hAnsi="宋体" w:cs="宋体" w:eastAsia="宋体" w:hint="default"/>
        </w:rPr>
        <w:t>8,238</w:t>
      </w:r>
      <w:r>
        <w:rPr>
          <w:rFonts w:ascii="宋体" w:hAnsi="宋体" w:cs="宋体" w:eastAsia="宋体" w:hint="default"/>
          <w:spacing w:val="-60"/>
        </w:rPr>
        <w:t> </w:t>
      </w:r>
      <w:r>
        <w:rPr/>
        <w:t>亿元，投产新线 </w:t>
      </w:r>
      <w:r>
        <w:rPr>
          <w:rFonts w:ascii="宋体" w:hAnsi="宋体" w:cs="宋体" w:eastAsia="宋体" w:hint="default"/>
        </w:rPr>
        <w:t>9,531</w:t>
      </w:r>
      <w:r>
        <w:rPr>
          <w:rFonts w:ascii="宋体" w:hAnsi="宋体" w:cs="宋体" w:eastAsia="宋体" w:hint="default"/>
          <w:spacing w:val="-60"/>
        </w:rPr>
        <w:t> </w:t>
      </w:r>
      <w:r>
        <w:rPr/>
        <w:t>公里，其中高铁</w:t>
      </w:r>
      <w:r>
        <w:rPr>
          <w:spacing w:val="-60"/>
        </w:rPr>
        <w:t> </w:t>
      </w:r>
      <w:r>
        <w:rPr>
          <w:rFonts w:ascii="宋体" w:hAnsi="宋体" w:cs="宋体" w:eastAsia="宋体" w:hint="default"/>
        </w:rPr>
        <w:t>3,306</w:t>
      </w:r>
      <w:r>
        <w:rPr>
          <w:rFonts w:ascii="宋体" w:hAnsi="宋体" w:cs="宋体" w:eastAsia="宋体" w:hint="default"/>
          <w:spacing w:val="-60"/>
        </w:rPr>
        <w:t> </w:t>
      </w:r>
      <w:r>
        <w:rPr/>
        <w:t>公里。在城市轨道交通方面，根据中国城市轨道交通协会的统</w:t>
      </w:r>
    </w:p>
    <w:p>
      <w:pPr>
        <w:pStyle w:val="BodyText"/>
        <w:spacing w:line="240" w:lineRule="auto"/>
        <w:ind w:right="1153"/>
        <w:jc w:val="left"/>
        <w:rPr>
          <w:rFonts w:ascii="宋体" w:hAnsi="宋体" w:cs="宋体" w:eastAsia="宋体" w:hint="default"/>
        </w:rPr>
      </w:pPr>
      <w:r>
        <w:rPr/>
        <w:t>计，截至</w:t>
      </w:r>
      <w:r>
        <w:rPr>
          <w:spacing w:val="-60"/>
        </w:rPr>
        <w:t> </w:t>
      </w:r>
      <w:r>
        <w:rPr>
          <w:rFonts w:ascii="宋体" w:hAnsi="宋体" w:cs="宋体" w:eastAsia="宋体" w:hint="default"/>
        </w:rPr>
        <w:t>2015</w:t>
      </w:r>
      <w:r>
        <w:rPr>
          <w:rFonts w:ascii="宋体" w:hAnsi="宋体" w:cs="宋体" w:eastAsia="宋体" w:hint="default"/>
          <w:spacing w:val="-60"/>
        </w:rPr>
        <w:t> </w:t>
      </w:r>
      <w:r>
        <w:rPr/>
        <w:t>年底，我国累计有</w:t>
      </w:r>
      <w:r>
        <w:rPr>
          <w:spacing w:val="-60"/>
        </w:rPr>
        <w:t> </w:t>
      </w:r>
      <w:r>
        <w:rPr>
          <w:rFonts w:ascii="宋体" w:hAnsi="宋体" w:cs="宋体" w:eastAsia="宋体" w:hint="default"/>
        </w:rPr>
        <w:t>26</w:t>
      </w:r>
      <w:r>
        <w:rPr>
          <w:rFonts w:ascii="宋体" w:hAnsi="宋体" w:cs="宋体" w:eastAsia="宋体" w:hint="default"/>
          <w:spacing w:val="-60"/>
        </w:rPr>
        <w:t> </w:t>
      </w:r>
      <w:r>
        <w:rPr/>
        <w:t>个城市建成投运城轨线路</w:t>
      </w:r>
      <w:r>
        <w:rPr>
          <w:spacing w:val="-60"/>
        </w:rPr>
        <w:t> </w:t>
      </w:r>
      <w:r>
        <w:rPr>
          <w:rFonts w:ascii="宋体" w:hAnsi="宋体" w:cs="宋体" w:eastAsia="宋体" w:hint="default"/>
        </w:rPr>
        <w:t>116</w:t>
      </w:r>
      <w:r>
        <w:rPr>
          <w:rFonts w:ascii="宋体" w:hAnsi="宋体" w:cs="宋体" w:eastAsia="宋体" w:hint="default"/>
          <w:spacing w:val="-60"/>
        </w:rPr>
        <w:t> </w:t>
      </w:r>
      <w:r>
        <w:rPr/>
        <w:t>条，运营线路长度</w:t>
      </w:r>
      <w:r>
        <w:rPr>
          <w:spacing w:val="-60"/>
        </w:rPr>
        <w:t> </w:t>
      </w:r>
      <w:r>
        <w:rPr>
          <w:rFonts w:ascii="宋体" w:hAnsi="宋体" w:cs="宋体" w:eastAsia="宋体" w:hint="default"/>
        </w:rPr>
        <w:t>3,612</w:t>
      </w:r>
    </w:p>
    <w:p>
      <w:pPr>
        <w:pStyle w:val="BodyText"/>
        <w:spacing w:line="240" w:lineRule="auto" w:before="145"/>
        <w:ind w:right="0"/>
        <w:jc w:val="left"/>
      </w:pPr>
      <w:r>
        <w:rPr/>
        <w:t>公里，其中地铁</w:t>
      </w:r>
      <w:r>
        <w:rPr>
          <w:spacing w:val="-65"/>
        </w:rPr>
        <w:t> </w:t>
      </w:r>
      <w:r>
        <w:rPr>
          <w:rFonts w:ascii="宋体" w:hAnsi="宋体" w:cs="宋体" w:eastAsia="宋体" w:hint="default"/>
        </w:rPr>
        <w:t>2,658</w:t>
      </w:r>
      <w:r>
        <w:rPr>
          <w:rFonts w:ascii="宋体" w:hAnsi="宋体" w:cs="宋体" w:eastAsia="宋体" w:hint="default"/>
          <w:spacing w:val="-65"/>
        </w:rPr>
        <w:t> </w:t>
      </w:r>
      <w:r>
        <w:rPr/>
        <w:t>公里。</w:t>
      </w:r>
      <w:r>
        <w:rPr>
          <w:rFonts w:ascii="宋体" w:hAnsi="宋体" w:cs="宋体" w:eastAsia="宋体" w:hint="default"/>
        </w:rPr>
        <w:t>2015</w:t>
      </w:r>
      <w:r>
        <w:rPr>
          <w:rFonts w:ascii="宋体" w:hAnsi="宋体" w:cs="宋体" w:eastAsia="宋体" w:hint="default"/>
          <w:spacing w:val="-65"/>
        </w:rPr>
        <w:t> </w:t>
      </w:r>
      <w:r>
        <w:rPr/>
        <w:t>年新增青岛、南昌、淮安和兰州</w:t>
      </w:r>
      <w:r>
        <w:rPr>
          <w:spacing w:val="-65"/>
        </w:rPr>
        <w:t> </w:t>
      </w:r>
      <w:r>
        <w:rPr>
          <w:rFonts w:ascii="宋体" w:hAnsi="宋体" w:cs="宋体" w:eastAsia="宋体" w:hint="default"/>
        </w:rPr>
        <w:t>4</w:t>
      </w:r>
      <w:r>
        <w:rPr>
          <w:rFonts w:ascii="宋体" w:hAnsi="宋体" w:cs="宋体" w:eastAsia="宋体" w:hint="default"/>
          <w:spacing w:val="-65"/>
        </w:rPr>
        <w:t> </w:t>
      </w:r>
      <w:r>
        <w:rPr/>
        <w:t>个运营城市；全国新增</w:t>
      </w:r>
    </w:p>
    <w:p>
      <w:pPr>
        <w:pStyle w:val="BodyText"/>
        <w:spacing w:line="352" w:lineRule="auto" w:before="145"/>
        <w:ind w:left="633" w:right="1153" w:hanging="480"/>
        <w:jc w:val="left"/>
      </w:pPr>
      <w:r>
        <w:rPr>
          <w:rFonts w:ascii="宋体" w:hAnsi="宋体" w:cs="宋体" w:eastAsia="宋体" w:hint="default"/>
        </w:rPr>
        <w:t>15</w:t>
      </w:r>
      <w:r>
        <w:rPr>
          <w:rFonts w:ascii="宋体" w:hAnsi="宋体" w:cs="宋体" w:eastAsia="宋体" w:hint="default"/>
          <w:spacing w:val="-60"/>
        </w:rPr>
        <w:t> </w:t>
      </w:r>
      <w:r>
        <w:rPr/>
        <w:t>条运营线路，</w:t>
      </w:r>
      <w:r>
        <w:rPr>
          <w:rFonts w:ascii="宋体" w:hAnsi="宋体" w:cs="宋体" w:eastAsia="宋体" w:hint="default"/>
        </w:rPr>
        <w:t>438</w:t>
      </w:r>
      <w:r>
        <w:rPr>
          <w:rFonts w:ascii="宋体" w:hAnsi="宋体" w:cs="宋体" w:eastAsia="宋体" w:hint="default"/>
          <w:spacing w:val="-60"/>
        </w:rPr>
        <w:t> </w:t>
      </w:r>
      <w:r>
        <w:rPr/>
        <w:t>公里运营线路长度。 在过去的一年里，公司紧抓行业发展的机遇，积极开拓创新，加强公司内部管理，使公</w:t>
      </w:r>
    </w:p>
    <w:p>
      <w:pPr>
        <w:pStyle w:val="BodyText"/>
        <w:spacing w:line="350" w:lineRule="auto" w:before="32"/>
        <w:ind w:left="633" w:right="0" w:hanging="480"/>
        <w:jc w:val="left"/>
      </w:pPr>
      <w:r>
        <w:rPr/>
        <w:t>司的主营业务保持了相对平稳的发展。</w:t>
      </w:r>
      <w:r>
        <w:rPr>
          <w:rFonts w:ascii="宋体" w:hAnsi="宋体" w:cs="宋体" w:eastAsia="宋体" w:hint="default"/>
        </w:rPr>
        <w:t>2015</w:t>
      </w:r>
      <w:r>
        <w:rPr>
          <w:rFonts w:ascii="宋体" w:hAnsi="宋体" w:cs="宋体" w:eastAsia="宋体" w:hint="default"/>
          <w:spacing w:val="-60"/>
        </w:rPr>
        <w:t> </w:t>
      </w:r>
      <w:r>
        <w:rPr/>
        <w:t>年，公司的主要工作如下： </w:t>
      </w:r>
      <w:r>
        <w:rPr>
          <w:rFonts w:ascii="宋体" w:hAnsi="宋体" w:cs="宋体" w:eastAsia="宋体" w:hint="default"/>
          <w:spacing w:val="-3"/>
        </w:rPr>
        <w:t>1</w:t>
      </w:r>
      <w:r>
        <w:rPr>
          <w:spacing w:val="-3"/>
        </w:rPr>
        <w:t>、在市场推广方面：密切与用户、业主及设计咨询单位的交流、推介工作，积极与四电</w:t>
      </w:r>
    </w:p>
    <w:p>
      <w:pPr>
        <w:pStyle w:val="BodyText"/>
        <w:spacing w:line="350" w:lineRule="auto"/>
        <w:ind w:right="1153"/>
        <w:jc w:val="left"/>
      </w:pPr>
      <w:r>
        <w:rPr/>
        <w:t>集成商、城轨集成商、海外项目总包商进行技术交流和沟通洽谈，加强公司产品的市场推介 力度，保持了公司既有产品的技术先进性和市场占有率；</w:t>
      </w:r>
    </w:p>
    <w:p>
      <w:pPr>
        <w:pStyle w:val="BodyText"/>
        <w:spacing w:line="350" w:lineRule="auto" w:before="35"/>
        <w:ind w:right="1033" w:firstLine="480"/>
        <w:jc w:val="left"/>
      </w:pPr>
      <w:r>
        <w:rPr>
          <w:rFonts w:ascii="宋体" w:hAnsi="宋体" w:cs="宋体" w:eastAsia="宋体" w:hint="default"/>
        </w:rPr>
        <w:t>2</w:t>
      </w:r>
      <w:r>
        <w:rPr/>
        <w:t>、在产品研发方面：积极推动电务维护产品线平台化，提升产品的技术水平和竞争力； 加快推进城轨综合监控自主软件平台、城轨列车自动监控系统的研发；紧跟电源产品、电码 </w:t>
      </w:r>
      <w:r>
        <w:rPr>
          <w:spacing w:val="-3"/>
        </w:rPr>
        <w:t>化产品的技术发展趋势，推动产品技术方案的优化工作；稳步推进</w:t>
      </w:r>
      <w:r>
        <w:rPr>
          <w:spacing w:val="-59"/>
        </w:rPr>
        <w:t> </w:t>
      </w:r>
      <w:r>
        <w:rPr>
          <w:rFonts w:ascii="宋体" w:hAnsi="宋体" w:cs="宋体" w:eastAsia="宋体" w:hint="default"/>
        </w:rPr>
        <w:t>2013</w:t>
      </w:r>
      <w:r>
        <w:rPr>
          <w:rFonts w:ascii="宋体" w:hAnsi="宋体" w:cs="宋体" w:eastAsia="宋体" w:hint="default"/>
          <w:spacing w:val="-59"/>
        </w:rPr>
        <w:t> </w:t>
      </w:r>
      <w:r>
        <w:rPr/>
        <w:t>年非公开发行募投项</w:t>
      </w:r>
      <w:r>
        <w:rPr>
          <w:spacing w:val="-118"/>
        </w:rPr>
        <w:t> </w:t>
      </w:r>
      <w:r>
        <w:rPr/>
        <w:t>目的研发工作。同时，公司注重加强研发项目的管理工作，提高研发效率。</w:t>
      </w:r>
    </w:p>
    <w:p>
      <w:pPr>
        <w:pStyle w:val="BodyText"/>
        <w:spacing w:line="350" w:lineRule="auto"/>
        <w:ind w:left="154" w:right="0" w:firstLine="480"/>
        <w:jc w:val="left"/>
      </w:pPr>
      <w:r>
        <w:rPr>
          <w:rFonts w:ascii="宋体" w:hAnsi="宋体" w:cs="宋体" w:eastAsia="宋体" w:hint="default"/>
          <w:spacing w:val="-3"/>
        </w:rPr>
        <w:t>3</w:t>
      </w:r>
      <w:r>
        <w:rPr>
          <w:spacing w:val="-3"/>
        </w:rPr>
        <w:t>、在产品施工交付方面：加强项目现场交付管理，优化物资供应和现场交付机制，提高</w:t>
      </w:r>
      <w:r>
        <w:rPr/>
        <w:t> 交付效率；优化项目交付应急机制和管理，提高用户满意度。</w:t>
      </w:r>
    </w:p>
    <w:p>
      <w:pPr>
        <w:pStyle w:val="BodyText"/>
        <w:spacing w:line="352" w:lineRule="auto" w:before="35"/>
        <w:ind w:right="1133" w:firstLine="480"/>
        <w:jc w:val="both"/>
      </w:pPr>
      <w:r>
        <w:rPr>
          <w:rFonts w:ascii="宋体" w:hAnsi="宋体" w:cs="宋体" w:eastAsia="宋体" w:hint="default"/>
          <w:spacing w:val="-3"/>
        </w:rPr>
        <w:t>4</w:t>
      </w:r>
      <w:r>
        <w:rPr>
          <w:spacing w:val="-3"/>
        </w:rPr>
        <w:t>、在企业管理方面：加强业务人员、技术人员的精细化管理，促进人均效率提升；制定</w:t>
      </w:r>
      <w:r>
        <w:rPr/>
        <w:t> 相关的费用管理和控制措施，有效控制成本及费用；启动第一期员工持股计划，将员工利益 与公司的发展相挂钩，形成长期的激励机制。</w:t>
      </w:r>
    </w:p>
    <w:p>
      <w:pPr>
        <w:pStyle w:val="BodyText"/>
        <w:spacing w:line="352" w:lineRule="auto" w:before="32"/>
        <w:ind w:left="154" w:right="0" w:firstLine="480"/>
        <w:jc w:val="left"/>
      </w:pPr>
      <w:r>
        <w:rPr>
          <w:rFonts w:ascii="宋体" w:hAnsi="宋体" w:cs="宋体" w:eastAsia="宋体" w:hint="default"/>
          <w:spacing w:val="-3"/>
        </w:rPr>
        <w:t>5</w:t>
      </w:r>
      <w:r>
        <w:rPr>
          <w:spacing w:val="-3"/>
        </w:rPr>
        <w:t>、在城市轨道交通业务拓展方面：抓住全国城市轨道交通市场大力发展的机遇，筹划设</w:t>
      </w:r>
      <w:r>
        <w:rPr/>
        <w:t> 立河南辉煌城轨科技有限公司，承担与城市轨道交通相关的业务。</w:t>
      </w:r>
    </w:p>
    <w:p>
      <w:pPr>
        <w:pStyle w:val="BodyText"/>
        <w:spacing w:line="350" w:lineRule="auto" w:before="32"/>
        <w:ind w:right="995" w:firstLine="480"/>
        <w:jc w:val="left"/>
      </w:pPr>
      <w:r>
        <w:rPr>
          <w:rFonts w:ascii="宋体" w:hAnsi="宋体" w:cs="宋体" w:eastAsia="宋体" w:hint="default"/>
          <w:spacing w:val="-3"/>
        </w:rPr>
        <w:t>6</w:t>
      </w:r>
      <w:r>
        <w:rPr>
          <w:spacing w:val="-3"/>
        </w:rPr>
        <w:t>、在资本运作方面：先后投资参股了飞天联合、赛弗科技、七彩通达等公司；发行了公</w:t>
      </w:r>
      <w:r>
        <w:rPr/>
        <w:t> 司</w:t>
      </w:r>
      <w:r>
        <w:rPr>
          <w:spacing w:val="-60"/>
        </w:rPr>
        <w:t> </w:t>
      </w:r>
      <w:r>
        <w:rPr>
          <w:rFonts w:ascii="宋体" w:hAnsi="宋体" w:cs="宋体" w:eastAsia="宋体" w:hint="default"/>
        </w:rPr>
        <w:t>2015</w:t>
      </w:r>
      <w:r>
        <w:rPr>
          <w:rFonts w:ascii="宋体" w:hAnsi="宋体" w:cs="宋体" w:eastAsia="宋体" w:hint="default"/>
          <w:spacing w:val="-60"/>
        </w:rPr>
        <w:t> </w:t>
      </w:r>
      <w:r>
        <w:rPr/>
        <w:t>年第一期公司债券，共募集资金</w:t>
      </w:r>
      <w:r>
        <w:rPr>
          <w:spacing w:val="-60"/>
        </w:rPr>
        <w:t> </w:t>
      </w:r>
      <w:r>
        <w:rPr>
          <w:rFonts w:ascii="宋体" w:hAnsi="宋体" w:cs="宋体" w:eastAsia="宋体" w:hint="default"/>
        </w:rPr>
        <w:t>2.5</w:t>
      </w:r>
      <w:r>
        <w:rPr>
          <w:rFonts w:ascii="宋体" w:hAnsi="宋体" w:cs="宋体" w:eastAsia="宋体" w:hint="default"/>
          <w:spacing w:val="-60"/>
        </w:rPr>
        <w:t> </w:t>
      </w:r>
      <w:r>
        <w:rPr/>
        <w:t>亿元；启动了</w:t>
      </w:r>
      <w:r>
        <w:rPr>
          <w:spacing w:val="-60"/>
        </w:rPr>
        <w:t> </w:t>
      </w:r>
      <w:r>
        <w:rPr>
          <w:rFonts w:ascii="宋体" w:hAnsi="宋体" w:cs="宋体" w:eastAsia="宋体" w:hint="default"/>
        </w:rPr>
        <w:t>2015</w:t>
      </w:r>
      <w:r>
        <w:rPr>
          <w:rFonts w:ascii="宋体" w:hAnsi="宋体" w:cs="宋体" w:eastAsia="宋体" w:hint="default"/>
          <w:spacing w:val="-60"/>
        </w:rPr>
        <w:t> </w:t>
      </w:r>
      <w:r>
        <w:rPr/>
        <w:t>年度非公开发行项目，计划</w:t>
      </w:r>
    </w:p>
    <w:p>
      <w:pPr>
        <w:pStyle w:val="BodyText"/>
        <w:spacing w:line="240" w:lineRule="auto"/>
        <w:ind w:right="1153"/>
        <w:jc w:val="left"/>
      </w:pPr>
      <w:r>
        <w:rPr/>
        <w:t>募集资金</w:t>
      </w:r>
      <w:r>
        <w:rPr>
          <w:spacing w:val="-60"/>
        </w:rPr>
        <w:t> </w:t>
      </w:r>
      <w:r>
        <w:rPr>
          <w:rFonts w:ascii="宋体" w:hAnsi="宋体" w:cs="宋体" w:eastAsia="宋体" w:hint="default"/>
        </w:rPr>
        <w:t>10.2</w:t>
      </w:r>
      <w:r>
        <w:rPr>
          <w:rFonts w:ascii="宋体" w:hAnsi="宋体" w:cs="宋体" w:eastAsia="宋体" w:hint="default"/>
          <w:spacing w:val="-60"/>
        </w:rPr>
        <w:t> </w:t>
      </w:r>
      <w:r>
        <w:rPr/>
        <w:t>亿元。</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1153"/>
        <w:jc w:val="left"/>
        <w:rPr>
          <w:b w:val="0"/>
          <w:bCs w:val="0"/>
        </w:rPr>
      </w:pPr>
      <w:r>
        <w:rPr/>
        <w:t>二、主营业务分析</w:t>
      </w:r>
      <w:r>
        <w:rPr>
          <w:b w:val="0"/>
          <w:bCs w:val="0"/>
        </w:rPr>
      </w:r>
    </w:p>
    <w:p>
      <w:pPr>
        <w:pStyle w:val="Heading2"/>
        <w:spacing w:line="240" w:lineRule="auto" w:before="145"/>
        <w:ind w:right="1153"/>
        <w:jc w:val="left"/>
        <w:rPr>
          <w:b w:val="0"/>
          <w:bCs w:val="0"/>
        </w:rPr>
      </w:pPr>
      <w:r>
        <w:rPr>
          <w:rFonts w:ascii="Times New Roman" w:hAnsi="Times New Roman" w:cs="Times New Roman" w:eastAsia="Times New Roman" w:hint="default"/>
        </w:rPr>
        <w:t>1</w:t>
      </w:r>
      <w:r>
        <w:rPr/>
        <w:t>、概述</w:t>
      </w:r>
      <w:r>
        <w:rPr>
          <w:b w:val="0"/>
          <w:bCs w:val="0"/>
        </w:rPr>
      </w:r>
    </w:p>
    <w:p>
      <w:pPr>
        <w:pStyle w:val="BodyText"/>
        <w:spacing w:line="350" w:lineRule="auto" w:before="168"/>
        <w:ind w:right="0" w:firstLine="480"/>
        <w:jc w:val="left"/>
      </w:pPr>
      <w:r>
        <w:rPr/>
        <w:t>（</w:t>
      </w:r>
      <w:r>
        <w:rPr>
          <w:rFonts w:ascii="宋体" w:hAnsi="宋体" w:cs="宋体" w:eastAsia="宋体" w:hint="default"/>
        </w:rPr>
        <w:t>1</w:t>
      </w:r>
      <w:r>
        <w:rPr/>
        <w:t>）报告期内，公司实现营业收入</w:t>
      </w:r>
      <w:r>
        <w:rPr>
          <w:rFonts w:ascii="宋体" w:hAnsi="宋体" w:cs="宋体" w:eastAsia="宋体" w:hint="default"/>
        </w:rPr>
        <w:t>56,602.69</w:t>
      </w:r>
      <w:r>
        <w:rPr/>
        <w:t>万元，比上年同期增长</w:t>
      </w:r>
      <w:r>
        <w:rPr>
          <w:rFonts w:ascii="宋体" w:hAnsi="宋体" w:cs="宋体" w:eastAsia="宋体" w:hint="default"/>
        </w:rPr>
        <w:t>7.69%</w:t>
      </w:r>
      <w:r>
        <w:rPr/>
        <w:t>，营业成本为 </w:t>
      </w:r>
      <w:r>
        <w:rPr>
          <w:rFonts w:ascii="宋体" w:hAnsi="宋体" w:cs="宋体" w:eastAsia="宋体" w:hint="default"/>
          <w:spacing w:val="-2"/>
        </w:rPr>
        <w:t>29,320.33</w:t>
      </w:r>
      <w:r>
        <w:rPr>
          <w:spacing w:val="-2"/>
        </w:rPr>
        <w:t>万元，比上年同期增长</w:t>
      </w:r>
      <w:r>
        <w:rPr>
          <w:rFonts w:ascii="宋体" w:hAnsi="宋体" w:cs="宋体" w:eastAsia="宋体" w:hint="default"/>
          <w:spacing w:val="-2"/>
        </w:rPr>
        <w:t>4.09%</w:t>
      </w:r>
      <w:r>
        <w:rPr>
          <w:spacing w:val="-2"/>
        </w:rPr>
        <w:t>，实现归属于上市公司股东的净利润为</w:t>
      </w:r>
      <w:r>
        <w:rPr>
          <w:rFonts w:ascii="宋体" w:hAnsi="宋体" w:cs="宋体" w:eastAsia="宋体" w:hint="default"/>
          <w:spacing w:val="-2"/>
        </w:rPr>
        <w:t>7,492.38</w:t>
      </w:r>
      <w:r>
        <w:rPr>
          <w:spacing w:val="-2"/>
        </w:rPr>
        <w:t>万元，</w:t>
      </w:r>
      <w:r>
        <w:rPr>
          <w:spacing w:val="-98"/>
        </w:rPr>
        <w:t> </w:t>
      </w:r>
      <w:r>
        <w:rPr/>
        <w:t>比去年同期下降</w:t>
      </w:r>
      <w:r>
        <w:rPr>
          <w:rFonts w:ascii="宋体" w:hAnsi="宋体" w:cs="宋体" w:eastAsia="宋体" w:hint="default"/>
        </w:rPr>
        <w:t>24.33%</w:t>
      </w:r>
      <w:r>
        <w:rPr/>
        <w:t>。虽然报告期内国家铁路建设投资趋于平稳，公司的主营业务保持了 </w:t>
      </w:r>
      <w:r>
        <w:rPr>
          <w:spacing w:val="-3"/>
        </w:rPr>
        <w:t>比较稳定的增幅，但是由于以下原因造成了公司净利润较去年同期有较大幅度的下滑：</w:t>
      </w:r>
      <w:r>
        <w:rPr>
          <w:rFonts w:ascii="宋体" w:hAnsi="宋体" w:cs="宋体" w:eastAsia="宋体" w:hint="default"/>
          <w:spacing w:val="-3"/>
        </w:rPr>
        <w:t>a</w:t>
      </w:r>
      <w:r>
        <w:rPr>
          <w:spacing w:val="-3"/>
        </w:rPr>
        <w:t>、报</w:t>
      </w:r>
      <w:r>
        <w:rPr>
          <w:spacing w:val="-108"/>
        </w:rPr>
        <w:t> </w:t>
      </w:r>
      <w:r>
        <w:rPr>
          <w:spacing w:val="-5"/>
        </w:rPr>
        <w:t>告期内公司启动了员工持股计划，计提激励基金</w:t>
      </w:r>
      <w:r>
        <w:rPr>
          <w:rFonts w:ascii="宋体" w:hAnsi="宋体" w:cs="宋体" w:eastAsia="宋体" w:hint="default"/>
          <w:spacing w:val="-5"/>
        </w:rPr>
        <w:t>1,003.17</w:t>
      </w:r>
      <w:r>
        <w:rPr>
          <w:spacing w:val="-5"/>
        </w:rPr>
        <w:t>万元；</w:t>
      </w:r>
      <w:r>
        <w:rPr>
          <w:rFonts w:ascii="宋体" w:hAnsi="宋体" w:cs="宋体" w:eastAsia="宋体" w:hint="default"/>
          <w:spacing w:val="-5"/>
        </w:rPr>
        <w:t>b</w:t>
      </w:r>
      <w:r>
        <w:rPr>
          <w:spacing w:val="-5"/>
        </w:rPr>
        <w:t>、</w:t>
      </w:r>
      <w:r>
        <w:rPr>
          <w:rFonts w:ascii="宋体" w:hAnsi="宋体" w:cs="宋体" w:eastAsia="宋体" w:hint="default"/>
          <w:spacing w:val="-5"/>
        </w:rPr>
        <w:t>2015</w:t>
      </w:r>
      <w:r>
        <w:rPr>
          <w:spacing w:val="-5"/>
        </w:rPr>
        <w:t>年</w:t>
      </w:r>
      <w:r>
        <w:rPr>
          <w:rFonts w:ascii="宋体" w:hAnsi="宋体" w:cs="宋体" w:eastAsia="宋体" w:hint="default"/>
          <w:spacing w:val="-5"/>
        </w:rPr>
        <w:t>3</w:t>
      </w:r>
      <w:r>
        <w:rPr>
          <w:spacing w:val="-5"/>
        </w:rPr>
        <w:t>月公司发行了</w:t>
      </w:r>
      <w:r>
        <w:rPr>
          <w:rFonts w:ascii="宋体" w:hAnsi="宋体" w:cs="宋体" w:eastAsia="宋体" w:hint="default"/>
          <w:spacing w:val="-5"/>
        </w:rPr>
        <w:t>2015</w:t>
      </w:r>
      <w:r>
        <w:rPr>
          <w:rFonts w:ascii="宋体" w:hAnsi="宋体" w:cs="宋体" w:eastAsia="宋体" w:hint="default"/>
          <w:spacing w:val="-74"/>
        </w:rPr>
        <w:t> </w:t>
      </w:r>
      <w:r>
        <w:rPr/>
        <w:t>年第一期公司债</w:t>
      </w:r>
      <w:r>
        <w:rPr>
          <w:rFonts w:ascii="宋体" w:hAnsi="宋体" w:cs="宋体" w:eastAsia="宋体" w:hint="default"/>
        </w:rPr>
        <w:t>2.5</w:t>
      </w:r>
      <w:r>
        <w:rPr/>
        <w:t>亿元，导致利息支出大幅增加；</w:t>
      </w:r>
      <w:r>
        <w:rPr>
          <w:rFonts w:ascii="宋体" w:hAnsi="宋体" w:cs="宋体" w:eastAsia="宋体" w:hint="default"/>
        </w:rPr>
        <w:t>c</w:t>
      </w:r>
      <w:r>
        <w:rPr/>
        <w:t>、报告期内，子公司国铁路阳的净利润 不达预期，计提商誉减值</w:t>
      </w:r>
      <w:r>
        <w:rPr>
          <w:rFonts w:ascii="宋体" w:hAnsi="宋体" w:cs="宋体" w:eastAsia="宋体" w:hint="default"/>
        </w:rPr>
        <w:t>1,264.81</w:t>
      </w:r>
      <w:r>
        <w:rPr/>
        <w:t>万元，及应收账款增加导致坏账准备比上年同期增长；</w:t>
      </w:r>
      <w:r>
        <w:rPr>
          <w:rFonts w:ascii="宋体" w:hAnsi="宋体" w:cs="宋体" w:eastAsia="宋体" w:hint="default"/>
        </w:rPr>
        <w:t>d</w:t>
      </w:r>
      <w:r>
        <w:rPr/>
        <w:t>、 报告期内，公司收到增值税超税负退税比上年同期减少。</w:t>
      </w:r>
    </w:p>
    <w:p>
      <w:pPr>
        <w:pStyle w:val="BodyText"/>
        <w:spacing w:line="350" w:lineRule="auto" w:before="76"/>
        <w:ind w:right="1120" w:firstLine="480"/>
        <w:jc w:val="left"/>
      </w:pPr>
      <w:r>
        <w:rPr/>
        <w:t>（</w:t>
      </w:r>
      <w:r>
        <w:rPr>
          <w:rFonts w:ascii="宋体" w:hAnsi="宋体" w:cs="宋体" w:eastAsia="宋体" w:hint="default"/>
        </w:rPr>
        <w:t>2</w:t>
      </w:r>
      <w:r>
        <w:rPr/>
        <w:t>）本报告期内，公司的研发投入为</w:t>
      </w:r>
      <w:r>
        <w:rPr>
          <w:spacing w:val="-69"/>
        </w:rPr>
        <w:t> </w:t>
      </w:r>
      <w:r>
        <w:rPr>
          <w:rFonts w:ascii="宋体" w:hAnsi="宋体" w:cs="宋体" w:eastAsia="宋体" w:hint="default"/>
        </w:rPr>
        <w:t>6,327.43</w:t>
      </w:r>
      <w:r>
        <w:rPr>
          <w:rFonts w:ascii="宋体" w:hAnsi="宋体" w:cs="宋体" w:eastAsia="宋体" w:hint="default"/>
          <w:spacing w:val="-69"/>
        </w:rPr>
        <w:t> </w:t>
      </w:r>
      <w:r>
        <w:rPr/>
        <w:t>万元，占公司营业务收入的</w:t>
      </w:r>
      <w:r>
        <w:rPr>
          <w:spacing w:val="-69"/>
        </w:rPr>
        <w:t> </w:t>
      </w:r>
      <w:r>
        <w:rPr>
          <w:rFonts w:ascii="宋体" w:hAnsi="宋体" w:cs="宋体" w:eastAsia="宋体" w:hint="default"/>
        </w:rPr>
        <w:t>11.18%</w:t>
      </w:r>
      <w:r>
        <w:rPr/>
        <w:t>，比</w:t>
      </w:r>
      <w:r>
        <w:rPr>
          <w:spacing w:val="-5"/>
        </w:rPr>
        <w:t> </w:t>
      </w:r>
      <w:r>
        <w:rPr/>
        <w:t>上年同期增长</w:t>
      </w:r>
      <w:r>
        <w:rPr>
          <w:spacing w:val="-60"/>
        </w:rPr>
        <w:t> </w:t>
      </w:r>
      <w:r>
        <w:rPr>
          <w:rFonts w:ascii="宋体" w:hAnsi="宋体" w:cs="宋体" w:eastAsia="宋体" w:hint="default"/>
        </w:rPr>
        <w:t>44.37%</w:t>
      </w:r>
      <w:r>
        <w:rPr/>
        <w:t>，主要原因报告期内公司拟在研项目投入增加所致；</w:t>
      </w:r>
    </w:p>
    <w:p>
      <w:pPr>
        <w:pStyle w:val="BodyText"/>
        <w:spacing w:line="350" w:lineRule="auto"/>
        <w:ind w:left="154" w:right="1130" w:firstLine="480"/>
        <w:jc w:val="both"/>
      </w:pPr>
      <w:r>
        <w:rPr/>
        <w:t>（</w:t>
      </w:r>
      <w:r>
        <w:rPr>
          <w:rFonts w:ascii="宋体" w:hAnsi="宋体" w:cs="宋体" w:eastAsia="宋体" w:hint="default"/>
        </w:rPr>
        <w:t>3</w:t>
      </w:r>
      <w:r>
        <w:rPr/>
        <w:t>）报告期内，公司经营活动产生的现金流量净额比去年同期增长</w:t>
      </w:r>
      <w:r>
        <w:rPr>
          <w:spacing w:val="-81"/>
        </w:rPr>
        <w:t> </w:t>
      </w:r>
      <w:r>
        <w:rPr>
          <w:rFonts w:ascii="宋体" w:hAnsi="宋体" w:cs="宋体" w:eastAsia="宋体" w:hint="default"/>
        </w:rPr>
        <w:t>110.73%</w:t>
      </w:r>
      <w:r>
        <w:rPr/>
        <w:t>，主要原因 为：主要原因系公司报告期内销售商品提供劳务收到的现金增加；购买商品、接受劳务支付 的现金减少所致；</w:t>
      </w:r>
    </w:p>
    <w:p>
      <w:pPr>
        <w:pStyle w:val="BodyText"/>
        <w:spacing w:line="240" w:lineRule="auto"/>
        <w:ind w:left="634" w:right="0"/>
        <w:jc w:val="left"/>
      </w:pPr>
      <w:r>
        <w:rPr/>
        <w:t>（</w:t>
      </w:r>
      <w:r>
        <w:rPr>
          <w:rFonts w:ascii="宋体" w:hAnsi="宋体" w:cs="宋体" w:eastAsia="宋体" w:hint="default"/>
        </w:rPr>
        <w:t>4</w:t>
      </w:r>
      <w:r>
        <w:rPr/>
        <w:t>）报告期内，公司产品的毛利率为</w:t>
      </w:r>
      <w:r>
        <w:rPr>
          <w:spacing w:val="-60"/>
        </w:rPr>
        <w:t> </w:t>
      </w:r>
      <w:r>
        <w:rPr>
          <w:rFonts w:ascii="宋体" w:hAnsi="宋体" w:cs="宋体" w:eastAsia="宋体" w:hint="default"/>
        </w:rPr>
        <w:t>48.20%</w:t>
      </w:r>
      <w:r>
        <w:rPr/>
        <w:t>，比上年同期增长</w:t>
      </w:r>
      <w:r>
        <w:rPr>
          <w:spacing w:val="-60"/>
        </w:rPr>
        <w:t> </w:t>
      </w:r>
      <w:r>
        <w:rPr>
          <w:rFonts w:ascii="宋体" w:hAnsi="宋体" w:cs="宋体" w:eastAsia="宋体" w:hint="default"/>
        </w:rPr>
        <w:t>1.79%</w:t>
      </w:r>
      <w:r>
        <w:rPr/>
        <w:t>，基本保持稳定；</w:t>
      </w:r>
    </w:p>
    <w:p>
      <w:pPr>
        <w:pStyle w:val="BodyText"/>
        <w:spacing w:line="352" w:lineRule="auto" w:before="145"/>
        <w:ind w:right="1131" w:firstLine="480"/>
        <w:jc w:val="both"/>
      </w:pPr>
      <w:r>
        <w:rPr>
          <w:spacing w:val="-3"/>
        </w:rPr>
        <w:t>（</w:t>
      </w:r>
      <w:r>
        <w:rPr>
          <w:rFonts w:ascii="宋体" w:hAnsi="宋体" w:cs="宋体" w:eastAsia="宋体" w:hint="default"/>
          <w:spacing w:val="-3"/>
        </w:rPr>
        <w:t>5</w:t>
      </w:r>
      <w:r>
        <w:rPr>
          <w:spacing w:val="-3"/>
        </w:rPr>
        <w:t>）公司根据产品订单进行生产，不存在产品积压情况。报告期内，公司存货占总资产</w:t>
      </w:r>
      <w:r>
        <w:rPr/>
        <w:t> 的比例为</w:t>
      </w:r>
      <w:r>
        <w:rPr>
          <w:spacing w:val="-81"/>
        </w:rPr>
        <w:t> </w:t>
      </w:r>
      <w:r>
        <w:rPr>
          <w:rFonts w:ascii="宋体" w:hAnsi="宋体" w:cs="宋体" w:eastAsia="宋体" w:hint="default"/>
        </w:rPr>
        <w:t>10.25%</w:t>
      </w:r>
      <w:r>
        <w:rPr/>
        <w:t>，主要是为合同备货的产品未到完工验收期，暂未确认收入。期末存货的可 回收净值高于账面价值，无需计提跌价准备；</w:t>
      </w:r>
    </w:p>
    <w:p>
      <w:pPr>
        <w:pStyle w:val="BodyText"/>
        <w:spacing w:line="352" w:lineRule="auto" w:before="32"/>
        <w:ind w:right="1133" w:firstLine="600"/>
        <w:jc w:val="both"/>
      </w:pPr>
      <w:r>
        <w:rPr/>
        <w:t>（</w:t>
      </w:r>
      <w:r>
        <w:rPr>
          <w:rFonts w:ascii="宋体" w:hAnsi="宋体" w:cs="宋体" w:eastAsia="宋体" w:hint="default"/>
        </w:rPr>
        <w:t>6</w:t>
      </w:r>
      <w:r>
        <w:rPr/>
        <w:t>）报告期内，公司与前五名供应商、客户不存在关联关系，公司董事、监事、高级 管理人员、核心技术人员、持股</w:t>
      </w:r>
      <w:r>
        <w:rPr>
          <w:spacing w:val="-82"/>
        </w:rPr>
        <w:t> </w:t>
      </w:r>
      <w:r>
        <w:rPr>
          <w:rFonts w:ascii="宋体" w:hAnsi="宋体" w:cs="宋体" w:eastAsia="宋体" w:hint="default"/>
        </w:rPr>
        <w:t>5%</w:t>
      </w:r>
      <w:r>
        <w:rPr/>
        <w:t>以上股东、实际控制人和其他关联方在主要客户、供应商 中不直接或者间接拥有权益等；无单一供应商或者客户采购、销售比例超过</w:t>
      </w:r>
      <w:r>
        <w:rPr>
          <w:spacing w:val="-59"/>
        </w:rPr>
        <w:t> </w:t>
      </w:r>
      <w:r>
        <w:rPr>
          <w:rFonts w:ascii="宋体" w:hAnsi="宋体" w:cs="宋体" w:eastAsia="宋体" w:hint="default"/>
        </w:rPr>
        <w:t>30</w:t>
      </w:r>
      <w:r>
        <w:rPr/>
        <w:t>％的情形；</w:t>
      </w:r>
    </w:p>
    <w:p>
      <w:pPr>
        <w:pStyle w:val="BodyText"/>
        <w:spacing w:line="240" w:lineRule="auto" w:before="32"/>
        <w:ind w:left="633" w:right="1153"/>
        <w:jc w:val="left"/>
      </w:pPr>
      <w:r>
        <w:rPr/>
        <w:t>（</w:t>
      </w:r>
      <w:r>
        <w:rPr>
          <w:rFonts w:ascii="宋体" w:hAnsi="宋体" w:cs="宋体" w:eastAsia="宋体" w:hint="default"/>
        </w:rPr>
        <w:t>7</w:t>
      </w:r>
      <w:r>
        <w:rPr/>
        <w:t>）报告期内，公司主要设备的盈利能力状况未发生变化。</w:t>
      </w:r>
    </w:p>
    <w:p>
      <w:pPr>
        <w:pStyle w:val="Heading2"/>
        <w:spacing w:line="240" w:lineRule="auto" w:before="145"/>
        <w:ind w:right="1153"/>
        <w:jc w:val="left"/>
        <w:rPr>
          <w:b w:val="0"/>
          <w:bCs w:val="0"/>
        </w:rPr>
      </w:pPr>
      <w:r>
        <w:rPr>
          <w:rFonts w:ascii="Times New Roman" w:hAnsi="Times New Roman" w:cs="Times New Roman" w:eastAsia="Times New Roman" w:hint="default"/>
        </w:rPr>
        <w:t>2</w:t>
      </w:r>
      <w:r>
        <w:rPr/>
        <w:t>、收入与成本</w:t>
      </w:r>
      <w:r>
        <w:rPr>
          <w:b w:val="0"/>
          <w:bCs w:val="0"/>
        </w:rPr>
      </w:r>
    </w:p>
    <w:p>
      <w:pPr>
        <w:pStyle w:val="Heading2"/>
        <w:spacing w:line="240" w:lineRule="auto" w:before="128"/>
        <w:ind w:right="115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before="65"/>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28"/>
        <w:gridCol w:w="1701"/>
        <w:gridCol w:w="1547"/>
        <w:gridCol w:w="1571"/>
        <w:gridCol w:w="1537"/>
        <w:gridCol w:w="1073"/>
      </w:tblGrid>
      <w:tr>
        <w:trPr>
          <w:trHeight w:val="205" w:hRule="exact"/>
        </w:trPr>
        <w:tc>
          <w:tcPr>
            <w:tcW w:w="2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9"/>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1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07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128" w:type="dxa"/>
            <w:vMerge w:val="restart"/>
            <w:tcBorders>
              <w:top w:val="nil" w:sz="6" w:space="0" w:color="auto"/>
              <w:left w:val="single" w:sz="4" w:space="0" w:color="000000"/>
              <w:right w:val="single" w:sz="4" w:space="0" w:color="000000"/>
            </w:tcBorders>
            <w:shd w:val="clear" w:color="auto" w:fill="D2D2D2"/>
          </w:tcPr>
          <w:p>
            <w:pPr/>
          </w:p>
        </w:tc>
        <w:tc>
          <w:tcPr>
            <w:tcW w:w="3248" w:type="dxa"/>
            <w:gridSpan w:val="2"/>
            <w:vMerge/>
            <w:tcBorders>
              <w:left w:val="single" w:sz="4" w:space="0" w:color="000000"/>
              <w:bottom w:val="single" w:sz="4" w:space="0" w:color="000000"/>
              <w:right w:val="single" w:sz="4" w:space="0" w:color="000000"/>
            </w:tcBorders>
            <w:shd w:val="clear" w:color="auto" w:fill="D2D2D2"/>
          </w:tcPr>
          <w:p>
            <w:pPr/>
          </w:p>
        </w:tc>
        <w:tc>
          <w:tcPr>
            <w:tcW w:w="3108" w:type="dxa"/>
            <w:gridSpan w:val="2"/>
            <w:vMerge/>
            <w:tcBorders>
              <w:left w:val="single" w:sz="4" w:space="0" w:color="000000"/>
              <w:bottom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18"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200" w:hRule="exact"/>
        </w:trPr>
        <w:tc>
          <w:tcPr>
            <w:tcW w:w="2128" w:type="dxa"/>
            <w:vMerge/>
            <w:tcBorders>
              <w:left w:val="single" w:sz="4" w:space="0" w:color="000000"/>
              <w:bottom w:val="nil" w:sz="6" w:space="0" w:color="auto"/>
              <w:right w:val="single" w:sz="4" w:space="0" w:color="000000"/>
            </w:tcBorders>
            <w:shd w:val="clear" w:color="auto" w:fill="D2D2D2"/>
          </w:tcPr>
          <w:p>
            <w:pP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right="22"/>
              <w:jc w:val="center"/>
              <w:rPr>
                <w:rFonts w:ascii="宋体" w:hAnsi="宋体" w:cs="宋体" w:eastAsia="宋体" w:hint="default"/>
                <w:sz w:val="21"/>
                <w:szCs w:val="21"/>
              </w:rPr>
            </w:pPr>
            <w:r>
              <w:rPr>
                <w:rFonts w:ascii="宋体" w:hAnsi="宋体" w:cs="宋体" w:eastAsia="宋体" w:hint="default"/>
                <w:sz w:val="21"/>
                <w:szCs w:val="21"/>
              </w:rPr>
              <w:t>金额</w:t>
            </w:r>
          </w:p>
        </w:tc>
        <w:tc>
          <w:tcPr>
            <w:tcW w:w="15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27"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right="11"/>
              <w:jc w:val="center"/>
              <w:rPr>
                <w:rFonts w:ascii="宋体" w:hAnsi="宋体" w:cs="宋体" w:eastAsia="宋体" w:hint="default"/>
                <w:sz w:val="21"/>
                <w:szCs w:val="21"/>
              </w:rPr>
            </w:pPr>
            <w:r>
              <w:rPr>
                <w:rFonts w:ascii="宋体" w:hAnsi="宋体" w:cs="宋体" w:eastAsia="宋体" w:hint="default"/>
                <w:sz w:val="21"/>
                <w:szCs w:val="21"/>
              </w:rPr>
              <w:t>金额</w:t>
            </w:r>
          </w:p>
        </w:tc>
        <w:tc>
          <w:tcPr>
            <w:tcW w:w="15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29" w:right="0"/>
              <w:jc w:val="left"/>
              <w:rPr>
                <w:rFonts w:ascii="宋体" w:hAnsi="宋体" w:cs="宋体" w:eastAsia="宋体" w:hint="default"/>
                <w:sz w:val="21"/>
                <w:szCs w:val="21"/>
              </w:rPr>
            </w:pPr>
            <w:r>
              <w:rPr>
                <w:rFonts w:ascii="宋体" w:hAnsi="宋体" w:cs="宋体" w:eastAsia="宋体" w:hint="default"/>
                <w:sz w:val="21"/>
                <w:szCs w:val="21"/>
              </w:rPr>
              <w:t>占营业收入比重</w:t>
            </w: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2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547"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537" w:type="dxa"/>
            <w:vMerge/>
            <w:tcBorders>
              <w:left w:val="single" w:sz="4" w:space="0" w:color="000000"/>
              <w:bottom w:val="single" w:sz="4" w:space="0" w:color="000000"/>
              <w:right w:val="single" w:sz="4" w:space="0" w:color="000000"/>
            </w:tcBorders>
            <w:shd w:val="clear" w:color="auto" w:fill="D2D2D2"/>
          </w:tcPr>
          <w:p>
            <w:pP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70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6"/>
              <w:ind w:left="175" w:right="0"/>
              <w:jc w:val="left"/>
              <w:rPr>
                <w:rFonts w:ascii="宋体" w:hAnsi="宋体" w:cs="宋体" w:eastAsia="宋体" w:hint="default"/>
                <w:sz w:val="21"/>
                <w:szCs w:val="21"/>
              </w:rPr>
            </w:pPr>
            <w:r>
              <w:rPr>
                <w:rFonts w:ascii="宋体"/>
                <w:sz w:val="21"/>
              </w:rPr>
              <w:t>566,026,914.58</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3"/>
              <w:jc w:val="right"/>
              <w:rPr>
                <w:rFonts w:ascii="宋体" w:hAnsi="宋体" w:cs="宋体" w:eastAsia="宋体" w:hint="default"/>
                <w:sz w:val="21"/>
                <w:szCs w:val="21"/>
              </w:rPr>
            </w:pPr>
            <w:r>
              <w:rPr>
                <w:rFonts w:ascii="宋体"/>
                <w:sz w:val="21"/>
              </w:rPr>
              <w:t>100%</w:t>
            </w:r>
          </w:p>
        </w:tc>
        <w:tc>
          <w:tcPr>
            <w:tcW w:w="15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6"/>
              <w:ind w:left="45" w:right="0"/>
              <w:jc w:val="left"/>
              <w:rPr>
                <w:rFonts w:ascii="宋体" w:hAnsi="宋体" w:cs="宋体" w:eastAsia="宋体" w:hint="default"/>
                <w:sz w:val="21"/>
                <w:szCs w:val="21"/>
              </w:rPr>
            </w:pPr>
            <w:r>
              <w:rPr>
                <w:rFonts w:ascii="宋体"/>
                <w:sz w:val="21"/>
              </w:rPr>
              <w:t>525,623,757.30</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sz w:val="21"/>
              </w:rPr>
              <w:t>100%</w:t>
            </w:r>
          </w:p>
        </w:tc>
        <w:tc>
          <w:tcPr>
            <w:tcW w:w="10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505" w:right="0"/>
              <w:jc w:val="left"/>
              <w:rPr>
                <w:rFonts w:ascii="宋体" w:hAnsi="宋体" w:cs="宋体" w:eastAsia="宋体" w:hint="default"/>
                <w:sz w:val="21"/>
                <w:szCs w:val="21"/>
              </w:rPr>
            </w:pPr>
            <w:r>
              <w:rPr>
                <w:rFonts w:ascii="宋体"/>
                <w:sz w:val="21"/>
              </w:rPr>
              <w:t>7.69%</w:t>
            </w:r>
          </w:p>
        </w:tc>
      </w:tr>
      <w:tr>
        <w:trPr>
          <w:trHeight w:val="397" w:hRule="exact"/>
        </w:trPr>
        <w:tc>
          <w:tcPr>
            <w:tcW w:w="955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分行业</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8"/>
        <w:gridCol w:w="1701"/>
        <w:gridCol w:w="1559"/>
        <w:gridCol w:w="1559"/>
        <w:gridCol w:w="1560"/>
        <w:gridCol w:w="1062"/>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铁路通信信号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538,599,267.26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95.15%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483,280,133.23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91.94%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11.45%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27,427,647.32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42,343,624.07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8.06%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-35.23%</w:t>
            </w:r>
          </w:p>
        </w:tc>
      </w:tr>
      <w:tr>
        <w:trPr>
          <w:trHeight w:val="402"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设备监测类产品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261,150,435.39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46.14%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207,479,325.31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39.47%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25.87%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安防类产品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129,265,181.14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22.84%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82,259,260.40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15.65%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57.14%</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jc w:val="left"/>
              <w:rPr>
                <w:rFonts w:ascii="宋体" w:hAnsi="宋体" w:cs="宋体" w:eastAsia="宋体" w:hint="default"/>
                <w:sz w:val="21"/>
                <w:szCs w:val="21"/>
              </w:rPr>
            </w:pPr>
            <w:r>
              <w:rPr>
                <w:rFonts w:ascii="宋体" w:hAnsi="宋体" w:cs="宋体" w:eastAsia="宋体" w:hint="default"/>
                <w:spacing w:val="19"/>
                <w:sz w:val="21"/>
                <w:szCs w:val="21"/>
              </w:rPr>
              <w:t>生产指挥及运输调度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信息化类产品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5,341,982.92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0.94%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33,998,034.17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-84.29%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信号控制类产品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11,045,341.88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15,642,324.77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-29.39%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电源类设备</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84,322,805.91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14.90%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62,661,850.04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34.57%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信号设备及器材</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47,473,520.02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81,239,338.54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-41.56%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27,427,647.32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42,343,624.07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8.06%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-35.23%</w:t>
            </w:r>
          </w:p>
        </w:tc>
      </w:tr>
      <w:tr>
        <w:trPr>
          <w:trHeight w:val="402"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197,281,826.09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36.63%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131,602,473.32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9.40%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南方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131,634,041.48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24.44%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122,270,901.17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-0.86%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237,111,047.01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41.89%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271,750,382.81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-12.75%</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8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636"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7801" w:space="517"/>
            <w:col w:w="2612"/>
          </w:cols>
        </w:sectPr>
      </w:pP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559"/>
        <w:gridCol w:w="1702"/>
        <w:gridCol w:w="991"/>
        <w:gridCol w:w="1419"/>
        <w:gridCol w:w="1417"/>
        <w:gridCol w:w="1276"/>
      </w:tblGrid>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08" w:lineRule="auto" w:before="105"/>
              <w:ind w:left="180" w:right="72" w:hanging="106"/>
              <w:jc w:val="left"/>
              <w:rPr>
                <w:rFonts w:ascii="宋体" w:hAnsi="宋体" w:cs="宋体" w:eastAsia="宋体" w:hint="default"/>
                <w:sz w:val="21"/>
                <w:szCs w:val="21"/>
              </w:rPr>
            </w:pPr>
            <w:r>
              <w:rPr>
                <w:rFonts w:ascii="宋体" w:hAnsi="宋体" w:cs="宋体" w:eastAsia="宋体" w:hint="default"/>
                <w:sz w:val="21"/>
                <w:szCs w:val="21"/>
              </w:rPr>
              <w:t>营业收入比上 年同期增减</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08" w:lineRule="auto" w:before="105"/>
              <w:ind w:left="177" w:right="72" w:hanging="105"/>
              <w:jc w:val="left"/>
              <w:rPr>
                <w:rFonts w:ascii="宋体" w:hAnsi="宋体" w:cs="宋体" w:eastAsia="宋体" w:hint="default"/>
                <w:sz w:val="21"/>
                <w:szCs w:val="21"/>
              </w:rPr>
            </w:pPr>
            <w:r>
              <w:rPr>
                <w:rFonts w:ascii="宋体" w:hAnsi="宋体" w:cs="宋体" w:eastAsia="宋体" w:hint="default"/>
                <w:sz w:val="21"/>
                <w:szCs w:val="21"/>
              </w:rPr>
              <w:t>营业成本比上 年同期增减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08" w:lineRule="auto" w:before="105"/>
              <w:ind w:left="107" w:right="107"/>
              <w:jc w:val="left"/>
              <w:rPr>
                <w:rFonts w:ascii="宋体" w:hAnsi="宋体" w:cs="宋体" w:eastAsia="宋体" w:hint="default"/>
                <w:sz w:val="21"/>
                <w:szCs w:val="21"/>
              </w:rPr>
            </w:pPr>
            <w:r>
              <w:rPr>
                <w:rFonts w:ascii="宋体" w:hAnsi="宋体" w:cs="宋体" w:eastAsia="宋体" w:hint="default"/>
                <w:sz w:val="21"/>
                <w:szCs w:val="21"/>
              </w:rPr>
              <w:t>毛利率比上 年同期增减</w:t>
            </w:r>
          </w:p>
        </w:tc>
      </w:tr>
      <w:tr>
        <w:trPr>
          <w:trHeight w:val="557" w:hRule="exact"/>
        </w:trPr>
        <w:tc>
          <w:tcPr>
            <w:tcW w:w="992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55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 w:right="0"/>
              <w:jc w:val="left"/>
              <w:rPr>
                <w:rFonts w:ascii="宋体" w:hAnsi="宋体" w:cs="宋体" w:eastAsia="宋体" w:hint="default"/>
                <w:sz w:val="21"/>
                <w:szCs w:val="21"/>
              </w:rPr>
            </w:pPr>
            <w:r>
              <w:rPr>
                <w:rFonts w:ascii="宋体" w:hAnsi="宋体" w:cs="宋体" w:eastAsia="宋体" w:hint="default"/>
                <w:sz w:val="21"/>
                <w:szCs w:val="21"/>
              </w:rPr>
              <w:t>铁路通信信号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538,599,267.26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279,657,001.59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48.08%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11.45%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宋体" w:hAnsi="宋体" w:cs="宋体" w:eastAsia="宋体" w:hint="default"/>
                <w:sz w:val="21"/>
                <w:szCs w:val="21"/>
              </w:rPr>
            </w:pPr>
            <w:r>
              <w:rPr>
                <w:rFonts w:ascii="宋体"/>
                <w:sz w:val="21"/>
              </w:rPr>
              <w:t>11.86%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-0.19%</w:t>
            </w:r>
          </w:p>
        </w:tc>
      </w:tr>
      <w:tr>
        <w:trPr>
          <w:trHeight w:val="557" w:hRule="exact"/>
        </w:trPr>
        <w:tc>
          <w:tcPr>
            <w:tcW w:w="992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5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 w:right="0"/>
              <w:jc w:val="left"/>
              <w:rPr>
                <w:rFonts w:ascii="宋体" w:hAnsi="宋体" w:cs="宋体" w:eastAsia="宋体" w:hint="default"/>
                <w:sz w:val="21"/>
                <w:szCs w:val="21"/>
              </w:rPr>
            </w:pPr>
            <w:r>
              <w:rPr>
                <w:rFonts w:ascii="宋体" w:hAnsi="宋体" w:cs="宋体" w:eastAsia="宋体" w:hint="default"/>
                <w:sz w:val="21"/>
                <w:szCs w:val="21"/>
              </w:rPr>
              <w:t>设备监测类产品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261,150,435.39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129,367,949.90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50.46%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25.87%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宋体" w:hAnsi="宋体" w:cs="宋体" w:eastAsia="宋体" w:hint="default"/>
                <w:sz w:val="21"/>
                <w:szCs w:val="21"/>
              </w:rPr>
            </w:pPr>
            <w:r>
              <w:rPr>
                <w:rFonts w:ascii="宋体"/>
                <w:sz w:val="21"/>
              </w:rPr>
              <w:t>19.38%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2.69%</w:t>
            </w:r>
          </w:p>
        </w:tc>
      </w:tr>
      <w:tr>
        <w:trPr>
          <w:trHeight w:val="5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 w:right="0"/>
              <w:jc w:val="left"/>
              <w:rPr>
                <w:rFonts w:ascii="宋体" w:hAnsi="宋体" w:cs="宋体" w:eastAsia="宋体" w:hint="default"/>
                <w:sz w:val="21"/>
                <w:szCs w:val="21"/>
              </w:rPr>
            </w:pPr>
            <w:r>
              <w:rPr>
                <w:rFonts w:ascii="宋体" w:hAnsi="宋体" w:cs="宋体" w:eastAsia="宋体" w:hint="default"/>
                <w:sz w:val="21"/>
                <w:szCs w:val="21"/>
              </w:rPr>
              <w:t>安防类产品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129,265,181.14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69,015,286.26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46.61%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57.14%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宋体" w:hAnsi="宋体" w:cs="宋体" w:eastAsia="宋体" w:hint="default"/>
                <w:sz w:val="21"/>
                <w:szCs w:val="21"/>
              </w:rPr>
            </w:pPr>
            <w:r>
              <w:rPr>
                <w:rFonts w:ascii="宋体"/>
                <w:sz w:val="21"/>
              </w:rPr>
              <w:t>67.59%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-3.33%</w:t>
            </w:r>
          </w:p>
        </w:tc>
      </w:tr>
      <w:tr>
        <w:trPr>
          <w:trHeight w:val="55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 w:right="0"/>
              <w:jc w:val="left"/>
              <w:rPr>
                <w:rFonts w:ascii="宋体" w:hAnsi="宋体" w:cs="宋体" w:eastAsia="宋体" w:hint="default"/>
                <w:sz w:val="21"/>
                <w:szCs w:val="21"/>
              </w:rPr>
            </w:pPr>
            <w:r>
              <w:rPr>
                <w:rFonts w:ascii="宋体" w:hAnsi="宋体" w:cs="宋体" w:eastAsia="宋体" w:hint="default"/>
                <w:sz w:val="21"/>
                <w:szCs w:val="21"/>
              </w:rPr>
              <w:t>电源类设备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84,322,805.91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46,590,499.88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44.75%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34.57%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宋体" w:hAnsi="宋体" w:cs="宋体" w:eastAsia="宋体" w:hint="default"/>
                <w:sz w:val="21"/>
                <w:szCs w:val="21"/>
              </w:rPr>
            </w:pPr>
            <w:r>
              <w:rPr>
                <w:rFonts w:ascii="宋体"/>
                <w:sz w:val="21"/>
              </w:rPr>
              <w:t>39.52%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-1.96%</w:t>
            </w:r>
          </w:p>
        </w:tc>
      </w:tr>
      <w:tr>
        <w:trPr>
          <w:trHeight w:val="557" w:hRule="exact"/>
        </w:trPr>
        <w:tc>
          <w:tcPr>
            <w:tcW w:w="992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5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197,281,826.09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101,747,899.42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48.43%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49.91%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宋体" w:hAnsi="宋体" w:cs="宋体" w:eastAsia="宋体" w:hint="default"/>
                <w:sz w:val="21"/>
                <w:szCs w:val="21"/>
              </w:rPr>
            </w:pPr>
            <w:r>
              <w:rPr>
                <w:rFonts w:ascii="宋体"/>
                <w:sz w:val="21"/>
              </w:rPr>
              <w:t>46.63%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1.15%</w:t>
            </w:r>
          </w:p>
        </w:tc>
      </w:tr>
      <w:tr>
        <w:trPr>
          <w:trHeight w:val="5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 w:right="0"/>
              <w:jc w:val="left"/>
              <w:rPr>
                <w:rFonts w:ascii="宋体" w:hAnsi="宋体" w:cs="宋体" w:eastAsia="宋体" w:hint="default"/>
                <w:sz w:val="21"/>
                <w:szCs w:val="21"/>
              </w:rPr>
            </w:pPr>
            <w:r>
              <w:rPr>
                <w:rFonts w:ascii="宋体" w:hAnsi="宋体" w:cs="宋体" w:eastAsia="宋体" w:hint="default"/>
                <w:sz w:val="21"/>
                <w:szCs w:val="21"/>
              </w:rPr>
              <w:t>南方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131,634,041.48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68,152,130.40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48.23%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7.66%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8.55%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-0.42%</w:t>
            </w:r>
          </w:p>
        </w:tc>
      </w:tr>
      <w:tr>
        <w:trPr>
          <w:trHeight w:val="55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 w:right="0"/>
              <w:jc w:val="left"/>
              <w:rPr>
                <w:rFonts w:ascii="宋体" w:hAnsi="宋体" w:cs="宋体" w:eastAsia="宋体" w:hint="default"/>
                <w:sz w:val="21"/>
                <w:szCs w:val="21"/>
              </w:rPr>
            </w:pPr>
            <w:r>
              <w:rPr>
                <w:rFonts w:ascii="宋体" w:hAnsi="宋体" w:cs="宋体" w:eastAsia="宋体" w:hint="default"/>
                <w:sz w:val="21"/>
                <w:szCs w:val="21"/>
              </w:rPr>
              <w:t>北方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237,111,047.01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123,303,286.62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48.00%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宋体" w:hAnsi="宋体" w:cs="宋体" w:eastAsia="宋体" w:hint="default"/>
                <w:sz w:val="21"/>
                <w:szCs w:val="21"/>
              </w:rPr>
            </w:pPr>
            <w:r>
              <w:rPr>
                <w:rFonts w:ascii="宋体"/>
                <w:sz w:val="21"/>
              </w:rPr>
              <w:t>-12.75%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-17.52%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宋体" w:hAnsi="宋体" w:cs="宋体" w:eastAsia="宋体" w:hint="default"/>
                <w:sz w:val="21"/>
                <w:szCs w:val="21"/>
              </w:rPr>
            </w:pPr>
            <w:r>
              <w:rPr>
                <w:rFonts w:ascii="宋体"/>
                <w:sz w:val="21"/>
              </w:rPr>
              <w:t>3.01%</w:t>
            </w:r>
          </w:p>
        </w:tc>
      </w:tr>
    </w:tbl>
    <w:p>
      <w:pPr>
        <w:spacing w:line="240" w:lineRule="auto" w:before="10"/>
        <w:rPr>
          <w:rFonts w:ascii="宋体" w:hAnsi="宋体" w:cs="宋体" w:eastAsia="宋体" w:hint="default"/>
          <w:sz w:val="4"/>
          <w:szCs w:val="4"/>
        </w:rPr>
      </w:pPr>
    </w:p>
    <w:p>
      <w:pPr>
        <w:pStyle w:val="Heading2"/>
        <w:spacing w:line="240" w:lineRule="auto"/>
        <w:ind w:right="0"/>
        <w:jc w:val="left"/>
        <w:rPr>
          <w:b w:val="0"/>
          <w:bCs w:val="0"/>
        </w:rPr>
      </w:pPr>
      <w:r>
        <w:rPr/>
        <w:t>公司主营业务数据统计口径在报告期发生调整的情况下，公司最近</w:t>
      </w:r>
      <w:r>
        <w:rPr>
          <w:spacing w:val="-72"/>
        </w:rPr>
        <w:t> </w:t>
      </w:r>
      <w:r>
        <w:rPr>
          <w:rFonts w:ascii="宋体" w:hAnsi="宋体" w:cs="宋体" w:eastAsia="宋体" w:hint="default"/>
        </w:rPr>
        <w:t>1</w:t>
      </w:r>
      <w:r>
        <w:rPr>
          <w:rFonts w:ascii="宋体" w:hAnsi="宋体" w:cs="宋体" w:eastAsia="宋体" w:hint="default"/>
          <w:spacing w:val="-78"/>
        </w:rPr>
        <w:t> </w:t>
      </w:r>
      <w:r>
        <w:rPr/>
        <w:t>年按报告期末口径</w:t>
      </w:r>
      <w:r>
        <w:rPr>
          <w:b w:val="0"/>
          <w:bCs w:val="0"/>
        </w:rPr>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240" w:lineRule="auto" w:before="199"/>
        <w:ind w:left="154" w:right="0"/>
        <w:jc w:val="left"/>
        <w:rPr>
          <w:b w:val="0"/>
          <w:bCs w:val="0"/>
        </w:rPr>
      </w:pPr>
      <w:r>
        <w:rPr/>
        <w:t>调整后的主营业务数据</w:t>
      </w:r>
      <w:r>
        <w:rPr>
          <w:b w:val="0"/>
          <w:bCs w:val="0"/>
        </w:rPr>
      </w:r>
    </w:p>
    <w:p>
      <w:pPr>
        <w:pStyle w:val="BodyText"/>
        <w:spacing w:line="240" w:lineRule="auto" w:before="145"/>
        <w:ind w:left="634" w:right="0"/>
        <w:jc w:val="left"/>
      </w:pPr>
      <w:r>
        <w:rPr/>
        <w:t>□ 适用 √ 不适用</w:t>
      </w:r>
    </w:p>
    <w:p>
      <w:pPr>
        <w:pStyle w:val="Heading2"/>
        <w:spacing w:line="240" w:lineRule="auto" w:before="146"/>
        <w:ind w:right="0"/>
        <w:jc w:val="left"/>
        <w:rPr>
          <w:b w:val="0"/>
          <w:bCs w:val="0"/>
        </w:rPr>
      </w:pPr>
      <w:r>
        <w:rPr>
          <w:w w:val="95"/>
        </w:rPr>
        <w:t>（</w:t>
      </w:r>
      <w:r>
        <w:rPr>
          <w:rFonts w:ascii="Times New Roman" w:hAnsi="Times New Roman" w:cs="Times New Roman" w:eastAsia="Times New Roman" w:hint="default"/>
          <w:w w:val="95"/>
        </w:rPr>
        <w:t>3</w:t>
      </w:r>
      <w:r>
        <w:rPr>
          <w:w w:val="95"/>
        </w:rPr>
        <w:t>）公司实物销售收入是否大于劳务收入</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18"/>
          <w:szCs w:val="18"/>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5091" w:space="2950"/>
            <w:col w:w="2889"/>
          </w:cols>
        </w:sectPr>
      </w:pP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85"/>
        <w:gridCol w:w="1844"/>
        <w:gridCol w:w="2126"/>
        <w:gridCol w:w="1844"/>
        <w:gridCol w:w="1416"/>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行业分类</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7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国家铁路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515,309,144.24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463,195,370.09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11.25%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厂矿企业及地方铁路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10,248,270.42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10,168,495.21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0.78%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城市轨道交通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4,567,178.64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3,435,462.39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32.94%</w:t>
            </w:r>
          </w:p>
        </w:tc>
      </w:tr>
    </w:tbl>
    <w:p>
      <w:pPr>
        <w:spacing w:line="240" w:lineRule="auto" w:before="10"/>
        <w:rPr>
          <w:rFonts w:ascii="宋体" w:hAnsi="宋体" w:cs="宋体" w:eastAsia="宋体" w:hint="default"/>
          <w:sz w:val="4"/>
          <w:szCs w:val="4"/>
        </w:rPr>
      </w:pPr>
    </w:p>
    <w:p>
      <w:pPr>
        <w:spacing w:line="350" w:lineRule="auto" w:before="26"/>
        <w:ind w:left="633" w:right="1115" w:firstLine="2"/>
        <w:jc w:val="left"/>
        <w:rPr>
          <w:rFonts w:ascii="宋体" w:hAnsi="宋体" w:cs="宋体" w:eastAsia="宋体" w:hint="default"/>
          <w:sz w:val="24"/>
          <w:szCs w:val="24"/>
        </w:rPr>
      </w:pPr>
      <w:r>
        <w:rPr>
          <w:rFonts w:ascii="宋体" w:hAnsi="宋体" w:cs="宋体" w:eastAsia="宋体" w:hint="default"/>
          <w:b/>
          <w:bCs/>
          <w:sz w:val="24"/>
          <w:szCs w:val="24"/>
        </w:rPr>
        <w:t>相关数据同比发生变动</w:t>
      </w:r>
      <w:r>
        <w:rPr>
          <w:rFonts w:ascii="宋体" w:hAnsi="宋体" w:cs="宋体" w:eastAsia="宋体" w:hint="default"/>
          <w:b/>
          <w:bCs/>
          <w:spacing w:val="-59"/>
          <w:sz w:val="24"/>
          <w:szCs w:val="24"/>
        </w:rPr>
        <w:t> </w:t>
      </w:r>
      <w:r>
        <w:rPr>
          <w:rFonts w:ascii="宋体" w:hAnsi="宋体" w:cs="宋体" w:eastAsia="宋体" w:hint="default"/>
          <w:b/>
          <w:bCs/>
          <w:sz w:val="24"/>
          <w:szCs w:val="24"/>
        </w:rPr>
        <w:t>30%</w:t>
      </w:r>
      <w:r>
        <w:rPr>
          <w:rFonts w:ascii="宋体" w:hAnsi="宋体" w:cs="宋体" w:eastAsia="宋体" w:hint="default"/>
          <w:b/>
          <w:bCs/>
          <w:sz w:val="24"/>
          <w:szCs w:val="24"/>
        </w:rPr>
        <w:t>以上的原因说明</w:t>
      </w:r>
      <w:r>
        <w:rPr>
          <w:rFonts w:ascii="宋体" w:hAnsi="宋体" w:cs="宋体" w:eastAsia="宋体" w:hint="default"/>
          <w:b/>
          <w:bCs/>
          <w:w w:val="99"/>
          <w:sz w:val="24"/>
          <w:szCs w:val="24"/>
        </w:rPr>
        <w:t> </w:t>
      </w:r>
      <w:r>
        <w:rPr>
          <w:rFonts w:ascii="宋体" w:hAnsi="宋体" w:cs="宋体" w:eastAsia="宋体" w:hint="default"/>
          <w:sz w:val="24"/>
          <w:szCs w:val="24"/>
        </w:rPr>
        <w:t>报告期内，公司城市轨道交通销售收入较上年同期增长</w:t>
      </w:r>
      <w:r>
        <w:rPr>
          <w:rFonts w:ascii="宋体" w:hAnsi="宋体" w:cs="宋体" w:eastAsia="宋体" w:hint="default"/>
          <w:spacing w:val="-82"/>
          <w:sz w:val="24"/>
          <w:szCs w:val="24"/>
        </w:rPr>
        <w:t> </w:t>
      </w:r>
      <w:r>
        <w:rPr>
          <w:rFonts w:ascii="宋体" w:hAnsi="宋体" w:cs="宋体" w:eastAsia="宋体" w:hint="default"/>
          <w:sz w:val="24"/>
          <w:szCs w:val="24"/>
        </w:rPr>
        <w:t>32.94%</w:t>
      </w:r>
      <w:r>
        <w:rPr>
          <w:rFonts w:ascii="宋体" w:hAnsi="宋体" w:cs="宋体" w:eastAsia="宋体" w:hint="default"/>
          <w:sz w:val="24"/>
          <w:szCs w:val="24"/>
        </w:rPr>
        <w:t>，主要原因系国铁路阳城</w:t>
      </w:r>
    </w:p>
    <w:p>
      <w:pPr>
        <w:pStyle w:val="BodyText"/>
        <w:spacing w:line="240" w:lineRule="auto"/>
        <w:ind w:right="1153"/>
        <w:jc w:val="left"/>
      </w:pPr>
      <w:r>
        <w:rPr/>
        <w:t>市轨道交通销售收入增加所致。</w:t>
      </w:r>
    </w:p>
    <w:p>
      <w:pPr>
        <w:pStyle w:val="Heading2"/>
        <w:spacing w:line="240" w:lineRule="auto" w:before="145"/>
        <w:ind w:right="1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pStyle w:val="BodyText"/>
        <w:spacing w:line="240" w:lineRule="auto" w:before="127"/>
        <w:ind w:left="634" w:right="0"/>
        <w:jc w:val="left"/>
      </w:pPr>
      <w:r>
        <w:rPr/>
        <w:t>①</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11</w:t>
      </w:r>
      <w:r>
        <w:rPr>
          <w:rFonts w:ascii="宋体" w:hAnsi="宋体" w:cs="宋体" w:eastAsia="宋体" w:hint="default"/>
          <w:spacing w:val="-64"/>
        </w:rPr>
        <w:t> </w:t>
      </w:r>
      <w:r>
        <w:rPr/>
        <w:t>月</w:t>
      </w:r>
      <w:r>
        <w:rPr>
          <w:spacing w:val="-64"/>
        </w:rPr>
        <w:t> </w:t>
      </w:r>
      <w:r>
        <w:rPr>
          <w:rFonts w:ascii="宋体" w:hAnsi="宋体" w:cs="宋体" w:eastAsia="宋体" w:hint="default"/>
        </w:rPr>
        <w:t>01</w:t>
      </w:r>
      <w:r>
        <w:rPr>
          <w:rFonts w:ascii="宋体" w:hAnsi="宋体" w:cs="宋体" w:eastAsia="宋体" w:hint="default"/>
          <w:spacing w:val="-64"/>
        </w:rPr>
        <w:t> </w:t>
      </w:r>
      <w:r>
        <w:rPr/>
        <w:t>日，辉煌科技与南京南瑞集团公司签订了关于郑州市轨道交通</w:t>
      </w:r>
      <w:r>
        <w:rPr>
          <w:spacing w:val="-64"/>
        </w:rPr>
        <w:t> </w:t>
      </w:r>
      <w:r>
        <w:rPr>
          <w:rFonts w:ascii="宋体" w:hAnsi="宋体" w:cs="宋体" w:eastAsia="宋体" w:hint="default"/>
        </w:rPr>
        <w:t>1</w:t>
      </w:r>
      <w:r>
        <w:rPr>
          <w:rFonts w:ascii="宋体" w:hAnsi="宋体" w:cs="宋体" w:eastAsia="宋体" w:hint="default"/>
          <w:spacing w:val="-64"/>
        </w:rPr>
        <w:t> </w:t>
      </w:r>
      <w:r>
        <w:rPr/>
        <w:t>号线</w:t>
      </w:r>
    </w:p>
    <w:p>
      <w:pPr>
        <w:pStyle w:val="BodyText"/>
        <w:spacing w:line="240" w:lineRule="auto" w:before="146"/>
        <w:ind w:left="154" w:right="0"/>
        <w:jc w:val="left"/>
      </w:pPr>
      <w:r>
        <w:rPr/>
        <w:t>一期工程综合监控系统采购项目的销售合同，合同金额为</w:t>
      </w:r>
      <w:r>
        <w:rPr>
          <w:spacing w:val="-79"/>
        </w:rPr>
        <w:t> </w:t>
      </w:r>
      <w:r>
        <w:rPr>
          <w:rFonts w:ascii="宋体" w:hAnsi="宋体" w:cs="宋体" w:eastAsia="宋体" w:hint="default"/>
        </w:rPr>
        <w:t>5,608.21</w:t>
      </w:r>
      <w:r>
        <w:rPr>
          <w:rFonts w:ascii="宋体" w:hAnsi="宋体" w:cs="宋体" w:eastAsia="宋体" w:hint="default"/>
          <w:spacing w:val="-79"/>
        </w:rPr>
        <w:t> </w:t>
      </w:r>
      <w:r>
        <w:rPr>
          <w:spacing w:val="-4"/>
        </w:rPr>
        <w:t>万元。现该合同正在执行</w:t>
      </w:r>
    </w:p>
    <w:p>
      <w:pPr>
        <w:pStyle w:val="BodyText"/>
        <w:spacing w:line="240" w:lineRule="auto" w:before="145"/>
        <w:ind w:left="154" w:right="1153"/>
        <w:jc w:val="left"/>
      </w:pPr>
      <w:r>
        <w:rPr/>
        <w:t>中，截至报告期末已确认收入</w:t>
      </w:r>
      <w:r>
        <w:rPr>
          <w:spacing w:val="-60"/>
        </w:rPr>
        <w:t> </w:t>
      </w:r>
      <w:r>
        <w:rPr>
          <w:rFonts w:ascii="宋体" w:hAnsi="宋体" w:cs="宋体" w:eastAsia="宋体" w:hint="default"/>
        </w:rPr>
        <w:t>4,304</w:t>
      </w:r>
      <w:r>
        <w:rPr>
          <w:rFonts w:ascii="宋体" w:hAnsi="宋体" w:cs="宋体" w:eastAsia="宋体" w:hint="default"/>
          <w:spacing w:val="-60"/>
        </w:rPr>
        <w:t> </w:t>
      </w:r>
      <w:r>
        <w:rPr/>
        <w:t>万元。</w:t>
      </w:r>
    </w:p>
    <w:p>
      <w:pPr>
        <w:pStyle w:val="BodyText"/>
        <w:spacing w:line="352" w:lineRule="auto" w:before="146"/>
        <w:ind w:right="1117" w:firstLine="480"/>
        <w:jc w:val="left"/>
      </w:pPr>
      <w:r>
        <w:rPr/>
        <w:t>②</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04</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t>日， 辉煌科技、上海华铭智能终端设备股份有限公司与方正国际软 件（北京）有限公司签订了关于郑州市轨道交通</w:t>
      </w:r>
      <w:r>
        <w:rPr>
          <w:spacing w:val="-72"/>
        </w:rPr>
        <w:t> </w:t>
      </w:r>
      <w:r>
        <w:rPr>
          <w:rFonts w:ascii="宋体" w:hAnsi="宋体" w:cs="宋体" w:eastAsia="宋体" w:hint="default"/>
        </w:rPr>
        <w:t>1</w:t>
      </w:r>
      <w:r>
        <w:rPr>
          <w:rFonts w:ascii="宋体" w:hAnsi="宋体" w:cs="宋体" w:eastAsia="宋体" w:hint="default"/>
          <w:spacing w:val="-72"/>
        </w:rPr>
        <w:t> </w:t>
      </w:r>
      <w:r>
        <w:rPr>
          <w:spacing w:val="-3"/>
        </w:rPr>
        <w:t>号线一期工程自动售检票（</w:t>
      </w:r>
      <w:r>
        <w:rPr>
          <w:rFonts w:ascii="宋体" w:hAnsi="宋体" w:cs="宋体" w:eastAsia="宋体" w:hint="default"/>
          <w:spacing w:val="-3"/>
        </w:rPr>
        <w:t>AFC</w:t>
      </w:r>
      <w:r>
        <w:rPr>
          <w:spacing w:val="-3"/>
        </w:rPr>
        <w:t>）系统项目</w:t>
      </w:r>
    </w:p>
    <w:p>
      <w:pPr>
        <w:pStyle w:val="BodyText"/>
        <w:spacing w:line="350" w:lineRule="auto" w:before="32"/>
        <w:ind w:right="1115"/>
        <w:jc w:val="left"/>
      </w:pPr>
      <w:r>
        <w:rPr>
          <w:spacing w:val="-5"/>
        </w:rPr>
        <w:t>的销售合同，合同金额为</w:t>
      </w:r>
      <w:r>
        <w:rPr>
          <w:spacing w:val="-57"/>
        </w:rPr>
        <w:t> </w:t>
      </w:r>
      <w:r>
        <w:rPr>
          <w:rFonts w:ascii="宋体" w:hAnsi="宋体" w:cs="宋体" w:eastAsia="宋体" w:hint="default"/>
        </w:rPr>
        <w:t>5,500</w:t>
      </w:r>
      <w:r>
        <w:rPr>
          <w:rFonts w:ascii="宋体" w:hAnsi="宋体" w:cs="宋体" w:eastAsia="宋体" w:hint="default"/>
          <w:spacing w:val="-57"/>
        </w:rPr>
        <w:t> </w:t>
      </w:r>
      <w:r>
        <w:rPr>
          <w:spacing w:val="-4"/>
        </w:rPr>
        <w:t>万元。现该合同正在执行中，截至报告期末已确认收入</w:t>
      </w:r>
      <w:r>
        <w:rPr>
          <w:spacing w:val="-57"/>
        </w:rPr>
        <w:t> </w:t>
      </w:r>
      <w:r>
        <w:rPr>
          <w:rFonts w:ascii="宋体" w:hAnsi="宋体" w:cs="宋体" w:eastAsia="宋体" w:hint="default"/>
        </w:rPr>
        <w:t>3,249 </w:t>
      </w:r>
      <w:r>
        <w:rPr/>
        <w:t>万元。</w:t>
      </w:r>
    </w:p>
    <w:p>
      <w:pPr>
        <w:pStyle w:val="BodyText"/>
        <w:spacing w:line="240" w:lineRule="auto"/>
        <w:ind w:left="634" w:right="0"/>
        <w:jc w:val="left"/>
      </w:pPr>
      <w:r>
        <w:rPr/>
        <w:t>③</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03</w:t>
      </w:r>
      <w:r>
        <w:rPr>
          <w:rFonts w:ascii="宋体" w:hAnsi="宋体" w:cs="宋体" w:eastAsia="宋体" w:hint="default"/>
          <w:spacing w:val="-65"/>
        </w:rPr>
        <w:t> </w:t>
      </w:r>
      <w:r>
        <w:rPr/>
        <w:t>月</w:t>
      </w:r>
      <w:r>
        <w:rPr>
          <w:spacing w:val="-65"/>
        </w:rPr>
        <w:t> </w:t>
      </w:r>
      <w:r>
        <w:rPr>
          <w:rFonts w:ascii="宋体" w:hAnsi="宋体" w:cs="宋体" w:eastAsia="宋体" w:hint="default"/>
        </w:rPr>
        <w:t>05</w:t>
      </w:r>
      <w:r>
        <w:rPr>
          <w:rFonts w:ascii="宋体" w:hAnsi="宋体" w:cs="宋体" w:eastAsia="宋体" w:hint="default"/>
          <w:spacing w:val="-65"/>
        </w:rPr>
        <w:t> </w:t>
      </w:r>
      <w:r>
        <w:rPr/>
        <w:t>日，辉煌科技、南京南瑞集团公司与郑州市轨道交通有限公司签订了</w:t>
      </w:r>
    </w:p>
    <w:p>
      <w:pPr>
        <w:pStyle w:val="BodyText"/>
        <w:spacing w:line="240" w:lineRule="auto" w:before="145"/>
        <w:ind w:left="154" w:right="1153"/>
        <w:jc w:val="left"/>
      </w:pPr>
      <w:r>
        <w:rPr/>
        <w:t>关于郑州市轨道交通</w:t>
      </w:r>
      <w:r>
        <w:rPr>
          <w:spacing w:val="-60"/>
        </w:rPr>
        <w:t> </w:t>
      </w:r>
      <w:r>
        <w:rPr>
          <w:rFonts w:ascii="宋体" w:hAnsi="宋体" w:cs="宋体" w:eastAsia="宋体" w:hint="default"/>
        </w:rPr>
        <w:t>2</w:t>
      </w:r>
      <w:r>
        <w:rPr>
          <w:rFonts w:ascii="宋体" w:hAnsi="宋体" w:cs="宋体" w:eastAsia="宋体" w:hint="default"/>
          <w:spacing w:val="-60"/>
        </w:rPr>
        <w:t> </w:t>
      </w:r>
      <w:r>
        <w:rPr/>
        <w:t>号线一期工程综合监控系统集成项目的销售合同，合同金额为</w:t>
      </w:r>
    </w:p>
    <w:p>
      <w:pPr>
        <w:pStyle w:val="BodyText"/>
        <w:spacing w:line="240" w:lineRule="auto" w:before="145"/>
        <w:ind w:right="1153"/>
        <w:jc w:val="left"/>
      </w:pPr>
      <w:r>
        <w:rPr>
          <w:rFonts w:ascii="宋体" w:hAnsi="宋体" w:cs="宋体" w:eastAsia="宋体" w:hint="default"/>
        </w:rPr>
        <w:t>8,790.77</w:t>
      </w:r>
      <w:r>
        <w:rPr>
          <w:rFonts w:ascii="宋体" w:hAnsi="宋体" w:cs="宋体" w:eastAsia="宋体" w:hint="default"/>
          <w:spacing w:val="-60"/>
        </w:rPr>
        <w:t> </w:t>
      </w:r>
      <w:r>
        <w:rPr/>
        <w:t>万元。现该合同正在执行中，截至报告期末暂未确认收入。</w:t>
      </w:r>
    </w:p>
    <w:p>
      <w:pPr>
        <w:pStyle w:val="Heading2"/>
        <w:spacing w:line="331" w:lineRule="auto" w:before="146"/>
        <w:ind w:right="8222"/>
        <w:jc w:val="left"/>
        <w:rPr>
          <w:b w:val="0"/>
          <w:bCs w:val="0"/>
        </w:rPr>
      </w:pPr>
      <w:r>
        <w:rPr/>
        <w:t>（</w:t>
      </w:r>
      <w:r>
        <w:rPr>
          <w:rFonts w:ascii="Times New Roman" w:hAnsi="Times New Roman" w:cs="Times New Roman" w:eastAsia="Times New Roman" w:hint="default"/>
        </w:rPr>
        <w:t>5</w:t>
      </w:r>
      <w:r>
        <w:rPr/>
        <w:t>）营业成本构成</w:t>
      </w:r>
      <w:r>
        <w:rPr>
          <w:w w:val="99"/>
        </w:rPr>
        <w:t> </w:t>
      </w:r>
      <w:r>
        <w:rPr/>
        <w:t>行业和产品分类</w:t>
      </w:r>
      <w:r>
        <w:rPr>
          <w:b w:val="0"/>
          <w:bCs w:val="0"/>
        </w:rPr>
      </w:r>
    </w:p>
    <w:p>
      <w:pPr>
        <w:spacing w:line="267" w:lineRule="exact"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608"/>
        <w:gridCol w:w="1701"/>
        <w:gridCol w:w="1702"/>
        <w:gridCol w:w="1701"/>
        <w:gridCol w:w="1134"/>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占营业成本比重</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占营业成本比重</w:t>
            </w: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9" w:right="0"/>
              <w:jc w:val="left"/>
              <w:rPr>
                <w:rFonts w:ascii="宋体" w:hAnsi="宋体" w:cs="宋体" w:eastAsia="宋体" w:hint="default"/>
                <w:sz w:val="21"/>
                <w:szCs w:val="21"/>
              </w:rPr>
            </w:pPr>
            <w:r>
              <w:rPr>
                <w:rFonts w:ascii="宋体" w:hAnsi="宋体" w:cs="宋体" w:eastAsia="宋体" w:hint="default"/>
                <w:sz w:val="21"/>
                <w:szCs w:val="21"/>
              </w:rPr>
              <w:t>铁路通信信号</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279,657,001.59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95.38%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250,015,425.37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88.76%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2" w:right="0"/>
              <w:jc w:val="left"/>
              <w:rPr>
                <w:rFonts w:ascii="Times New Roman" w:hAnsi="Times New Roman" w:cs="Times New Roman" w:eastAsia="Times New Roman" w:hint="default"/>
                <w:sz w:val="21"/>
                <w:szCs w:val="21"/>
              </w:rPr>
            </w:pPr>
            <w:r>
              <w:rPr>
                <w:rFonts w:ascii="Times New Roman"/>
                <w:sz w:val="21"/>
              </w:rPr>
              <w:t>11.86%</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5"/>
        <w:ind w:left="0" w:right="155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4"/>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559"/>
        <w:gridCol w:w="1559"/>
        <w:gridCol w:w="1701"/>
        <w:gridCol w:w="1277"/>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占营业成本比重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占营业成本比重</w:t>
            </w: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设备监测类产品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129,367,949.90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44.12%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108,366,162.02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38.47%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19.38%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安防类产品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69,015,286.26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23.54%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41,180,412.00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14.62%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67.59%</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81" w:right="76" w:hanging="106"/>
              <w:jc w:val="left"/>
              <w:rPr>
                <w:rFonts w:ascii="宋体" w:hAnsi="宋体" w:cs="宋体" w:eastAsia="宋体" w:hint="default"/>
                <w:sz w:val="21"/>
                <w:szCs w:val="21"/>
              </w:rPr>
            </w:pPr>
            <w:r>
              <w:rPr>
                <w:rFonts w:ascii="宋体" w:hAnsi="宋体" w:cs="宋体" w:eastAsia="宋体" w:hint="default"/>
                <w:sz w:val="21"/>
                <w:szCs w:val="21"/>
              </w:rPr>
              <w:t>生产指挥及运输调 度信息化类产品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2,669,086.55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15,314,173.42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-82.57%</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信号控制类产品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5,655,116.75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9,222,968.71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-38.68%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电源类设备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46,590,499.88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15.89%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33,394,201.53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11.86%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39.52%</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信号设备及器材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26,359,062.25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8.99%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42,537,507.69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15.10%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-38.03%</w:t>
            </w:r>
          </w:p>
        </w:tc>
      </w:tr>
    </w:tbl>
    <w:p>
      <w:pPr>
        <w:spacing w:line="240" w:lineRule="auto" w:before="10"/>
        <w:rPr>
          <w:rFonts w:ascii="宋体" w:hAnsi="宋体" w:cs="宋体" w:eastAsia="宋体" w:hint="default"/>
          <w:sz w:val="4"/>
          <w:szCs w:val="4"/>
        </w:rPr>
      </w:pPr>
    </w:p>
    <w:p>
      <w:pPr>
        <w:pStyle w:val="BodyText"/>
        <w:spacing w:line="350" w:lineRule="auto" w:before="26"/>
        <w:ind w:left="633" w:right="1153" w:firstLine="2"/>
        <w:jc w:val="left"/>
      </w:pPr>
      <w:r>
        <w:rPr>
          <w:rFonts w:ascii="宋体" w:hAnsi="宋体" w:cs="宋体" w:eastAsia="宋体" w:hint="default"/>
          <w:b/>
          <w:bCs/>
        </w:rPr>
        <w:t>说明</w:t>
      </w:r>
      <w:r>
        <w:rPr>
          <w:rFonts w:ascii="宋体" w:hAnsi="宋体" w:cs="宋体" w:eastAsia="宋体" w:hint="default"/>
          <w:b/>
          <w:bCs/>
          <w:spacing w:val="1"/>
          <w:w w:val="99"/>
        </w:rPr>
        <w:t> </w:t>
      </w:r>
      <w:r>
        <w:rPr/>
        <w:t>本年度产品成本的主要构成项目为原材料、人工工资、制造费用，占总成本的比例分别</w:t>
      </w:r>
    </w:p>
    <w:p>
      <w:pPr>
        <w:pStyle w:val="BodyText"/>
        <w:spacing w:line="352" w:lineRule="auto" w:before="35"/>
        <w:ind w:left="634" w:right="1152" w:hanging="480"/>
        <w:jc w:val="left"/>
      </w:pPr>
      <w:r>
        <w:rPr/>
        <w:t>为</w:t>
      </w:r>
      <w:r>
        <w:rPr>
          <w:spacing w:val="-60"/>
        </w:rPr>
        <w:t> </w:t>
      </w:r>
      <w:r>
        <w:rPr>
          <w:rFonts w:ascii="宋体" w:hAnsi="宋体" w:cs="宋体" w:eastAsia="宋体" w:hint="default"/>
        </w:rPr>
        <w:t>86%</w:t>
      </w:r>
      <w:r>
        <w:rPr/>
        <w:t>、</w:t>
      </w:r>
      <w:r>
        <w:rPr>
          <w:rFonts w:ascii="宋体" w:hAnsi="宋体" w:cs="宋体" w:eastAsia="宋体" w:hint="default"/>
        </w:rPr>
        <w:t>5%</w:t>
      </w:r>
      <w:r>
        <w:rPr/>
        <w:t>、</w:t>
      </w:r>
      <w:r>
        <w:rPr>
          <w:rFonts w:ascii="宋体" w:hAnsi="宋体" w:cs="宋体" w:eastAsia="宋体" w:hint="default"/>
        </w:rPr>
        <w:t>9%</w:t>
      </w:r>
      <w:r>
        <w:rPr/>
        <w:t>。 上年度产品成本的主要构成项目为原材料、人工工资、制造费用，占总成本的比例分别</w:t>
      </w:r>
    </w:p>
    <w:p>
      <w:pPr>
        <w:pStyle w:val="BodyText"/>
        <w:spacing w:line="240" w:lineRule="auto" w:before="32"/>
        <w:ind w:left="154" w:right="1153"/>
        <w:jc w:val="left"/>
      </w:pPr>
      <w:r>
        <w:rPr/>
        <w:t>为</w:t>
      </w:r>
      <w:r>
        <w:rPr>
          <w:spacing w:val="-60"/>
        </w:rPr>
        <w:t> </w:t>
      </w:r>
      <w:r>
        <w:rPr>
          <w:rFonts w:ascii="宋体" w:hAnsi="宋体" w:cs="宋体" w:eastAsia="宋体" w:hint="default"/>
        </w:rPr>
        <w:t>88%</w:t>
      </w:r>
      <w:r>
        <w:rPr/>
        <w:t>、</w:t>
      </w:r>
      <w:r>
        <w:rPr>
          <w:rFonts w:ascii="宋体" w:hAnsi="宋体" w:cs="宋体" w:eastAsia="宋体" w:hint="default"/>
        </w:rPr>
        <w:t>3%</w:t>
      </w:r>
      <w:r>
        <w:rPr/>
        <w:t>、</w:t>
      </w:r>
      <w:r>
        <w:rPr>
          <w:rFonts w:ascii="宋体" w:hAnsi="宋体" w:cs="宋体" w:eastAsia="宋体" w:hint="default"/>
        </w:rPr>
        <w:t>9%</w:t>
      </w:r>
      <w:r>
        <w:rPr/>
        <w:t>。</w:t>
      </w:r>
    </w:p>
    <w:p>
      <w:pPr>
        <w:pStyle w:val="Heading2"/>
        <w:spacing w:line="240" w:lineRule="auto" w:before="145"/>
        <w:ind w:right="115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pStyle w:val="BodyText"/>
        <w:spacing w:line="240" w:lineRule="auto" w:before="129"/>
        <w:ind w:left="633" w:right="1153"/>
        <w:jc w:val="left"/>
      </w:pPr>
      <w:r>
        <w:rPr/>
        <w:t>□ 是 √ 否</w:t>
      </w:r>
    </w:p>
    <w:p>
      <w:pPr>
        <w:pStyle w:val="Heading2"/>
        <w:spacing w:line="240" w:lineRule="auto" w:before="145"/>
        <w:ind w:right="115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pStyle w:val="BodyText"/>
        <w:spacing w:line="240" w:lineRule="auto" w:before="127"/>
        <w:ind w:left="633" w:right="1153"/>
        <w:jc w:val="left"/>
      </w:pPr>
      <w:r>
        <w:rPr/>
        <w:t>□ 适用 √ 不适用</w:t>
      </w:r>
    </w:p>
    <w:p>
      <w:pPr>
        <w:pStyle w:val="Heading2"/>
        <w:spacing w:line="331" w:lineRule="auto" w:before="146"/>
        <w:ind w:right="6193"/>
        <w:jc w:val="left"/>
        <w:rPr>
          <w:b w:val="0"/>
          <w:bCs w:val="0"/>
        </w:rPr>
      </w:pPr>
      <w:r>
        <w:rPr/>
        <w:pict>
          <v:shape style="position:absolute;margin-left:56.459999pt;margin-top:48.855629pt;width:479.2pt;height:40.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135,000,597.86</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23.85%</w:t>
                        </w:r>
                      </w:p>
                    </w:tc>
                  </w:tr>
                </w:tbl>
                <w:p>
                  <w:pPr/>
                </w:p>
              </w:txbxContent>
            </v:textbox>
            <w10:wrap type="none"/>
          </v:shape>
        </w:pict>
      </w:r>
      <w:r>
        <w:rPr>
          <w:w w:val="95"/>
        </w:rPr>
        <w:t>（</w:t>
      </w:r>
      <w:r>
        <w:rPr>
          <w:rFonts w:ascii="Times New Roman" w:hAnsi="Times New Roman" w:cs="Times New Roman" w:eastAsia="Times New Roman" w:hint="default"/>
          <w:w w:val="95"/>
        </w:rPr>
        <w:t>8</w:t>
      </w:r>
      <w:r>
        <w:rPr>
          <w:w w:val="95"/>
        </w:rPr>
        <w:t>）主要销售客户和主要供应商情况</w:t>
      </w:r>
      <w:r>
        <w:rPr>
          <w:spacing w:val="71"/>
          <w:w w:val="95"/>
        </w:rPr>
        <w:t> </w:t>
      </w:r>
      <w:r>
        <w:rPr>
          <w:spacing w:val="71"/>
          <w:w w:val="95"/>
        </w:rPr>
      </w:r>
      <w:r>
        <w:rPr/>
        <w:t>公司主要销售客户情况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pStyle w:val="Heading2"/>
        <w:spacing w:line="240" w:lineRule="auto"/>
        <w:ind w:right="1153"/>
        <w:jc w:val="left"/>
        <w:rPr>
          <w:b w:val="0"/>
          <w:bCs w:val="0"/>
        </w:rPr>
      </w:pPr>
      <w:r>
        <w:rPr/>
        <w:t>公司前</w:t>
      </w:r>
      <w:r>
        <w:rPr>
          <w:spacing w:val="-64"/>
        </w:rPr>
        <w:t> </w:t>
      </w:r>
      <w:r>
        <w:rPr>
          <w:rFonts w:ascii="宋体" w:hAnsi="宋体" w:cs="宋体" w:eastAsia="宋体" w:hint="default"/>
        </w:rPr>
        <w:t>5</w:t>
      </w:r>
      <w:r>
        <w:rPr>
          <w:rFonts w:ascii="宋体" w:hAnsi="宋体" w:cs="宋体" w:eastAsia="宋体" w:hint="default"/>
          <w:spacing w:val="-64"/>
        </w:rPr>
        <w:t> </w:t>
      </w:r>
      <w:r>
        <w:rPr/>
        <w:t>大客户资料</w:t>
      </w:r>
      <w:r>
        <w:rPr>
          <w:b w:val="0"/>
          <w:bCs w:val="0"/>
        </w:rPr>
      </w:r>
    </w:p>
    <w:p>
      <w:pPr>
        <w:spacing w:line="240" w:lineRule="auto" w:before="5"/>
        <w:rPr>
          <w:rFonts w:ascii="宋体" w:hAnsi="宋体" w:cs="宋体" w:eastAsia="宋体" w:hint="default"/>
          <w:b/>
          <w:bCs/>
          <w:sz w:val="4"/>
          <w:szCs w:val="4"/>
        </w:rPr>
      </w:pPr>
    </w:p>
    <w:tbl>
      <w:tblPr>
        <w:tblW w:w="0" w:type="auto"/>
        <w:jc w:val="left"/>
        <w:tblInd w:w="160" w:type="dxa"/>
        <w:tblLayout w:type="fixed"/>
        <w:tblCellMar>
          <w:top w:w="0" w:type="dxa"/>
          <w:left w:w="0" w:type="dxa"/>
          <w:bottom w:w="0" w:type="dxa"/>
          <w:right w:w="0" w:type="dxa"/>
        </w:tblCellMar>
        <w:tblLook w:val="01E0"/>
      </w:tblPr>
      <w:tblGrid>
        <w:gridCol w:w="779"/>
        <w:gridCol w:w="3463"/>
        <w:gridCol w:w="2693"/>
        <w:gridCol w:w="2622"/>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销售额（元）</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w:t>
            </w:r>
          </w:p>
        </w:tc>
        <w:tc>
          <w:tcPr>
            <w:tcW w:w="34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中国铁建电气化局集团有限公司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59,514,890.66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10.51%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w:t>
            </w:r>
          </w:p>
        </w:tc>
        <w:tc>
          <w:tcPr>
            <w:tcW w:w="34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西安铁路局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28,771,991.43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5.08%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w:t>
            </w:r>
          </w:p>
        </w:tc>
        <w:tc>
          <w:tcPr>
            <w:tcW w:w="34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北京铁路信号有限公司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16,004,950.87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2.83%</w:t>
            </w:r>
          </w:p>
        </w:tc>
      </w:tr>
      <w:tr>
        <w:trPr>
          <w:trHeight w:val="161" w:hRule="exact"/>
        </w:trPr>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463" w:type="dxa"/>
            <w:vMerge w:val="restart"/>
            <w:tcBorders>
              <w:top w:val="single" w:sz="4" w:space="0" w:color="000000"/>
              <w:left w:val="single" w:sz="9" w:space="0" w:color="D2D2D2"/>
              <w:right w:val="single" w:sz="4" w:space="0" w:color="000000"/>
            </w:tcBorders>
          </w:tcPr>
          <w:p>
            <w:pPr>
              <w:pStyle w:val="TableParagraph"/>
              <w:spacing w:line="273" w:lineRule="auto" w:before="26"/>
              <w:ind w:left="571" w:right="39" w:hanging="526"/>
              <w:jc w:val="left"/>
              <w:rPr>
                <w:rFonts w:ascii="宋体" w:hAnsi="宋体" w:cs="宋体" w:eastAsia="宋体" w:hint="default"/>
                <w:sz w:val="21"/>
                <w:szCs w:val="21"/>
              </w:rPr>
            </w:pPr>
            <w:r>
              <w:rPr>
                <w:rFonts w:ascii="宋体" w:hAnsi="宋体" w:cs="宋体" w:eastAsia="宋体" w:hint="default"/>
                <w:sz w:val="21"/>
                <w:szCs w:val="21"/>
              </w:rPr>
              <w:t>中铁电气化局集团有限公司海南西环 铁路系统集成项目经理部</w:t>
            </w:r>
          </w:p>
        </w:tc>
        <w:tc>
          <w:tcPr>
            <w:tcW w:w="26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737" w:right="0"/>
              <w:jc w:val="left"/>
              <w:rPr>
                <w:rFonts w:ascii="Times New Roman" w:hAnsi="Times New Roman" w:cs="Times New Roman" w:eastAsia="Times New Roman" w:hint="default"/>
                <w:sz w:val="21"/>
                <w:szCs w:val="21"/>
              </w:rPr>
            </w:pPr>
            <w:r>
              <w:rPr>
                <w:rFonts w:ascii="Times New Roman"/>
                <w:sz w:val="21"/>
              </w:rPr>
              <w:t>15,959,918.80</w:t>
            </w:r>
          </w:p>
        </w:tc>
        <w:tc>
          <w:tcPr>
            <w:tcW w:w="26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2.82%</w:t>
            </w:r>
          </w:p>
        </w:tc>
      </w:tr>
      <w:tr>
        <w:trPr>
          <w:trHeight w:val="393" w:hRule="exact"/>
        </w:trPr>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w:t>
            </w:r>
          </w:p>
        </w:tc>
        <w:tc>
          <w:tcPr>
            <w:tcW w:w="3463" w:type="dxa"/>
            <w:vMerge/>
            <w:tcBorders>
              <w:left w:val="single" w:sz="9" w:space="0" w:color="D2D2D2"/>
              <w:right w:val="single" w:sz="4" w:space="0" w:color="000000"/>
            </w:tcBorders>
          </w:tcPr>
          <w:p>
            <w:pPr/>
          </w:p>
        </w:tc>
        <w:tc>
          <w:tcPr>
            <w:tcW w:w="2693" w:type="dxa"/>
            <w:vMerge/>
            <w:tcBorders>
              <w:left w:val="single" w:sz="4" w:space="0" w:color="000000"/>
              <w:right w:val="single" w:sz="4" w:space="0" w:color="000000"/>
            </w:tcBorders>
          </w:tcPr>
          <w:p>
            <w:pPr/>
          </w:p>
        </w:tc>
        <w:tc>
          <w:tcPr>
            <w:tcW w:w="2622" w:type="dxa"/>
            <w:vMerge/>
            <w:tcBorders>
              <w:left w:val="single" w:sz="4" w:space="0" w:color="000000"/>
              <w:right w:val="single" w:sz="4" w:space="0" w:color="000000"/>
            </w:tcBorders>
          </w:tcPr>
          <w:p>
            <w:pPr/>
          </w:p>
        </w:tc>
      </w:tr>
      <w:tr>
        <w:trPr>
          <w:trHeight w:val="161" w:hRule="exact"/>
        </w:trPr>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463" w:type="dxa"/>
            <w:vMerge/>
            <w:tcBorders>
              <w:left w:val="single" w:sz="9" w:space="0" w:color="D2D2D2"/>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2622" w:type="dxa"/>
            <w:vMerge/>
            <w:tcBorders>
              <w:left w:val="single" w:sz="4" w:space="0" w:color="000000"/>
              <w:bottom w:val="single" w:sz="4" w:space="0" w:color="000000"/>
              <w:right w:val="single" w:sz="4" w:space="0" w:color="000000"/>
            </w:tcBorders>
          </w:tcPr>
          <w:p>
            <w:pP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w:t>
            </w:r>
          </w:p>
        </w:tc>
        <w:tc>
          <w:tcPr>
            <w:tcW w:w="34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福州电务段</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14,748,846.10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2.61%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w:t>
            </w:r>
          </w:p>
        </w:tc>
        <w:tc>
          <w:tcPr>
            <w:tcW w:w="26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9"/>
              <w:jc w:val="center"/>
              <w:rPr>
                <w:rFonts w:ascii="Times New Roman" w:hAnsi="Times New Roman" w:cs="Times New Roman" w:eastAsia="Times New Roman" w:hint="default"/>
                <w:sz w:val="21"/>
                <w:szCs w:val="21"/>
              </w:rPr>
            </w:pPr>
            <w:r>
              <w:rPr>
                <w:rFonts w:ascii="Times New Roman"/>
                <w:sz w:val="21"/>
              </w:rPr>
              <w:t>135,000,597.86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23.85%</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Heading2"/>
        <w:spacing w:line="240" w:lineRule="auto" w:before="199"/>
        <w:ind w:left="696" w:right="0"/>
        <w:jc w:val="left"/>
        <w:rPr>
          <w:b w:val="0"/>
          <w:bCs w:val="0"/>
        </w:rPr>
      </w:pPr>
      <w:r>
        <w:rPr/>
        <w:t>公司主要供应商情况</w:t>
      </w:r>
      <w:r>
        <w:rPr>
          <w:b w:val="0"/>
          <w:bCs w:val="0"/>
        </w:rPr>
      </w:r>
    </w:p>
    <w:p>
      <w:pPr>
        <w:spacing w:line="240" w:lineRule="auto" w:before="5"/>
        <w:rPr>
          <w:rFonts w:ascii="宋体" w:hAnsi="宋体" w:cs="宋体" w:eastAsia="宋体" w:hint="default"/>
          <w:b/>
          <w:bCs/>
          <w:sz w:val="4"/>
          <w:szCs w:val="4"/>
        </w:rPr>
      </w:pPr>
    </w:p>
    <w:tbl>
      <w:tblPr>
        <w:tblW w:w="0" w:type="auto"/>
        <w:jc w:val="left"/>
        <w:tblInd w:w="209" w:type="dxa"/>
        <w:tblLayout w:type="fixed"/>
        <w:tblCellMar>
          <w:top w:w="0" w:type="dxa"/>
          <w:left w:w="0" w:type="dxa"/>
          <w:bottom w:w="0" w:type="dxa"/>
          <w:right w:w="0" w:type="dxa"/>
        </w:tblCellMar>
        <w:tblLook w:val="01E0"/>
      </w:tblPr>
      <w:tblGrid>
        <w:gridCol w:w="4821"/>
        <w:gridCol w:w="4748"/>
      </w:tblGrid>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66,217,028.12</w:t>
            </w:r>
          </w:p>
        </w:tc>
      </w:tr>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19.90%</w:t>
            </w:r>
          </w:p>
        </w:tc>
      </w:tr>
    </w:tbl>
    <w:p>
      <w:pPr>
        <w:spacing w:line="240" w:lineRule="auto" w:before="10"/>
        <w:rPr>
          <w:rFonts w:ascii="宋体" w:hAnsi="宋体" w:cs="宋体" w:eastAsia="宋体" w:hint="default"/>
          <w:b/>
          <w:bCs/>
          <w:sz w:val="4"/>
          <w:szCs w:val="4"/>
        </w:rPr>
      </w:pPr>
    </w:p>
    <w:p>
      <w:pPr>
        <w:pStyle w:val="Heading2"/>
        <w:spacing w:line="240" w:lineRule="auto"/>
        <w:ind w:left="696" w:right="0"/>
        <w:jc w:val="left"/>
        <w:rPr>
          <w:b w:val="0"/>
          <w:bCs w:val="0"/>
        </w:rPr>
      </w:pPr>
      <w:r>
        <w:rPr/>
        <w:t>公司前</w:t>
      </w:r>
      <w:r>
        <w:rPr>
          <w:spacing w:val="-64"/>
        </w:rPr>
        <w:t> </w:t>
      </w:r>
      <w:r>
        <w:rPr>
          <w:rFonts w:ascii="宋体" w:hAnsi="宋体" w:cs="宋体" w:eastAsia="宋体" w:hint="default"/>
        </w:rPr>
        <w:t>5</w:t>
      </w:r>
      <w:r>
        <w:rPr>
          <w:rFonts w:ascii="宋体" w:hAnsi="宋体" w:cs="宋体" w:eastAsia="宋体" w:hint="default"/>
          <w:spacing w:val="-64"/>
        </w:rPr>
        <w:t> </w:t>
      </w:r>
      <w:r>
        <w:rPr/>
        <w:t>名供应商资料</w:t>
      </w:r>
      <w:r>
        <w:rPr>
          <w:b w:val="0"/>
          <w:bCs w:val="0"/>
        </w:rPr>
      </w:r>
    </w:p>
    <w:p>
      <w:pPr>
        <w:spacing w:line="240" w:lineRule="auto" w:before="5"/>
        <w:rPr>
          <w:rFonts w:ascii="宋体" w:hAnsi="宋体" w:cs="宋体" w:eastAsia="宋体" w:hint="default"/>
          <w:b/>
          <w:bCs/>
          <w:sz w:val="4"/>
          <w:szCs w:val="4"/>
        </w:rPr>
      </w:pPr>
    </w:p>
    <w:tbl>
      <w:tblPr>
        <w:tblW w:w="0" w:type="auto"/>
        <w:jc w:val="left"/>
        <w:tblInd w:w="220" w:type="dxa"/>
        <w:tblLayout w:type="fixed"/>
        <w:tblCellMar>
          <w:top w:w="0" w:type="dxa"/>
          <w:left w:w="0" w:type="dxa"/>
          <w:bottom w:w="0" w:type="dxa"/>
          <w:right w:w="0" w:type="dxa"/>
        </w:tblCellMar>
        <w:tblLook w:val="01E0"/>
      </w:tblPr>
      <w:tblGrid>
        <w:gridCol w:w="636"/>
        <w:gridCol w:w="3456"/>
        <w:gridCol w:w="2322"/>
        <w:gridCol w:w="3143"/>
      </w:tblGrid>
      <w:tr>
        <w:trPr>
          <w:trHeight w:val="402"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2"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w:t>
            </w:r>
          </w:p>
        </w:tc>
        <w:tc>
          <w:tcPr>
            <w:tcW w:w="34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南京南瑞集团公司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28,124,794.87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8.45%</w:t>
            </w:r>
          </w:p>
        </w:tc>
      </w:tr>
      <w:tr>
        <w:trPr>
          <w:trHeight w:val="402"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w:t>
            </w:r>
          </w:p>
        </w:tc>
        <w:tc>
          <w:tcPr>
            <w:tcW w:w="34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上海华铭智能终端设备股份有限公司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16,664,404.62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5.01%</w:t>
            </w:r>
          </w:p>
        </w:tc>
      </w:tr>
      <w:tr>
        <w:trPr>
          <w:trHeight w:val="402"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w:t>
            </w:r>
          </w:p>
        </w:tc>
        <w:tc>
          <w:tcPr>
            <w:tcW w:w="34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卡斯柯信号有限公司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7,847,863.25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2.36%</w:t>
            </w:r>
          </w:p>
        </w:tc>
      </w:tr>
      <w:tr>
        <w:trPr>
          <w:trHeight w:val="402"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w:t>
            </w:r>
          </w:p>
        </w:tc>
        <w:tc>
          <w:tcPr>
            <w:tcW w:w="34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成都中达电气信号设备有限公司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7,054,197.86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2.12%</w:t>
            </w:r>
          </w:p>
        </w:tc>
      </w:tr>
      <w:tr>
        <w:trPr>
          <w:trHeight w:val="402"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w:t>
            </w:r>
          </w:p>
        </w:tc>
        <w:tc>
          <w:tcPr>
            <w:tcW w:w="34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北京网讯启点科技有限公司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6,525,767.52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1.96%</w:t>
            </w:r>
          </w:p>
        </w:tc>
      </w:tr>
      <w:tr>
        <w:trPr>
          <w:trHeight w:val="402"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0"/>
              <w:jc w:val="center"/>
              <w:rPr>
                <w:rFonts w:ascii="Times New Roman" w:hAnsi="Times New Roman" w:cs="Times New Roman" w:eastAsia="Times New Roman" w:hint="default"/>
                <w:sz w:val="21"/>
                <w:szCs w:val="21"/>
              </w:rPr>
            </w:pPr>
            <w:r>
              <w:rPr>
                <w:rFonts w:ascii="Times New Roman"/>
                <w:sz w:val="21"/>
              </w:rPr>
              <w:t>66,217,028.12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19.90%</w:t>
            </w:r>
          </w:p>
        </w:tc>
      </w:tr>
    </w:tbl>
    <w:p>
      <w:pPr>
        <w:spacing w:line="240" w:lineRule="auto" w:before="10"/>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pgSz w:w="11910" w:h="16840"/>
          <w:pgMar w:header="747" w:footer="979" w:top="1060" w:bottom="1160" w:left="920" w:right="0"/>
        </w:sectPr>
      </w:pPr>
    </w:p>
    <w:p>
      <w:pPr>
        <w:pStyle w:val="Heading2"/>
        <w:spacing w:line="240" w:lineRule="auto"/>
        <w:ind w:left="696" w:right="-19"/>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696"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20" w:right="0"/>
          <w:cols w:num="2" w:equalWidth="0">
            <w:col w:w="1541" w:space="6461"/>
            <w:col w:w="2988"/>
          </w:cols>
        </w:sectPr>
      </w:pPr>
    </w:p>
    <w:p>
      <w:pPr>
        <w:spacing w:line="240" w:lineRule="auto" w:before="13"/>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1220"/>
        <w:gridCol w:w="1855"/>
        <w:gridCol w:w="1844"/>
        <w:gridCol w:w="1276"/>
        <w:gridCol w:w="3364"/>
      </w:tblGrid>
      <w:tr>
        <w:trPr>
          <w:trHeight w:val="64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58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57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1"/>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3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1046"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33" w:right="0"/>
              <w:jc w:val="left"/>
              <w:rPr>
                <w:rFonts w:ascii="宋体" w:hAnsi="宋体" w:cs="宋体" w:eastAsia="宋体" w:hint="default"/>
                <w:sz w:val="21"/>
                <w:szCs w:val="21"/>
              </w:rPr>
            </w:pPr>
            <w:r>
              <w:rPr>
                <w:rFonts w:ascii="宋体"/>
                <w:sz w:val="21"/>
              </w:rPr>
              <w:t>28,123,121.31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4" w:right="0"/>
              <w:jc w:val="left"/>
              <w:rPr>
                <w:rFonts w:ascii="宋体" w:hAnsi="宋体" w:cs="宋体" w:eastAsia="宋体" w:hint="default"/>
                <w:sz w:val="21"/>
                <w:szCs w:val="21"/>
              </w:rPr>
            </w:pPr>
            <w:r>
              <w:rPr>
                <w:rFonts w:ascii="宋体"/>
                <w:sz w:val="21"/>
              </w:rPr>
              <w:t>25,328,419.65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11.03%</w:t>
            </w:r>
          </w:p>
        </w:tc>
        <w:tc>
          <w:tcPr>
            <w:tcW w:w="33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81" w:right="0"/>
              <w:jc w:val="left"/>
              <w:rPr>
                <w:rFonts w:ascii="宋体" w:hAnsi="宋体" w:cs="宋体" w:eastAsia="宋体" w:hint="default"/>
                <w:sz w:val="21"/>
                <w:szCs w:val="21"/>
              </w:rPr>
            </w:pPr>
            <w:r>
              <w:rPr>
                <w:rFonts w:ascii="宋体"/>
                <w:sz w:val="21"/>
              </w:rPr>
              <w:t>108,026,374.58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1" w:right="0"/>
              <w:jc w:val="left"/>
              <w:rPr>
                <w:rFonts w:ascii="宋体" w:hAnsi="宋体" w:cs="宋体" w:eastAsia="宋体" w:hint="default"/>
                <w:sz w:val="21"/>
                <w:szCs w:val="21"/>
              </w:rPr>
            </w:pPr>
            <w:r>
              <w:rPr>
                <w:rFonts w:ascii="宋体"/>
                <w:sz w:val="21"/>
              </w:rPr>
              <w:t>102,911,802.44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4.97%</w:t>
            </w:r>
          </w:p>
        </w:tc>
        <w:tc>
          <w:tcPr>
            <w:tcW w:w="336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8" w:right="0"/>
              <w:jc w:val="left"/>
              <w:rPr>
                <w:rFonts w:ascii="宋体" w:hAnsi="宋体" w:cs="宋体" w:eastAsia="宋体" w:hint="default"/>
                <w:sz w:val="21"/>
                <w:szCs w:val="21"/>
              </w:rPr>
            </w:pPr>
            <w:r>
              <w:rPr>
                <w:rFonts w:ascii="宋体"/>
                <w:sz w:val="21"/>
              </w:rPr>
              <w:t>13,503,527.42</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38" w:right="0"/>
              <w:jc w:val="left"/>
              <w:rPr>
                <w:rFonts w:ascii="宋体" w:hAnsi="宋体" w:cs="宋体" w:eastAsia="宋体" w:hint="default"/>
                <w:sz w:val="21"/>
                <w:szCs w:val="21"/>
              </w:rPr>
            </w:pPr>
            <w:r>
              <w:rPr>
                <w:rFonts w:ascii="宋体"/>
                <w:sz w:val="21"/>
              </w:rPr>
              <w:t>-644,125.29</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60" w:right="0"/>
              <w:jc w:val="left"/>
              <w:rPr>
                <w:rFonts w:ascii="宋体" w:hAnsi="宋体" w:cs="宋体" w:eastAsia="宋体" w:hint="default"/>
                <w:sz w:val="21"/>
                <w:szCs w:val="21"/>
              </w:rPr>
            </w:pPr>
            <w:r>
              <w:rPr>
                <w:rFonts w:ascii="宋体"/>
                <w:sz w:val="21"/>
              </w:rPr>
              <w:t>2,196.41%</w:t>
            </w:r>
          </w:p>
        </w:tc>
        <w:tc>
          <w:tcPr>
            <w:tcW w:w="3364"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21" w:firstLine="26"/>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月发行第一期公司债 券</w:t>
            </w:r>
            <w:r>
              <w:rPr>
                <w:rFonts w:ascii="宋体" w:hAnsi="宋体" w:cs="宋体" w:eastAsia="宋体" w:hint="default"/>
                <w:spacing w:val="-51"/>
                <w:sz w:val="21"/>
                <w:szCs w:val="21"/>
              </w:rPr>
              <w:t> </w:t>
            </w:r>
            <w:r>
              <w:rPr>
                <w:rFonts w:ascii="宋体" w:hAnsi="宋体" w:cs="宋体" w:eastAsia="宋体" w:hint="default"/>
                <w:sz w:val="21"/>
                <w:szCs w:val="21"/>
              </w:rPr>
              <w:t>2.5</w:t>
            </w:r>
            <w:r>
              <w:rPr>
                <w:rFonts w:ascii="宋体" w:hAnsi="宋体" w:cs="宋体" w:eastAsia="宋体" w:hint="default"/>
                <w:spacing w:val="-50"/>
                <w:sz w:val="21"/>
                <w:szCs w:val="21"/>
              </w:rPr>
              <w:t> </w:t>
            </w:r>
            <w:r>
              <w:rPr>
                <w:rFonts w:ascii="宋体" w:hAnsi="宋体" w:cs="宋体" w:eastAsia="宋体" w:hint="default"/>
                <w:spacing w:val="-11"/>
                <w:sz w:val="21"/>
                <w:szCs w:val="21"/>
              </w:rPr>
              <w:t>亿元，利率</w:t>
            </w:r>
            <w:r>
              <w:rPr>
                <w:rFonts w:ascii="宋体" w:hAnsi="宋体" w:cs="宋体" w:eastAsia="宋体" w:hint="default"/>
                <w:spacing w:val="-50"/>
                <w:sz w:val="21"/>
                <w:szCs w:val="21"/>
              </w:rPr>
              <w:t> </w:t>
            </w:r>
            <w:r>
              <w:rPr>
                <w:rFonts w:ascii="宋体" w:hAnsi="宋体" w:cs="宋体" w:eastAsia="宋体" w:hint="default"/>
                <w:spacing w:val="-7"/>
                <w:sz w:val="21"/>
                <w:szCs w:val="21"/>
              </w:rPr>
              <w:t>9%</w:t>
            </w:r>
            <w:r>
              <w:rPr>
                <w:rFonts w:ascii="宋体" w:hAnsi="宋体" w:cs="宋体" w:eastAsia="宋体" w:hint="default"/>
                <w:spacing w:val="-7"/>
                <w:sz w:val="21"/>
                <w:szCs w:val="21"/>
              </w:rPr>
              <w:t>，导致本期财务</w:t>
            </w:r>
            <w:r>
              <w:rPr>
                <w:rFonts w:ascii="宋体" w:hAnsi="宋体" w:cs="宋体" w:eastAsia="宋体" w:hint="default"/>
                <w:sz w:val="21"/>
                <w:szCs w:val="21"/>
              </w:rPr>
              <w:t> 费用比上年同期增长</w:t>
            </w:r>
            <w:r>
              <w:rPr>
                <w:rFonts w:ascii="宋体" w:hAnsi="宋体" w:cs="宋体" w:eastAsia="宋体" w:hint="default"/>
                <w:spacing w:val="-53"/>
                <w:sz w:val="21"/>
                <w:szCs w:val="21"/>
              </w:rPr>
              <w:t> </w:t>
            </w:r>
            <w:r>
              <w:rPr>
                <w:rFonts w:ascii="宋体" w:hAnsi="宋体" w:cs="宋体" w:eastAsia="宋体" w:hint="default"/>
                <w:sz w:val="21"/>
                <w:szCs w:val="21"/>
              </w:rPr>
              <w:t>2,196.41%</w:t>
            </w:r>
            <w:r>
              <w:rPr>
                <w:rFonts w:ascii="宋体" w:hAnsi="宋体" w:cs="宋体" w:eastAsia="宋体" w:hint="default"/>
                <w:sz w:val="21"/>
                <w:szCs w:val="21"/>
              </w:rPr>
              <w:t>。</w:t>
            </w:r>
          </w:p>
        </w:tc>
      </w:tr>
      <w:tr>
        <w:trPr>
          <w:trHeight w:val="392"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55" w:type="dxa"/>
            <w:vMerge/>
            <w:tcBorders>
              <w:left w:val="single" w:sz="9" w:space="0" w:color="D2D2D2"/>
              <w:right w:val="single" w:sz="4" w:space="0" w:color="000000"/>
            </w:tcBorders>
          </w:tcPr>
          <w:p>
            <w:pPr/>
          </w:p>
        </w:tc>
        <w:tc>
          <w:tcPr>
            <w:tcW w:w="184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364" w:type="dxa"/>
            <w:vMerge/>
            <w:tcBorders>
              <w:left w:val="single" w:sz="4" w:space="0" w:color="000000"/>
              <w:right w:val="single" w:sz="4" w:space="0" w:color="000000"/>
            </w:tcBorders>
          </w:tcPr>
          <w:p>
            <w:pPr/>
          </w:p>
        </w:tc>
      </w:tr>
      <w:tr>
        <w:trPr>
          <w:trHeight w:val="317"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5" w:type="dxa"/>
            <w:vMerge/>
            <w:tcBorders>
              <w:left w:val="single" w:sz="9" w:space="0" w:color="D2D2D2"/>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364"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31" w:lineRule="auto" w:before="26"/>
        <w:ind w:left="693" w:right="0" w:firstLine="2"/>
        <w:jc w:val="left"/>
      </w:pPr>
      <w:r>
        <w:rPr>
          <w:rFonts w:ascii="Times New Roman" w:hAnsi="Times New Roman" w:cs="Times New Roman" w:eastAsia="Times New Roman" w:hint="default"/>
          <w:b/>
          <w:bCs/>
        </w:rPr>
        <w:t>4</w:t>
      </w:r>
      <w:r>
        <w:rPr>
          <w:rFonts w:ascii="宋体" w:hAnsi="宋体" w:cs="宋体" w:eastAsia="宋体" w:hint="default"/>
          <w:b/>
          <w:bCs/>
        </w:rPr>
        <w:t>、研发投入</w:t>
      </w:r>
      <w:r>
        <w:rPr>
          <w:rFonts w:ascii="宋体" w:hAnsi="宋体" w:cs="宋体" w:eastAsia="宋体" w:hint="default"/>
          <w:b/>
          <w:bCs/>
          <w:w w:val="99"/>
        </w:rPr>
        <w:t> </w:t>
      </w:r>
      <w:r>
        <w:rPr>
          <w:spacing w:val="-3"/>
        </w:rPr>
        <w:t>报告期内，公司针对既有各产品线项目的研发如下：（</w:t>
      </w:r>
      <w:r>
        <w:rPr>
          <w:rFonts w:ascii="宋体" w:hAnsi="宋体" w:cs="宋体" w:eastAsia="宋体" w:hint="default"/>
          <w:spacing w:val="-3"/>
        </w:rPr>
        <w:t>1</w:t>
      </w:r>
      <w:r>
        <w:rPr>
          <w:spacing w:val="-3"/>
        </w:rPr>
        <w:t>）结合用户应用的反馈及需求变</w:t>
      </w:r>
    </w:p>
    <w:p>
      <w:pPr>
        <w:pStyle w:val="BodyText"/>
        <w:spacing w:line="350" w:lineRule="auto" w:before="55"/>
        <w:ind w:left="213" w:right="0"/>
        <w:jc w:val="left"/>
      </w:pPr>
      <w:r>
        <w:rPr/>
        <w:t>化，以提高用户满意度、降低综合成本为目标，对信号集中监测系统、防灾安全监控系统、 </w:t>
      </w:r>
      <w:r>
        <w:rPr>
          <w:spacing w:val="-3"/>
        </w:rPr>
        <w:t>无线调车机车监控系统、信号电源产品均进行了多版本的适应性开发，同时，也为产品发展、</w:t>
      </w:r>
      <w:r>
        <w:rPr>
          <w:spacing w:val="-81"/>
        </w:rPr>
        <w:t> </w:t>
      </w:r>
      <w:r>
        <w:rPr>
          <w:spacing w:val="-81"/>
        </w:rPr>
      </w:r>
      <w:r>
        <w:rPr/>
        <w:t>升级换代打下一定的技术基础。（</w:t>
      </w:r>
      <w:r>
        <w:rPr>
          <w:rFonts w:ascii="宋体" w:hAnsi="宋体" w:cs="宋体" w:eastAsia="宋体" w:hint="default"/>
        </w:rPr>
        <w:t>2</w:t>
      </w:r>
      <w:r>
        <w:rPr/>
        <w:t>）以扩大通用集成项目及信息化项目市场占用率为目标， 对综合视频监控、道岔融雪装置、电务生产指挥系统进行了重点硬件方案优化和软件功能开 发。（</w:t>
      </w:r>
      <w:r>
        <w:rPr>
          <w:rFonts w:ascii="宋体" w:hAnsi="宋体" w:cs="宋体" w:eastAsia="宋体" w:hint="default"/>
        </w:rPr>
        <w:t>3</w:t>
      </w:r>
      <w:r>
        <w:rPr/>
        <w:t>）以提高自主知识产权比例、优化综合成本构成为目标，重点对城轨综合监控项目、 城轨维护支持系统进行了模块优化和升级。</w:t>
      </w:r>
    </w:p>
    <w:p>
      <w:pPr>
        <w:pStyle w:val="BodyText"/>
        <w:spacing w:line="350" w:lineRule="auto"/>
        <w:ind w:left="213" w:right="1130" w:firstLine="480"/>
        <w:jc w:val="both"/>
      </w:pPr>
      <w:r>
        <w:rPr>
          <w:spacing w:val="-3"/>
        </w:rPr>
        <w:t>针对新产品开发、新领域的研究工作如下：（</w:t>
      </w:r>
      <w:r>
        <w:rPr>
          <w:rFonts w:ascii="宋体" w:hAnsi="宋体" w:cs="宋体" w:eastAsia="宋体" w:hint="default"/>
          <w:spacing w:val="-3"/>
        </w:rPr>
        <w:t>1</w:t>
      </w:r>
      <w:r>
        <w:rPr>
          <w:spacing w:val="-3"/>
        </w:rPr>
        <w:t>）重点对防灾产品线的延伸（高铁周界入</w:t>
      </w:r>
      <w:r>
        <w:rPr/>
        <w:t> 侵告警系统、信号设备视频监控及分析系统、落石监测系统等）、电务监测产品线延伸（电 务综合监督系统）、信号设备产品线延伸（转辙机项目等）进行了多项目、分层次推进，取 </w:t>
      </w:r>
      <w:r>
        <w:rPr>
          <w:spacing w:val="-2"/>
        </w:rPr>
        <w:t>得了明显的研发成果，大部分已经进入试点或者定型状态。（</w:t>
      </w:r>
      <w:r>
        <w:rPr>
          <w:rFonts w:ascii="宋体" w:hAnsi="宋体" w:cs="宋体" w:eastAsia="宋体" w:hint="default"/>
          <w:spacing w:val="-2"/>
        </w:rPr>
        <w:t>2</w:t>
      </w:r>
      <w:r>
        <w:rPr>
          <w:spacing w:val="-2"/>
        </w:rPr>
        <w:t>）稳步推进募投项目</w:t>
      </w:r>
      <w:r>
        <w:rPr>
          <w:rFonts w:ascii="宋体" w:hAnsi="宋体" w:cs="宋体" w:eastAsia="宋体" w:hint="default"/>
          <w:spacing w:val="-2"/>
        </w:rPr>
        <w:t>----</w:t>
      </w:r>
      <w:r>
        <w:rPr>
          <w:spacing w:val="-2"/>
        </w:rPr>
        <w:t>轨道</w:t>
      </w:r>
      <w:r>
        <w:rPr>
          <w:spacing w:val="-117"/>
        </w:rPr>
        <w:t> </w:t>
      </w:r>
      <w:r>
        <w:rPr/>
        <w:t>交通运营安全服务系统各子系统研发工作</w:t>
      </w:r>
      <w:r>
        <w:rPr>
          <w:rFonts w:ascii="宋体" w:hAnsi="宋体" w:cs="宋体" w:eastAsia="宋体" w:hint="default"/>
        </w:rPr>
        <w:t>,</w:t>
      </w:r>
      <w:r>
        <w:rPr/>
        <w:t>部分子项已经进入现场试点状态。（</w:t>
      </w:r>
      <w:r>
        <w:rPr>
          <w:rFonts w:ascii="宋体" w:hAnsi="宋体" w:cs="宋体" w:eastAsia="宋体" w:hint="default"/>
        </w:rPr>
        <w:t>3</w:t>
      </w:r>
      <w:r>
        <w:rPr/>
        <w:t>）继续加大</w:t>
      </w:r>
    </w:p>
    <w:p>
      <w:pPr>
        <w:spacing w:after="0" w:line="350" w:lineRule="auto"/>
        <w:jc w:val="both"/>
        <w:sectPr>
          <w:type w:val="continuous"/>
          <w:pgSz w:w="11910" w:h="16840"/>
          <w:pgMar w:top="1060" w:bottom="1160" w:left="920" w:right="0"/>
        </w:sectPr>
      </w:pPr>
    </w:p>
    <w:p>
      <w:pPr>
        <w:spacing w:line="240" w:lineRule="auto" w:before="0"/>
        <w:rPr>
          <w:rFonts w:ascii="宋体" w:hAnsi="宋体" w:cs="宋体" w:eastAsia="宋体" w:hint="default"/>
          <w:sz w:val="20"/>
          <w:szCs w:val="20"/>
        </w:rPr>
      </w:pPr>
    </w:p>
    <w:p>
      <w:pPr>
        <w:pStyle w:val="BodyText"/>
        <w:spacing w:line="350" w:lineRule="auto" w:before="199"/>
        <w:ind w:left="733" w:right="1153" w:hanging="480"/>
        <w:jc w:val="left"/>
      </w:pPr>
      <w:r>
        <w:rPr/>
        <w:t>对列车控制系统及转辙机的研究工作，年度内均实现了关键模块的突破。 以上项目的研发工作对公司产品的质量提升及新产品的推动起到了积极作用，优化完善</w:t>
      </w:r>
    </w:p>
    <w:p>
      <w:pPr>
        <w:pStyle w:val="BodyText"/>
        <w:spacing w:line="350" w:lineRule="auto"/>
        <w:ind w:left="736" w:right="3073" w:hanging="483"/>
        <w:jc w:val="left"/>
        <w:rPr>
          <w:rFonts w:ascii="宋体" w:hAnsi="宋体" w:cs="宋体" w:eastAsia="宋体" w:hint="default"/>
        </w:rPr>
      </w:pPr>
      <w:r>
        <w:rPr/>
        <w:pict>
          <v:shape style="position:absolute;margin-left:58.77pt;margin-top:43.375607pt;width:478.65pt;height:141.2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2"/>
                    <w:gridCol w:w="1997"/>
                    <w:gridCol w:w="2126"/>
                    <w:gridCol w:w="1914"/>
                  </w:tblGrid>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6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2" w:right="0"/>
                          <w:jc w:val="left"/>
                          <w:rPr>
                            <w:rFonts w:ascii="宋体" w:hAnsi="宋体" w:cs="宋体" w:eastAsia="宋体" w:hint="default"/>
                            <w:sz w:val="21"/>
                            <w:szCs w:val="21"/>
                          </w:rPr>
                        </w:pPr>
                        <w:r>
                          <w:rPr>
                            <w:rFonts w:ascii="宋体" w:hAnsi="宋体" w:cs="宋体" w:eastAsia="宋体" w:hint="default"/>
                            <w:sz w:val="21"/>
                            <w:szCs w:val="21"/>
                          </w:rPr>
                          <w:t>变动比例</w:t>
                        </w: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238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1.71%</w:t>
                        </w: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31.90%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-1.67%</w:t>
                        </w: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63,274,334.81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43,828,462.10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44.37%</w:t>
                        </w: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2"/>
                            <w:sz w:val="21"/>
                          </w:rPr>
                          <w:t>11.18%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2.84%</w:t>
                        </w: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研发投入资本化的金额（元）</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资本化研发投入占研发投入的比例</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0.00%</w:t>
                        </w:r>
                      </w:p>
                    </w:tc>
                  </w:tr>
                </w:tbl>
                <w:p>
                  <w:pPr/>
                </w:p>
              </w:txbxContent>
            </v:textbox>
            <w10:wrap type="none"/>
          </v:shape>
        </w:pict>
      </w:r>
      <w:r>
        <w:rPr/>
        <w:t>了公司的产品链条，扩大了产品的市场份额，增强了公司的核心竞争力。 </w:t>
      </w:r>
      <w:r>
        <w:rPr>
          <w:rFonts w:ascii="宋体" w:hAnsi="宋体" w:cs="宋体" w:eastAsia="宋体" w:hint="default"/>
          <w:b/>
          <w:bCs/>
        </w:rPr>
        <w:t>公司研发投入情况</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line="350" w:lineRule="auto" w:before="26"/>
        <w:ind w:left="736" w:right="2053" w:hanging="3"/>
        <w:jc w:val="left"/>
        <w:rPr>
          <w:rFonts w:ascii="宋体" w:hAnsi="宋体" w:cs="宋体" w:eastAsia="宋体" w:hint="default"/>
          <w:sz w:val="24"/>
          <w:szCs w:val="24"/>
        </w:rPr>
      </w:pPr>
      <w:r>
        <w:rPr>
          <w:rFonts w:ascii="宋体" w:hAnsi="宋体" w:cs="宋体" w:eastAsia="宋体" w:hint="default"/>
          <w:sz w:val="24"/>
          <w:szCs w:val="24"/>
        </w:rPr>
        <w:t>研发投入金额较上年同期增长</w:t>
      </w:r>
      <w:r>
        <w:rPr>
          <w:rFonts w:ascii="宋体" w:hAnsi="宋体" w:cs="宋体" w:eastAsia="宋体" w:hint="default"/>
          <w:spacing w:val="-60"/>
          <w:sz w:val="24"/>
          <w:szCs w:val="24"/>
        </w:rPr>
        <w:t> </w:t>
      </w:r>
      <w:r>
        <w:rPr>
          <w:rFonts w:ascii="宋体" w:hAnsi="宋体" w:cs="宋体" w:eastAsia="宋体" w:hint="default"/>
          <w:sz w:val="24"/>
          <w:szCs w:val="24"/>
        </w:rPr>
        <w:t>44.37%</w:t>
      </w:r>
      <w:r>
        <w:rPr>
          <w:rFonts w:ascii="宋体" w:hAnsi="宋体" w:cs="宋体" w:eastAsia="宋体" w:hint="default"/>
          <w:sz w:val="24"/>
          <w:szCs w:val="24"/>
        </w:rPr>
        <w:t>，主要原因系本年度研发投入增加所致。 </w:t>
      </w:r>
      <w:r>
        <w:rPr>
          <w:rFonts w:ascii="宋体" w:hAnsi="宋体" w:cs="宋体" w:eastAsia="宋体" w:hint="default"/>
          <w:b/>
          <w:bCs/>
          <w:sz w:val="24"/>
          <w:szCs w:val="24"/>
        </w:rPr>
        <w:t>研发投入资本化率大幅变动的原因及其合理性说明</w:t>
      </w:r>
      <w:r>
        <w:rPr>
          <w:rFonts w:ascii="宋体" w:hAnsi="宋体" w:cs="宋体" w:eastAsia="宋体" w:hint="default"/>
          <w:sz w:val="24"/>
          <w:szCs w:val="24"/>
        </w:rPr>
      </w:r>
    </w:p>
    <w:p>
      <w:pPr>
        <w:spacing w:line="352" w:lineRule="auto" w:before="35"/>
        <w:ind w:left="736" w:right="8233" w:hanging="3"/>
        <w:jc w:val="left"/>
        <w:rPr>
          <w:rFonts w:ascii="宋体" w:hAnsi="宋体" w:cs="宋体" w:eastAsia="宋体" w:hint="default"/>
          <w:sz w:val="24"/>
          <w:szCs w:val="24"/>
        </w:rPr>
      </w:pPr>
      <w:r>
        <w:rPr/>
        <w:pict>
          <v:shape style="position:absolute;margin-left:49.32pt;margin-top:43.365612pt;width:496.95pt;height:121.1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63"/>
                    <w:gridCol w:w="1134"/>
                    <w:gridCol w:w="1134"/>
                    <w:gridCol w:w="2693"/>
                  </w:tblGrid>
                  <w:tr>
                    <w:trPr>
                      <w:trHeight w:val="397"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已申请</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已获得</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截至报告期末累计获得</w:t>
                        </w:r>
                      </w:p>
                    </w:tc>
                  </w:tr>
                  <w:tr>
                    <w:trPr>
                      <w:trHeight w:val="407"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sz w:val="24"/>
                            <w:szCs w:val="24"/>
                          </w:rPr>
                          <w:t>发明专利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
                          <w:jc w:val="center"/>
                          <w:rPr>
                            <w:rFonts w:ascii="Times New Roman" w:hAnsi="Times New Roman" w:cs="Times New Roman" w:eastAsia="Times New Roman" w:hint="default"/>
                            <w:sz w:val="24"/>
                            <w:szCs w:val="24"/>
                          </w:rPr>
                        </w:pPr>
                        <w:r>
                          <w:rPr>
                            <w:rFonts w:ascii="Times New Roman"/>
                            <w:spacing w:val="-9"/>
                            <w:sz w:val="24"/>
                          </w:rPr>
                          <w:t>11</w:t>
                        </w:r>
                        <w:r>
                          <w:rPr>
                            <w:rFonts w:ascii="Times New Roman"/>
                            <w:sz w:val="24"/>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24"/>
                            <w:szCs w:val="24"/>
                          </w:rPr>
                        </w:pPr>
                        <w:r>
                          <w:rPr>
                            <w:rFonts w:ascii="Times New Roman"/>
                            <w:sz w:val="24"/>
                          </w:rPr>
                          <w:t>12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4"/>
                            <w:szCs w:val="24"/>
                          </w:rPr>
                        </w:pPr>
                        <w:r>
                          <w:rPr>
                            <w:rFonts w:ascii="Times New Roman"/>
                            <w:sz w:val="24"/>
                          </w:rPr>
                          <w:t>29</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实用新型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26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135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外观设计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本年度核心技术团队或关键技术人员变动情况</w:t>
                        </w:r>
                      </w:p>
                    </w:tc>
                    <w:tc>
                      <w:tcPr>
                        <w:tcW w:w="496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9"/>
                          <w:jc w:val="center"/>
                          <w:rPr>
                            <w:rFonts w:ascii="宋体" w:hAnsi="宋体" w:cs="宋体" w:eastAsia="宋体" w:hint="default"/>
                            <w:sz w:val="24"/>
                            <w:szCs w:val="24"/>
                          </w:rPr>
                        </w:pPr>
                        <w:r>
                          <w:rPr>
                            <w:rFonts w:ascii="宋体" w:hAnsi="宋体" w:cs="宋体" w:eastAsia="宋体" w:hint="default"/>
                            <w:sz w:val="24"/>
                            <w:szCs w:val="24"/>
                          </w:rPr>
                          <w:t>无变动</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是否属于科技部认定高新企业</w:t>
                        </w:r>
                      </w:p>
                    </w:tc>
                    <w:tc>
                      <w:tcPr>
                        <w:tcW w:w="496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10"/>
                          <w:jc w:val="center"/>
                          <w:rPr>
                            <w:rFonts w:ascii="宋体" w:hAnsi="宋体" w:cs="宋体" w:eastAsia="宋体" w:hint="default"/>
                            <w:sz w:val="24"/>
                            <w:szCs w:val="24"/>
                          </w:rPr>
                        </w:pPr>
                        <w:r>
                          <w:rPr>
                            <w:rFonts w:ascii="宋体" w:hAnsi="宋体" w:cs="宋体" w:eastAsia="宋体" w:hint="default"/>
                            <w:sz w:val="24"/>
                            <w:szCs w:val="24"/>
                          </w:rPr>
                          <w:t>是</w:t>
                        </w:r>
                      </w:p>
                    </w:tc>
                  </w:tr>
                </w:tbl>
                <w:p>
                  <w:pPr/>
                </w:p>
              </w:txbxContent>
            </v:textbox>
            <w10:wrap type="none"/>
          </v:shape>
        </w:pict>
      </w:r>
      <w:r>
        <w:rPr>
          <w:rFonts w:ascii="宋体" w:hAnsi="宋体" w:cs="宋体" w:eastAsia="宋体" w:hint="default"/>
          <w:sz w:val="24"/>
          <w:szCs w:val="24"/>
        </w:rPr>
        <w:t>□ 适用 √ 不适用 </w:t>
      </w:r>
      <w:r>
        <w:rPr>
          <w:rFonts w:ascii="宋体" w:hAnsi="宋体" w:cs="宋体" w:eastAsia="宋体" w:hint="default"/>
          <w:b/>
          <w:bCs/>
          <w:sz w:val="24"/>
          <w:szCs w:val="24"/>
        </w:rPr>
        <w:t>近两年专利数情况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747" w:footer="979" w:top="1060" w:bottom="1160" w:left="880" w:right="0"/>
        </w:sectPr>
      </w:pPr>
    </w:p>
    <w:p>
      <w:pPr>
        <w:pStyle w:val="Heading2"/>
        <w:spacing w:line="240" w:lineRule="auto"/>
        <w:ind w:left="736" w:right="-19"/>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736"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880" w:right="0"/>
          <w:cols w:num="2" w:equalWidth="0">
            <w:col w:w="1822" w:space="6495"/>
            <w:col w:w="2713"/>
          </w:cols>
        </w:sectPr>
      </w:pPr>
    </w:p>
    <w:p>
      <w:pPr>
        <w:spacing w:line="240" w:lineRule="auto" w:before="13"/>
        <w:rPr>
          <w:rFonts w:ascii="宋体" w:hAnsi="宋体" w:cs="宋体" w:eastAsia="宋体" w:hint="default"/>
          <w:sz w:val="6"/>
          <w:szCs w:val="6"/>
        </w:rPr>
      </w:pPr>
    </w:p>
    <w:tbl>
      <w:tblPr>
        <w:tblW w:w="0" w:type="auto"/>
        <w:jc w:val="left"/>
        <w:tblInd w:w="283" w:type="dxa"/>
        <w:tblLayout w:type="fixed"/>
        <w:tblCellMar>
          <w:top w:w="0" w:type="dxa"/>
          <w:left w:w="0" w:type="dxa"/>
          <w:bottom w:w="0" w:type="dxa"/>
          <w:right w:w="0" w:type="dxa"/>
        </w:tblCellMar>
        <w:tblLook w:val="01E0"/>
      </w:tblPr>
      <w:tblGrid>
        <w:gridCol w:w="2978"/>
        <w:gridCol w:w="2410"/>
        <w:gridCol w:w="2127"/>
        <w:gridCol w:w="2056"/>
      </w:tblGrid>
      <w:tr>
        <w:trPr>
          <w:trHeight w:val="401"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02"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626,485,258.09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583,467,419.73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7.37%</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531,756,967.06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538,514,583.83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-1.25%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z w:val="21"/>
              </w:rPr>
              <w:t>94,728,291.03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44,952,835.90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w w:val="95"/>
                <w:sz w:val="21"/>
              </w:rPr>
              <w:t>110.73%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z w:val="21"/>
              </w:rPr>
              <w:t>65,236,055.39</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266,578,578.99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218,757,212.27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21.86%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-201,342,523.60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-218,757,212.27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-7.96%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347,700,000.00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376,000,000.00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-7.53%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261,755,591.89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237,633,699.56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10.15%</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85,944,408.11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138,366,300.44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w w:val="95"/>
                <w:sz w:val="21"/>
              </w:rPr>
              <w:t>-37.89%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880" w:right="0"/>
        </w:sectPr>
      </w:pPr>
    </w:p>
    <w:p>
      <w:pPr>
        <w:spacing w:line="240" w:lineRule="auto" w:before="6"/>
        <w:rPr>
          <w:rFonts w:ascii="宋体" w:hAnsi="宋体" w:cs="宋体" w:eastAsia="宋体" w:hint="default"/>
          <w:sz w:val="28"/>
          <w:szCs w:val="28"/>
        </w:rPr>
      </w:pPr>
    </w:p>
    <w:tbl>
      <w:tblPr>
        <w:tblW w:w="0" w:type="auto"/>
        <w:jc w:val="left"/>
        <w:tblInd w:w="704" w:type="dxa"/>
        <w:tblLayout w:type="fixed"/>
        <w:tblCellMar>
          <w:top w:w="0" w:type="dxa"/>
          <w:left w:w="0" w:type="dxa"/>
          <w:bottom w:w="0" w:type="dxa"/>
          <w:right w:w="0" w:type="dxa"/>
        </w:tblCellMar>
        <w:tblLook w:val="01E0"/>
      </w:tblPr>
      <w:tblGrid>
        <w:gridCol w:w="2978"/>
        <w:gridCol w:w="2410"/>
        <w:gridCol w:w="2127"/>
        <w:gridCol w:w="2056"/>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20" w:right="0"/>
              <w:jc w:val="left"/>
              <w:rPr>
                <w:rFonts w:ascii="Times New Roman" w:hAnsi="Times New Roman" w:cs="Times New Roman" w:eastAsia="Times New Roman" w:hint="default"/>
                <w:sz w:val="21"/>
                <w:szCs w:val="21"/>
              </w:rPr>
            </w:pPr>
            <w:r>
              <w:rPr>
                <w:rFonts w:ascii="Times New Roman"/>
                <w:sz w:val="21"/>
              </w:rPr>
              <w:t>-20,669,824.46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6" w:right="0"/>
              <w:jc w:val="left"/>
              <w:rPr>
                <w:rFonts w:ascii="Times New Roman" w:hAnsi="Times New Roman" w:cs="Times New Roman" w:eastAsia="Times New Roman" w:hint="default"/>
                <w:sz w:val="21"/>
                <w:szCs w:val="21"/>
              </w:rPr>
            </w:pPr>
            <w:r>
              <w:rPr>
                <w:rFonts w:ascii="Times New Roman"/>
                <w:sz w:val="21"/>
              </w:rPr>
              <w:t>-35,438,075.93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23" w:right="0"/>
              <w:jc w:val="left"/>
              <w:rPr>
                <w:rFonts w:ascii="Times New Roman" w:hAnsi="Times New Roman" w:cs="Times New Roman" w:eastAsia="Times New Roman" w:hint="default"/>
                <w:sz w:val="21"/>
                <w:szCs w:val="21"/>
              </w:rPr>
            </w:pPr>
            <w:r>
              <w:rPr>
                <w:rFonts w:ascii="Times New Roman"/>
                <w:sz w:val="21"/>
              </w:rPr>
              <w:t>-41.67%</w:t>
            </w:r>
          </w:p>
        </w:tc>
      </w:tr>
    </w:tbl>
    <w:p>
      <w:pPr>
        <w:spacing w:line="240" w:lineRule="auto" w:before="10"/>
        <w:rPr>
          <w:rFonts w:ascii="宋体" w:hAnsi="宋体" w:cs="宋体" w:eastAsia="宋体" w:hint="default"/>
          <w:sz w:val="4"/>
          <w:szCs w:val="4"/>
        </w:rPr>
      </w:pPr>
    </w:p>
    <w:p>
      <w:pPr>
        <w:spacing w:line="352" w:lineRule="auto" w:before="26"/>
        <w:ind w:left="1153" w:right="1115" w:firstLine="2"/>
        <w:jc w:val="left"/>
        <w:rPr>
          <w:rFonts w:ascii="宋体" w:hAnsi="宋体" w:cs="宋体" w:eastAsia="宋体" w:hint="default"/>
          <w:sz w:val="24"/>
          <w:szCs w:val="24"/>
        </w:rPr>
      </w:pPr>
      <w:r>
        <w:rPr>
          <w:rFonts w:ascii="宋体" w:hAnsi="宋体" w:cs="宋体" w:eastAsia="宋体" w:hint="default"/>
          <w:b/>
          <w:bCs/>
          <w:sz w:val="24"/>
          <w:szCs w:val="24"/>
        </w:rPr>
        <w:t>相关数据同比发生重大变动的主要影响因素说明</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、报告期内经营活动产生的现金流量净额比上年同期增加</w:t>
      </w:r>
      <w:r>
        <w:rPr>
          <w:rFonts w:ascii="宋体" w:hAnsi="宋体" w:cs="宋体" w:eastAsia="宋体" w:hint="default"/>
          <w:spacing w:val="-82"/>
          <w:sz w:val="24"/>
          <w:szCs w:val="24"/>
        </w:rPr>
        <w:t> </w:t>
      </w:r>
      <w:r>
        <w:rPr>
          <w:rFonts w:ascii="宋体" w:hAnsi="宋体" w:cs="宋体" w:eastAsia="宋体" w:hint="default"/>
          <w:sz w:val="24"/>
          <w:szCs w:val="24"/>
        </w:rPr>
        <w:t>110.73%</w:t>
      </w:r>
      <w:r>
        <w:rPr>
          <w:rFonts w:ascii="宋体" w:hAnsi="宋体" w:cs="宋体" w:eastAsia="宋体" w:hint="default"/>
          <w:sz w:val="24"/>
          <w:szCs w:val="24"/>
        </w:rPr>
        <w:t>，主要原因系公司报</w:t>
      </w:r>
    </w:p>
    <w:p>
      <w:pPr>
        <w:pStyle w:val="BodyText"/>
        <w:spacing w:line="350" w:lineRule="auto" w:before="33"/>
        <w:ind w:left="1153" w:right="1213" w:hanging="480"/>
        <w:jc w:val="left"/>
      </w:pPr>
      <w:r>
        <w:rPr/>
        <w:t>告期内销售商品提供劳务收到的现金增加；购买商品、接受劳务支付的现金减少所致。 </w:t>
      </w:r>
      <w:r>
        <w:rPr>
          <w:rFonts w:ascii="宋体" w:hAnsi="宋体" w:cs="宋体" w:eastAsia="宋体" w:hint="default"/>
        </w:rPr>
        <w:t>2</w:t>
      </w:r>
      <w:r>
        <w:rPr/>
        <w:t>、报告期内筹资活动产生的现金流量净额比上年同期减少</w:t>
      </w:r>
      <w:r>
        <w:rPr>
          <w:spacing w:val="-60"/>
        </w:rPr>
        <w:t> </w:t>
      </w:r>
      <w:r>
        <w:rPr>
          <w:rFonts w:ascii="宋体" w:hAnsi="宋体" w:cs="宋体" w:eastAsia="宋体" w:hint="default"/>
        </w:rPr>
        <w:t>37.89%</w:t>
      </w:r>
      <w:r>
        <w:rPr/>
        <w:t>，主要原因为报告期</w:t>
      </w:r>
    </w:p>
    <w:p>
      <w:pPr>
        <w:spacing w:line="350" w:lineRule="auto" w:before="36"/>
        <w:ind w:left="1156" w:right="1115" w:hanging="483"/>
        <w:jc w:val="left"/>
        <w:rPr>
          <w:rFonts w:ascii="宋体" w:hAnsi="宋体" w:cs="宋体" w:eastAsia="宋体" w:hint="default"/>
          <w:sz w:val="24"/>
          <w:szCs w:val="24"/>
        </w:rPr>
      </w:pPr>
      <w:r>
        <w:rPr>
          <w:rFonts w:ascii="宋体" w:hAnsi="宋体" w:cs="宋体" w:eastAsia="宋体" w:hint="default"/>
          <w:sz w:val="24"/>
          <w:szCs w:val="24"/>
        </w:rPr>
        <w:t>内公司偿还银行贷款所支付的资金比上年同期增长</w:t>
      </w:r>
      <w:r>
        <w:rPr>
          <w:rFonts w:ascii="宋体" w:hAnsi="宋体" w:cs="宋体" w:eastAsia="宋体" w:hint="default"/>
          <w:spacing w:val="-60"/>
          <w:sz w:val="24"/>
          <w:szCs w:val="24"/>
        </w:rPr>
        <w:t> </w:t>
      </w:r>
      <w:r>
        <w:rPr>
          <w:rFonts w:ascii="宋体" w:hAnsi="宋体" w:cs="宋体" w:eastAsia="宋体" w:hint="default"/>
          <w:sz w:val="24"/>
          <w:szCs w:val="24"/>
        </w:rPr>
        <w:t>51.55%</w:t>
      </w:r>
      <w:r>
        <w:rPr>
          <w:rFonts w:ascii="宋体" w:hAnsi="宋体" w:cs="宋体" w:eastAsia="宋体" w:hint="default"/>
          <w:sz w:val="24"/>
          <w:szCs w:val="24"/>
        </w:rPr>
        <w:t>所致。 </w:t>
      </w:r>
      <w:r>
        <w:rPr>
          <w:rFonts w:ascii="宋体" w:hAnsi="宋体" w:cs="宋体" w:eastAsia="宋体" w:hint="default"/>
          <w:b/>
          <w:bCs/>
          <w:w w:val="95"/>
          <w:sz w:val="24"/>
          <w:szCs w:val="24"/>
        </w:rPr>
        <w:t>报告期内公司经营活动产生的现金净流量与本年度净利润存在重大差异的原因说明</w:t>
      </w:r>
      <w:r>
        <w:rPr>
          <w:rFonts w:ascii="宋体" w:hAnsi="宋体" w:cs="宋体" w:eastAsia="宋体" w:hint="default"/>
          <w:sz w:val="24"/>
          <w:szCs w:val="24"/>
        </w:rPr>
      </w:r>
    </w:p>
    <w:p>
      <w:pPr>
        <w:spacing w:line="352" w:lineRule="auto" w:before="35"/>
        <w:ind w:left="1156" w:right="8101"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三、非主营业务分析</w:t>
      </w:r>
      <w:r>
        <w:rPr>
          <w:rFonts w:ascii="宋体" w:hAnsi="宋体" w:cs="宋体" w:eastAsia="宋体" w:hint="default"/>
          <w:sz w:val="24"/>
          <w:szCs w:val="24"/>
        </w:rPr>
      </w:r>
    </w:p>
    <w:p>
      <w:pPr>
        <w:spacing w:line="352" w:lineRule="auto" w:before="32"/>
        <w:ind w:left="1156" w:right="5755"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四、资产及负债状况分析</w:t>
      </w:r>
      <w:r>
        <w:rPr>
          <w:rFonts w:ascii="宋体" w:hAnsi="宋体" w:cs="宋体" w:eastAsia="宋体" w:hint="default"/>
          <w:b/>
          <w:bCs/>
          <w:w w:val="99"/>
          <w:sz w:val="24"/>
          <w:szCs w:val="24"/>
        </w:rPr>
        <w:t> </w:t>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、资产构成重大变动情况</w:t>
      </w:r>
      <w:r>
        <w:rPr>
          <w:rFonts w:ascii="宋体" w:hAnsi="宋体" w:cs="宋体" w:eastAsia="宋体" w:hint="default"/>
          <w:sz w:val="24"/>
          <w:szCs w:val="24"/>
        </w:rPr>
      </w:r>
    </w:p>
    <w:p>
      <w:pPr>
        <w:spacing w:line="215" w:lineRule="exact"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455" w:type="dxa"/>
        <w:tblLayout w:type="fixed"/>
        <w:tblCellMar>
          <w:top w:w="0" w:type="dxa"/>
          <w:left w:w="0" w:type="dxa"/>
          <w:bottom w:w="0" w:type="dxa"/>
          <w:right w:w="0" w:type="dxa"/>
        </w:tblCellMar>
        <w:tblLook w:val="01E0"/>
      </w:tblPr>
      <w:tblGrid>
        <w:gridCol w:w="1481"/>
        <w:gridCol w:w="1544"/>
        <w:gridCol w:w="1512"/>
        <w:gridCol w:w="1578"/>
        <w:gridCol w:w="1486"/>
        <w:gridCol w:w="1290"/>
        <w:gridCol w:w="1174"/>
      </w:tblGrid>
      <w:tr>
        <w:trPr>
          <w:trHeight w:val="402" w:hRule="exact"/>
        </w:trPr>
        <w:tc>
          <w:tcPr>
            <w:tcW w:w="1481" w:type="dxa"/>
            <w:vMerge w:val="restart"/>
            <w:tcBorders>
              <w:top w:val="single" w:sz="4" w:space="0" w:color="000000"/>
              <w:left w:val="single" w:sz="4" w:space="0" w:color="000000"/>
              <w:right w:val="single" w:sz="4" w:space="0" w:color="000000"/>
            </w:tcBorders>
            <w:shd w:val="clear" w:color="auto" w:fill="D2D2D2"/>
          </w:tcPr>
          <w:p>
            <w:pPr/>
          </w:p>
        </w:tc>
        <w:tc>
          <w:tcPr>
            <w:tcW w:w="3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30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2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sz w:val="21"/>
                <w:szCs w:val="21"/>
              </w:rPr>
              <w:t>比重增减</w:t>
            </w: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0"/>
              <w:ind w:left="371" w:right="161" w:hanging="210"/>
              <w:jc w:val="left"/>
              <w:rPr>
                <w:rFonts w:ascii="宋体" w:hAnsi="宋体" w:cs="宋体" w:eastAsia="宋体" w:hint="default"/>
                <w:sz w:val="21"/>
                <w:szCs w:val="21"/>
              </w:rPr>
            </w:pPr>
            <w:r>
              <w:rPr>
                <w:rFonts w:ascii="宋体" w:hAnsi="宋体" w:cs="宋体" w:eastAsia="宋体" w:hint="default"/>
                <w:sz w:val="21"/>
                <w:szCs w:val="21"/>
              </w:rPr>
              <w:t>重大变动 说明</w:t>
            </w:r>
          </w:p>
        </w:tc>
      </w:tr>
      <w:tr>
        <w:trPr>
          <w:trHeight w:val="402" w:hRule="exact"/>
        </w:trPr>
        <w:tc>
          <w:tcPr>
            <w:tcW w:w="1481" w:type="dxa"/>
            <w:vMerge/>
            <w:tcBorders>
              <w:left w:val="single" w:sz="4" w:space="0" w:color="000000"/>
              <w:bottom w:val="single" w:sz="4" w:space="0" w:color="000000"/>
              <w:right w:val="single" w:sz="4" w:space="0" w:color="000000"/>
            </w:tcBorders>
            <w:shd w:val="clear" w:color="auto" w:fill="D2D2D2"/>
          </w:tcPr>
          <w:p>
            <w:pP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20"/>
              <w:jc w:val="right"/>
              <w:rPr>
                <w:rFonts w:ascii="宋体" w:hAnsi="宋体" w:cs="宋体" w:eastAsia="宋体" w:hint="default"/>
                <w:sz w:val="21"/>
                <w:szCs w:val="21"/>
              </w:rPr>
            </w:pPr>
            <w:r>
              <w:rPr>
                <w:rFonts w:ascii="宋体" w:hAnsi="宋体" w:cs="宋体" w:eastAsia="宋体" w:hint="default"/>
                <w:sz w:val="21"/>
                <w:szCs w:val="21"/>
              </w:rPr>
              <w:t>占总资产比例</w:t>
            </w:r>
          </w:p>
        </w:tc>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7"/>
              <w:jc w:val="right"/>
              <w:rPr>
                <w:rFonts w:ascii="宋体" w:hAnsi="宋体" w:cs="宋体" w:eastAsia="宋体" w:hint="default"/>
                <w:sz w:val="21"/>
                <w:szCs w:val="21"/>
              </w:rPr>
            </w:pPr>
            <w:r>
              <w:rPr>
                <w:rFonts w:ascii="宋体" w:hAnsi="宋体" w:cs="宋体" w:eastAsia="宋体" w:hint="default"/>
                <w:sz w:val="21"/>
                <w:szCs w:val="21"/>
              </w:rPr>
              <w:t>占总资产比例</w:t>
            </w:r>
          </w:p>
        </w:tc>
        <w:tc>
          <w:tcPr>
            <w:tcW w:w="129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819,070,867.20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38.22%</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841,165,681.50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43.64%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-5.42%</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476,050,907.59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22.21%</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457,857,558.72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23.75%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-1.54%</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219,703,790.08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10.25%</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180,134,125.77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9.34%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z w:val="21"/>
              </w:rPr>
              <w:t>0.91%</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132,485,818.96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6.18%</w:t>
            </w:r>
          </w:p>
        </w:tc>
        <w:tc>
          <w:tcPr>
            <w:tcW w:w="157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z w:val="21"/>
              </w:rPr>
              <w:t>6.18%</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z w:val="21"/>
              </w:rPr>
              <w:t>69,548,594.47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3.25%</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z w:val="21"/>
              </w:rPr>
              <w:t>88,851,520.22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4.61%</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-1.36%</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131,667,066.31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6.14%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z w:val="21"/>
              </w:rPr>
              <w:t>68,251,364.47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3.54%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z w:val="21"/>
              </w:rPr>
              <w:t>2.60%</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z w:val="21"/>
              </w:rPr>
              <w:t>50,000,000.00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2.33%</w:t>
            </w:r>
          </w:p>
        </w:tc>
        <w:tc>
          <w:tcPr>
            <w:tcW w:w="157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z w:val="21"/>
              </w:rPr>
              <w:t>2.33%</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z w:val="21"/>
              </w:rPr>
              <w:t>20,000,000.00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0.93%</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187,000,000.00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9.70%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-8.77%</w:t>
            </w:r>
          </w:p>
        </w:tc>
        <w:tc>
          <w:tcPr>
            <w:tcW w:w="11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240" w:lineRule="auto"/>
        <w:ind w:left="1156" w:right="1115"/>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352" w:lineRule="auto" w:before="127"/>
        <w:ind w:left="1153" w:right="8233" w:firstLine="0"/>
        <w:jc w:val="left"/>
        <w:rPr>
          <w:rFonts w:ascii="宋体" w:hAnsi="宋体" w:cs="宋体" w:eastAsia="宋体" w:hint="default"/>
          <w:sz w:val="24"/>
          <w:szCs w:val="24"/>
        </w:rPr>
      </w:pPr>
      <w:r>
        <w:rPr/>
        <w:pict>
          <v:shape style="position:absolute;margin-left:56.459999pt;margin-top:70.975624pt;width:479.25pt;height:40.7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195,708,300.00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225,835,407.85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-13.34%</w:t>
                        </w:r>
                      </w:p>
                    </w:tc>
                  </w:tr>
                </w:tbl>
                <w:p>
                  <w:pPr/>
                </w:p>
              </w:txbxContent>
            </v:textbox>
            <w10:wrap type="none"/>
          </v:shape>
        </w:pict>
      </w:r>
      <w:r>
        <w:rPr>
          <w:rFonts w:ascii="宋体" w:hAnsi="宋体" w:cs="宋体" w:eastAsia="宋体" w:hint="default"/>
          <w:sz w:val="24"/>
          <w:szCs w:val="24"/>
        </w:rPr>
        <w:t>□ 适用 √ 不适用 </w:t>
      </w:r>
      <w:r>
        <w:rPr>
          <w:rFonts w:ascii="宋体" w:hAnsi="宋体" w:cs="宋体" w:eastAsia="宋体" w:hint="default"/>
          <w:b/>
          <w:bCs/>
          <w:sz w:val="24"/>
          <w:szCs w:val="24"/>
        </w:rPr>
        <w:t>五、投资状况分析</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、总体情况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47" w:footer="979" w:top="1060" w:bottom="1160" w:left="460" w:right="0"/>
        </w:sectPr>
      </w:pPr>
    </w:p>
    <w:p>
      <w:pPr>
        <w:pStyle w:val="Heading2"/>
        <w:spacing w:line="240" w:lineRule="auto"/>
        <w:ind w:left="1156" w:right="0"/>
        <w:jc w:val="left"/>
        <w:rPr>
          <w:b w:val="0"/>
          <w:bCs w:val="0"/>
        </w:rPr>
      </w:pPr>
      <w:r>
        <w:rPr>
          <w:rFonts w:ascii="Times New Roman" w:hAnsi="Times New Roman" w:cs="Times New Roman" w:eastAsia="Times New Roman" w:hint="default"/>
          <w:w w:val="95"/>
        </w:rPr>
        <w:t>2</w:t>
      </w:r>
      <w:r>
        <w:rPr>
          <w:w w:val="95"/>
        </w:rPr>
        <w:t>、报告期内获取的重大的股权投资情况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156"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460" w:right="0"/>
          <w:cols w:num="2" w:equalWidth="0">
            <w:col w:w="5370" w:space="1815"/>
            <w:col w:w="4265"/>
          </w:cols>
        </w:sectPr>
      </w:pPr>
    </w:p>
    <w:p>
      <w:pPr>
        <w:spacing w:line="240" w:lineRule="auto" w:before="10"/>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982"/>
        <w:gridCol w:w="1275"/>
        <w:gridCol w:w="567"/>
        <w:gridCol w:w="567"/>
        <w:gridCol w:w="567"/>
        <w:gridCol w:w="567"/>
        <w:gridCol w:w="441"/>
        <w:gridCol w:w="618"/>
        <w:gridCol w:w="926"/>
        <w:gridCol w:w="567"/>
        <w:gridCol w:w="710"/>
        <w:gridCol w:w="567"/>
        <w:gridCol w:w="567"/>
        <w:gridCol w:w="1547"/>
      </w:tblGrid>
      <w:tr>
        <w:trPr>
          <w:trHeight w:val="382"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59" w:right="0"/>
              <w:jc w:val="left"/>
              <w:rPr>
                <w:rFonts w:ascii="宋体" w:hAnsi="宋体" w:cs="宋体" w:eastAsia="宋体" w:hint="default"/>
                <w:sz w:val="21"/>
                <w:szCs w:val="21"/>
              </w:rPr>
            </w:pPr>
            <w:r>
              <w:rPr>
                <w:rFonts w:ascii="宋体" w:hAnsi="宋体" w:cs="宋体" w:eastAsia="宋体" w:hint="default"/>
                <w:sz w:val="21"/>
                <w:szCs w:val="21"/>
              </w:rPr>
              <w:t>被投资公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12"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69"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68"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68"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68"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111" w:right="0"/>
              <w:jc w:val="left"/>
              <w:rPr>
                <w:rFonts w:ascii="宋体" w:hAnsi="宋体" w:cs="宋体" w:eastAsia="宋体" w:hint="default"/>
                <w:sz w:val="21"/>
                <w:szCs w:val="21"/>
              </w:rPr>
            </w:pPr>
            <w:r>
              <w:rPr>
                <w:rFonts w:ascii="宋体" w:hAnsi="宋体" w:cs="宋体" w:eastAsia="宋体" w:hint="default"/>
                <w:sz w:val="21"/>
                <w:szCs w:val="21"/>
              </w:rPr>
              <w:t>投</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9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37" w:right="0"/>
              <w:jc w:val="left"/>
              <w:rPr>
                <w:rFonts w:ascii="宋体" w:hAnsi="宋体" w:cs="宋体" w:eastAsia="宋体" w:hint="default"/>
                <w:sz w:val="21"/>
                <w:szCs w:val="21"/>
              </w:rPr>
            </w:pPr>
            <w:r>
              <w:rPr>
                <w:rFonts w:ascii="宋体" w:hAnsi="宋体" w:cs="宋体" w:eastAsia="宋体" w:hint="default"/>
                <w:sz w:val="21"/>
                <w:szCs w:val="21"/>
              </w:rPr>
              <w:t>截至资产</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69" w:right="0"/>
              <w:jc w:val="left"/>
              <w:rPr>
                <w:rFonts w:ascii="宋体" w:hAnsi="宋体" w:cs="宋体" w:eastAsia="宋体" w:hint="default"/>
                <w:sz w:val="21"/>
                <w:szCs w:val="21"/>
              </w:rPr>
            </w:pPr>
            <w:r>
              <w:rPr>
                <w:rFonts w:ascii="宋体" w:hAnsi="宋体" w:cs="宋体" w:eastAsia="宋体" w:hint="default"/>
                <w:sz w:val="21"/>
                <w:szCs w:val="21"/>
              </w:rPr>
              <w:t>预计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33" w:right="0"/>
              <w:jc w:val="left"/>
              <w:rPr>
                <w:rFonts w:ascii="宋体" w:hAnsi="宋体" w:cs="宋体" w:eastAsia="宋体" w:hint="default"/>
                <w:sz w:val="21"/>
                <w:szCs w:val="21"/>
              </w:rPr>
            </w:pPr>
            <w:r>
              <w:rPr>
                <w:rFonts w:ascii="宋体" w:hAnsi="宋体" w:cs="宋体" w:eastAsia="宋体" w:hint="default"/>
                <w:sz w:val="21"/>
                <w:szCs w:val="21"/>
              </w:rPr>
              <w:t>本期投</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68" w:right="0"/>
              <w:jc w:val="left"/>
              <w:rPr>
                <w:rFonts w:ascii="宋体" w:hAnsi="宋体" w:cs="宋体" w:eastAsia="宋体" w:hint="default"/>
                <w:sz w:val="21"/>
                <w:szCs w:val="21"/>
              </w:rPr>
            </w:pPr>
            <w:r>
              <w:rPr>
                <w:rFonts w:ascii="宋体" w:hAnsi="宋体" w:cs="宋体" w:eastAsia="宋体" w:hint="default"/>
                <w:sz w:val="21"/>
                <w:szCs w:val="21"/>
              </w:rPr>
              <w:t>是否</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69" w:right="0"/>
              <w:jc w:val="left"/>
              <w:rPr>
                <w:rFonts w:ascii="宋体" w:hAnsi="宋体" w:cs="宋体" w:eastAsia="宋体" w:hint="default"/>
                <w:sz w:val="21"/>
                <w:szCs w:val="21"/>
              </w:rPr>
            </w:pPr>
            <w:r>
              <w:rPr>
                <w:rFonts w:ascii="宋体" w:hAnsi="宋体" w:cs="宋体" w:eastAsia="宋体" w:hint="default"/>
                <w:sz w:val="21"/>
                <w:szCs w:val="21"/>
              </w:rPr>
              <w:t>披露</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53" w:right="0"/>
              <w:jc w:val="left"/>
              <w:rPr>
                <w:rFonts w:ascii="宋体" w:hAnsi="宋体" w:cs="宋体" w:eastAsia="宋体" w:hint="default"/>
                <w:sz w:val="21"/>
                <w:szCs w:val="21"/>
              </w:rPr>
            </w:pPr>
            <w:r>
              <w:rPr>
                <w:rFonts w:ascii="宋体" w:hAnsi="宋体" w:cs="宋体" w:eastAsia="宋体" w:hint="default"/>
                <w:sz w:val="21"/>
                <w:szCs w:val="21"/>
              </w:rPr>
              <w:t>披露索引</w:t>
            </w:r>
          </w:p>
        </w:tc>
      </w:tr>
    </w:tbl>
    <w:p>
      <w:pPr>
        <w:spacing w:after="0" w:line="240" w:lineRule="auto"/>
        <w:jc w:val="left"/>
        <w:rPr>
          <w:rFonts w:ascii="宋体" w:hAnsi="宋体" w:cs="宋体" w:eastAsia="宋体" w:hint="default"/>
          <w:sz w:val="21"/>
          <w:szCs w:val="21"/>
        </w:rPr>
        <w:sectPr>
          <w:type w:val="continuous"/>
          <w:pgSz w:w="11910" w:h="16840"/>
          <w:pgMar w:top="1060" w:bottom="116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994"/>
        <w:gridCol w:w="1276"/>
        <w:gridCol w:w="566"/>
        <w:gridCol w:w="568"/>
        <w:gridCol w:w="566"/>
        <w:gridCol w:w="568"/>
        <w:gridCol w:w="440"/>
        <w:gridCol w:w="618"/>
        <w:gridCol w:w="926"/>
        <w:gridCol w:w="566"/>
        <w:gridCol w:w="710"/>
        <w:gridCol w:w="568"/>
        <w:gridCol w:w="566"/>
        <w:gridCol w:w="1559"/>
      </w:tblGrid>
      <w:tr>
        <w:trPr>
          <w:trHeight w:val="98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77" w:right="0"/>
              <w:jc w:val="left"/>
              <w:rPr>
                <w:rFonts w:ascii="宋体" w:hAnsi="宋体" w:cs="宋体" w:eastAsia="宋体" w:hint="default"/>
                <w:sz w:val="21"/>
                <w:szCs w:val="21"/>
              </w:rPr>
            </w:pPr>
            <w:r>
              <w:rPr>
                <w:rFonts w:ascii="宋体" w:hAnsi="宋体" w:cs="宋体" w:eastAsia="宋体" w:hint="default"/>
                <w:sz w:val="21"/>
                <w:szCs w:val="21"/>
              </w:rPr>
              <w:t>司名称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68" w:right="0"/>
              <w:jc w:val="left"/>
              <w:rPr>
                <w:rFonts w:ascii="宋体" w:hAnsi="宋体" w:cs="宋体" w:eastAsia="宋体" w:hint="default"/>
                <w:sz w:val="21"/>
                <w:szCs w:val="21"/>
              </w:rPr>
            </w:pPr>
            <w:r>
              <w:rPr>
                <w:rFonts w:ascii="宋体" w:hAnsi="宋体" w:cs="宋体" w:eastAsia="宋体" w:hint="default"/>
                <w:sz w:val="21"/>
                <w:szCs w:val="21"/>
              </w:rPr>
              <w:t>方式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6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68"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3" w:lineRule="auto" w:before="37"/>
              <w:ind w:left="110" w:right="108"/>
              <w:jc w:val="left"/>
              <w:rPr>
                <w:rFonts w:ascii="宋体" w:hAnsi="宋体" w:cs="宋体" w:eastAsia="宋体" w:hint="default"/>
                <w:sz w:val="21"/>
                <w:szCs w:val="21"/>
              </w:rPr>
            </w:pPr>
            <w:r>
              <w:rPr>
                <w:rFonts w:ascii="宋体" w:hAnsi="宋体" w:cs="宋体" w:eastAsia="宋体" w:hint="default"/>
                <w:sz w:val="21"/>
                <w:szCs w:val="21"/>
              </w:rPr>
              <w:t>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负债表日</w:t>
            </w:r>
          </w:p>
          <w:p>
            <w:pPr>
              <w:pStyle w:val="TableParagraph"/>
              <w:spacing w:line="273" w:lineRule="auto" w:before="37"/>
              <w:ind w:left="352" w:right="37" w:hanging="316"/>
              <w:jc w:val="left"/>
              <w:rPr>
                <w:rFonts w:ascii="宋体" w:hAnsi="宋体" w:cs="宋体" w:eastAsia="宋体" w:hint="default"/>
                <w:sz w:val="21"/>
                <w:szCs w:val="21"/>
              </w:rPr>
            </w:pPr>
            <w:r>
              <w:rPr>
                <w:rFonts w:ascii="宋体" w:hAnsi="宋体" w:cs="宋体" w:eastAsia="宋体" w:hint="default"/>
                <w:sz w:val="21"/>
                <w:szCs w:val="21"/>
              </w:rPr>
              <w:t>的进展情 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68"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3" w:right="0"/>
              <w:jc w:val="left"/>
              <w:rPr>
                <w:rFonts w:ascii="宋体" w:hAnsi="宋体" w:cs="宋体" w:eastAsia="宋体" w:hint="default"/>
                <w:sz w:val="21"/>
                <w:szCs w:val="21"/>
              </w:rPr>
            </w:pPr>
            <w:r>
              <w:rPr>
                <w:rFonts w:ascii="宋体" w:hAnsi="宋体" w:cs="宋体" w:eastAsia="宋体" w:hint="default"/>
                <w:sz w:val="21"/>
                <w:szCs w:val="21"/>
              </w:rPr>
              <w:t>资盈亏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68" w:right="0"/>
              <w:jc w:val="left"/>
              <w:rPr>
                <w:rFonts w:ascii="宋体" w:hAnsi="宋体" w:cs="宋体" w:eastAsia="宋体" w:hint="default"/>
                <w:sz w:val="21"/>
                <w:szCs w:val="21"/>
              </w:rPr>
            </w:pPr>
            <w:r>
              <w:rPr>
                <w:rFonts w:ascii="宋体" w:hAnsi="宋体" w:cs="宋体" w:eastAsia="宋体" w:hint="default"/>
                <w:sz w:val="21"/>
                <w:szCs w:val="21"/>
              </w:rPr>
              <w:t>涉诉</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68"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70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0"/>
              <w:ind w:left="23" w:right="119"/>
              <w:jc w:val="both"/>
              <w:rPr>
                <w:rFonts w:ascii="宋体" w:hAnsi="宋体" w:cs="宋体" w:eastAsia="宋体" w:hint="default"/>
                <w:sz w:val="21"/>
                <w:szCs w:val="21"/>
              </w:rPr>
            </w:pPr>
            <w:r>
              <w:rPr>
                <w:rFonts w:ascii="宋体" w:hAnsi="宋体" w:cs="宋体" w:eastAsia="宋体" w:hint="default"/>
                <w:sz w:val="21"/>
                <w:szCs w:val="21"/>
              </w:rPr>
              <w:t>北京赛弗 网络科技 有限责任 公司</w:t>
            </w: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71" w:lineRule="auto" w:before="26"/>
              <w:ind w:left="22" w:right="-24"/>
              <w:jc w:val="left"/>
              <w:rPr>
                <w:rFonts w:ascii="宋体" w:hAnsi="宋体" w:cs="宋体" w:eastAsia="宋体" w:hint="default"/>
                <w:sz w:val="21"/>
                <w:szCs w:val="21"/>
              </w:rPr>
            </w:pPr>
            <w:r>
              <w:rPr>
                <w:rFonts w:ascii="宋体" w:hAnsi="宋体" w:cs="宋体" w:eastAsia="宋体" w:hint="default"/>
                <w:spacing w:val="-7"/>
                <w:sz w:val="21"/>
                <w:szCs w:val="21"/>
              </w:rPr>
              <w:t>术咨询、技术</w:t>
            </w:r>
            <w:r>
              <w:rPr>
                <w:rFonts w:ascii="宋体" w:hAnsi="宋体" w:cs="宋体" w:eastAsia="宋体" w:hint="default"/>
                <w:sz w:val="21"/>
                <w:szCs w:val="21"/>
              </w:rPr>
              <w:t> </w:t>
            </w:r>
            <w:r>
              <w:rPr>
                <w:rFonts w:ascii="宋体" w:hAnsi="宋体" w:cs="宋体" w:eastAsia="宋体" w:hint="default"/>
                <w:spacing w:val="-7"/>
                <w:sz w:val="21"/>
                <w:szCs w:val="21"/>
              </w:rPr>
              <w:t>推广、技术转</w:t>
            </w:r>
            <w:r>
              <w:rPr>
                <w:rFonts w:ascii="宋体" w:hAnsi="宋体" w:cs="宋体" w:eastAsia="宋体" w:hint="default"/>
                <w:sz w:val="21"/>
                <w:szCs w:val="21"/>
              </w:rPr>
              <w:t> 让、技术服 </w:t>
            </w:r>
            <w:r>
              <w:rPr>
                <w:rFonts w:ascii="宋体" w:hAnsi="宋体" w:cs="宋体" w:eastAsia="宋体" w:hint="default"/>
                <w:spacing w:val="-7"/>
                <w:sz w:val="21"/>
                <w:szCs w:val="21"/>
              </w:rPr>
              <w:t>务；销售自行</w:t>
            </w:r>
            <w:r>
              <w:rPr>
                <w:rFonts w:ascii="宋体" w:hAnsi="宋体" w:cs="宋体" w:eastAsia="宋体" w:hint="default"/>
                <w:sz w:val="21"/>
                <w:szCs w:val="21"/>
              </w:rPr>
              <w:t> 开发后的产 </w:t>
            </w:r>
            <w:r>
              <w:rPr>
                <w:rFonts w:ascii="宋体" w:hAnsi="宋体" w:cs="宋体" w:eastAsia="宋体" w:hint="default"/>
                <w:spacing w:val="-7"/>
                <w:sz w:val="21"/>
                <w:szCs w:val="21"/>
              </w:rPr>
              <w:t>品；计算机系</w:t>
            </w:r>
            <w:r>
              <w:rPr>
                <w:rFonts w:ascii="宋体" w:hAnsi="宋体" w:cs="宋体" w:eastAsia="宋体" w:hint="default"/>
                <w:sz w:val="21"/>
                <w:szCs w:val="21"/>
              </w:rPr>
              <w:t> </w:t>
            </w:r>
            <w:r>
              <w:rPr>
                <w:rFonts w:ascii="宋体" w:hAnsi="宋体" w:cs="宋体" w:eastAsia="宋体" w:hint="default"/>
                <w:spacing w:val="-7"/>
                <w:sz w:val="21"/>
                <w:szCs w:val="21"/>
              </w:rPr>
              <w:t>统服务；基础</w:t>
            </w:r>
            <w:r>
              <w:rPr>
                <w:rFonts w:ascii="宋体" w:hAnsi="宋体" w:cs="宋体" w:eastAsia="宋体" w:hint="default"/>
                <w:sz w:val="21"/>
                <w:szCs w:val="21"/>
              </w:rPr>
              <w:t> </w:t>
            </w:r>
            <w:r>
              <w:rPr>
                <w:rFonts w:ascii="宋体" w:hAnsi="宋体" w:cs="宋体" w:eastAsia="宋体" w:hint="default"/>
                <w:spacing w:val="-7"/>
                <w:sz w:val="21"/>
                <w:szCs w:val="21"/>
              </w:rPr>
              <w:t>软件服务；应</w:t>
            </w:r>
            <w:r>
              <w:rPr>
                <w:rFonts w:ascii="宋体" w:hAnsi="宋体" w:cs="宋体" w:eastAsia="宋体" w:hint="default"/>
                <w:sz w:val="21"/>
                <w:szCs w:val="21"/>
              </w:rPr>
              <w:t> 用软件服务； </w:t>
            </w:r>
            <w:r>
              <w:rPr>
                <w:rFonts w:ascii="宋体" w:hAnsi="宋体" w:cs="宋体" w:eastAsia="宋体" w:hint="default"/>
                <w:spacing w:val="-7"/>
                <w:sz w:val="21"/>
                <w:szCs w:val="21"/>
              </w:rPr>
              <w:t>软件开发；软</w:t>
            </w:r>
            <w:r>
              <w:rPr>
                <w:rFonts w:ascii="宋体" w:hAnsi="宋体" w:cs="宋体" w:eastAsia="宋体" w:hint="default"/>
                <w:sz w:val="21"/>
                <w:szCs w:val="21"/>
              </w:rPr>
              <w:t> </w:t>
            </w:r>
            <w:r>
              <w:rPr>
                <w:rFonts w:ascii="宋体" w:hAnsi="宋体" w:cs="宋体" w:eastAsia="宋体" w:hint="default"/>
                <w:spacing w:val="-7"/>
                <w:sz w:val="21"/>
                <w:szCs w:val="21"/>
              </w:rPr>
              <w:t>件咨询；产品</w:t>
            </w:r>
            <w:r>
              <w:rPr>
                <w:rFonts w:ascii="宋体" w:hAnsi="宋体" w:cs="宋体" w:eastAsia="宋体" w:hint="default"/>
                <w:sz w:val="21"/>
                <w:szCs w:val="21"/>
              </w:rPr>
              <w:t> </w:t>
            </w:r>
            <w:r>
              <w:rPr>
                <w:rFonts w:ascii="宋体" w:hAnsi="宋体" w:cs="宋体" w:eastAsia="宋体" w:hint="default"/>
                <w:spacing w:val="-7"/>
                <w:sz w:val="21"/>
                <w:szCs w:val="21"/>
              </w:rPr>
              <w:t>设计；数据处</w:t>
            </w:r>
            <w:r>
              <w:rPr>
                <w:rFonts w:ascii="宋体" w:hAnsi="宋体" w:cs="宋体" w:eastAsia="宋体" w:hint="default"/>
                <w:sz w:val="21"/>
                <w:szCs w:val="21"/>
              </w:rPr>
              <w:t> </w:t>
            </w:r>
            <w:r>
              <w:rPr>
                <w:rFonts w:ascii="宋体" w:hAnsi="宋体" w:cs="宋体" w:eastAsia="宋体" w:hint="default"/>
                <w:spacing w:val="-7"/>
                <w:sz w:val="21"/>
                <w:szCs w:val="21"/>
              </w:rPr>
              <w:t>理（数据处理</w:t>
            </w:r>
            <w:r>
              <w:rPr>
                <w:rFonts w:ascii="宋体" w:hAnsi="宋体" w:cs="宋体" w:eastAsia="宋体" w:hint="default"/>
                <w:sz w:val="21"/>
                <w:szCs w:val="21"/>
              </w:rPr>
              <w:t> 中的银行卡 </w:t>
            </w:r>
            <w:r>
              <w:rPr>
                <w:rFonts w:ascii="宋体" w:hAnsi="宋体" w:cs="宋体" w:eastAsia="宋体" w:hint="default"/>
                <w:spacing w:val="-13"/>
                <w:sz w:val="21"/>
                <w:szCs w:val="21"/>
              </w:rPr>
              <w:t>中心、</w:t>
            </w:r>
            <w:r>
              <w:rPr>
                <w:rFonts w:ascii="Times New Roman" w:hAnsi="Times New Roman" w:cs="Times New Roman" w:eastAsia="Times New Roman" w:hint="default"/>
                <w:spacing w:val="-13"/>
                <w:sz w:val="21"/>
                <w:szCs w:val="21"/>
              </w:rPr>
              <w:t>PUE</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值</w:t>
            </w:r>
            <w:r>
              <w:rPr>
                <w:rFonts w:ascii="宋体" w:hAnsi="宋体" w:cs="宋体" w:eastAsia="宋体" w:hint="default"/>
                <w:spacing w:val="-103"/>
                <w:sz w:val="21"/>
                <w:szCs w:val="21"/>
              </w:rPr>
              <w:t> </w:t>
            </w:r>
            <w:r>
              <w:rPr>
                <w:rFonts w:ascii="宋体" w:hAnsi="宋体" w:cs="宋体" w:eastAsia="宋体" w:hint="default"/>
                <w:sz w:val="21"/>
                <w:szCs w:val="21"/>
              </w:rPr>
              <w:t>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以上的 云计算数据 中心除外）</w:t>
            </w:r>
          </w:p>
        </w:tc>
        <w:tc>
          <w:tcPr>
            <w:tcW w:w="56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left="16"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61" w:right="0"/>
              <w:jc w:val="left"/>
              <w:rPr>
                <w:rFonts w:ascii="Times New Roman" w:hAnsi="Times New Roman" w:cs="Times New Roman" w:eastAsia="Times New Roman" w:hint="default"/>
                <w:sz w:val="21"/>
                <w:szCs w:val="21"/>
              </w:rPr>
            </w:pPr>
            <w:r>
              <w:rPr>
                <w:rFonts w:ascii="Times New Roman"/>
                <w:sz w:val="21"/>
              </w:rPr>
              <w:t>84,38</w:t>
            </w:r>
          </w:p>
          <w:p>
            <w:pPr>
              <w:pStyle w:val="TableParagraph"/>
              <w:spacing w:line="240" w:lineRule="auto" w:before="69"/>
              <w:ind w:left="61" w:right="0"/>
              <w:jc w:val="left"/>
              <w:rPr>
                <w:rFonts w:ascii="Times New Roman" w:hAnsi="Times New Roman" w:cs="Times New Roman" w:eastAsia="Times New Roman" w:hint="default"/>
                <w:sz w:val="21"/>
                <w:szCs w:val="21"/>
              </w:rPr>
            </w:pPr>
            <w:r>
              <w:rPr>
                <w:rFonts w:ascii="Times New Roman"/>
                <w:sz w:val="21"/>
              </w:rPr>
              <w:t>8,300</w:t>
            </w:r>
          </w:p>
          <w:p>
            <w:pPr>
              <w:pStyle w:val="TableParagraph"/>
              <w:spacing w:line="240" w:lineRule="auto" w:before="71"/>
              <w:ind w:left="271" w:right="0"/>
              <w:jc w:val="left"/>
              <w:rPr>
                <w:rFonts w:ascii="Times New Roman" w:hAnsi="Times New Roman" w:cs="Times New Roman" w:eastAsia="Times New Roman" w:hint="default"/>
                <w:sz w:val="21"/>
                <w:szCs w:val="21"/>
              </w:rPr>
            </w:pPr>
            <w:r>
              <w:rPr>
                <w:rFonts w:ascii="Times New Roman"/>
                <w:sz w:val="21"/>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61" w:right="0"/>
              <w:jc w:val="left"/>
              <w:rPr>
                <w:rFonts w:ascii="Times New Roman" w:hAnsi="Times New Roman" w:cs="Times New Roman" w:eastAsia="Times New Roman" w:hint="default"/>
                <w:sz w:val="21"/>
                <w:szCs w:val="21"/>
              </w:rPr>
            </w:pPr>
            <w:r>
              <w:rPr>
                <w:rFonts w:ascii="Times New Roman"/>
                <w:sz w:val="21"/>
              </w:rPr>
              <w:t>31.00</w:t>
            </w:r>
          </w:p>
          <w:p>
            <w:pPr>
              <w:pStyle w:val="TableParagraph"/>
              <w:spacing w:line="240" w:lineRule="auto" w:before="70"/>
              <w:ind w:left="358"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73" w:lineRule="auto"/>
              <w:ind w:left="22" w:right="113"/>
              <w:jc w:val="left"/>
              <w:rPr>
                <w:rFonts w:ascii="宋体" w:hAnsi="宋体" w:cs="宋体" w:eastAsia="宋体" w:hint="default"/>
                <w:sz w:val="21"/>
                <w:szCs w:val="21"/>
              </w:rPr>
            </w:pPr>
            <w:r>
              <w:rPr>
                <w:rFonts w:ascii="宋体" w:hAnsi="宋体" w:cs="宋体" w:eastAsia="宋体" w:hint="default"/>
                <w:sz w:val="21"/>
                <w:szCs w:val="21"/>
              </w:rPr>
              <w:t>自筹 资金</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73" w:lineRule="auto"/>
              <w:ind w:left="22" w:right="197"/>
              <w:jc w:val="left"/>
              <w:rPr>
                <w:rFonts w:ascii="宋体" w:hAnsi="宋体" w:cs="宋体" w:eastAsia="宋体" w:hint="default"/>
                <w:sz w:val="21"/>
                <w:szCs w:val="21"/>
              </w:rPr>
            </w:pPr>
            <w:r>
              <w:rPr>
                <w:rFonts w:ascii="宋体" w:hAnsi="宋体" w:cs="宋体" w:eastAsia="宋体" w:hint="default"/>
                <w:sz w:val="21"/>
                <w:szCs w:val="21"/>
              </w:rPr>
              <w:t>长 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交通</w:t>
            </w:r>
          </w:p>
          <w:p>
            <w:pPr>
              <w:pStyle w:val="TableParagraph"/>
              <w:spacing w:line="240" w:lineRule="auto" w:before="86"/>
              <w:ind w:left="22" w:right="0"/>
              <w:jc w:val="left"/>
              <w:rPr>
                <w:rFonts w:ascii="Times New Roman" w:hAnsi="Times New Roman" w:cs="Times New Roman" w:eastAsia="Times New Roman" w:hint="default"/>
                <w:sz w:val="21"/>
                <w:szCs w:val="21"/>
              </w:rPr>
            </w:pPr>
            <w:r>
              <w:rPr>
                <w:rFonts w:ascii="Times New Roman"/>
                <w:spacing w:val="-3"/>
                <w:sz w:val="21"/>
              </w:rPr>
              <w:t>WiFi</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73" w:lineRule="auto"/>
              <w:ind w:left="22" w:right="53"/>
              <w:jc w:val="both"/>
              <w:rPr>
                <w:rFonts w:ascii="宋体" w:hAnsi="宋体" w:cs="宋体" w:eastAsia="宋体" w:hint="default"/>
                <w:sz w:val="21"/>
                <w:szCs w:val="21"/>
              </w:rPr>
            </w:pPr>
            <w:r>
              <w:rPr>
                <w:rFonts w:ascii="宋体" w:hAnsi="宋体" w:cs="宋体" w:eastAsia="宋体" w:hint="default"/>
                <w:sz w:val="21"/>
                <w:szCs w:val="21"/>
              </w:rPr>
              <w:t>已完成工 商登记变 更</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80" w:right="0"/>
              <w:jc w:val="left"/>
              <w:rPr>
                <w:rFonts w:ascii="Times New Roman" w:hAnsi="Times New Roman" w:cs="Times New Roman" w:eastAsia="Times New Roman" w:hint="default"/>
                <w:sz w:val="21"/>
                <w:szCs w:val="21"/>
              </w:rPr>
            </w:pPr>
            <w:r>
              <w:rPr>
                <w:rFonts w:ascii="Times New Roman"/>
                <w:sz w:val="21"/>
              </w:rPr>
              <w:t>-1,806,</w:t>
            </w:r>
          </w:p>
          <w:p>
            <w:pPr>
              <w:pStyle w:val="TableParagraph"/>
              <w:spacing w:line="240" w:lineRule="auto" w:before="70"/>
              <w:ind w:left="98" w:right="0"/>
              <w:jc w:val="left"/>
              <w:rPr>
                <w:rFonts w:ascii="Times New Roman" w:hAnsi="Times New Roman" w:cs="Times New Roman" w:eastAsia="Times New Roman" w:hint="default"/>
                <w:sz w:val="21"/>
                <w:szCs w:val="21"/>
              </w:rPr>
            </w:pPr>
            <w:r>
              <w:rPr>
                <w:rFonts w:ascii="Times New Roman"/>
                <w:sz w:val="21"/>
              </w:rPr>
              <w:t>537.47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both"/>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0"/>
              <w:ind w:left="22"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22"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日刊登于</w:t>
            </w:r>
          </w:p>
          <w:p>
            <w:pPr>
              <w:pStyle w:val="TableParagraph"/>
              <w:spacing w:line="240" w:lineRule="auto" w:before="21"/>
              <w:ind w:left="22" w:right="0"/>
              <w:jc w:val="both"/>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auto" w:before="37"/>
              <w:ind w:left="22" w:right="54"/>
              <w:jc w:val="both"/>
              <w:rPr>
                <w:rFonts w:ascii="宋体" w:hAnsi="宋体" w:cs="宋体" w:eastAsia="宋体" w:hint="default"/>
                <w:sz w:val="21"/>
                <w:szCs w:val="21"/>
              </w:rPr>
            </w:pPr>
            <w:r>
              <w:rPr>
                <w:rFonts w:ascii="宋体" w:hAnsi="宋体" w:cs="宋体" w:eastAsia="宋体" w:hint="default"/>
                <w:sz w:val="21"/>
                <w:szCs w:val="21"/>
              </w:rPr>
              <w:t>《中国证券报》 及巨潮资讯网的</w:t>
            </w:r>
          </w:p>
          <w:p>
            <w:pPr>
              <w:pStyle w:val="TableParagraph"/>
              <w:spacing w:line="273" w:lineRule="auto" w:before="7"/>
              <w:ind w:left="22" w:right="1"/>
              <w:jc w:val="both"/>
              <w:rPr>
                <w:rFonts w:ascii="宋体" w:hAnsi="宋体" w:cs="宋体" w:eastAsia="宋体" w:hint="default"/>
                <w:sz w:val="21"/>
                <w:szCs w:val="21"/>
              </w:rPr>
            </w:pPr>
            <w:r>
              <w:rPr>
                <w:rFonts w:ascii="宋体" w:hAnsi="宋体" w:cs="宋体" w:eastAsia="宋体" w:hint="default"/>
                <w:sz w:val="21"/>
                <w:szCs w:val="21"/>
              </w:rPr>
              <w:t>《对外投资公 </w:t>
            </w:r>
            <w:r>
              <w:rPr>
                <w:rFonts w:ascii="宋体" w:hAnsi="宋体" w:cs="宋体" w:eastAsia="宋体" w:hint="default"/>
                <w:spacing w:val="-26"/>
                <w:sz w:val="21"/>
                <w:szCs w:val="21"/>
              </w:rPr>
              <w:t>告》（</w:t>
            </w:r>
            <w:r>
              <w:rPr>
                <w:rFonts w:ascii="Times New Roman" w:hAnsi="Times New Roman" w:cs="Times New Roman" w:eastAsia="Times New Roman" w:hint="default"/>
                <w:spacing w:val="-26"/>
                <w:sz w:val="21"/>
                <w:szCs w:val="21"/>
              </w:rPr>
              <w:t>2015-002</w:t>
            </w:r>
            <w:r>
              <w:rPr>
                <w:rFonts w:ascii="宋体" w:hAnsi="宋体" w:cs="宋体" w:eastAsia="宋体" w:hint="default"/>
                <w:spacing w:val="-26"/>
                <w:sz w:val="21"/>
                <w:szCs w:val="21"/>
              </w:rPr>
              <w:t>）、</w:t>
            </w:r>
            <w:r>
              <w:rPr>
                <w:rFonts w:ascii="宋体" w:hAnsi="宋体" w:cs="宋体" w:eastAsia="宋体" w:hint="default"/>
                <w:sz w:val="21"/>
                <w:szCs w:val="21"/>
              </w:rPr>
            </w:r>
          </w:p>
          <w:p>
            <w:pPr>
              <w:pStyle w:val="TableParagraph"/>
              <w:spacing w:line="273" w:lineRule="auto"/>
              <w:ind w:left="22" w:right="54"/>
              <w:jc w:val="both"/>
              <w:rPr>
                <w:rFonts w:ascii="宋体" w:hAnsi="宋体" w:cs="宋体" w:eastAsia="宋体" w:hint="default"/>
                <w:sz w:val="21"/>
                <w:szCs w:val="21"/>
              </w:rPr>
            </w:pPr>
            <w:r>
              <w:rPr>
                <w:rFonts w:ascii="宋体" w:hAnsi="宋体" w:cs="宋体" w:eastAsia="宋体" w:hint="default"/>
                <w:sz w:val="21"/>
                <w:szCs w:val="21"/>
              </w:rPr>
              <w:t>《关于对参股子 公司追加投资的 公告》</w:t>
            </w:r>
          </w:p>
          <w:p>
            <w:pPr>
              <w:pStyle w:val="TableParagraph"/>
              <w:spacing w:line="240" w:lineRule="auto" w:before="9"/>
              <w:ind w:left="2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2015-037</w:t>
            </w:r>
            <w:r>
              <w:rPr>
                <w:rFonts w:ascii="宋体" w:hAnsi="宋体" w:cs="宋体" w:eastAsia="宋体" w:hint="default"/>
                <w:sz w:val="21"/>
                <w:szCs w:val="21"/>
              </w:rPr>
              <w:t>）。</w:t>
            </w:r>
          </w:p>
        </w:tc>
      </w:tr>
      <w:tr>
        <w:trPr>
          <w:trHeight w:val="47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23" w:right="0"/>
              <w:jc w:val="both"/>
              <w:rPr>
                <w:rFonts w:ascii="宋体" w:hAnsi="宋体" w:cs="宋体" w:eastAsia="宋体" w:hint="default"/>
                <w:sz w:val="21"/>
                <w:szCs w:val="21"/>
              </w:rPr>
            </w:pPr>
            <w:r>
              <w:rPr>
                <w:rFonts w:ascii="宋体" w:hAnsi="宋体" w:cs="宋体" w:eastAsia="宋体" w:hint="default"/>
                <w:sz w:val="21"/>
                <w:szCs w:val="21"/>
              </w:rPr>
              <w:t>飞天联合</w:t>
            </w:r>
          </w:p>
          <w:p>
            <w:pPr>
              <w:pStyle w:val="TableParagraph"/>
              <w:spacing w:line="273" w:lineRule="auto" w:before="36"/>
              <w:ind w:left="23" w:right="119"/>
              <w:jc w:val="both"/>
              <w:rPr>
                <w:rFonts w:ascii="宋体" w:hAnsi="宋体" w:cs="宋体" w:eastAsia="宋体" w:hint="default"/>
                <w:sz w:val="21"/>
                <w:szCs w:val="21"/>
              </w:rPr>
            </w:pPr>
            <w:r>
              <w:rPr>
                <w:rFonts w:ascii="宋体" w:hAnsi="宋体" w:cs="宋体" w:eastAsia="宋体" w:hint="default"/>
                <w:sz w:val="21"/>
                <w:szCs w:val="21"/>
              </w:rPr>
              <w:t>（北京） 系统技术 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7"/>
                <w:sz w:val="21"/>
                <w:szCs w:val="21"/>
              </w:rPr>
              <w:t>技术开发、技</w:t>
            </w:r>
            <w:r>
              <w:rPr>
                <w:rFonts w:ascii="宋体" w:hAnsi="宋体" w:cs="宋体" w:eastAsia="宋体" w:hint="default"/>
                <w:sz w:val="21"/>
                <w:szCs w:val="21"/>
              </w:rPr>
              <w:t> </w:t>
            </w:r>
            <w:r>
              <w:rPr>
                <w:rFonts w:ascii="宋体" w:hAnsi="宋体" w:cs="宋体" w:eastAsia="宋体" w:hint="default"/>
                <w:spacing w:val="-7"/>
                <w:sz w:val="21"/>
                <w:szCs w:val="21"/>
              </w:rPr>
              <w:t>术咨询、技术</w:t>
            </w:r>
            <w:r>
              <w:rPr>
                <w:rFonts w:ascii="宋体" w:hAnsi="宋体" w:cs="宋体" w:eastAsia="宋体" w:hint="default"/>
                <w:sz w:val="21"/>
                <w:szCs w:val="21"/>
              </w:rPr>
              <w:t> </w:t>
            </w:r>
            <w:r>
              <w:rPr>
                <w:rFonts w:ascii="宋体" w:hAnsi="宋体" w:cs="宋体" w:eastAsia="宋体" w:hint="default"/>
                <w:spacing w:val="-7"/>
                <w:sz w:val="21"/>
                <w:szCs w:val="21"/>
              </w:rPr>
              <w:t>转让、技术服</w:t>
            </w:r>
            <w:r>
              <w:rPr>
                <w:rFonts w:ascii="宋体" w:hAnsi="宋体" w:cs="宋体" w:eastAsia="宋体" w:hint="default"/>
                <w:sz w:val="21"/>
                <w:szCs w:val="21"/>
              </w:rPr>
              <w:t> </w:t>
            </w:r>
            <w:r>
              <w:rPr>
                <w:rFonts w:ascii="宋体" w:hAnsi="宋体" w:cs="宋体" w:eastAsia="宋体" w:hint="default"/>
                <w:spacing w:val="-7"/>
                <w:sz w:val="21"/>
                <w:szCs w:val="21"/>
              </w:rPr>
              <w:t>务；销售计算</w:t>
            </w:r>
            <w:r>
              <w:rPr>
                <w:rFonts w:ascii="宋体" w:hAnsi="宋体" w:cs="宋体" w:eastAsia="宋体" w:hint="default"/>
                <w:sz w:val="21"/>
                <w:szCs w:val="21"/>
              </w:rPr>
              <w:t> </w:t>
            </w:r>
            <w:r>
              <w:rPr>
                <w:rFonts w:ascii="宋体" w:hAnsi="宋体" w:cs="宋体" w:eastAsia="宋体" w:hint="default"/>
                <w:spacing w:val="-7"/>
                <w:sz w:val="21"/>
                <w:szCs w:val="21"/>
              </w:rPr>
              <w:t>机、软件及辅</w:t>
            </w:r>
            <w:r>
              <w:rPr>
                <w:rFonts w:ascii="宋体" w:hAnsi="宋体" w:cs="宋体" w:eastAsia="宋体" w:hint="default"/>
                <w:sz w:val="21"/>
                <w:szCs w:val="21"/>
              </w:rPr>
              <w:t> </w:t>
            </w:r>
            <w:r>
              <w:rPr>
                <w:rFonts w:ascii="宋体" w:hAnsi="宋体" w:cs="宋体" w:eastAsia="宋体" w:hint="default"/>
                <w:spacing w:val="-7"/>
                <w:sz w:val="21"/>
                <w:szCs w:val="21"/>
              </w:rPr>
              <w:t>助设备、通讯</w:t>
            </w:r>
            <w:r>
              <w:rPr>
                <w:rFonts w:ascii="宋体" w:hAnsi="宋体" w:cs="宋体" w:eastAsia="宋体" w:hint="default"/>
                <w:sz w:val="21"/>
                <w:szCs w:val="21"/>
              </w:rPr>
              <w:t> </w:t>
            </w:r>
            <w:r>
              <w:rPr>
                <w:rFonts w:ascii="宋体" w:hAnsi="宋体" w:cs="宋体" w:eastAsia="宋体" w:hint="default"/>
                <w:spacing w:val="-7"/>
                <w:sz w:val="21"/>
                <w:szCs w:val="21"/>
              </w:rPr>
              <w:t>设备、电子产</w:t>
            </w:r>
            <w:r>
              <w:rPr>
                <w:rFonts w:ascii="宋体" w:hAnsi="宋体" w:cs="宋体" w:eastAsia="宋体" w:hint="default"/>
                <w:sz w:val="21"/>
                <w:szCs w:val="21"/>
              </w:rPr>
              <w:t> </w:t>
            </w:r>
            <w:r>
              <w:rPr>
                <w:rFonts w:ascii="宋体" w:hAnsi="宋体" w:cs="宋体" w:eastAsia="宋体" w:hint="default"/>
                <w:spacing w:val="-7"/>
                <w:sz w:val="21"/>
                <w:szCs w:val="21"/>
              </w:rPr>
              <w:t>品、器件和元</w:t>
            </w:r>
            <w:r>
              <w:rPr>
                <w:rFonts w:ascii="宋体" w:hAnsi="宋体" w:cs="宋体" w:eastAsia="宋体" w:hint="default"/>
                <w:sz w:val="21"/>
                <w:szCs w:val="21"/>
              </w:rPr>
              <w:t> 件、仪器仪 </w:t>
            </w:r>
            <w:r>
              <w:rPr>
                <w:rFonts w:ascii="宋体" w:hAnsi="宋体" w:cs="宋体" w:eastAsia="宋体" w:hint="default"/>
                <w:spacing w:val="-7"/>
                <w:sz w:val="21"/>
                <w:szCs w:val="21"/>
              </w:rPr>
              <w:t>表；计算机系</w:t>
            </w:r>
            <w:r>
              <w:rPr>
                <w:rFonts w:ascii="宋体" w:hAnsi="宋体" w:cs="宋体" w:eastAsia="宋体" w:hint="default"/>
                <w:sz w:val="21"/>
                <w:szCs w:val="21"/>
              </w:rPr>
              <w:t> </w:t>
            </w:r>
            <w:r>
              <w:rPr>
                <w:rFonts w:ascii="宋体" w:hAnsi="宋体" w:cs="宋体" w:eastAsia="宋体" w:hint="default"/>
                <w:spacing w:val="-7"/>
                <w:sz w:val="21"/>
                <w:szCs w:val="21"/>
              </w:rPr>
              <w:t>统服务；经济</w:t>
            </w:r>
            <w:r>
              <w:rPr>
                <w:rFonts w:ascii="宋体" w:hAnsi="宋体" w:cs="宋体" w:eastAsia="宋体" w:hint="default"/>
                <w:sz w:val="21"/>
                <w:szCs w:val="21"/>
              </w:rPr>
              <w:t> </w:t>
            </w:r>
            <w:r>
              <w:rPr>
                <w:rFonts w:ascii="宋体" w:hAnsi="宋体" w:cs="宋体" w:eastAsia="宋体" w:hint="default"/>
                <w:spacing w:val="-7"/>
                <w:sz w:val="21"/>
                <w:szCs w:val="21"/>
              </w:rPr>
              <w:t>贸易咨询；货</w:t>
            </w:r>
            <w:r>
              <w:rPr>
                <w:rFonts w:ascii="宋体" w:hAnsi="宋体" w:cs="宋体" w:eastAsia="宋体" w:hint="default"/>
                <w:sz w:val="21"/>
                <w:szCs w:val="21"/>
              </w:rPr>
              <w:t> </w:t>
            </w:r>
            <w:r>
              <w:rPr>
                <w:rFonts w:ascii="宋体" w:hAnsi="宋体" w:cs="宋体" w:eastAsia="宋体" w:hint="default"/>
                <w:spacing w:val="-7"/>
                <w:sz w:val="21"/>
                <w:szCs w:val="21"/>
              </w:rPr>
              <w:t>物进出口、技</w:t>
            </w:r>
            <w:r>
              <w:rPr>
                <w:rFonts w:ascii="宋体" w:hAnsi="宋体" w:cs="宋体" w:eastAsia="宋体" w:hint="default"/>
                <w:sz w:val="21"/>
                <w:szCs w:val="21"/>
              </w:rPr>
              <w:t> </w:t>
            </w:r>
            <w:r>
              <w:rPr>
                <w:rFonts w:ascii="宋体" w:hAnsi="宋体" w:cs="宋体" w:eastAsia="宋体" w:hint="default"/>
                <w:spacing w:val="-7"/>
                <w:sz w:val="21"/>
                <w:szCs w:val="21"/>
              </w:rPr>
              <w:t>术进出口、代</w:t>
            </w:r>
            <w:r>
              <w:rPr>
                <w:rFonts w:ascii="宋体" w:hAnsi="宋体" w:cs="宋体" w:eastAsia="宋体" w:hint="default"/>
                <w:sz w:val="21"/>
                <w:szCs w:val="21"/>
              </w:rPr>
              <w:t> 理进出口。</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left="22"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69" w:right="0"/>
              <w:jc w:val="left"/>
              <w:rPr>
                <w:rFonts w:ascii="Times New Roman" w:hAnsi="Times New Roman" w:cs="Times New Roman" w:eastAsia="Times New Roman" w:hint="default"/>
                <w:sz w:val="21"/>
                <w:szCs w:val="21"/>
              </w:rPr>
            </w:pPr>
            <w:r>
              <w:rPr>
                <w:rFonts w:ascii="Times New Roman"/>
                <w:sz w:val="21"/>
              </w:rPr>
              <w:t>11,32</w:t>
            </w:r>
          </w:p>
          <w:p>
            <w:pPr>
              <w:pStyle w:val="TableParagraph"/>
              <w:spacing w:line="240" w:lineRule="auto" w:before="69"/>
              <w:ind w:left="61"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1"/>
              <w:ind w:left="271" w:right="0"/>
              <w:jc w:val="left"/>
              <w:rPr>
                <w:rFonts w:ascii="Times New Roman" w:hAnsi="Times New Roman" w:cs="Times New Roman" w:eastAsia="Times New Roman" w:hint="default"/>
                <w:sz w:val="21"/>
                <w:szCs w:val="21"/>
              </w:rPr>
            </w:pPr>
            <w:r>
              <w:rPr>
                <w:rFonts w:ascii="Times New Roman"/>
                <w:sz w:val="21"/>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61" w:right="0"/>
              <w:jc w:val="left"/>
              <w:rPr>
                <w:rFonts w:ascii="Times New Roman" w:hAnsi="Times New Roman" w:cs="Times New Roman" w:eastAsia="Times New Roman" w:hint="default"/>
                <w:sz w:val="21"/>
                <w:szCs w:val="21"/>
              </w:rPr>
            </w:pPr>
            <w:r>
              <w:rPr>
                <w:rFonts w:ascii="Times New Roman"/>
                <w:sz w:val="21"/>
              </w:rPr>
              <w:t>22.83</w:t>
            </w:r>
          </w:p>
          <w:p>
            <w:pPr>
              <w:pStyle w:val="TableParagraph"/>
              <w:spacing w:line="240" w:lineRule="auto" w:before="70"/>
              <w:ind w:left="358"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3" w:lineRule="auto"/>
              <w:ind w:left="22" w:right="113"/>
              <w:jc w:val="left"/>
              <w:rPr>
                <w:rFonts w:ascii="宋体" w:hAnsi="宋体" w:cs="宋体" w:eastAsia="宋体" w:hint="default"/>
                <w:sz w:val="21"/>
                <w:szCs w:val="21"/>
              </w:rPr>
            </w:pPr>
            <w:r>
              <w:rPr>
                <w:rFonts w:ascii="宋体" w:hAnsi="宋体" w:cs="宋体" w:eastAsia="宋体" w:hint="default"/>
                <w:sz w:val="21"/>
                <w:szCs w:val="21"/>
              </w:rPr>
              <w:t>自筹 资金</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3" w:lineRule="auto"/>
              <w:ind w:left="22" w:right="197"/>
              <w:jc w:val="left"/>
              <w:rPr>
                <w:rFonts w:ascii="宋体" w:hAnsi="宋体" w:cs="宋体" w:eastAsia="宋体" w:hint="default"/>
                <w:sz w:val="21"/>
                <w:szCs w:val="21"/>
              </w:rPr>
            </w:pPr>
            <w:r>
              <w:rPr>
                <w:rFonts w:ascii="宋体" w:hAnsi="宋体" w:cs="宋体" w:eastAsia="宋体" w:hint="default"/>
                <w:sz w:val="21"/>
                <w:szCs w:val="21"/>
              </w:rPr>
              <w:t>长 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交通</w:t>
            </w:r>
          </w:p>
          <w:p>
            <w:pPr>
              <w:pStyle w:val="TableParagraph"/>
              <w:spacing w:line="240" w:lineRule="auto" w:before="86"/>
              <w:ind w:left="22" w:right="0"/>
              <w:jc w:val="left"/>
              <w:rPr>
                <w:rFonts w:ascii="Times New Roman" w:hAnsi="Times New Roman" w:cs="Times New Roman" w:eastAsia="Times New Roman" w:hint="default"/>
                <w:sz w:val="21"/>
                <w:szCs w:val="21"/>
              </w:rPr>
            </w:pPr>
            <w:r>
              <w:rPr>
                <w:rFonts w:ascii="Times New Roman"/>
                <w:spacing w:val="-3"/>
                <w:sz w:val="21"/>
              </w:rPr>
              <w:t>WiFi</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73" w:lineRule="auto"/>
              <w:ind w:left="22" w:right="53"/>
              <w:jc w:val="both"/>
              <w:rPr>
                <w:rFonts w:ascii="宋体" w:hAnsi="宋体" w:cs="宋体" w:eastAsia="宋体" w:hint="default"/>
                <w:sz w:val="21"/>
                <w:szCs w:val="21"/>
              </w:rPr>
            </w:pPr>
            <w:r>
              <w:rPr>
                <w:rFonts w:ascii="宋体" w:hAnsi="宋体" w:cs="宋体" w:eastAsia="宋体" w:hint="default"/>
                <w:sz w:val="21"/>
                <w:szCs w:val="21"/>
              </w:rPr>
              <w:t>已完成工 商登记变 更</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sz w:val="21"/>
              </w:rPr>
              <w:t>-429,62</w:t>
            </w:r>
          </w:p>
          <w:p>
            <w:pPr>
              <w:pStyle w:val="TableParagraph"/>
              <w:spacing w:line="240" w:lineRule="auto" w:before="70"/>
              <w:ind w:left="308" w:right="0"/>
              <w:jc w:val="left"/>
              <w:rPr>
                <w:rFonts w:ascii="Times New Roman" w:hAnsi="Times New Roman" w:cs="Times New Roman" w:eastAsia="Times New Roman" w:hint="default"/>
                <w:sz w:val="21"/>
                <w:szCs w:val="21"/>
              </w:rPr>
            </w:pPr>
            <w:r>
              <w:rPr>
                <w:rFonts w:ascii="Times New Roman"/>
                <w:sz w:val="21"/>
              </w:rPr>
              <w:t>7.57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0"/>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02</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31"/>
                <w:szCs w:val="31"/>
              </w:rPr>
            </w:pPr>
          </w:p>
          <w:p>
            <w:pPr>
              <w:pStyle w:val="TableParagraph"/>
              <w:spacing w:line="240" w:lineRule="auto"/>
              <w:ind w:left="22" w:right="0"/>
              <w:jc w:val="both"/>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68" w:lineRule="auto" w:before="20"/>
              <w:ind w:left="22" w:right="54"/>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日刊登于《证 券时报》、《中 国证券报》及巨 潮资讯网的《关 于受让参股子公 司股权的公告》</w:t>
            </w:r>
          </w:p>
          <w:p>
            <w:pPr>
              <w:pStyle w:val="TableParagraph"/>
              <w:spacing w:line="240" w:lineRule="auto" w:before="13"/>
              <w:ind w:left="2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2015-029</w:t>
            </w:r>
            <w:r>
              <w:rPr>
                <w:rFonts w:ascii="宋体" w:hAnsi="宋体" w:cs="宋体" w:eastAsia="宋体" w:hint="default"/>
                <w:sz w:val="21"/>
                <w:szCs w:val="21"/>
              </w:rPr>
              <w:t>）。</w:t>
            </w:r>
          </w:p>
        </w:tc>
      </w:tr>
      <w:tr>
        <w:trPr>
          <w:trHeight w:val="223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73" w:lineRule="auto"/>
              <w:ind w:left="23" w:right="119"/>
              <w:jc w:val="both"/>
              <w:rPr>
                <w:rFonts w:ascii="宋体" w:hAnsi="宋体" w:cs="宋体" w:eastAsia="宋体" w:hint="default"/>
                <w:sz w:val="21"/>
                <w:szCs w:val="21"/>
              </w:rPr>
            </w:pPr>
            <w:r>
              <w:rPr>
                <w:rFonts w:ascii="宋体" w:hAnsi="宋体" w:cs="宋体" w:eastAsia="宋体" w:hint="default"/>
                <w:sz w:val="21"/>
                <w:szCs w:val="21"/>
              </w:rPr>
              <w:t>北京七彩 通达传媒 股份有限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1"/>
              <w:ind w:left="22" w:right="-17"/>
              <w:jc w:val="left"/>
              <w:rPr>
                <w:rFonts w:ascii="宋体" w:hAnsi="宋体" w:cs="宋体" w:eastAsia="宋体" w:hint="default"/>
                <w:sz w:val="21"/>
                <w:szCs w:val="21"/>
              </w:rPr>
            </w:pPr>
            <w:r>
              <w:rPr>
                <w:rFonts w:ascii="宋体" w:hAnsi="宋体" w:cs="宋体" w:eastAsia="宋体" w:hint="default"/>
                <w:sz w:val="21"/>
                <w:szCs w:val="21"/>
              </w:rPr>
              <w:t>设计、制作、 </w:t>
            </w:r>
            <w:r>
              <w:rPr>
                <w:rFonts w:ascii="宋体" w:hAnsi="宋体" w:cs="宋体" w:eastAsia="宋体" w:hint="default"/>
                <w:spacing w:val="-7"/>
                <w:sz w:val="21"/>
                <w:szCs w:val="21"/>
              </w:rPr>
              <w:t>代理、发布广</w:t>
            </w:r>
            <w:r>
              <w:rPr>
                <w:rFonts w:ascii="宋体" w:hAnsi="宋体" w:cs="宋体" w:eastAsia="宋体" w:hint="default"/>
                <w:sz w:val="21"/>
                <w:szCs w:val="21"/>
              </w:rPr>
              <w:t> </w:t>
            </w:r>
            <w:r>
              <w:rPr>
                <w:rFonts w:ascii="宋体" w:hAnsi="宋体" w:cs="宋体" w:eastAsia="宋体" w:hint="default"/>
                <w:spacing w:val="-7"/>
                <w:sz w:val="21"/>
                <w:szCs w:val="21"/>
              </w:rPr>
              <w:t>告；承办展览</w:t>
            </w:r>
            <w:r>
              <w:rPr>
                <w:rFonts w:ascii="宋体" w:hAnsi="宋体" w:cs="宋体" w:eastAsia="宋体" w:hint="default"/>
                <w:sz w:val="21"/>
                <w:szCs w:val="21"/>
              </w:rPr>
              <w:t> </w:t>
            </w:r>
            <w:r>
              <w:rPr>
                <w:rFonts w:ascii="宋体" w:hAnsi="宋体" w:cs="宋体" w:eastAsia="宋体" w:hint="default"/>
                <w:spacing w:val="-7"/>
                <w:sz w:val="21"/>
                <w:szCs w:val="21"/>
              </w:rPr>
              <w:t>展示活动；计</w:t>
            </w:r>
            <w:r>
              <w:rPr>
                <w:rFonts w:ascii="宋体" w:hAnsi="宋体" w:cs="宋体" w:eastAsia="宋体" w:hint="default"/>
                <w:sz w:val="21"/>
                <w:szCs w:val="21"/>
              </w:rPr>
              <w:t> 算机技术培 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增资</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37"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71"/>
              <w:ind w:left="37"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71"/>
              <w:ind w:left="143" w:right="0"/>
              <w:jc w:val="center"/>
              <w:rPr>
                <w:rFonts w:ascii="Times New Roman" w:hAnsi="Times New Roman" w:cs="Times New Roman" w:eastAsia="Times New Roman" w:hint="default"/>
                <w:sz w:val="21"/>
                <w:szCs w:val="21"/>
              </w:rPr>
            </w:pPr>
            <w:r>
              <w:rPr>
                <w:rFonts w:ascii="Times New Roman"/>
                <w:sz w:val="21"/>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left="144" w:right="0"/>
              <w:jc w:val="center"/>
              <w:rPr>
                <w:rFonts w:ascii="Times New Roman" w:hAnsi="Times New Roman" w:cs="Times New Roman" w:eastAsia="Times New Roman" w:hint="default"/>
                <w:sz w:val="21"/>
                <w:szCs w:val="21"/>
              </w:rPr>
            </w:pPr>
            <w:r>
              <w:rPr>
                <w:rFonts w:ascii="Times New Roman"/>
                <w:sz w:val="21"/>
              </w:rPr>
              <w:t>8.79</w:t>
            </w:r>
          </w:p>
          <w:p>
            <w:pPr>
              <w:pStyle w:val="TableParagraph"/>
              <w:spacing w:line="240" w:lineRule="auto" w:before="72"/>
              <w:ind w:left="335"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73" w:lineRule="auto"/>
              <w:ind w:left="22" w:right="113"/>
              <w:jc w:val="left"/>
              <w:rPr>
                <w:rFonts w:ascii="宋体" w:hAnsi="宋体" w:cs="宋体" w:eastAsia="宋体" w:hint="default"/>
                <w:sz w:val="21"/>
                <w:szCs w:val="21"/>
              </w:rPr>
            </w:pPr>
            <w:r>
              <w:rPr>
                <w:rFonts w:ascii="宋体" w:hAnsi="宋体" w:cs="宋体" w:eastAsia="宋体" w:hint="default"/>
                <w:sz w:val="21"/>
                <w:szCs w:val="21"/>
              </w:rPr>
              <w:t>自筹 资金</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73" w:lineRule="auto"/>
              <w:ind w:left="22" w:right="197"/>
              <w:jc w:val="left"/>
              <w:rPr>
                <w:rFonts w:ascii="宋体" w:hAnsi="宋体" w:cs="宋体" w:eastAsia="宋体" w:hint="default"/>
                <w:sz w:val="21"/>
                <w:szCs w:val="21"/>
              </w:rPr>
            </w:pPr>
            <w:r>
              <w:rPr>
                <w:rFonts w:ascii="宋体" w:hAnsi="宋体" w:cs="宋体" w:eastAsia="宋体" w:hint="default"/>
                <w:sz w:val="21"/>
                <w:szCs w:val="21"/>
              </w:rPr>
              <w:t>长 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交通</w:t>
            </w:r>
          </w:p>
          <w:p>
            <w:pPr>
              <w:pStyle w:val="TableParagraph"/>
              <w:spacing w:line="240" w:lineRule="auto" w:before="88"/>
              <w:ind w:left="22" w:right="0"/>
              <w:jc w:val="left"/>
              <w:rPr>
                <w:rFonts w:ascii="Times New Roman" w:hAnsi="Times New Roman" w:cs="Times New Roman" w:eastAsia="Times New Roman" w:hint="default"/>
                <w:sz w:val="21"/>
                <w:szCs w:val="21"/>
              </w:rPr>
            </w:pPr>
            <w:r>
              <w:rPr>
                <w:rFonts w:ascii="Times New Roman"/>
                <w:spacing w:val="-3"/>
                <w:sz w:val="21"/>
              </w:rPr>
              <w:t>WiFi</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9"/>
              <w:ind w:left="22" w:right="53"/>
              <w:jc w:val="both"/>
              <w:rPr>
                <w:rFonts w:ascii="宋体" w:hAnsi="宋体" w:cs="宋体" w:eastAsia="宋体" w:hint="default"/>
                <w:sz w:val="21"/>
                <w:szCs w:val="21"/>
              </w:rPr>
            </w:pPr>
            <w:r>
              <w:rPr>
                <w:rFonts w:ascii="宋体" w:hAnsi="宋体" w:cs="宋体" w:eastAsia="宋体" w:hint="default"/>
                <w:sz w:val="21"/>
                <w:szCs w:val="21"/>
              </w:rPr>
              <w:t>已完成工 商登记变 更</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日刊登于</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auto" w:before="37"/>
              <w:ind w:left="22" w:right="54"/>
              <w:jc w:val="left"/>
              <w:rPr>
                <w:rFonts w:ascii="宋体" w:hAnsi="宋体" w:cs="宋体" w:eastAsia="宋体" w:hint="default"/>
                <w:sz w:val="21"/>
                <w:szCs w:val="21"/>
              </w:rPr>
            </w:pPr>
            <w:r>
              <w:rPr>
                <w:rFonts w:ascii="宋体" w:hAnsi="宋体" w:cs="宋体" w:eastAsia="宋体" w:hint="default"/>
                <w:sz w:val="21"/>
                <w:szCs w:val="21"/>
              </w:rPr>
              <w:t>《中国证券报》 及巨潮资讯网的</w:t>
            </w:r>
          </w:p>
          <w:p>
            <w:pPr>
              <w:pStyle w:val="TableParagraph"/>
              <w:spacing w:line="273" w:lineRule="auto" w:before="7"/>
              <w:ind w:left="22" w:right="54"/>
              <w:jc w:val="left"/>
              <w:rPr>
                <w:rFonts w:ascii="宋体" w:hAnsi="宋体" w:cs="宋体" w:eastAsia="宋体" w:hint="default"/>
                <w:sz w:val="21"/>
                <w:szCs w:val="21"/>
              </w:rPr>
            </w:pPr>
            <w:r>
              <w:rPr>
                <w:rFonts w:ascii="宋体" w:hAnsi="宋体" w:cs="宋体" w:eastAsia="宋体" w:hint="default"/>
                <w:sz w:val="21"/>
                <w:szCs w:val="21"/>
              </w:rPr>
              <w:t>《关于对外投资 的公告》</w:t>
            </w:r>
          </w:p>
        </w:tc>
      </w:tr>
    </w:tbl>
    <w:p>
      <w:pPr>
        <w:spacing w:after="0" w:line="273" w:lineRule="auto"/>
        <w:jc w:val="left"/>
        <w:rPr>
          <w:rFonts w:ascii="宋体" w:hAnsi="宋体" w:cs="宋体" w:eastAsia="宋体" w:hint="default"/>
          <w:sz w:val="21"/>
          <w:szCs w:val="21"/>
        </w:rPr>
        <w:sectPr>
          <w:pgSz w:w="11910" w:h="16840"/>
          <w:pgMar w:header="747" w:footer="979" w:top="1060" w:bottom="116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02" w:type="dxa"/>
        <w:tblLayout w:type="fixed"/>
        <w:tblCellMar>
          <w:top w:w="0" w:type="dxa"/>
          <w:left w:w="0" w:type="dxa"/>
          <w:bottom w:w="0" w:type="dxa"/>
          <w:right w:w="0" w:type="dxa"/>
        </w:tblCellMar>
        <w:tblLook w:val="01E0"/>
      </w:tblPr>
      <w:tblGrid>
        <w:gridCol w:w="993"/>
        <w:gridCol w:w="1276"/>
        <w:gridCol w:w="566"/>
        <w:gridCol w:w="568"/>
        <w:gridCol w:w="566"/>
        <w:gridCol w:w="568"/>
        <w:gridCol w:w="440"/>
        <w:gridCol w:w="618"/>
        <w:gridCol w:w="926"/>
        <w:gridCol w:w="567"/>
        <w:gridCol w:w="710"/>
        <w:gridCol w:w="568"/>
        <w:gridCol w:w="566"/>
        <w:gridCol w:w="1559"/>
      </w:tblGrid>
      <w:tr>
        <w:trPr>
          <w:trHeight w:val="362" w:hRule="exact"/>
        </w:trPr>
        <w:tc>
          <w:tcPr>
            <w:tcW w:w="99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67"/>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2015-066</w:t>
            </w:r>
            <w:r>
              <w:rPr>
                <w:rFonts w:ascii="宋体" w:hAnsi="宋体" w:cs="宋体" w:eastAsia="宋体" w:hint="default"/>
                <w:sz w:val="21"/>
                <w:szCs w:val="21"/>
              </w:rPr>
              <w:t>）。</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 w:right="0"/>
              <w:jc w:val="center"/>
              <w:rPr>
                <w:rFonts w:ascii="Times New Roman" w:hAnsi="Times New Roman" w:cs="Times New Roman" w:eastAsia="Times New Roman" w:hint="default"/>
                <w:sz w:val="21"/>
                <w:szCs w:val="21"/>
              </w:rPr>
            </w:pPr>
            <w:r>
              <w:rPr>
                <w:rFonts w:ascii="Times New Roman"/>
                <w:sz w:val="21"/>
              </w:rPr>
              <w:t>195,7</w:t>
            </w:r>
          </w:p>
          <w:p>
            <w:pPr>
              <w:pStyle w:val="TableParagraph"/>
              <w:spacing w:line="240" w:lineRule="auto" w:before="69"/>
              <w:ind w:left="37" w:right="0"/>
              <w:jc w:val="center"/>
              <w:rPr>
                <w:rFonts w:ascii="Times New Roman" w:hAnsi="Times New Roman" w:cs="Times New Roman" w:eastAsia="Times New Roman" w:hint="default"/>
                <w:sz w:val="21"/>
                <w:szCs w:val="21"/>
              </w:rPr>
            </w:pPr>
            <w:r>
              <w:rPr>
                <w:rFonts w:ascii="Times New Roman"/>
                <w:sz w:val="21"/>
              </w:rPr>
              <w:t>08,30</w:t>
            </w:r>
          </w:p>
          <w:p>
            <w:pPr>
              <w:pStyle w:val="TableParagraph"/>
              <w:spacing w:line="240" w:lineRule="auto" w:before="71"/>
              <w:ind w:left="143" w:right="0"/>
              <w:jc w:val="center"/>
              <w:rPr>
                <w:rFonts w:ascii="Times New Roman" w:hAnsi="Times New Roman" w:cs="Times New Roman" w:eastAsia="Times New Roman" w:hint="default"/>
                <w:sz w:val="21"/>
                <w:szCs w:val="21"/>
              </w:rPr>
            </w:pPr>
            <w:r>
              <w:rPr>
                <w:rFonts w:ascii="Times New Roman"/>
                <w:sz w:val="21"/>
              </w:rPr>
              <w:t>0.00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3"/>
              <w:jc w:val="center"/>
              <w:rPr>
                <w:rFonts w:ascii="Times New Roman" w:hAnsi="Times New Roman" w:cs="Times New Roman" w:eastAsia="Times New Roman" w:hint="default"/>
                <w:sz w:val="21"/>
                <w:szCs w:val="21"/>
              </w:rPr>
            </w:pPr>
            <w:r>
              <w:rPr>
                <w:rFonts w:ascii="Times New Roman"/>
                <w:sz w:val="21"/>
              </w:rPr>
              <w:t>--</w:t>
            </w:r>
          </w:p>
        </w:tc>
        <w:tc>
          <w:tcPr>
            <w:tcW w:w="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w:t>
            </w: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0" w:right="0"/>
              <w:jc w:val="left"/>
              <w:rPr>
                <w:rFonts w:ascii="Times New Roman" w:hAnsi="Times New Roman" w:cs="Times New Roman" w:eastAsia="Times New Roman" w:hint="default"/>
                <w:sz w:val="21"/>
                <w:szCs w:val="21"/>
              </w:rPr>
            </w:pPr>
            <w:r>
              <w:rPr>
                <w:rFonts w:ascii="Times New Roman"/>
                <w:sz w:val="21"/>
              </w:rPr>
              <w:t>-2,236,</w:t>
            </w:r>
          </w:p>
          <w:p>
            <w:pPr>
              <w:pStyle w:val="TableParagraph"/>
              <w:spacing w:line="240" w:lineRule="auto" w:before="70"/>
              <w:ind w:left="98" w:right="0"/>
              <w:jc w:val="left"/>
              <w:rPr>
                <w:rFonts w:ascii="Times New Roman" w:hAnsi="Times New Roman" w:cs="Times New Roman" w:eastAsia="Times New Roman" w:hint="default"/>
                <w:sz w:val="21"/>
                <w:szCs w:val="21"/>
              </w:rPr>
            </w:pPr>
            <w:r>
              <w:rPr>
                <w:rFonts w:ascii="Times New Roman"/>
                <w:sz w:val="21"/>
              </w:rPr>
              <w:t>165.04</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Times New Roman" w:hAnsi="Times New Roman" w:cs="Times New Roman" w:eastAsia="Times New Roman" w:hint="default"/>
          <w:sz w:val="5"/>
          <w:szCs w:val="5"/>
        </w:rPr>
      </w:pPr>
    </w:p>
    <w:p>
      <w:pPr>
        <w:spacing w:after="0" w:line="240" w:lineRule="auto"/>
        <w:rPr>
          <w:rFonts w:ascii="Times New Roman" w:hAnsi="Times New Roman" w:cs="Times New Roman" w:eastAsia="Times New Roman" w:hint="default"/>
          <w:sz w:val="5"/>
          <w:szCs w:val="5"/>
        </w:rPr>
        <w:sectPr>
          <w:pgSz w:w="11910" w:h="16840"/>
          <w:pgMar w:header="747" w:footer="979" w:top="1060" w:bottom="1160" w:left="160" w:right="0"/>
        </w:sectPr>
      </w:pPr>
    </w:p>
    <w:p>
      <w:pPr>
        <w:pStyle w:val="Heading2"/>
        <w:spacing w:line="240" w:lineRule="auto"/>
        <w:ind w:left="1456" w:right="0"/>
        <w:jc w:val="left"/>
        <w:rPr>
          <w:b w:val="0"/>
          <w:bCs w:val="0"/>
        </w:rPr>
      </w:pPr>
      <w:r>
        <w:rPr>
          <w:rFonts w:ascii="Times New Roman" w:hAnsi="Times New Roman" w:cs="Times New Roman" w:eastAsia="Times New Roman" w:hint="default"/>
          <w:w w:val="95"/>
        </w:rPr>
        <w:t>3</w:t>
      </w:r>
      <w:r>
        <w:rPr>
          <w:w w:val="95"/>
        </w:rPr>
        <w:t>、报告期内正在进行的重大的非股权投资情况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456"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160" w:right="0"/>
          <w:cols w:num="2" w:equalWidth="0">
            <w:col w:w="6392" w:space="1925"/>
            <w:col w:w="3433"/>
          </w:cols>
        </w:sectPr>
      </w:pPr>
    </w:p>
    <w:p>
      <w:pPr>
        <w:spacing w:line="240" w:lineRule="auto" w:before="0"/>
        <w:rPr>
          <w:rFonts w:ascii="宋体" w:hAnsi="宋体" w:cs="宋体" w:eastAsia="宋体" w:hint="default"/>
          <w:sz w:val="7"/>
          <w:szCs w:val="7"/>
        </w:rPr>
      </w:pPr>
    </w:p>
    <w:tbl>
      <w:tblPr>
        <w:tblW w:w="0" w:type="auto"/>
        <w:jc w:val="left"/>
        <w:tblInd w:w="538" w:type="dxa"/>
        <w:tblLayout w:type="fixed"/>
        <w:tblCellMar>
          <w:top w:w="0" w:type="dxa"/>
          <w:left w:w="0" w:type="dxa"/>
          <w:bottom w:w="0" w:type="dxa"/>
          <w:right w:w="0" w:type="dxa"/>
        </w:tblCellMar>
        <w:tblLook w:val="01E0"/>
      </w:tblPr>
      <w:tblGrid>
        <w:gridCol w:w="877"/>
        <w:gridCol w:w="438"/>
        <w:gridCol w:w="865"/>
        <w:gridCol w:w="1027"/>
        <w:gridCol w:w="1305"/>
        <w:gridCol w:w="1442"/>
        <w:gridCol w:w="968"/>
        <w:gridCol w:w="658"/>
        <w:gridCol w:w="647"/>
        <w:gridCol w:w="1138"/>
        <w:gridCol w:w="1134"/>
      </w:tblGrid>
      <w:tr>
        <w:trPr>
          <w:trHeight w:val="1338" w:hRule="exact"/>
        </w:trPr>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27" w:right="119" w:hanging="210"/>
              <w:jc w:val="left"/>
              <w:rPr>
                <w:rFonts w:ascii="宋体" w:hAnsi="宋体" w:cs="宋体" w:eastAsia="宋体" w:hint="default"/>
                <w:sz w:val="21"/>
                <w:szCs w:val="21"/>
              </w:rPr>
            </w:pPr>
            <w:r>
              <w:rPr>
                <w:rFonts w:ascii="宋体" w:hAnsi="宋体" w:cs="宋体" w:eastAsia="宋体" w:hint="default"/>
                <w:sz w:val="21"/>
                <w:szCs w:val="21"/>
              </w:rPr>
              <w:t>项目名 称</w:t>
            </w:r>
          </w:p>
        </w:tc>
        <w:tc>
          <w:tcPr>
            <w:tcW w:w="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8" w:right="108"/>
              <w:jc w:val="both"/>
              <w:rPr>
                <w:rFonts w:ascii="宋体" w:hAnsi="宋体" w:cs="宋体" w:eastAsia="宋体" w:hint="default"/>
                <w:sz w:val="21"/>
                <w:szCs w:val="21"/>
              </w:rPr>
            </w:pPr>
            <w:r>
              <w:rPr>
                <w:rFonts w:ascii="宋体" w:hAnsi="宋体" w:cs="宋体" w:eastAsia="宋体" w:hint="default"/>
                <w:sz w:val="21"/>
                <w:szCs w:val="21"/>
              </w:rPr>
              <w:t>投 资 方 式</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2" w:right="110"/>
              <w:jc w:val="both"/>
              <w:rPr>
                <w:rFonts w:ascii="宋体" w:hAnsi="宋体" w:cs="宋体" w:eastAsia="宋体" w:hint="default"/>
                <w:sz w:val="21"/>
                <w:szCs w:val="21"/>
              </w:rPr>
            </w:pPr>
            <w:r>
              <w:rPr>
                <w:rFonts w:ascii="宋体" w:hAnsi="宋体" w:cs="宋体" w:eastAsia="宋体" w:hint="default"/>
                <w:sz w:val="21"/>
                <w:szCs w:val="21"/>
              </w:rPr>
              <w:t>是否为 固定资 产投资</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88" w:right="86"/>
              <w:jc w:val="left"/>
              <w:rPr>
                <w:rFonts w:ascii="宋体" w:hAnsi="宋体" w:cs="宋体" w:eastAsia="宋体" w:hint="default"/>
                <w:sz w:val="21"/>
                <w:szCs w:val="21"/>
              </w:rPr>
            </w:pPr>
            <w:r>
              <w:rPr>
                <w:rFonts w:ascii="宋体" w:hAnsi="宋体" w:cs="宋体" w:eastAsia="宋体" w:hint="default"/>
                <w:sz w:val="21"/>
                <w:szCs w:val="21"/>
              </w:rPr>
              <w:t>投资项目 涉及行业</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31" w:right="123" w:hanging="210"/>
              <w:jc w:val="left"/>
              <w:rPr>
                <w:rFonts w:ascii="宋体" w:hAnsi="宋体" w:cs="宋体" w:eastAsia="宋体" w:hint="default"/>
                <w:sz w:val="21"/>
                <w:szCs w:val="21"/>
              </w:rPr>
            </w:pPr>
            <w:r>
              <w:rPr>
                <w:rFonts w:ascii="宋体" w:hAnsi="宋体" w:cs="宋体" w:eastAsia="宋体" w:hint="default"/>
                <w:sz w:val="21"/>
                <w:szCs w:val="21"/>
              </w:rPr>
              <w:t>本报告期投 入金额</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85" w:right="85"/>
              <w:jc w:val="center"/>
              <w:rPr>
                <w:rFonts w:ascii="宋体" w:hAnsi="宋体" w:cs="宋体" w:eastAsia="宋体" w:hint="default"/>
                <w:sz w:val="21"/>
                <w:szCs w:val="21"/>
              </w:rPr>
            </w:pPr>
            <w:r>
              <w:rPr>
                <w:rFonts w:ascii="宋体" w:hAnsi="宋体" w:cs="宋体" w:eastAsia="宋体" w:hint="default"/>
                <w:sz w:val="21"/>
                <w:szCs w:val="21"/>
              </w:rPr>
              <w:t>截至报告期末 累计实际投入 金额</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13" w:right="112"/>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9" w:right="107"/>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8" w:right="37"/>
              <w:jc w:val="center"/>
              <w:rPr>
                <w:rFonts w:ascii="宋体" w:hAnsi="宋体" w:cs="宋体" w:eastAsia="宋体" w:hint="default"/>
                <w:sz w:val="21"/>
                <w:szCs w:val="21"/>
              </w:rPr>
            </w:pPr>
            <w:r>
              <w:rPr>
                <w:rFonts w:ascii="宋体" w:hAnsi="宋体" w:cs="宋体" w:eastAsia="宋体" w:hint="default"/>
                <w:sz w:val="21"/>
                <w:szCs w:val="21"/>
              </w:rPr>
              <w:t>截止报告期 末累计实现 的收益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5" w:right="36"/>
              <w:jc w:val="both"/>
              <w:rPr>
                <w:rFonts w:ascii="宋体" w:hAnsi="宋体" w:cs="宋体" w:eastAsia="宋体" w:hint="default"/>
                <w:sz w:val="21"/>
                <w:szCs w:val="21"/>
              </w:rPr>
            </w:pPr>
            <w:r>
              <w:rPr>
                <w:rFonts w:ascii="宋体" w:hAnsi="宋体" w:cs="宋体" w:eastAsia="宋体" w:hint="default"/>
                <w:sz w:val="21"/>
                <w:szCs w:val="21"/>
              </w:rPr>
              <w:t>未达到计划 进度和预计 收益的原因</w:t>
            </w:r>
          </w:p>
        </w:tc>
      </w:tr>
      <w:tr>
        <w:trPr>
          <w:trHeight w:val="1026"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17" w:right="119"/>
              <w:jc w:val="both"/>
              <w:rPr>
                <w:rFonts w:ascii="宋体" w:hAnsi="宋体" w:cs="宋体" w:eastAsia="宋体" w:hint="default"/>
                <w:sz w:val="21"/>
                <w:szCs w:val="21"/>
              </w:rPr>
            </w:pPr>
            <w:r>
              <w:rPr>
                <w:rFonts w:ascii="宋体" w:hAnsi="宋体" w:cs="宋体" w:eastAsia="宋体" w:hint="default"/>
                <w:sz w:val="21"/>
                <w:szCs w:val="21"/>
              </w:rPr>
              <w:t>工程主 体—— 新厂区</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8" w:right="108"/>
              <w:jc w:val="left"/>
              <w:rPr>
                <w:rFonts w:ascii="宋体" w:hAnsi="宋体" w:cs="宋体" w:eastAsia="宋体" w:hint="default"/>
                <w:sz w:val="21"/>
                <w:szCs w:val="21"/>
              </w:rPr>
            </w:pPr>
            <w:r>
              <w:rPr>
                <w:rFonts w:ascii="宋体" w:hAnsi="宋体" w:cs="宋体" w:eastAsia="宋体" w:hint="default"/>
                <w:sz w:val="21"/>
                <w:szCs w:val="21"/>
              </w:rPr>
              <w:t>自 建</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98" w:right="86" w:hanging="210"/>
              <w:jc w:val="left"/>
              <w:rPr>
                <w:rFonts w:ascii="宋体" w:hAnsi="宋体" w:cs="宋体" w:eastAsia="宋体" w:hint="default"/>
                <w:sz w:val="21"/>
                <w:szCs w:val="21"/>
              </w:rPr>
            </w:pPr>
            <w:r>
              <w:rPr>
                <w:rFonts w:ascii="宋体" w:hAnsi="宋体" w:cs="宋体" w:eastAsia="宋体" w:hint="default"/>
                <w:sz w:val="21"/>
                <w:szCs w:val="21"/>
              </w:rPr>
              <w:t>铁路通信 信号</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14,301,841.27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11"/>
              <w:jc w:val="right"/>
              <w:rPr>
                <w:rFonts w:ascii="Times New Roman" w:hAnsi="Times New Roman" w:cs="Times New Roman" w:eastAsia="Times New Roman" w:hint="default"/>
                <w:sz w:val="21"/>
                <w:szCs w:val="21"/>
              </w:rPr>
            </w:pPr>
            <w:r>
              <w:rPr>
                <w:rFonts w:ascii="Times New Roman"/>
                <w:sz w:val="21"/>
              </w:rPr>
              <w:t>20,030,415.99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59" w:lineRule="auto"/>
              <w:ind w:left="164" w:right="103" w:hanging="60"/>
              <w:jc w:val="left"/>
              <w:rPr>
                <w:rFonts w:ascii="宋体" w:hAnsi="宋体" w:cs="宋体" w:eastAsia="宋体" w:hint="default"/>
                <w:sz w:val="21"/>
                <w:szCs w:val="21"/>
              </w:rPr>
            </w:pPr>
            <w:r>
              <w:rPr>
                <w:rFonts w:ascii="宋体" w:hAnsi="宋体" w:cs="宋体" w:eastAsia="宋体" w:hint="default"/>
                <w:sz w:val="21"/>
                <w:szCs w:val="21"/>
              </w:rPr>
              <w:t>自筹</w:t>
            </w:r>
            <w:r>
              <w:rPr>
                <w:rFonts w:ascii="Times New Roman" w:hAnsi="Times New Roman" w:cs="Times New Roman" w:eastAsia="Times New Roman" w:hint="default"/>
                <w:sz w:val="21"/>
                <w:szCs w:val="21"/>
              </w:rPr>
              <w:t>+</w:t>
            </w:r>
            <w:r>
              <w:rPr>
                <w:rFonts w:ascii="宋体" w:hAnsi="宋体" w:cs="宋体" w:eastAsia="宋体" w:hint="default"/>
                <w:sz w:val="21"/>
                <w:szCs w:val="21"/>
              </w:rPr>
              <w:t>募 集资金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12.00</w:t>
            </w:r>
          </w:p>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4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3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0"/>
              <w:jc w:val="center"/>
              <w:rPr>
                <w:rFonts w:ascii="Times New Roman" w:hAnsi="Times New Roman" w:cs="Times New Roman" w:eastAsia="Times New Roman" w:hint="default"/>
                <w:sz w:val="21"/>
                <w:szCs w:val="21"/>
              </w:rPr>
            </w:pPr>
            <w:r>
              <w:rPr>
                <w:rFonts w:ascii="Times New Roman"/>
                <w:sz w:val="21"/>
              </w:rPr>
              <w:t>14,301,841.27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1"/>
              <w:jc w:val="right"/>
              <w:rPr>
                <w:rFonts w:ascii="Times New Roman" w:hAnsi="Times New Roman" w:cs="Times New Roman" w:eastAsia="Times New Roman" w:hint="default"/>
                <w:sz w:val="21"/>
                <w:szCs w:val="21"/>
              </w:rPr>
            </w:pPr>
            <w:r>
              <w:rPr>
                <w:rFonts w:ascii="Times New Roman"/>
                <w:sz w:val="21"/>
              </w:rPr>
              <w:t>20,030,415.99</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5" w:right="0"/>
              <w:jc w:val="left"/>
              <w:rPr>
                <w:rFonts w:ascii="Times New Roman" w:hAnsi="Times New Roman" w:cs="Times New Roman" w:eastAsia="Times New Roman" w:hint="default"/>
                <w:sz w:val="21"/>
                <w:szCs w:val="21"/>
              </w:rPr>
            </w:pPr>
            <w:r>
              <w:rPr>
                <w:rFonts w:ascii="Times New Roman"/>
                <w:sz w:val="21"/>
              </w:rPr>
              <w:t>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0.00</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pStyle w:val="BodyText"/>
        <w:spacing w:line="333" w:lineRule="auto" w:before="26"/>
        <w:ind w:left="974" w:right="1208" w:firstLine="482"/>
        <w:jc w:val="left"/>
      </w:pPr>
      <w:r>
        <w:rPr>
          <w:rFonts w:ascii="宋体" w:hAnsi="宋体" w:cs="宋体" w:eastAsia="宋体" w:hint="default"/>
          <w:b/>
          <w:bCs/>
        </w:rPr>
        <w:t>注：</w:t>
      </w:r>
      <w:r>
        <w:rPr/>
        <w:t>该项目投资计划投资金额中的</w:t>
      </w:r>
      <w:r>
        <w:rPr>
          <w:spacing w:val="-60"/>
        </w:rPr>
        <w:t> </w:t>
      </w:r>
      <w:r>
        <w:rPr>
          <w:rFonts w:ascii="Times New Roman" w:hAnsi="Times New Roman" w:cs="Times New Roman" w:eastAsia="Times New Roman" w:hint="default"/>
        </w:rPr>
        <w:t>1.99 </w:t>
      </w:r>
      <w:r>
        <w:rPr/>
        <w:t>亿元由公司</w:t>
      </w:r>
      <w:r>
        <w:rPr>
          <w:spacing w:val="-60"/>
        </w:rPr>
        <w:t> </w:t>
      </w:r>
      <w:r>
        <w:rPr>
          <w:rFonts w:ascii="Times New Roman" w:hAnsi="Times New Roman" w:cs="Times New Roman" w:eastAsia="Times New Roman" w:hint="default"/>
        </w:rPr>
        <w:t>2013 </w:t>
      </w:r>
      <w:r>
        <w:rPr/>
        <w:t>年非公开发行的四个募投项目 根据项目使用面积分摊。</w:t>
      </w:r>
    </w:p>
    <w:p>
      <w:pPr>
        <w:pStyle w:val="Heading2"/>
        <w:spacing w:line="240" w:lineRule="auto" w:before="52"/>
        <w:ind w:left="1456" w:right="1208"/>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pStyle w:val="BodyText"/>
        <w:spacing w:line="240" w:lineRule="auto" w:before="127"/>
        <w:ind w:left="1454" w:right="1208"/>
        <w:jc w:val="left"/>
      </w:pPr>
      <w:r>
        <w:rPr/>
        <w:t>□ 适用 √ 不适用</w:t>
      </w:r>
    </w:p>
    <w:p>
      <w:pPr>
        <w:pStyle w:val="Heading2"/>
        <w:spacing w:line="240" w:lineRule="auto" w:before="147"/>
        <w:ind w:left="1456" w:right="1208"/>
        <w:jc w:val="left"/>
        <w:rPr>
          <w:b w:val="0"/>
          <w:bCs w:val="0"/>
        </w:rPr>
      </w:pPr>
      <w:r>
        <w:rPr>
          <w:rFonts w:ascii="Times New Roman" w:hAnsi="Times New Roman" w:cs="Times New Roman" w:eastAsia="Times New Roman" w:hint="default"/>
        </w:rPr>
        <w:t>5</w:t>
      </w:r>
      <w:r>
        <w:rPr/>
        <w:t>、募集资金使用情况</w:t>
      </w:r>
      <w:r>
        <w:rPr>
          <w:b w:val="0"/>
          <w:bCs w:val="0"/>
        </w:rPr>
      </w:r>
    </w:p>
    <w:p>
      <w:pPr>
        <w:pStyle w:val="Heading2"/>
        <w:spacing w:line="240" w:lineRule="auto" w:before="127"/>
        <w:ind w:left="1456" w:right="1208"/>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pStyle w:val="BodyText"/>
        <w:spacing w:line="240" w:lineRule="auto" w:before="127"/>
        <w:ind w:left="1453" w:right="1208"/>
        <w:jc w:val="left"/>
      </w:pPr>
      <w:r>
        <w:rPr/>
        <w:t>√ 适用 □ 不适用</w:t>
      </w:r>
    </w:p>
    <w:p>
      <w:pPr>
        <w:spacing w:before="84"/>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13"/>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709"/>
        <w:gridCol w:w="1136"/>
        <w:gridCol w:w="991"/>
        <w:gridCol w:w="1134"/>
        <w:gridCol w:w="1134"/>
        <w:gridCol w:w="992"/>
        <w:gridCol w:w="851"/>
        <w:gridCol w:w="851"/>
        <w:gridCol w:w="1134"/>
        <w:gridCol w:w="1276"/>
        <w:gridCol w:w="1134"/>
      </w:tblGrid>
      <w:tr>
        <w:trPr>
          <w:trHeight w:val="1649"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139" w:right="138"/>
              <w:jc w:val="left"/>
              <w:rPr>
                <w:rFonts w:ascii="宋体" w:hAnsi="宋体" w:cs="宋体" w:eastAsia="宋体" w:hint="default"/>
                <w:sz w:val="21"/>
                <w:szCs w:val="21"/>
              </w:rPr>
            </w:pPr>
            <w:r>
              <w:rPr>
                <w:rFonts w:ascii="宋体" w:hAnsi="宋体" w:cs="宋体" w:eastAsia="宋体" w:hint="default"/>
                <w:sz w:val="21"/>
                <w:szCs w:val="21"/>
              </w:rPr>
              <w:t>募集 年份</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募集方式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176" w:right="173"/>
              <w:jc w:val="left"/>
              <w:rPr>
                <w:rFonts w:ascii="宋体" w:hAnsi="宋体" w:cs="宋体" w:eastAsia="宋体" w:hint="default"/>
                <w:sz w:val="21"/>
                <w:szCs w:val="21"/>
              </w:rPr>
            </w:pPr>
            <w:r>
              <w:rPr>
                <w:rFonts w:ascii="宋体" w:hAnsi="宋体" w:cs="宋体" w:eastAsia="宋体" w:hint="default"/>
                <w:sz w:val="21"/>
                <w:szCs w:val="21"/>
              </w:rPr>
              <w:t>募集资 金总额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本期已使 用募集资 金总额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41" w:right="141"/>
              <w:jc w:val="both"/>
              <w:rPr>
                <w:rFonts w:ascii="宋体" w:hAnsi="宋体" w:cs="宋体" w:eastAsia="宋体" w:hint="default"/>
                <w:sz w:val="21"/>
                <w:szCs w:val="21"/>
              </w:rPr>
            </w:pPr>
            <w:r>
              <w:rPr>
                <w:rFonts w:ascii="宋体" w:hAnsi="宋体" w:cs="宋体" w:eastAsia="宋体" w:hint="default"/>
                <w:sz w:val="21"/>
                <w:szCs w:val="21"/>
              </w:rPr>
              <w:t>已累计使 用募集资 金总额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76" w:right="174"/>
              <w:jc w:val="both"/>
              <w:rPr>
                <w:rFonts w:ascii="宋体" w:hAnsi="宋体" w:cs="宋体" w:eastAsia="宋体" w:hint="default"/>
                <w:sz w:val="21"/>
                <w:szCs w:val="21"/>
              </w:rPr>
            </w:pPr>
            <w:r>
              <w:rPr>
                <w:rFonts w:ascii="宋体" w:hAnsi="宋体" w:cs="宋体" w:eastAsia="宋体" w:hint="default"/>
                <w:sz w:val="21"/>
                <w:szCs w:val="21"/>
              </w:rPr>
              <w:t>报告期 内变更 用途的 募集资 金总额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103"/>
              <w:jc w:val="center"/>
              <w:rPr>
                <w:rFonts w:ascii="宋体" w:hAnsi="宋体" w:cs="宋体" w:eastAsia="宋体" w:hint="default"/>
                <w:sz w:val="21"/>
                <w:szCs w:val="21"/>
              </w:rPr>
            </w:pPr>
            <w:r>
              <w:rPr>
                <w:rFonts w:ascii="宋体" w:hAnsi="宋体" w:cs="宋体" w:eastAsia="宋体" w:hint="default"/>
                <w:sz w:val="21"/>
                <w:szCs w:val="21"/>
              </w:rPr>
              <w:t>累计变 更用途 的募集 资金总 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4" w:right="104"/>
              <w:jc w:val="both"/>
              <w:rPr>
                <w:rFonts w:ascii="宋体" w:hAnsi="宋体" w:cs="宋体" w:eastAsia="宋体" w:hint="default"/>
                <w:sz w:val="21"/>
                <w:szCs w:val="21"/>
              </w:rPr>
            </w:pPr>
            <w:r>
              <w:rPr>
                <w:rFonts w:ascii="宋体" w:hAnsi="宋体" w:cs="宋体" w:eastAsia="宋体" w:hint="default"/>
                <w:sz w:val="21"/>
                <w:szCs w:val="21"/>
              </w:rPr>
              <w:t>累计变 更用途 的募集 资金总 额比例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40" w:right="143"/>
              <w:jc w:val="center"/>
              <w:rPr>
                <w:rFonts w:ascii="宋体" w:hAnsi="宋体" w:cs="宋体" w:eastAsia="宋体" w:hint="default"/>
                <w:sz w:val="21"/>
                <w:szCs w:val="21"/>
              </w:rPr>
            </w:pPr>
            <w:r>
              <w:rPr>
                <w:rFonts w:ascii="宋体" w:hAnsi="宋体" w:cs="宋体" w:eastAsia="宋体" w:hint="default"/>
                <w:sz w:val="21"/>
                <w:szCs w:val="21"/>
              </w:rPr>
              <w:t>尚未使用 募集资金 总额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6" w:right="107"/>
              <w:jc w:val="center"/>
              <w:rPr>
                <w:rFonts w:ascii="宋体" w:hAnsi="宋体" w:cs="宋体" w:eastAsia="宋体" w:hint="default"/>
                <w:sz w:val="21"/>
                <w:szCs w:val="21"/>
              </w:rPr>
            </w:pPr>
            <w:r>
              <w:rPr>
                <w:rFonts w:ascii="宋体" w:hAnsi="宋体" w:cs="宋体" w:eastAsia="宋体" w:hint="default"/>
                <w:sz w:val="21"/>
                <w:szCs w:val="21"/>
              </w:rPr>
              <w:t>尚未使用募 集资金用途 及去向</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41" w:right="141"/>
              <w:jc w:val="both"/>
              <w:rPr>
                <w:rFonts w:ascii="宋体" w:hAnsi="宋体" w:cs="宋体" w:eastAsia="宋体" w:hint="default"/>
                <w:sz w:val="21"/>
                <w:szCs w:val="21"/>
              </w:rPr>
            </w:pPr>
            <w:r>
              <w:rPr>
                <w:rFonts w:ascii="宋体" w:hAnsi="宋体" w:cs="宋体" w:eastAsia="宋体" w:hint="default"/>
                <w:sz w:val="21"/>
                <w:szCs w:val="21"/>
              </w:rPr>
              <w:t>闲置两年 以上募集 资金金额</w:t>
            </w:r>
          </w:p>
        </w:tc>
      </w:tr>
      <w:tr>
        <w:trPr>
          <w:trHeight w:val="1026"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42" w:right="141"/>
              <w:jc w:val="both"/>
              <w:rPr>
                <w:rFonts w:ascii="宋体" w:hAnsi="宋体" w:cs="宋体" w:eastAsia="宋体" w:hint="default"/>
                <w:sz w:val="21"/>
                <w:szCs w:val="21"/>
              </w:rPr>
            </w:pPr>
            <w:r>
              <w:rPr>
                <w:rFonts w:ascii="宋体" w:hAnsi="宋体" w:cs="宋体" w:eastAsia="宋体" w:hint="default"/>
                <w:sz w:val="21"/>
                <w:szCs w:val="21"/>
              </w:rPr>
              <w:t>非公开发 行人民币 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69,292.3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4,705.18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6,833.95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65,089.87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106" w:right="107"/>
              <w:jc w:val="left"/>
              <w:rPr>
                <w:rFonts w:ascii="宋体" w:hAnsi="宋体" w:cs="宋体" w:eastAsia="宋体" w:hint="default"/>
                <w:sz w:val="21"/>
                <w:szCs w:val="21"/>
              </w:rPr>
            </w:pPr>
            <w:r>
              <w:rPr>
                <w:rFonts w:ascii="宋体" w:hAnsi="宋体" w:cs="宋体" w:eastAsia="宋体" w:hint="default"/>
                <w:sz w:val="21"/>
                <w:szCs w:val="21"/>
              </w:rPr>
              <w:t>存储于募集 资金专户。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62,485.28</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42" w:right="141"/>
              <w:jc w:val="left"/>
              <w:rPr>
                <w:rFonts w:ascii="宋体" w:hAnsi="宋体" w:cs="宋体" w:eastAsia="宋体" w:hint="default"/>
                <w:sz w:val="21"/>
                <w:szCs w:val="21"/>
              </w:rPr>
            </w:pPr>
            <w:r>
              <w:rPr>
                <w:rFonts w:ascii="宋体" w:hAnsi="宋体" w:cs="宋体" w:eastAsia="宋体" w:hint="default"/>
                <w:sz w:val="21"/>
                <w:szCs w:val="21"/>
              </w:rPr>
              <w:t>公开发行 公司债券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24,770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24,867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24,867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06" w:right="107"/>
              <w:jc w:val="left"/>
              <w:rPr>
                <w:rFonts w:ascii="宋体" w:hAnsi="宋体" w:cs="宋体" w:eastAsia="宋体" w:hint="default"/>
                <w:sz w:val="21"/>
                <w:szCs w:val="21"/>
              </w:rPr>
            </w:pPr>
            <w:r>
              <w:rPr>
                <w:rFonts w:ascii="宋体" w:hAnsi="宋体" w:cs="宋体" w:eastAsia="宋体" w:hint="default"/>
                <w:sz w:val="21"/>
                <w:szCs w:val="21"/>
              </w:rPr>
              <w:t>存储于募集 资金专户。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r>
      <w:tr>
        <w:trPr>
          <w:trHeight w:val="403"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94,062.3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29,572.18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31,700.95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Times New Roman" w:hAnsi="Times New Roman" w:cs="Times New Roman" w:eastAsia="Times New Roman" w:hint="default"/>
                <w:sz w:val="21"/>
                <w:szCs w:val="21"/>
              </w:rPr>
            </w:pPr>
            <w:r>
              <w:rPr>
                <w:rFonts w:ascii="Times New Roman"/>
                <w:sz w:val="21"/>
              </w:rPr>
              <w:t>65,096.75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62,485.28</w:t>
            </w:r>
          </w:p>
        </w:tc>
      </w:tr>
      <w:tr>
        <w:trPr>
          <w:trHeight w:val="402" w:hRule="exact"/>
        </w:trPr>
        <w:tc>
          <w:tcPr>
            <w:tcW w:w="113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986" w:hRule="exact"/>
        </w:trPr>
        <w:tc>
          <w:tcPr>
            <w:tcW w:w="11343" w:type="dxa"/>
            <w:gridSpan w:val="11"/>
            <w:tcBorders>
              <w:top w:val="single" w:sz="4" w:space="0" w:color="000000"/>
              <w:left w:val="single" w:sz="4" w:space="0" w:color="000000"/>
              <w:bottom w:val="single" w:sz="4" w:space="0" w:color="000000"/>
              <w:right w:val="single" w:sz="4" w:space="0" w:color="000000"/>
            </w:tcBorders>
          </w:tcPr>
          <w:p>
            <w:pPr>
              <w:pStyle w:val="TableParagraph"/>
              <w:spacing w:line="386" w:lineRule="auto" w:before="105"/>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、经中国证券监督管理委员会证监发行字</w:t>
            </w:r>
            <w:r>
              <w:rPr>
                <w:rFonts w:ascii="Times New Roman" w:hAnsi="Times New Roman" w:cs="Times New Roman" w:eastAsia="Times New Roman" w:hint="default"/>
                <w:sz w:val="21"/>
                <w:szCs w:val="21"/>
              </w:rPr>
              <w:t>[2013 ]1179 </w:t>
            </w:r>
            <w:r>
              <w:rPr>
                <w:rFonts w:ascii="宋体" w:hAnsi="宋体" w:cs="宋体" w:eastAsia="宋体" w:hint="default"/>
                <w:sz w:val="21"/>
                <w:szCs w:val="21"/>
              </w:rPr>
              <w:t>号文核准，并经深圳证券交易所同意，</w:t>
            </w:r>
            <w:r>
              <w:rPr>
                <w:rFonts w:ascii="宋体" w:hAnsi="宋体" w:cs="宋体" w:eastAsia="宋体" w:hint="default"/>
                <w:spacing w:val="-41"/>
                <w:sz w:val="21"/>
                <w:szCs w:val="21"/>
              </w:rPr>
              <w:t> </w:t>
            </w:r>
            <w:r>
              <w:rPr>
                <w:rFonts w:ascii="宋体" w:hAnsi="宋体" w:cs="宋体" w:eastAsia="宋体" w:hint="default"/>
                <w:sz w:val="21"/>
                <w:szCs w:val="21"/>
              </w:rPr>
              <w:t>辉煌科技由主承销商中原证</w:t>
            </w:r>
            <w:r>
              <w:rPr>
                <w:rFonts w:ascii="宋体" w:hAnsi="宋体" w:cs="宋体" w:eastAsia="宋体" w:hint="default"/>
                <w:sz w:val="21"/>
                <w:szCs w:val="21"/>
              </w:rPr>
              <w:t> 券股份有限公司于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日以非公开发行股票的方式向特定投资者发行普通股（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股）股票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4,382.76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万股，每</w:t>
            </w:r>
          </w:p>
        </w:tc>
      </w:tr>
    </w:tbl>
    <w:p>
      <w:pPr>
        <w:spacing w:after="0" w:line="386" w:lineRule="auto"/>
        <w:jc w:val="left"/>
        <w:rPr>
          <w:rFonts w:ascii="宋体" w:hAnsi="宋体" w:cs="宋体" w:eastAsia="宋体" w:hint="default"/>
          <w:sz w:val="21"/>
          <w:szCs w:val="21"/>
        </w:rPr>
        <w:sectPr>
          <w:type w:val="continuous"/>
          <w:pgSz w:w="11910" w:h="16840"/>
          <w:pgMar w:top="1060" w:bottom="1160" w:left="160" w:right="0"/>
        </w:sectPr>
      </w:pPr>
    </w:p>
    <w:p>
      <w:pPr>
        <w:spacing w:line="240" w:lineRule="auto" w:before="0"/>
        <w:rPr>
          <w:rFonts w:ascii="宋体" w:hAnsi="宋体" w:cs="宋体" w:eastAsia="宋体" w:hint="default"/>
          <w:sz w:val="20"/>
          <w:szCs w:val="20"/>
        </w:rPr>
      </w:pPr>
    </w:p>
    <w:p>
      <w:pPr>
        <w:spacing w:before="184"/>
        <w:ind w:left="230" w:right="279" w:firstLine="0"/>
        <w:jc w:val="left"/>
        <w:rPr>
          <w:rFonts w:ascii="宋体" w:hAnsi="宋体" w:cs="宋体" w:eastAsia="宋体" w:hint="default"/>
          <w:sz w:val="21"/>
          <w:szCs w:val="21"/>
        </w:rPr>
      </w:pPr>
      <w:r>
        <w:rPr/>
        <w:pict>
          <v:group style="position:absolute;margin-left:13.86pt;margin-top:5.323691pt;width:567.65pt;height:286.3pt;mso-position-horizontal-relative:page;mso-position-vertical-relative:paragraph;z-index:-767704" coordorigin="277,106" coordsize="11353,5726">
            <v:group style="position:absolute;left:287;top:116;width:11334;height:2" coordorigin="287,116" coordsize="11334,2">
              <v:shape style="position:absolute;left:287;top:116;width:11334;height:2" coordorigin="287,116" coordsize="11334,0" path="m287,116l11620,116e" filled="false" stroked="true" strokeweight=".48pt" strokecolor="#000000">
                <v:path arrowok="t"/>
              </v:shape>
            </v:group>
            <v:group style="position:absolute;left:282;top:111;width:2;height:5716" coordorigin="282,111" coordsize="2,5716">
              <v:shape style="position:absolute;left:282;top:111;width:2;height:5716" coordorigin="282,111" coordsize="0,5716" path="m282,111l282,5827e" filled="false" stroked="true" strokeweight=".48pt" strokecolor="#000000">
                <v:path arrowok="t"/>
              </v:shape>
            </v:group>
            <v:group style="position:absolute;left:287;top:5822;width:11334;height:2" coordorigin="287,5822" coordsize="11334,2">
              <v:shape style="position:absolute;left:287;top:5822;width:11334;height:2" coordorigin="287,5822" coordsize="11334,0" path="m287,5822l11620,5822e" filled="false" stroked="true" strokeweight=".48pt" strokecolor="#000000">
                <v:path arrowok="t"/>
              </v:shape>
            </v:group>
            <v:group style="position:absolute;left:11625;top:111;width:2;height:5716" coordorigin="11625,111" coordsize="2,5716">
              <v:shape style="position:absolute;left:11625;top:111;width:2;height:5716" coordorigin="11625,111" coordsize="0,5716" path="m11625,111l11625,5827e" filled="false" stroked="true" strokeweight=".48pt" strokecolor="#000000">
                <v:path arrowok="t"/>
              </v:shape>
            </v:group>
            <w10:wrap type="none"/>
          </v:group>
        </w:pict>
      </w:r>
      <w:r>
        <w:rPr>
          <w:rFonts w:ascii="宋体" w:hAnsi="宋体" w:cs="宋体" w:eastAsia="宋体" w:hint="default"/>
          <w:sz w:val="21"/>
          <w:szCs w:val="21"/>
        </w:rPr>
        <w:t>股面值</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元，每股发行价人民币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16.28</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元。截至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 </w:t>
      </w:r>
      <w:r>
        <w:rPr>
          <w:rFonts w:ascii="宋体" w:hAnsi="宋体" w:cs="宋体" w:eastAsia="宋体" w:hint="default"/>
          <w:spacing w:val="-3"/>
          <w:sz w:val="21"/>
          <w:szCs w:val="21"/>
        </w:rPr>
        <w:t>日止，公司共募集资金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713,513,328.00 </w:t>
      </w:r>
      <w:r>
        <w:rPr>
          <w:rFonts w:ascii="宋体" w:hAnsi="宋体" w:cs="宋体" w:eastAsia="宋体" w:hint="default"/>
          <w:spacing w:val="-4"/>
          <w:sz w:val="21"/>
          <w:szCs w:val="21"/>
        </w:rPr>
        <w:t>元，扣除发行费用</w:t>
      </w:r>
    </w:p>
    <w:p>
      <w:pPr>
        <w:spacing w:before="177"/>
        <w:ind w:left="230" w:right="2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20,590,289.12</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元，募集资金净额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692,923,038.88 </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元。截止</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 </w:t>
      </w:r>
      <w:r>
        <w:rPr>
          <w:rFonts w:ascii="宋体" w:hAnsi="宋体" w:cs="宋体" w:eastAsia="宋体" w:hint="default"/>
          <w:spacing w:val="-3"/>
          <w:sz w:val="21"/>
          <w:szCs w:val="21"/>
        </w:rPr>
        <w:t>日，公司上述发行募集的资金已全部到位，业经</w:t>
      </w:r>
    </w:p>
    <w:p>
      <w:pPr>
        <w:spacing w:before="177"/>
        <w:ind w:left="230" w:right="279" w:firstLine="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大华会计师事务所（特殊普通合伙）以</w:t>
      </w:r>
      <w:r>
        <w:rPr>
          <w:rFonts w:ascii="Times New Roman" w:hAnsi="Times New Roman" w:cs="Times New Roman" w:eastAsia="Times New Roman" w:hint="default"/>
          <w:sz w:val="21"/>
          <w:szCs w:val="21"/>
        </w:rPr>
        <w:t>“</w:t>
      </w:r>
      <w:r>
        <w:rPr>
          <w:rFonts w:ascii="宋体" w:hAnsi="宋体" w:cs="宋体" w:eastAsia="宋体" w:hint="default"/>
          <w:sz w:val="21"/>
          <w:szCs w:val="21"/>
        </w:rPr>
        <w:t>大华验字</w:t>
      </w:r>
      <w:r>
        <w:rPr>
          <w:rFonts w:ascii="Times New Roman" w:hAnsi="Times New Roman" w:cs="Times New Roman" w:eastAsia="Times New Roman" w:hint="default"/>
          <w:sz w:val="21"/>
          <w:szCs w:val="21"/>
        </w:rPr>
        <w:t>[2013]000325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验资报告验证确认。截止</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日，公司募集</w:t>
      </w:r>
    </w:p>
    <w:p>
      <w:pPr>
        <w:spacing w:before="177"/>
        <w:ind w:left="230" w:right="279" w:firstLine="0"/>
        <w:jc w:val="left"/>
        <w:rPr>
          <w:rFonts w:ascii="宋体" w:hAnsi="宋体" w:cs="宋体" w:eastAsia="宋体" w:hint="default"/>
          <w:sz w:val="21"/>
          <w:szCs w:val="21"/>
        </w:rPr>
      </w:pPr>
      <w:r>
        <w:rPr>
          <w:rFonts w:ascii="宋体" w:hAnsi="宋体" w:cs="宋体" w:eastAsia="宋体" w:hint="default"/>
          <w:sz w:val="21"/>
          <w:szCs w:val="21"/>
        </w:rPr>
        <w:t>资金本年度投入使用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47,051,849.87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元，累计投入使用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68,339,485.11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元；本年度募集资金利息收入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10,317,210.9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元，累计</w:t>
      </w:r>
    </w:p>
    <w:p>
      <w:pPr>
        <w:spacing w:before="178"/>
        <w:ind w:left="230" w:right="1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26,315,172.2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元，募集资金余额（包含募集资金利息收入）为人民币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650,898,725.97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240" w:lineRule="auto" w:before="8"/>
        <w:rPr>
          <w:rFonts w:ascii="宋体" w:hAnsi="宋体" w:cs="宋体" w:eastAsia="宋体" w:hint="default"/>
          <w:sz w:val="16"/>
          <w:szCs w:val="16"/>
        </w:rPr>
      </w:pPr>
    </w:p>
    <w:p>
      <w:pPr>
        <w:spacing w:line="386" w:lineRule="auto" w:before="0"/>
        <w:ind w:left="230" w:right="2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日，公司收到中国证监会证监许可（</w:t>
      </w:r>
      <w:r>
        <w:rPr>
          <w:rFonts w:ascii="Times New Roman" w:hAnsi="Times New Roman" w:cs="Times New Roman" w:eastAsia="Times New Roman" w:hint="default"/>
          <w:sz w:val="21"/>
          <w:szCs w:val="21"/>
        </w:rPr>
        <w:t>2014</w:t>
      </w:r>
      <w:r>
        <w:rPr>
          <w:rFonts w:ascii="宋体" w:hAnsi="宋体" w:cs="宋体" w:eastAsia="宋体" w:hint="default"/>
          <w:sz w:val="21"/>
          <w:szCs w:val="21"/>
        </w:rPr>
        <w:t>）</w:t>
      </w:r>
      <w:r>
        <w:rPr>
          <w:rFonts w:ascii="Times New Roman" w:hAnsi="Times New Roman" w:cs="Times New Roman" w:eastAsia="Times New Roman" w:hint="default"/>
          <w:sz w:val="21"/>
          <w:szCs w:val="21"/>
        </w:rPr>
        <w:t>926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号文《关于核准河南辉煌科技股份有限公司公开发行公 </w:t>
      </w:r>
      <w:r>
        <w:rPr>
          <w:rFonts w:ascii="宋体" w:hAnsi="宋体" w:cs="宋体" w:eastAsia="宋体" w:hint="default"/>
          <w:spacing w:val="-8"/>
          <w:sz w:val="21"/>
          <w:szCs w:val="21"/>
        </w:rPr>
        <w:t>司债券的批复》，核准公司发行面值不超过</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7"/>
          <w:sz w:val="21"/>
          <w:szCs w:val="21"/>
        </w:rPr>
        <w:t> </w:t>
      </w:r>
      <w:r>
        <w:rPr>
          <w:rFonts w:ascii="宋体" w:hAnsi="宋体" w:cs="宋体" w:eastAsia="宋体" w:hint="default"/>
          <w:spacing w:val="-7"/>
          <w:sz w:val="21"/>
          <w:szCs w:val="21"/>
        </w:rPr>
        <w:t>亿元公司债券。</w:t>
      </w:r>
      <w:r>
        <w:rPr>
          <w:rFonts w:ascii="Times New Roman" w:hAnsi="Times New Roman" w:cs="Times New Roman" w:eastAsia="Times New Roman" w:hint="default"/>
          <w:spacing w:val="-7"/>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日公司发行了第一期债券，规模人民币</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2.5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亿，</w:t>
      </w:r>
    </w:p>
    <w:p>
      <w:pPr>
        <w:spacing w:before="35"/>
        <w:ind w:left="230" w:right="279" w:firstLine="0"/>
        <w:jc w:val="left"/>
        <w:rPr>
          <w:rFonts w:ascii="宋体" w:hAnsi="宋体" w:cs="宋体" w:eastAsia="宋体" w:hint="default"/>
          <w:sz w:val="21"/>
          <w:szCs w:val="21"/>
        </w:rPr>
      </w:pPr>
      <w:r>
        <w:rPr>
          <w:rFonts w:ascii="宋体" w:hAnsi="宋体" w:cs="宋体" w:eastAsia="宋体" w:hint="default"/>
          <w:sz w:val="21"/>
          <w:szCs w:val="21"/>
        </w:rPr>
        <w:t>发行价格为每张 </w:t>
      </w:r>
      <w:r>
        <w:rPr>
          <w:rFonts w:ascii="Times New Roman" w:hAnsi="Times New Roman" w:cs="Times New Roman" w:eastAsia="Times New Roman" w:hint="default"/>
          <w:sz w:val="21"/>
          <w:szCs w:val="21"/>
        </w:rPr>
        <w:t>100 </w:t>
      </w:r>
      <w:r>
        <w:rPr>
          <w:rFonts w:ascii="宋体" w:hAnsi="宋体" w:cs="宋体" w:eastAsia="宋体" w:hint="default"/>
          <w:sz w:val="21"/>
          <w:szCs w:val="21"/>
        </w:rPr>
        <w:t>元，期限为 </w:t>
      </w:r>
      <w:r>
        <w:rPr>
          <w:rFonts w:ascii="Times New Roman" w:hAnsi="Times New Roman" w:cs="Times New Roman" w:eastAsia="Times New Roman" w:hint="default"/>
          <w:sz w:val="21"/>
          <w:szCs w:val="21"/>
        </w:rPr>
        <w:t>3 </w:t>
      </w:r>
      <w:r>
        <w:rPr>
          <w:rFonts w:ascii="宋体" w:hAnsi="宋体" w:cs="宋体" w:eastAsia="宋体" w:hint="default"/>
          <w:sz w:val="21"/>
          <w:szCs w:val="21"/>
        </w:rPr>
        <w:t>年，起息日为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4 </w:t>
      </w:r>
      <w:r>
        <w:rPr>
          <w:rFonts w:ascii="宋体" w:hAnsi="宋体" w:cs="宋体" w:eastAsia="宋体" w:hint="default"/>
          <w:sz w:val="21"/>
          <w:szCs w:val="21"/>
        </w:rPr>
        <w:t>日，附第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年末发行人上调票面利率选择权和投资者回</w:t>
      </w:r>
    </w:p>
    <w:p>
      <w:pPr>
        <w:spacing w:before="177"/>
        <w:ind w:left="230" w:right="279" w:firstLine="0"/>
        <w:jc w:val="left"/>
        <w:rPr>
          <w:rFonts w:ascii="宋体" w:hAnsi="宋体" w:cs="宋体" w:eastAsia="宋体" w:hint="default"/>
          <w:sz w:val="21"/>
          <w:szCs w:val="21"/>
        </w:rPr>
      </w:pPr>
      <w:r>
        <w:rPr>
          <w:rFonts w:ascii="宋体" w:hAnsi="宋体" w:cs="宋体" w:eastAsia="宋体" w:hint="default"/>
          <w:sz w:val="21"/>
          <w:szCs w:val="21"/>
        </w:rPr>
        <w:t>售选择权。截止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日，公司共募集资金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250,000,000.00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元，扣除发行费用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2,300,000.00 </w:t>
      </w:r>
      <w:r>
        <w:rPr>
          <w:rFonts w:ascii="宋体" w:hAnsi="宋体" w:cs="宋体" w:eastAsia="宋体" w:hint="default"/>
          <w:sz w:val="21"/>
          <w:szCs w:val="21"/>
        </w:rPr>
        <w:t>元，公司债募集资金</w:t>
      </w:r>
    </w:p>
    <w:p>
      <w:pPr>
        <w:spacing w:before="177"/>
        <w:ind w:left="230" w:right="279" w:firstLine="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247,700,000.00 </w:t>
      </w:r>
      <w:r>
        <w:rPr>
          <w:rFonts w:ascii="宋体" w:hAnsi="宋体" w:cs="宋体" w:eastAsia="宋体" w:hint="default"/>
          <w:sz w:val="21"/>
          <w:szCs w:val="21"/>
        </w:rPr>
        <w:t>元。截止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日，公司发行公司债募集第一期资金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亿元已全部到位，业经大华会计师</w:t>
      </w:r>
    </w:p>
    <w:p>
      <w:pPr>
        <w:spacing w:before="177"/>
        <w:ind w:left="230" w:right="279" w:firstLine="0"/>
        <w:jc w:val="left"/>
        <w:rPr>
          <w:rFonts w:ascii="宋体" w:hAnsi="宋体" w:cs="宋体" w:eastAsia="宋体" w:hint="default"/>
          <w:sz w:val="21"/>
          <w:szCs w:val="21"/>
        </w:rPr>
      </w:pPr>
      <w:r>
        <w:rPr>
          <w:rFonts w:ascii="宋体" w:hAnsi="宋体" w:cs="宋体" w:eastAsia="宋体" w:hint="default"/>
          <w:sz w:val="21"/>
          <w:szCs w:val="21"/>
        </w:rPr>
        <w:t>事务所（特殊普通合伙）以</w:t>
      </w:r>
      <w:r>
        <w:rPr>
          <w:rFonts w:ascii="Times New Roman" w:hAnsi="Times New Roman" w:cs="Times New Roman" w:eastAsia="Times New Roman" w:hint="default"/>
          <w:sz w:val="21"/>
          <w:szCs w:val="21"/>
        </w:rPr>
        <w:t>“</w:t>
      </w:r>
      <w:r>
        <w:rPr>
          <w:rFonts w:ascii="宋体" w:hAnsi="宋体" w:cs="宋体" w:eastAsia="宋体" w:hint="default"/>
          <w:sz w:val="21"/>
          <w:szCs w:val="21"/>
        </w:rPr>
        <w:t>大华验字</w:t>
      </w:r>
      <w:r>
        <w:rPr>
          <w:rFonts w:ascii="Times New Roman" w:hAnsi="Times New Roman" w:cs="Times New Roman" w:eastAsia="Times New Roman" w:hint="default"/>
          <w:sz w:val="21"/>
          <w:szCs w:val="21"/>
        </w:rPr>
        <w:t>[2015]000105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验资报告验证确认。截止</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日，公司已将募集资金中</w:t>
      </w:r>
    </w:p>
    <w:p>
      <w:pPr>
        <w:spacing w:before="178"/>
        <w:ind w:left="230" w:right="1208" w:firstLine="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248,670,000.00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元用于补充流动资金。</w:t>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979" w:top="1060" w:bottom="1160" w:left="160" w:right="0"/>
        </w:sectPr>
      </w:pPr>
    </w:p>
    <w:p>
      <w:pPr>
        <w:pStyle w:val="Heading2"/>
        <w:spacing w:line="240" w:lineRule="auto"/>
        <w:ind w:left="1456" w:right="0"/>
        <w:jc w:val="left"/>
        <w:rPr>
          <w:b w:val="0"/>
          <w:bCs w:val="0"/>
        </w:rPr>
      </w:pPr>
      <w:r>
        <w:rPr>
          <w:w w:val="95"/>
        </w:rPr>
        <w:t>（</w:t>
      </w:r>
      <w:r>
        <w:rPr>
          <w:rFonts w:ascii="Times New Roman" w:hAnsi="Times New Roman" w:cs="Times New Roman" w:eastAsia="Times New Roman" w:hint="default"/>
          <w:w w:val="95"/>
        </w:rPr>
        <w:t>2</w:t>
      </w:r>
      <w:r>
        <w:rPr>
          <w:w w:val="95"/>
        </w:rPr>
        <w:t>）募集资金承诺项目情况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1456"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60" w:bottom="1160" w:left="160" w:right="0"/>
          <w:cols w:num="2" w:equalWidth="0">
            <w:col w:w="4466" w:space="2718"/>
            <w:col w:w="4566"/>
          </w:cols>
        </w:sectPr>
      </w:pPr>
    </w:p>
    <w:p>
      <w:pPr>
        <w:spacing w:line="240" w:lineRule="auto" w:before="13"/>
        <w:rPr>
          <w:rFonts w:ascii="宋体" w:hAnsi="宋体" w:cs="宋体" w:eastAsia="宋体" w:hint="default"/>
          <w:sz w:val="6"/>
          <w:szCs w:val="6"/>
        </w:rPr>
      </w:pPr>
    </w:p>
    <w:tbl>
      <w:tblPr>
        <w:tblW w:w="0" w:type="auto"/>
        <w:jc w:val="left"/>
        <w:tblInd w:w="260" w:type="dxa"/>
        <w:tblLayout w:type="fixed"/>
        <w:tblCellMar>
          <w:top w:w="0" w:type="dxa"/>
          <w:left w:w="0" w:type="dxa"/>
          <w:bottom w:w="0" w:type="dxa"/>
          <w:right w:w="0" w:type="dxa"/>
        </w:tblCellMar>
        <w:tblLook w:val="01E0"/>
      </w:tblPr>
      <w:tblGrid>
        <w:gridCol w:w="1844"/>
        <w:gridCol w:w="847"/>
        <w:gridCol w:w="996"/>
        <w:gridCol w:w="993"/>
        <w:gridCol w:w="851"/>
        <w:gridCol w:w="991"/>
        <w:gridCol w:w="856"/>
        <w:gridCol w:w="984"/>
        <w:gridCol w:w="858"/>
        <w:gridCol w:w="847"/>
        <w:gridCol w:w="992"/>
      </w:tblGrid>
      <w:tr>
        <w:trPr>
          <w:trHeight w:val="1338"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391" w:right="76" w:hanging="316"/>
              <w:jc w:val="left"/>
              <w:rPr>
                <w:rFonts w:ascii="宋体" w:hAnsi="宋体" w:cs="宋体" w:eastAsia="宋体" w:hint="default"/>
                <w:sz w:val="21"/>
                <w:szCs w:val="21"/>
              </w:rPr>
            </w:pPr>
            <w:r>
              <w:rPr>
                <w:rFonts w:ascii="宋体" w:hAnsi="宋体" w:cs="宋体" w:eastAsia="宋体" w:hint="default"/>
                <w:sz w:val="21"/>
                <w:szCs w:val="21"/>
              </w:rPr>
              <w:t>承诺投资项目和超 募资金投向</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6"/>
              <w:ind w:left="70" w:right="64" w:firstLine="34"/>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是否已 变更项 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 分变更</w:t>
            </w:r>
            <w:r>
              <w:rPr>
                <w:rFonts w:ascii="Times New Roman" w:hAnsi="Times New Roman" w:cs="Times New Roman" w:eastAsia="Times New Roman" w:hint="default"/>
                <w:sz w:val="21"/>
                <w:szCs w:val="21"/>
              </w:rPr>
              <w:t>)</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74" w:right="71"/>
              <w:jc w:val="center"/>
              <w:rPr>
                <w:rFonts w:ascii="宋体" w:hAnsi="宋体" w:cs="宋体" w:eastAsia="宋体" w:hint="default"/>
                <w:sz w:val="21"/>
                <w:szCs w:val="21"/>
              </w:rPr>
            </w:pPr>
            <w:r>
              <w:rPr>
                <w:rFonts w:ascii="宋体" w:hAnsi="宋体" w:cs="宋体" w:eastAsia="宋体" w:hint="default"/>
                <w:sz w:val="21"/>
                <w:szCs w:val="21"/>
              </w:rPr>
              <w:t>募集资金 承诺投资 总额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52" w:right="53" w:firstLine="18"/>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 资总额</w:t>
            </w:r>
            <w:r>
              <w:rPr>
                <w:rFonts w:ascii="Times New Roman" w:hAnsi="Times New Roman" w:cs="Times New Roman" w:eastAsia="Times New Roman" w:hint="default"/>
                <w:sz w:val="21"/>
                <w:szCs w:val="21"/>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105" w:right="103"/>
              <w:jc w:val="both"/>
              <w:rPr>
                <w:rFonts w:ascii="宋体" w:hAnsi="宋体" w:cs="宋体" w:eastAsia="宋体" w:hint="default"/>
                <w:sz w:val="21"/>
                <w:szCs w:val="21"/>
              </w:rPr>
            </w:pPr>
            <w:r>
              <w:rPr>
                <w:rFonts w:ascii="宋体" w:hAnsi="宋体" w:cs="宋体" w:eastAsia="宋体" w:hint="default"/>
                <w:sz w:val="21"/>
                <w:szCs w:val="21"/>
              </w:rPr>
              <w:t>本报告 期投入 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83"/>
              <w:ind w:left="70" w:right="68"/>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截至期末 累计投入 金额</w:t>
            </w:r>
            <w:r>
              <w:rPr>
                <w:rFonts w:ascii="Times New Roman" w:hAnsi="Times New Roman" w:cs="Times New Roman" w:eastAsia="Times New Roman" w:hint="default"/>
                <w:sz w:val="21"/>
                <w:szCs w:val="21"/>
              </w:rPr>
              <w:t>(2)</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88" w:right="90" w:firstLine="18"/>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 末投资 进度</w:t>
            </w:r>
            <w:r>
              <w:rPr>
                <w:rFonts w:ascii="Times New Roman" w:hAnsi="Times New Roman" w:cs="Times New Roman" w:eastAsia="Times New Roman" w:hint="default"/>
                <w:sz w:val="21"/>
                <w:szCs w:val="21"/>
              </w:rPr>
              <w:t>(3)</w:t>
            </w:r>
          </w:p>
          <w:p>
            <w:pPr>
              <w:pStyle w:val="TableParagraph"/>
              <w:spacing w:line="283" w:lineRule="exact"/>
              <w:ind w:left="4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(2)/(1)</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7" w:right="65"/>
              <w:jc w:val="center"/>
              <w:rPr>
                <w:rFonts w:ascii="宋体" w:hAnsi="宋体" w:cs="宋体" w:eastAsia="宋体" w:hint="default"/>
                <w:sz w:val="21"/>
                <w:szCs w:val="21"/>
              </w:rPr>
            </w:pPr>
            <w:r>
              <w:rPr>
                <w:rFonts w:ascii="宋体" w:hAnsi="宋体" w:cs="宋体" w:eastAsia="宋体" w:hint="default"/>
                <w:sz w:val="21"/>
                <w:szCs w:val="21"/>
              </w:rPr>
              <w:t>项目达到 预定可使 用状态日 期</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108" w:right="108"/>
              <w:jc w:val="both"/>
              <w:rPr>
                <w:rFonts w:ascii="宋体" w:hAnsi="宋体" w:cs="宋体" w:eastAsia="宋体" w:hint="default"/>
                <w:sz w:val="21"/>
                <w:szCs w:val="21"/>
              </w:rPr>
            </w:pPr>
            <w:r>
              <w:rPr>
                <w:rFonts w:ascii="宋体" w:hAnsi="宋体" w:cs="宋体" w:eastAsia="宋体" w:hint="default"/>
                <w:sz w:val="21"/>
                <w:szCs w:val="21"/>
              </w:rPr>
              <w:t>本报告 期实现 的效益</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101" w:right="103"/>
              <w:jc w:val="both"/>
              <w:rPr>
                <w:rFonts w:ascii="宋体" w:hAnsi="宋体" w:cs="宋体" w:eastAsia="宋体" w:hint="default"/>
                <w:sz w:val="21"/>
                <w:szCs w:val="21"/>
              </w:rPr>
            </w:pPr>
            <w:r>
              <w:rPr>
                <w:rFonts w:ascii="宋体" w:hAnsi="宋体" w:cs="宋体" w:eastAsia="宋体" w:hint="default"/>
                <w:sz w:val="21"/>
                <w:szCs w:val="21"/>
              </w:rPr>
              <w:t>是否达 到预计 效益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0" w:right="69"/>
              <w:jc w:val="center"/>
              <w:rPr>
                <w:rFonts w:ascii="宋体" w:hAnsi="宋体" w:cs="宋体" w:eastAsia="宋体" w:hint="default"/>
                <w:sz w:val="21"/>
                <w:szCs w:val="21"/>
              </w:rPr>
            </w:pPr>
            <w:r>
              <w:rPr>
                <w:rFonts w:ascii="宋体" w:hAnsi="宋体" w:cs="宋体" w:eastAsia="宋体" w:hint="default"/>
                <w:sz w:val="21"/>
                <w:szCs w:val="21"/>
              </w:rPr>
              <w:t>项目可行 性是否发 生重大变 化</w:t>
            </w:r>
          </w:p>
        </w:tc>
      </w:tr>
      <w:tr>
        <w:trPr>
          <w:trHeight w:val="402" w:hRule="exact"/>
        </w:trPr>
        <w:tc>
          <w:tcPr>
            <w:tcW w:w="1105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29"/>
              <w:jc w:val="left"/>
              <w:rPr>
                <w:rFonts w:ascii="宋体" w:hAnsi="宋体" w:cs="宋体" w:eastAsia="宋体" w:hint="default"/>
                <w:sz w:val="21"/>
                <w:szCs w:val="21"/>
              </w:rPr>
            </w:pPr>
            <w:r>
              <w:rPr>
                <w:rFonts w:ascii="宋体" w:hAnsi="宋体" w:cs="宋体" w:eastAsia="宋体" w:hint="default"/>
                <w:sz w:val="21"/>
                <w:szCs w:val="21"/>
              </w:rPr>
              <w:t>铁路灾害监测及预 警系统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21,891.38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21,891.38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71" w:right="0"/>
              <w:jc w:val="left"/>
              <w:rPr>
                <w:rFonts w:ascii="Times New Roman" w:hAnsi="Times New Roman" w:cs="Times New Roman" w:eastAsia="Times New Roman" w:hint="default"/>
                <w:sz w:val="21"/>
                <w:szCs w:val="21"/>
              </w:rPr>
            </w:pPr>
            <w:r>
              <w:rPr>
                <w:rFonts w:ascii="Times New Roman"/>
                <w:sz w:val="2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8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29"/>
              <w:jc w:val="left"/>
              <w:rPr>
                <w:rFonts w:ascii="宋体" w:hAnsi="宋体" w:cs="宋体" w:eastAsia="宋体" w:hint="default"/>
                <w:sz w:val="21"/>
                <w:szCs w:val="21"/>
              </w:rPr>
            </w:pPr>
            <w:r>
              <w:rPr>
                <w:rFonts w:ascii="宋体" w:hAnsi="宋体" w:cs="宋体" w:eastAsia="宋体" w:hint="default"/>
                <w:sz w:val="21"/>
                <w:szCs w:val="21"/>
              </w:rPr>
              <w:t>铁路综合视频监控 系统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13,897.07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13,897.07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71" w:right="0"/>
              <w:jc w:val="left"/>
              <w:rPr>
                <w:rFonts w:ascii="Times New Roman" w:hAnsi="Times New Roman" w:cs="Times New Roman" w:eastAsia="Times New Roman" w:hint="default"/>
                <w:sz w:val="21"/>
                <w:szCs w:val="21"/>
              </w:rPr>
            </w:pPr>
            <w:r>
              <w:rPr>
                <w:rFonts w:ascii="Times New Roman"/>
                <w:sz w:val="2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8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6"/>
              <w:jc w:val="center"/>
              <w:rPr>
                <w:rFonts w:ascii="宋体" w:hAnsi="宋体" w:cs="宋体" w:eastAsia="宋体" w:hint="default"/>
                <w:sz w:val="21"/>
                <w:szCs w:val="21"/>
              </w:rPr>
            </w:pPr>
            <w:r>
              <w:rPr>
                <w:rFonts w:ascii="宋体" w:hAnsi="宋体" w:cs="宋体" w:eastAsia="宋体" w:hint="default"/>
                <w:sz w:val="21"/>
                <w:szCs w:val="21"/>
              </w:rPr>
              <w:t>智能综合监控系统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16,445.77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16,445.77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71" w:right="0"/>
              <w:jc w:val="left"/>
              <w:rPr>
                <w:rFonts w:ascii="Times New Roman" w:hAnsi="Times New Roman" w:cs="Times New Roman" w:eastAsia="Times New Roman" w:hint="default"/>
                <w:sz w:val="21"/>
                <w:szCs w:val="21"/>
              </w:rPr>
            </w:pPr>
            <w:r>
              <w:rPr>
                <w:rFonts w:ascii="Times New Roman"/>
                <w:sz w:val="2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8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29"/>
              <w:jc w:val="left"/>
              <w:rPr>
                <w:rFonts w:ascii="宋体" w:hAnsi="宋体" w:cs="宋体" w:eastAsia="宋体" w:hint="default"/>
                <w:sz w:val="21"/>
                <w:szCs w:val="21"/>
              </w:rPr>
            </w:pPr>
            <w:r>
              <w:rPr>
                <w:rFonts w:ascii="宋体" w:hAnsi="宋体" w:cs="宋体" w:eastAsia="宋体" w:hint="default"/>
                <w:sz w:val="21"/>
                <w:szCs w:val="21"/>
              </w:rPr>
              <w:t>轨道交通运营安全 服务系统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17,064.17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17,064.17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4,705.18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6,833.95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40.05%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71" w:right="0"/>
              <w:jc w:val="left"/>
              <w:rPr>
                <w:rFonts w:ascii="Times New Roman" w:hAnsi="Times New Roman" w:cs="Times New Roman" w:eastAsia="Times New Roman" w:hint="default"/>
                <w:sz w:val="21"/>
                <w:szCs w:val="21"/>
              </w:rPr>
            </w:pPr>
            <w:r>
              <w:rPr>
                <w:rFonts w:ascii="Times New Roman"/>
                <w:sz w:val="21"/>
              </w:rPr>
              <w:t>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8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06"/>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69,298.39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69,298.39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4,705.18</w:t>
            </w:r>
          </w:p>
        </w:tc>
        <w:tc>
          <w:tcPr>
            <w:tcW w:w="9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12" w:right="0"/>
              <w:jc w:val="center"/>
              <w:rPr>
                <w:rFonts w:ascii="Times New Roman" w:hAnsi="Times New Roman" w:cs="Times New Roman" w:eastAsia="Times New Roman" w:hint="default"/>
                <w:sz w:val="21"/>
                <w:szCs w:val="21"/>
              </w:rPr>
            </w:pPr>
            <w:r>
              <w:rPr>
                <w:rFonts w:ascii="Times New Roman"/>
                <w:sz w:val="21"/>
              </w:rPr>
              <w:t>6,833.95</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85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76"/>
              <w:ind w:left="359" w:right="0"/>
              <w:jc w:val="left"/>
              <w:rPr>
                <w:rFonts w:ascii="Times New Roman" w:hAnsi="Times New Roman" w:cs="Times New Roman" w:eastAsia="Times New Roman" w:hint="default"/>
                <w:sz w:val="21"/>
                <w:szCs w:val="21"/>
              </w:rPr>
            </w:pPr>
            <w:r>
              <w:rPr>
                <w:rFonts w:ascii="Times New Roman"/>
                <w:sz w:val="21"/>
              </w:rPr>
              <w:t>0</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2"/>
              <w:jc w:val="center"/>
              <w:rPr>
                <w:rFonts w:ascii="Times New Roman" w:hAnsi="Times New Roman" w:cs="Times New Roman" w:eastAsia="Times New Roman" w:hint="default"/>
                <w:sz w:val="21"/>
                <w:szCs w:val="21"/>
              </w:rPr>
            </w:pPr>
            <w:r>
              <w:rPr>
                <w:rFonts w:ascii="Times New Roman"/>
                <w:sz w:val="21"/>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420" w:right="0"/>
              <w:jc w:val="left"/>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1105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归还银行贷款</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
              <w:jc w:val="center"/>
              <w:rPr>
                <w:rFonts w:ascii="Times New Roman" w:hAnsi="Times New Roman" w:cs="Times New Roman" w:eastAsia="Times New Roman" w:hint="default"/>
                <w:sz w:val="21"/>
                <w:szCs w:val="21"/>
              </w:rPr>
            </w:pPr>
            <w:r>
              <w:rPr>
                <w:rFonts w:ascii="Times New Roman"/>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8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8" w:right="0"/>
              <w:jc w:val="center"/>
              <w:rPr>
                <w:rFonts w:ascii="Times New Roman" w:hAnsi="Times New Roman" w:cs="Times New Roman" w:eastAsia="Times New Roman" w:hint="default"/>
                <w:sz w:val="21"/>
                <w:szCs w:val="21"/>
              </w:rPr>
            </w:pPr>
            <w:r>
              <w:rPr>
                <w:rFonts w:ascii="Times New Roman"/>
                <w:sz w:val="21"/>
              </w:rPr>
              <w:t>0.00%</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352" w:right="0"/>
              <w:jc w:val="left"/>
              <w:rPr>
                <w:rFonts w:ascii="Times New Roman" w:hAnsi="Times New Roman" w:cs="Times New Roman" w:eastAsia="Times New Roman" w:hint="default"/>
                <w:sz w:val="21"/>
                <w:szCs w:val="21"/>
              </w:rPr>
            </w:pPr>
            <w:r>
              <w:rPr>
                <w:rFonts w:ascii="Times New Roman"/>
                <w:sz w:val="21"/>
              </w:rPr>
              <w:t>--</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2"/>
              <w:jc w:val="center"/>
              <w:rPr>
                <w:rFonts w:ascii="Times New Roman" w:hAnsi="Times New Roman" w:cs="Times New Roman" w:eastAsia="Times New Roman" w:hint="default"/>
                <w:sz w:val="21"/>
                <w:szCs w:val="21"/>
              </w:rPr>
            </w:pPr>
            <w:r>
              <w:rPr>
                <w:rFonts w:ascii="Times New Roman"/>
                <w:sz w:val="21"/>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420"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补充流动资金</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
              <w:jc w:val="center"/>
              <w:rPr>
                <w:rFonts w:ascii="Times New Roman" w:hAnsi="Times New Roman" w:cs="Times New Roman" w:eastAsia="Times New Roman" w:hint="default"/>
                <w:sz w:val="21"/>
                <w:szCs w:val="21"/>
              </w:rPr>
            </w:pPr>
            <w:r>
              <w:rPr>
                <w:rFonts w:ascii="Times New Roman"/>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8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8" w:right="0"/>
              <w:jc w:val="center"/>
              <w:rPr>
                <w:rFonts w:ascii="Times New Roman" w:hAnsi="Times New Roman" w:cs="Times New Roman" w:eastAsia="Times New Roman" w:hint="default"/>
                <w:sz w:val="21"/>
                <w:szCs w:val="21"/>
              </w:rPr>
            </w:pPr>
            <w:r>
              <w:rPr>
                <w:rFonts w:ascii="Times New Roman"/>
                <w:sz w:val="21"/>
              </w:rPr>
              <w:t>0.00%</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352" w:right="0"/>
              <w:jc w:val="left"/>
              <w:rPr>
                <w:rFonts w:ascii="Times New Roman" w:hAnsi="Times New Roman" w:cs="Times New Roman" w:eastAsia="Times New Roman" w:hint="default"/>
                <w:sz w:val="21"/>
                <w:szCs w:val="21"/>
              </w:rPr>
            </w:pPr>
            <w:r>
              <w:rPr>
                <w:rFonts w:ascii="Times New Roman"/>
                <w:sz w:val="21"/>
              </w:rPr>
              <w:t>--</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2"/>
              <w:jc w:val="center"/>
              <w:rPr>
                <w:rFonts w:ascii="Times New Roman" w:hAnsi="Times New Roman" w:cs="Times New Roman" w:eastAsia="Times New Roman" w:hint="default"/>
                <w:sz w:val="21"/>
                <w:szCs w:val="21"/>
              </w:rPr>
            </w:pPr>
            <w:r>
              <w:rPr>
                <w:rFonts w:ascii="Times New Roman"/>
                <w:sz w:val="21"/>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420" w:right="0"/>
              <w:jc w:val="left"/>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
              <w:jc w:val="center"/>
              <w:rPr>
                <w:rFonts w:ascii="Times New Roman" w:hAnsi="Times New Roman" w:cs="Times New Roman" w:eastAsia="Times New Roman" w:hint="default"/>
                <w:sz w:val="21"/>
                <w:szCs w:val="21"/>
              </w:rPr>
            </w:pPr>
            <w:r>
              <w:rPr>
                <w:rFonts w:ascii="Times New Roman"/>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6"/>
              <w:ind w:left="11" w:right="0"/>
              <w:jc w:val="center"/>
              <w:rPr>
                <w:rFonts w:ascii="Times New Roman" w:hAnsi="Times New Roman" w:cs="Times New Roman" w:eastAsia="Times New Roman" w:hint="default"/>
                <w:sz w:val="21"/>
                <w:szCs w:val="21"/>
              </w:rPr>
            </w:pPr>
            <w:r>
              <w:rPr>
                <w:rFonts w:ascii="Times New Roman"/>
                <w:sz w:val="21"/>
              </w:rPr>
              <w:t>0</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85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76"/>
              <w:ind w:left="359" w:right="0"/>
              <w:jc w:val="left"/>
              <w:rPr>
                <w:rFonts w:ascii="Times New Roman" w:hAnsi="Times New Roman" w:cs="Times New Roman" w:eastAsia="Times New Roman" w:hint="default"/>
                <w:sz w:val="21"/>
                <w:szCs w:val="21"/>
              </w:rPr>
            </w:pPr>
            <w:r>
              <w:rPr>
                <w:rFonts w:ascii="Times New Roman"/>
                <w:sz w:val="21"/>
              </w:rPr>
              <w:t>0</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2"/>
              <w:jc w:val="center"/>
              <w:rPr>
                <w:rFonts w:ascii="Times New Roman" w:hAnsi="Times New Roman" w:cs="Times New Roman" w:eastAsia="Times New Roman" w:hint="default"/>
                <w:sz w:val="21"/>
                <w:szCs w:val="21"/>
              </w:rPr>
            </w:pPr>
            <w:r>
              <w:rPr>
                <w:rFonts w:ascii="Times New Roman"/>
                <w:sz w:val="21"/>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420" w:right="0"/>
              <w:jc w:val="lef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60" w:left="160" w:right="0"/>
        </w:sectPr>
      </w:pPr>
    </w:p>
    <w:p>
      <w:pPr>
        <w:spacing w:line="240" w:lineRule="auto" w:before="6"/>
        <w:rPr>
          <w:rFonts w:ascii="宋体" w:hAnsi="宋体" w:cs="宋体" w:eastAsia="宋体" w:hint="default"/>
          <w:sz w:val="28"/>
          <w:szCs w:val="28"/>
        </w:rPr>
      </w:pPr>
      <w:r>
        <w:rPr/>
        <w:pict>
          <v:group style="position:absolute;margin-left:157.339996pt;margin-top:109.61998pt;width:415.45pt;height:32pt;mso-position-horizontal-relative:page;mso-position-vertical-relative:page;z-index:-767680" coordorigin="3147,2192" coordsize="8309,640">
            <v:group style="position:absolute;left:3147;top:2192;width:8309;height:300" coordorigin="3147,2192" coordsize="8309,300">
              <v:shape style="position:absolute;left:3147;top:2192;width:8309;height:300" coordorigin="3147,2192" coordsize="8309,300" path="m3147,2492l11456,2492,11456,2192,3147,2192,3147,2492xe" filled="true" fillcolor="#ffffff" stroked="false">
                <v:path arrowok="t"/>
                <v:fill type="solid"/>
              </v:shape>
            </v:group>
            <v:group style="position:absolute;left:3147;top:2492;width:8309;height:340" coordorigin="3147,2492" coordsize="8309,340">
              <v:shape style="position:absolute;left:3147;top:2492;width:8309;height:340" coordorigin="3147,2492" coordsize="8309,340" path="m3147,2832l11456,2832,11456,2492,3147,2492,3147,2832xe" filled="true" fillcolor="#ffffff" stroked="false">
                <v:path arrowok="t"/>
                <v:fill type="solid"/>
              </v:shape>
            </v:group>
            <w10:wrap type="none"/>
          </v:group>
        </w:pict>
      </w:r>
    </w:p>
    <w:tbl>
      <w:tblPr>
        <w:tblW w:w="0" w:type="auto"/>
        <w:jc w:val="left"/>
        <w:tblInd w:w="100" w:type="dxa"/>
        <w:tblLayout w:type="fixed"/>
        <w:tblCellMar>
          <w:top w:w="0" w:type="dxa"/>
          <w:left w:w="0" w:type="dxa"/>
          <w:bottom w:w="0" w:type="dxa"/>
          <w:right w:w="0" w:type="dxa"/>
        </w:tblCellMar>
        <w:tblLook w:val="01E0"/>
      </w:tblPr>
      <w:tblGrid>
        <w:gridCol w:w="1844"/>
        <w:gridCol w:w="851"/>
        <w:gridCol w:w="992"/>
        <w:gridCol w:w="993"/>
        <w:gridCol w:w="851"/>
        <w:gridCol w:w="992"/>
        <w:gridCol w:w="851"/>
        <w:gridCol w:w="992"/>
        <w:gridCol w:w="862"/>
        <w:gridCol w:w="839"/>
        <w:gridCol w:w="992"/>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8" w:right="0"/>
              <w:jc w:val="left"/>
              <w:rPr>
                <w:rFonts w:ascii="Times New Roman" w:hAnsi="Times New Roman" w:cs="Times New Roman" w:eastAsia="Times New Roman" w:hint="default"/>
                <w:sz w:val="21"/>
                <w:szCs w:val="21"/>
              </w:rPr>
            </w:pPr>
            <w:r>
              <w:rPr>
                <w:rFonts w:ascii="Times New Roman"/>
                <w:sz w:val="21"/>
              </w:rPr>
              <w:t>69,298.39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8" w:right="0"/>
              <w:jc w:val="left"/>
              <w:rPr>
                <w:rFonts w:ascii="Times New Roman" w:hAnsi="Times New Roman" w:cs="Times New Roman" w:eastAsia="Times New Roman" w:hint="default"/>
                <w:sz w:val="21"/>
                <w:szCs w:val="21"/>
              </w:rPr>
            </w:pPr>
            <w:r>
              <w:rPr>
                <w:rFonts w:ascii="Times New Roman"/>
                <w:sz w:val="21"/>
              </w:rPr>
              <w:t>69,298.39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4" w:right="0"/>
              <w:jc w:val="left"/>
              <w:rPr>
                <w:rFonts w:ascii="Times New Roman" w:hAnsi="Times New Roman" w:cs="Times New Roman" w:eastAsia="Times New Roman" w:hint="default"/>
                <w:sz w:val="21"/>
                <w:szCs w:val="21"/>
              </w:rPr>
            </w:pPr>
            <w:r>
              <w:rPr>
                <w:rFonts w:ascii="Times New Roman"/>
                <w:sz w:val="21"/>
              </w:rPr>
              <w:t>4,705.18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4" w:right="0"/>
              <w:jc w:val="left"/>
              <w:rPr>
                <w:rFonts w:ascii="Times New Roman" w:hAnsi="Times New Roman" w:cs="Times New Roman" w:eastAsia="Times New Roman" w:hint="default"/>
                <w:sz w:val="21"/>
                <w:szCs w:val="21"/>
              </w:rPr>
            </w:pPr>
            <w:r>
              <w:rPr>
                <w:rFonts w:ascii="Times New Roman"/>
                <w:sz w:val="21"/>
              </w:rPr>
              <w:t>6,833.95</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86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z w:val="21"/>
              </w:rPr>
              <w:t>0</w:t>
            </w:r>
          </w:p>
        </w:tc>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0"/>
              <w:jc w:val="center"/>
              <w:rPr>
                <w:rFonts w:ascii="Times New Roman" w:hAnsi="Times New Roman" w:cs="Times New Roman" w:eastAsia="Times New Roman" w:hint="default"/>
                <w:sz w:val="21"/>
                <w:szCs w:val="21"/>
              </w:rPr>
            </w:pPr>
            <w:r>
              <w:rPr>
                <w:rFonts w:ascii="Times New Roman"/>
                <w:sz w:val="21"/>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990" w:hRule="exact"/>
        </w:trPr>
        <w:tc>
          <w:tcPr>
            <w:tcW w:w="2694" w:type="dxa"/>
            <w:gridSpan w:val="2"/>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73" w:lineRule="auto" w:before="164"/>
              <w:ind w:left="22" w:right="128"/>
              <w:jc w:val="left"/>
              <w:rPr>
                <w:rFonts w:ascii="宋体" w:hAnsi="宋体" w:cs="宋体" w:eastAsia="宋体" w:hint="default"/>
                <w:sz w:val="21"/>
                <w:szCs w:val="21"/>
              </w:rPr>
            </w:pPr>
            <w:r>
              <w:rPr>
                <w:rFonts w:ascii="宋体" w:hAnsi="宋体" w:cs="宋体" w:eastAsia="宋体" w:hint="default"/>
                <w:sz w:val="21"/>
                <w:szCs w:val="21"/>
              </w:rPr>
              <w:t>未达到计划进度或预计收益 的情况和原因（分具体项目</w:t>
            </w:r>
          </w:p>
        </w:tc>
        <w:tc>
          <w:tcPr>
            <w:tcW w:w="8364" w:type="dxa"/>
            <w:gridSpan w:val="9"/>
            <w:tcBorders>
              <w:top w:val="single" w:sz="4" w:space="0" w:color="000000"/>
              <w:left w:val="single" w:sz="13" w:space="0" w:color="FFFFFF"/>
              <w:bottom w:val="single" w:sz="4" w:space="0" w:color="000000"/>
              <w:right w:val="single" w:sz="4" w:space="0" w:color="000000"/>
            </w:tcBorders>
          </w:tcPr>
          <w:p>
            <w:pPr>
              <w:pStyle w:val="TableParagraph"/>
              <w:spacing w:line="300" w:lineRule="atLeast" w:before="9"/>
              <w:ind w:left="11" w:right="21" w:firstLine="421"/>
              <w:jc w:val="left"/>
              <w:rPr>
                <w:rFonts w:ascii="宋体" w:hAnsi="宋体" w:cs="宋体" w:eastAsia="宋体" w:hint="default"/>
                <w:sz w:val="21"/>
                <w:szCs w:val="21"/>
              </w:rPr>
            </w:pPr>
            <w:r>
              <w:rPr>
                <w:rFonts w:ascii="宋体" w:hAnsi="宋体" w:cs="宋体" w:eastAsia="宋体" w:hint="default"/>
                <w:spacing w:val="-3"/>
                <w:sz w:val="21"/>
                <w:szCs w:val="21"/>
              </w:rPr>
              <w:t>由于公司非公开发行募投项目所涉及的基建工程尚处于建设过程中，基建工程相关建设</w:t>
            </w:r>
            <w:r>
              <w:rPr>
                <w:rFonts w:ascii="宋体" w:hAnsi="宋体" w:cs="宋体" w:eastAsia="宋体" w:hint="default"/>
                <w:sz w:val="21"/>
                <w:szCs w:val="21"/>
              </w:rPr>
              <w:t> </w:t>
            </w:r>
            <w:r>
              <w:rPr>
                <w:rFonts w:ascii="宋体" w:hAnsi="宋体" w:cs="宋体" w:eastAsia="宋体" w:hint="default"/>
                <w:spacing w:val="-3"/>
                <w:sz w:val="21"/>
                <w:szCs w:val="21"/>
              </w:rPr>
              <w:t>手续办理缓慢及“六通一平”超出预定时间等原因，致使募投项目延期。因此上期所列示的</w:t>
            </w:r>
          </w:p>
          <w:p>
            <w:pPr>
              <w:pStyle w:val="TableParagraph"/>
              <w:spacing w:line="83" w:lineRule="exact"/>
              <w:ind w:left="-163"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3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项目达到预定可使用状态日期</w:t>
            </w:r>
            <w:r>
              <w:rPr>
                <w:rFonts w:ascii="Times New Roman" w:hAnsi="Times New Roman" w:cs="Times New Roman" w:eastAsia="Times New Roman" w:hint="default"/>
                <w:sz w:val="21"/>
                <w:szCs w:val="21"/>
              </w:rPr>
              <w:t>”</w:t>
            </w:r>
            <w:r>
              <w:rPr>
                <w:rFonts w:ascii="宋体" w:hAnsi="宋体" w:cs="宋体" w:eastAsia="宋体" w:hint="default"/>
                <w:sz w:val="21"/>
                <w:szCs w:val="21"/>
              </w:rPr>
              <w:t>由</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日推迟到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4" w:hRule="exact"/>
        </w:trPr>
        <w:tc>
          <w:tcPr>
            <w:tcW w:w="2694"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3" w:lineRule="auto" w:before="26"/>
              <w:ind w:left="22" w:right="141"/>
              <w:jc w:val="left"/>
              <w:rPr>
                <w:rFonts w:ascii="宋体" w:hAnsi="宋体" w:cs="宋体" w:eastAsia="宋体" w:hint="default"/>
                <w:sz w:val="21"/>
                <w:szCs w:val="21"/>
              </w:rPr>
            </w:pPr>
            <w:r>
              <w:rPr>
                <w:rFonts w:ascii="宋体" w:hAnsi="宋体" w:cs="宋体" w:eastAsia="宋体" w:hint="default"/>
                <w:sz w:val="21"/>
                <w:szCs w:val="21"/>
              </w:rPr>
              <w:t>项目可行性发生重大变化的 情况说明</w:t>
            </w:r>
          </w:p>
        </w:tc>
        <w:tc>
          <w:tcPr>
            <w:tcW w:w="8364" w:type="dxa"/>
            <w:gridSpan w:val="9"/>
            <w:tcBorders>
              <w:top w:val="single" w:sz="4" w:space="0" w:color="000000"/>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838" w:hRule="exact"/>
        </w:trPr>
        <w:tc>
          <w:tcPr>
            <w:tcW w:w="2694" w:type="dxa"/>
            <w:gridSpan w:val="2"/>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73" w:lineRule="auto" w:before="88"/>
              <w:ind w:left="22" w:right="22"/>
              <w:jc w:val="left"/>
              <w:rPr>
                <w:rFonts w:ascii="宋体" w:hAnsi="宋体" w:cs="宋体" w:eastAsia="宋体" w:hint="default"/>
                <w:sz w:val="21"/>
                <w:szCs w:val="21"/>
              </w:rPr>
            </w:pPr>
            <w:r>
              <w:rPr>
                <w:rFonts w:ascii="宋体" w:hAnsi="宋体" w:cs="宋体" w:eastAsia="宋体" w:hint="default"/>
                <w:spacing w:val="-8"/>
                <w:sz w:val="21"/>
                <w:szCs w:val="21"/>
              </w:rPr>
              <w:t>超募资金的金额、用途及使用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进展情况</w:t>
            </w:r>
          </w:p>
        </w:tc>
        <w:tc>
          <w:tcPr>
            <w:tcW w:w="8364" w:type="dxa"/>
            <w:gridSpan w:val="9"/>
            <w:tcBorders>
              <w:top w:val="single" w:sz="4" w:space="0" w:color="FFFFFF"/>
              <w:left w:val="single" w:sz="4" w:space="0" w:color="000000"/>
              <w:bottom w:val="single" w:sz="4" w:space="0" w:color="FFFFFF"/>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36" w:hRule="exact"/>
        </w:trPr>
        <w:tc>
          <w:tcPr>
            <w:tcW w:w="2694" w:type="dxa"/>
            <w:gridSpan w:val="2"/>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73" w:lineRule="auto" w:before="87"/>
              <w:ind w:left="22" w:right="141"/>
              <w:jc w:val="left"/>
              <w:rPr>
                <w:rFonts w:ascii="宋体" w:hAnsi="宋体" w:cs="宋体" w:eastAsia="宋体" w:hint="default"/>
                <w:sz w:val="21"/>
                <w:szCs w:val="21"/>
              </w:rPr>
            </w:pPr>
            <w:r>
              <w:rPr>
                <w:rFonts w:ascii="宋体" w:hAnsi="宋体" w:cs="宋体" w:eastAsia="宋体" w:hint="default"/>
                <w:sz w:val="21"/>
                <w:szCs w:val="21"/>
              </w:rPr>
              <w:t>募集资金投资项目实施地点 变更情况</w:t>
            </w:r>
          </w:p>
        </w:tc>
        <w:tc>
          <w:tcPr>
            <w:tcW w:w="8364" w:type="dxa"/>
            <w:gridSpan w:val="9"/>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04"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71"/>
              <w:ind w:left="22" w:right="141"/>
              <w:jc w:val="left"/>
              <w:rPr>
                <w:rFonts w:ascii="宋体" w:hAnsi="宋体" w:cs="宋体" w:eastAsia="宋体" w:hint="default"/>
                <w:sz w:val="21"/>
                <w:szCs w:val="21"/>
              </w:rPr>
            </w:pPr>
            <w:r>
              <w:rPr>
                <w:rFonts w:ascii="宋体" w:hAnsi="宋体" w:cs="宋体" w:eastAsia="宋体" w:hint="default"/>
                <w:sz w:val="21"/>
                <w:szCs w:val="21"/>
              </w:rPr>
              <w:t>募集资金投资项目实施方式 调整情况</w:t>
            </w:r>
          </w:p>
        </w:tc>
        <w:tc>
          <w:tcPr>
            <w:tcW w:w="836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26"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41"/>
              <w:jc w:val="left"/>
              <w:rPr>
                <w:rFonts w:ascii="宋体" w:hAnsi="宋体" w:cs="宋体" w:eastAsia="宋体" w:hint="default"/>
                <w:sz w:val="21"/>
                <w:szCs w:val="21"/>
              </w:rPr>
            </w:pPr>
            <w:r>
              <w:rPr>
                <w:rFonts w:ascii="宋体" w:hAnsi="宋体" w:cs="宋体" w:eastAsia="宋体" w:hint="default"/>
                <w:sz w:val="21"/>
                <w:szCs w:val="21"/>
              </w:rPr>
              <w:t>募集资金投资项目先期投入 及置换情况</w:t>
            </w:r>
          </w:p>
        </w:tc>
        <w:tc>
          <w:tcPr>
            <w:tcW w:w="836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26"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39"/>
              <w:jc w:val="left"/>
              <w:rPr>
                <w:rFonts w:ascii="宋体" w:hAnsi="宋体" w:cs="宋体" w:eastAsia="宋体" w:hint="default"/>
                <w:sz w:val="21"/>
                <w:szCs w:val="21"/>
              </w:rPr>
            </w:pPr>
            <w:r>
              <w:rPr>
                <w:rFonts w:ascii="宋体" w:hAnsi="宋体" w:cs="宋体" w:eastAsia="宋体" w:hint="default"/>
                <w:sz w:val="21"/>
                <w:szCs w:val="21"/>
              </w:rPr>
              <w:t>用闲置募集资金暂时补充流 动资金情况</w:t>
            </w:r>
          </w:p>
        </w:tc>
        <w:tc>
          <w:tcPr>
            <w:tcW w:w="836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26"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41"/>
              <w:jc w:val="left"/>
              <w:rPr>
                <w:rFonts w:ascii="宋体" w:hAnsi="宋体" w:cs="宋体" w:eastAsia="宋体" w:hint="default"/>
                <w:sz w:val="21"/>
                <w:szCs w:val="21"/>
              </w:rPr>
            </w:pPr>
            <w:r>
              <w:rPr>
                <w:rFonts w:ascii="宋体" w:hAnsi="宋体" w:cs="宋体" w:eastAsia="宋体" w:hint="default"/>
                <w:sz w:val="21"/>
                <w:szCs w:val="21"/>
              </w:rPr>
              <w:t>项目实施出现募集资金结余 的金额及原因</w:t>
            </w:r>
          </w:p>
        </w:tc>
        <w:tc>
          <w:tcPr>
            <w:tcW w:w="836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4"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41"/>
              <w:jc w:val="left"/>
              <w:rPr>
                <w:rFonts w:ascii="宋体" w:hAnsi="宋体" w:cs="宋体" w:eastAsia="宋体" w:hint="default"/>
                <w:sz w:val="21"/>
                <w:szCs w:val="21"/>
              </w:rPr>
            </w:pPr>
            <w:r>
              <w:rPr>
                <w:rFonts w:ascii="宋体" w:hAnsi="宋体" w:cs="宋体" w:eastAsia="宋体" w:hint="default"/>
                <w:sz w:val="21"/>
                <w:szCs w:val="21"/>
              </w:rPr>
              <w:t>尚未使用的募集资金用途及 去向</w:t>
            </w:r>
          </w:p>
        </w:tc>
        <w:tc>
          <w:tcPr>
            <w:tcW w:w="836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存储于募集资金专户。</w:t>
            </w:r>
          </w:p>
        </w:tc>
      </w:tr>
      <w:tr>
        <w:trPr>
          <w:trHeight w:val="714"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41"/>
              <w:jc w:val="left"/>
              <w:rPr>
                <w:rFonts w:ascii="宋体" w:hAnsi="宋体" w:cs="宋体" w:eastAsia="宋体" w:hint="default"/>
                <w:sz w:val="21"/>
                <w:szCs w:val="21"/>
              </w:rPr>
            </w:pPr>
            <w:r>
              <w:rPr>
                <w:rFonts w:ascii="宋体" w:hAnsi="宋体" w:cs="宋体" w:eastAsia="宋体" w:hint="default"/>
                <w:sz w:val="21"/>
                <w:szCs w:val="21"/>
              </w:rPr>
              <w:t>募集资金使用及披露中存在 的问题或其他情况</w:t>
            </w:r>
          </w:p>
        </w:tc>
        <w:tc>
          <w:tcPr>
            <w:tcW w:w="836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0"/>
        <w:rPr>
          <w:rFonts w:ascii="宋体" w:hAnsi="宋体" w:cs="宋体" w:eastAsia="宋体" w:hint="default"/>
          <w:sz w:val="4"/>
          <w:szCs w:val="4"/>
        </w:rPr>
      </w:pPr>
    </w:p>
    <w:p>
      <w:pPr>
        <w:spacing w:line="343" w:lineRule="auto" w:before="26"/>
        <w:ind w:left="1293" w:right="571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）募集资金变更项目情况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公司报告期不存在募集资金变更项目情况。 </w:t>
      </w:r>
      <w:r>
        <w:rPr>
          <w:rFonts w:ascii="宋体" w:hAnsi="宋体" w:cs="宋体" w:eastAsia="宋体" w:hint="default"/>
          <w:b/>
          <w:bCs/>
          <w:sz w:val="24"/>
          <w:szCs w:val="24"/>
        </w:rPr>
        <w:t>六、重大资产和股权出售</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、出售重大资产情况</w:t>
      </w:r>
      <w:r>
        <w:rPr>
          <w:rFonts w:ascii="宋体" w:hAnsi="宋体" w:cs="宋体" w:eastAsia="宋体" w:hint="default"/>
          <w:b/>
          <w:bCs/>
          <w:w w:val="99"/>
          <w:sz w:val="24"/>
          <w:szCs w:val="24"/>
        </w:rPr>
        <w:t> </w:t>
      </w:r>
      <w:r>
        <w:rPr>
          <w:rFonts w:ascii="宋体" w:hAnsi="宋体" w:cs="宋体" w:eastAsia="宋体" w:hint="default"/>
          <w:sz w:val="24"/>
          <w:szCs w:val="24"/>
        </w:rPr>
        <w:t>公司报告期未出售重大资产。 </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、出售重大股权情况</w:t>
      </w:r>
      <w:r>
        <w:rPr>
          <w:rFonts w:ascii="宋体" w:hAnsi="宋体" w:cs="宋体" w:eastAsia="宋体" w:hint="default"/>
          <w:sz w:val="24"/>
          <w:szCs w:val="24"/>
        </w:rPr>
      </w:r>
    </w:p>
    <w:p>
      <w:pPr>
        <w:spacing w:line="350" w:lineRule="auto" w:before="13"/>
        <w:ind w:left="1296" w:right="5713"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七、主要控股参股公司分析</w:t>
      </w:r>
      <w:r>
        <w:rPr>
          <w:rFonts w:ascii="宋体" w:hAnsi="宋体" w:cs="宋体" w:eastAsia="宋体" w:hint="default"/>
          <w:sz w:val="24"/>
          <w:szCs w:val="24"/>
        </w:rPr>
      </w:r>
    </w:p>
    <w:p>
      <w:pPr>
        <w:pStyle w:val="Heading2"/>
        <w:spacing w:line="240" w:lineRule="auto" w:before="36"/>
        <w:ind w:left="1296" w:right="1132"/>
        <w:jc w:val="left"/>
        <w:rPr>
          <w:b w:val="0"/>
          <w:bCs w:val="0"/>
        </w:rPr>
      </w:pPr>
      <w:r>
        <w:rPr/>
        <w:t>主要子公司及对公司净利润影响达</w:t>
      </w:r>
      <w:r>
        <w:rPr>
          <w:spacing w:val="-80"/>
        </w:rPr>
        <w:t> </w:t>
      </w:r>
      <w:r>
        <w:rPr>
          <w:rFonts w:ascii="宋体" w:hAnsi="宋体" w:cs="宋体" w:eastAsia="宋体" w:hint="default"/>
        </w:rPr>
        <w:t>10%</w:t>
      </w:r>
      <w:r>
        <w:rPr/>
        <w:t>以上的参股公司情况</w:t>
      </w:r>
      <w:r>
        <w:rPr>
          <w:b w:val="0"/>
          <w:bCs w:val="0"/>
        </w:rPr>
      </w:r>
    </w:p>
    <w:p>
      <w:pPr>
        <w:spacing w:after="0" w:line="240" w:lineRule="auto"/>
        <w:jc w:val="left"/>
        <w:sectPr>
          <w:pgSz w:w="11910" w:h="16840"/>
          <w:pgMar w:header="747" w:footer="979" w:top="1060" w:bottom="1160" w:left="320" w:right="0"/>
        </w:sectPr>
      </w:pPr>
    </w:p>
    <w:p>
      <w:pPr>
        <w:spacing w:line="240" w:lineRule="auto" w:before="10"/>
        <w:rPr>
          <w:rFonts w:ascii="宋体" w:hAnsi="宋体" w:cs="宋体" w:eastAsia="宋体" w:hint="default"/>
          <w:b/>
          <w:bCs/>
          <w:sz w:val="24"/>
          <w:szCs w:val="24"/>
        </w:rPr>
      </w:pPr>
    </w:p>
    <w:p>
      <w:pPr>
        <w:spacing w:before="35"/>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994"/>
        <w:gridCol w:w="708"/>
        <w:gridCol w:w="1843"/>
        <w:gridCol w:w="1134"/>
        <w:gridCol w:w="1276"/>
        <w:gridCol w:w="1277"/>
        <w:gridCol w:w="1275"/>
        <w:gridCol w:w="1134"/>
        <w:gridCol w:w="1134"/>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43" w:right="33" w:hanging="211"/>
              <w:jc w:val="left"/>
              <w:rPr>
                <w:rFonts w:ascii="宋体" w:hAnsi="宋体" w:cs="宋体" w:eastAsia="宋体" w:hint="default"/>
                <w:sz w:val="21"/>
                <w:szCs w:val="21"/>
              </w:rPr>
            </w:pPr>
            <w:r>
              <w:rPr>
                <w:rFonts w:ascii="宋体" w:hAnsi="宋体" w:cs="宋体" w:eastAsia="宋体" w:hint="default"/>
                <w:sz w:val="21"/>
                <w:szCs w:val="21"/>
              </w:rPr>
              <w:t>公司类 型</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290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8"/>
              <w:ind w:left="71" w:right="71"/>
              <w:jc w:val="both"/>
              <w:rPr>
                <w:rFonts w:ascii="宋体" w:hAnsi="宋体" w:cs="宋体" w:eastAsia="宋体" w:hint="default"/>
                <w:sz w:val="21"/>
                <w:szCs w:val="21"/>
              </w:rPr>
            </w:pPr>
            <w:r>
              <w:rPr>
                <w:rFonts w:ascii="宋体" w:hAnsi="宋体" w:cs="宋体" w:eastAsia="宋体" w:hint="default"/>
                <w:sz w:val="21"/>
                <w:szCs w:val="21"/>
              </w:rPr>
              <w:t>北京国铁 路阳技术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7"/>
              <w:ind w:left="75" w:right="77"/>
              <w:jc w:val="center"/>
              <w:rPr>
                <w:rFonts w:ascii="宋体" w:hAnsi="宋体" w:cs="宋体" w:eastAsia="宋体" w:hint="default"/>
                <w:sz w:val="21"/>
                <w:szCs w:val="21"/>
              </w:rPr>
            </w:pPr>
            <w:r>
              <w:rPr>
                <w:rFonts w:ascii="宋体" w:hAnsi="宋体" w:cs="宋体" w:eastAsia="宋体" w:hint="default"/>
                <w:sz w:val="21"/>
                <w:szCs w:val="21"/>
              </w:rPr>
              <w:t>轨道交通信号智能 电源系统、</w:t>
            </w:r>
          </w:p>
          <w:p>
            <w:pPr>
              <w:pStyle w:val="TableParagraph"/>
              <w:spacing w:line="240" w:lineRule="auto" w:before="10"/>
              <w:ind w:left="11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ZPW-2000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电码化</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隔离设备、</w:t>
            </w:r>
          </w:p>
          <w:p>
            <w:pPr>
              <w:pStyle w:val="TableParagraph"/>
              <w:spacing w:line="240" w:lineRule="auto" w:before="37"/>
              <w:ind w:left="38"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ZPW-2000A</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钢包铜</w:t>
            </w:r>
          </w:p>
          <w:p>
            <w:pPr>
              <w:pStyle w:val="TableParagraph"/>
              <w:spacing w:line="273" w:lineRule="auto" w:before="21"/>
              <w:ind w:left="22" w:right="22" w:firstLine="52"/>
              <w:jc w:val="both"/>
              <w:rPr>
                <w:rFonts w:ascii="宋体" w:hAnsi="宋体" w:cs="宋体" w:eastAsia="宋体" w:hint="default"/>
                <w:sz w:val="21"/>
                <w:szCs w:val="21"/>
              </w:rPr>
            </w:pPr>
            <w:r>
              <w:rPr>
                <w:rFonts w:ascii="宋体" w:hAnsi="宋体" w:cs="宋体" w:eastAsia="宋体" w:hint="default"/>
                <w:sz w:val="21"/>
                <w:szCs w:val="21"/>
              </w:rPr>
              <w:t>钢轨引接线（客专 </w:t>
            </w:r>
            <w:r>
              <w:rPr>
                <w:rFonts w:ascii="宋体" w:hAnsi="宋体" w:cs="宋体" w:eastAsia="宋体" w:hint="default"/>
                <w:spacing w:val="-12"/>
                <w:sz w:val="21"/>
                <w:szCs w:val="21"/>
              </w:rPr>
              <w:t>用）、信号专用测试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设备和智能型道岔 限时断相保护器等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360,401,257.54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200,406,248.75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155,781,568.19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28,593,877.11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29,003,069.48</w:t>
            </w:r>
          </w:p>
        </w:tc>
      </w:tr>
    </w:tbl>
    <w:p>
      <w:pPr>
        <w:spacing w:line="240" w:lineRule="auto" w:before="10"/>
        <w:rPr>
          <w:rFonts w:ascii="宋体" w:hAnsi="宋体" w:cs="宋体" w:eastAsia="宋体" w:hint="default"/>
          <w:sz w:val="4"/>
          <w:szCs w:val="4"/>
        </w:rPr>
      </w:pPr>
    </w:p>
    <w:p>
      <w:pPr>
        <w:pStyle w:val="Heading2"/>
        <w:spacing w:line="240" w:lineRule="auto"/>
        <w:ind w:left="1156" w:right="1115"/>
        <w:jc w:val="left"/>
        <w:rPr>
          <w:b w:val="0"/>
          <w:bCs w:val="0"/>
        </w:rPr>
      </w:pPr>
      <w:r>
        <w:rPr/>
        <w:pict>
          <v:shape style="position:absolute;margin-left:198.800003pt;margin-top:-66.044365pt;width:63.3pt;height:62.4pt;mso-position-horizontal-relative:page;mso-position-vertical-relative:paragraph;z-index:-767656"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group style="position:absolute;margin-left:205.820007pt;margin-top:-66.044365pt;width:56.25pt;height:62.4pt;mso-position-horizontal-relative:page;mso-position-vertical-relative:paragraph;z-index:-767632" coordorigin="4116,-1321" coordsize="1125,1248">
            <v:shape style="position:absolute;left:4116;top:-1321;width:1125;height:1248" coordorigin="4116,-1321" coordsize="1125,1248" path="m4116,-73l5241,-73,5241,-1321,4116,-1321,4116,-73xe" filled="true" fillcolor="#ffffff" stroked="false">
              <v:path arrowok="t"/>
              <v:fill type="solid"/>
            </v:shape>
            <w10:wrap type="none"/>
          </v:group>
        </w:pict>
      </w:r>
      <w:r>
        <w:rPr/>
        <w:t>报告期内取得和处置子公司的情况</w:t>
      </w:r>
      <w:r>
        <w:rPr>
          <w:b w:val="0"/>
          <w:bCs w:val="0"/>
        </w:rPr>
      </w:r>
    </w:p>
    <w:p>
      <w:pPr>
        <w:spacing w:line="240" w:lineRule="auto" w:before="5"/>
        <w:rPr>
          <w:rFonts w:ascii="宋体" w:hAnsi="宋体" w:cs="宋体" w:eastAsia="宋体" w:hint="default"/>
          <w:b/>
          <w:bCs/>
          <w:sz w:val="4"/>
          <w:szCs w:val="4"/>
        </w:rPr>
      </w:pPr>
    </w:p>
    <w:tbl>
      <w:tblPr>
        <w:tblW w:w="0" w:type="auto"/>
        <w:jc w:val="left"/>
        <w:tblInd w:w="101" w:type="dxa"/>
        <w:tblLayout w:type="fixed"/>
        <w:tblCellMar>
          <w:top w:w="0" w:type="dxa"/>
          <w:left w:w="0" w:type="dxa"/>
          <w:bottom w:w="0" w:type="dxa"/>
          <w:right w:w="0" w:type="dxa"/>
        </w:tblCellMar>
        <w:tblLook w:val="01E0"/>
      </w:tblPr>
      <w:tblGrid>
        <w:gridCol w:w="3545"/>
        <w:gridCol w:w="1559"/>
        <w:gridCol w:w="5670"/>
      </w:tblGrid>
      <w:tr>
        <w:trPr>
          <w:trHeight w:val="714"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8" w:right="39"/>
              <w:jc w:val="left"/>
              <w:rPr>
                <w:rFonts w:ascii="宋体" w:hAnsi="宋体" w:cs="宋体" w:eastAsia="宋体" w:hint="default"/>
                <w:sz w:val="21"/>
                <w:szCs w:val="21"/>
              </w:rPr>
            </w:pPr>
            <w:r>
              <w:rPr>
                <w:rFonts w:ascii="宋体" w:hAnsi="宋体" w:cs="宋体" w:eastAsia="宋体" w:hint="default"/>
                <w:sz w:val="21"/>
                <w:szCs w:val="21"/>
              </w:rPr>
              <w:t>报告期内取得和 处置子公司方式</w:t>
            </w:r>
          </w:p>
        </w:tc>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463" w:right="0"/>
              <w:jc w:val="left"/>
              <w:rPr>
                <w:rFonts w:ascii="宋体" w:hAnsi="宋体" w:cs="宋体" w:eastAsia="宋体" w:hint="default"/>
                <w:sz w:val="21"/>
                <w:szCs w:val="21"/>
              </w:rPr>
            </w:pPr>
            <w:r>
              <w:rPr>
                <w:rFonts w:ascii="宋体" w:hAnsi="宋体" w:cs="宋体" w:eastAsia="宋体" w:hint="default"/>
                <w:sz w:val="21"/>
                <w:szCs w:val="21"/>
              </w:rPr>
              <w:t>对整体生产经营和业绩的影响</w:t>
            </w:r>
          </w:p>
        </w:tc>
      </w:tr>
      <w:tr>
        <w:trPr>
          <w:trHeight w:val="71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飞天联合（北京）系统技术有限公司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563"/>
              <w:jc w:val="right"/>
              <w:rPr>
                <w:rFonts w:ascii="宋体" w:hAnsi="宋体" w:cs="宋体" w:eastAsia="宋体" w:hint="default"/>
                <w:sz w:val="21"/>
                <w:szCs w:val="21"/>
              </w:rPr>
            </w:pPr>
            <w:r>
              <w:rPr>
                <w:rFonts w:ascii="宋体" w:hAnsi="宋体" w:cs="宋体" w:eastAsia="宋体" w:hint="default"/>
                <w:sz w:val="21"/>
                <w:szCs w:val="21"/>
              </w:rPr>
              <w:t>增资</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21"/>
              <w:jc w:val="left"/>
              <w:rPr>
                <w:rFonts w:ascii="宋体" w:hAnsi="宋体" w:cs="宋体" w:eastAsia="宋体" w:hint="default"/>
                <w:sz w:val="21"/>
                <w:szCs w:val="21"/>
              </w:rPr>
            </w:pPr>
            <w:r>
              <w:rPr>
                <w:rFonts w:ascii="宋体" w:hAnsi="宋体" w:cs="宋体" w:eastAsia="宋体" w:hint="default"/>
                <w:sz w:val="21"/>
                <w:szCs w:val="21"/>
              </w:rPr>
              <w:t>报告期内，飞天联合实现净利润</w:t>
            </w:r>
            <w:r>
              <w:rPr>
                <w:rFonts w:ascii="Times New Roman" w:hAnsi="Times New Roman" w:cs="Times New Roman" w:eastAsia="Times New Roman" w:hint="default"/>
                <w:sz w:val="21"/>
                <w:szCs w:val="21"/>
              </w:rPr>
              <w:t>-2,407,185.24</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元，影响公司投 资收益</w:t>
            </w:r>
            <w:r>
              <w:rPr>
                <w:rFonts w:ascii="Times New Roman" w:hAnsi="Times New Roman" w:cs="Times New Roman" w:eastAsia="Times New Roman" w:hint="default"/>
                <w:sz w:val="21"/>
                <w:szCs w:val="21"/>
              </w:rPr>
              <w:t>-429,627.57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r>
      <w:tr>
        <w:trPr>
          <w:trHeight w:val="71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北京赛弗网络科技有限责任公司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563"/>
              <w:jc w:val="right"/>
              <w:rPr>
                <w:rFonts w:ascii="宋体" w:hAnsi="宋体" w:cs="宋体" w:eastAsia="宋体" w:hint="default"/>
                <w:sz w:val="21"/>
                <w:szCs w:val="21"/>
              </w:rPr>
            </w:pPr>
            <w:r>
              <w:rPr>
                <w:rFonts w:ascii="宋体" w:hAnsi="宋体" w:cs="宋体" w:eastAsia="宋体" w:hint="default"/>
                <w:sz w:val="21"/>
                <w:szCs w:val="21"/>
              </w:rPr>
              <w:t>增资</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106"/>
              <w:jc w:val="left"/>
              <w:rPr>
                <w:rFonts w:ascii="宋体" w:hAnsi="宋体" w:cs="宋体" w:eastAsia="宋体" w:hint="default"/>
                <w:sz w:val="21"/>
                <w:szCs w:val="21"/>
              </w:rPr>
            </w:pPr>
            <w:r>
              <w:rPr>
                <w:rFonts w:ascii="宋体" w:hAnsi="宋体" w:cs="宋体" w:eastAsia="宋体" w:hint="default"/>
                <w:sz w:val="21"/>
                <w:szCs w:val="21"/>
              </w:rPr>
              <w:t>报告期内，赛弗科技实现净利润</w:t>
            </w:r>
            <w:r>
              <w:rPr>
                <w:rFonts w:ascii="Times New Roman" w:hAnsi="Times New Roman" w:cs="Times New Roman" w:eastAsia="Times New Roman" w:hint="default"/>
                <w:sz w:val="21"/>
                <w:szCs w:val="21"/>
              </w:rPr>
              <w:t>-10,714,387.81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元，影响公司 投资收益</w:t>
            </w:r>
            <w:r>
              <w:rPr>
                <w:rFonts w:ascii="Times New Roman" w:hAnsi="Times New Roman" w:cs="Times New Roman" w:eastAsia="Times New Roman" w:hint="default"/>
                <w:sz w:val="21"/>
                <w:szCs w:val="21"/>
              </w:rPr>
              <w:t>-1,806,537.47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tc>
      </w:tr>
      <w:tr>
        <w:trPr>
          <w:trHeight w:val="71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北京七彩通达传媒股份有限公司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563"/>
              <w:jc w:val="right"/>
              <w:rPr>
                <w:rFonts w:ascii="宋体" w:hAnsi="宋体" w:cs="宋体" w:eastAsia="宋体" w:hint="default"/>
                <w:sz w:val="21"/>
                <w:szCs w:val="21"/>
              </w:rPr>
            </w:pPr>
            <w:r>
              <w:rPr>
                <w:rFonts w:ascii="宋体" w:hAnsi="宋体" w:cs="宋体" w:eastAsia="宋体" w:hint="default"/>
                <w:sz w:val="21"/>
                <w:szCs w:val="21"/>
              </w:rPr>
              <w:t>增资</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报告期内因公司占其股权比例为</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8.79%</w:t>
            </w:r>
            <w:r>
              <w:rPr>
                <w:rFonts w:ascii="宋体" w:hAnsi="宋体" w:cs="宋体" w:eastAsia="宋体" w:hint="default"/>
                <w:sz w:val="21"/>
                <w:szCs w:val="21"/>
              </w:rPr>
              <w:t>，其实现的净利润未影 响公司的投资收益。</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pStyle w:val="Heading2"/>
        <w:spacing w:line="240" w:lineRule="auto"/>
        <w:ind w:left="1156" w:right="1115"/>
        <w:jc w:val="left"/>
        <w:rPr>
          <w:b w:val="0"/>
          <w:bCs w:val="0"/>
        </w:rPr>
      </w:pPr>
      <w:r>
        <w:rPr/>
        <w:t>八、公司控制的结构化主体情况</w:t>
      </w:r>
      <w:r>
        <w:rPr>
          <w:b w:val="0"/>
          <w:bCs w:val="0"/>
        </w:rPr>
      </w:r>
    </w:p>
    <w:p>
      <w:pPr>
        <w:spacing w:line="350" w:lineRule="auto" w:before="145"/>
        <w:ind w:left="1156" w:right="5755"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九、公司未来发展的展望</w:t>
      </w:r>
      <w:r>
        <w:rPr>
          <w:rFonts w:ascii="宋体" w:hAnsi="宋体" w:cs="宋体" w:eastAsia="宋体" w:hint="default"/>
          <w:sz w:val="24"/>
          <w:szCs w:val="24"/>
        </w:rPr>
      </w:r>
    </w:p>
    <w:p>
      <w:pPr>
        <w:pStyle w:val="Heading2"/>
        <w:spacing w:line="240" w:lineRule="auto" w:before="36"/>
        <w:ind w:left="1156" w:right="1115"/>
        <w:jc w:val="left"/>
        <w:rPr>
          <w:b w:val="0"/>
          <w:bCs w:val="0"/>
        </w:rPr>
      </w:pPr>
      <w:r>
        <w:rPr/>
        <w:t>（一）行业趋势</w:t>
      </w:r>
      <w:r>
        <w:rPr>
          <w:b w:val="0"/>
          <w:bCs w:val="0"/>
        </w:rPr>
      </w:r>
    </w:p>
    <w:p>
      <w:pPr>
        <w:pStyle w:val="BodyText"/>
        <w:spacing w:line="331" w:lineRule="auto" w:before="145"/>
        <w:ind w:left="1153" w:right="1153" w:firstLine="2"/>
        <w:jc w:val="left"/>
      </w:pPr>
      <w:r>
        <w:rPr>
          <w:rFonts w:ascii="Times New Roman" w:hAnsi="Times New Roman" w:cs="Times New Roman" w:eastAsia="Times New Roman" w:hint="default"/>
          <w:b/>
          <w:bCs/>
        </w:rPr>
        <w:t>1</w:t>
      </w:r>
      <w:r>
        <w:rPr>
          <w:rFonts w:ascii="宋体" w:hAnsi="宋体" w:cs="宋体" w:eastAsia="宋体" w:hint="default"/>
          <w:b/>
          <w:bCs/>
        </w:rPr>
        <w:t>、铁路市场</w:t>
      </w:r>
      <w:r>
        <w:rPr>
          <w:rFonts w:ascii="宋体" w:hAnsi="宋体" w:cs="宋体" w:eastAsia="宋体" w:hint="default"/>
          <w:b/>
          <w:bCs/>
          <w:w w:val="99"/>
        </w:rPr>
        <w:t> </w:t>
      </w:r>
      <w:r>
        <w:rPr/>
        <w:t>根据中国国家铁路局发布的《铁路“十三五”发展规划</w:t>
      </w:r>
      <w:r>
        <w:rPr>
          <w:rFonts w:ascii="宋体" w:hAnsi="宋体" w:cs="宋体" w:eastAsia="宋体" w:hint="default"/>
        </w:rPr>
        <w:t>(</w:t>
      </w:r>
      <w:r>
        <w:rPr/>
        <w:t>征求意见稿</w:t>
      </w:r>
      <w:r>
        <w:rPr>
          <w:rFonts w:ascii="宋体" w:hAnsi="宋体" w:cs="宋体" w:eastAsia="宋体" w:hint="default"/>
        </w:rPr>
        <w:t>)</w:t>
      </w:r>
      <w:r>
        <w:rPr/>
        <w:t>》以及相关媒体报</w:t>
      </w:r>
    </w:p>
    <w:p>
      <w:pPr>
        <w:pStyle w:val="BodyText"/>
        <w:spacing w:line="240" w:lineRule="auto" w:before="55"/>
        <w:ind w:left="673" w:right="1115"/>
        <w:jc w:val="left"/>
      </w:pPr>
      <w:r>
        <w:rPr/>
        <w:t>道，“十三五”期间，我国铁路固定资产投资规模将达</w:t>
      </w:r>
      <w:r>
        <w:rPr>
          <w:spacing w:val="-60"/>
        </w:rPr>
        <w:t> </w:t>
      </w:r>
      <w:r>
        <w:rPr>
          <w:rFonts w:ascii="宋体" w:hAnsi="宋体" w:cs="宋体" w:eastAsia="宋体" w:hint="default"/>
        </w:rPr>
        <w:t>3.5</w:t>
      </w:r>
      <w:r>
        <w:rPr>
          <w:rFonts w:ascii="宋体" w:hAnsi="宋体" w:cs="宋体" w:eastAsia="宋体" w:hint="default"/>
          <w:spacing w:val="-60"/>
        </w:rPr>
        <w:t> </w:t>
      </w:r>
      <w:r>
        <w:rPr/>
        <w:t>万亿元至</w:t>
      </w:r>
      <w:r>
        <w:rPr>
          <w:spacing w:val="-60"/>
        </w:rPr>
        <w:t> </w:t>
      </w:r>
      <w:r>
        <w:rPr>
          <w:rFonts w:ascii="宋体" w:hAnsi="宋体" w:cs="宋体" w:eastAsia="宋体" w:hint="default"/>
        </w:rPr>
        <w:t>3.8</w:t>
      </w:r>
      <w:r>
        <w:rPr>
          <w:rFonts w:ascii="宋体" w:hAnsi="宋体" w:cs="宋体" w:eastAsia="宋体" w:hint="default"/>
          <w:spacing w:val="-60"/>
        </w:rPr>
        <w:t> </w:t>
      </w:r>
      <w:r>
        <w:rPr/>
        <w:t>万亿元，建设新线</w:t>
      </w:r>
    </w:p>
    <w:p>
      <w:pPr>
        <w:pStyle w:val="BodyText"/>
        <w:spacing w:line="352" w:lineRule="auto" w:before="145"/>
        <w:ind w:left="673" w:right="1001"/>
        <w:jc w:val="left"/>
      </w:pPr>
      <w:r>
        <w:rPr>
          <w:rFonts w:ascii="宋体" w:hAnsi="宋体" w:cs="宋体" w:eastAsia="宋体" w:hint="default"/>
        </w:rPr>
        <w:t>3</w:t>
      </w:r>
      <w:r>
        <w:rPr>
          <w:rFonts w:ascii="宋体" w:hAnsi="宋体" w:cs="宋体" w:eastAsia="宋体" w:hint="default"/>
          <w:spacing w:val="-64"/>
        </w:rPr>
        <w:t> </w:t>
      </w:r>
      <w:r>
        <w:rPr/>
        <w:t>万公里。至</w:t>
      </w:r>
      <w:r>
        <w:rPr>
          <w:spacing w:val="-64"/>
        </w:rPr>
        <w:t> </w:t>
      </w:r>
      <w:r>
        <w:rPr>
          <w:rFonts w:ascii="宋体" w:hAnsi="宋体" w:cs="宋体" w:eastAsia="宋体" w:hint="default"/>
        </w:rPr>
        <w:t>2020</w:t>
      </w:r>
      <w:r>
        <w:rPr>
          <w:rFonts w:ascii="宋体" w:hAnsi="宋体" w:cs="宋体" w:eastAsia="宋体" w:hint="default"/>
          <w:spacing w:val="-64"/>
        </w:rPr>
        <w:t> </w:t>
      </w:r>
      <w:r>
        <w:rPr/>
        <w:t>年，全国铁路营业里程达到</w:t>
      </w:r>
      <w:r>
        <w:rPr>
          <w:spacing w:val="-64"/>
        </w:rPr>
        <w:t> </w:t>
      </w:r>
      <w:r>
        <w:rPr>
          <w:rFonts w:ascii="宋体" w:hAnsi="宋体" w:cs="宋体" w:eastAsia="宋体" w:hint="default"/>
        </w:rPr>
        <w:t>15</w:t>
      </w:r>
      <w:r>
        <w:rPr>
          <w:rFonts w:ascii="宋体" w:hAnsi="宋体" w:cs="宋体" w:eastAsia="宋体" w:hint="default"/>
          <w:spacing w:val="-64"/>
        </w:rPr>
        <w:t> </w:t>
      </w:r>
      <w:r>
        <w:rPr/>
        <w:t>万公里，其中高速铁路达</w:t>
      </w:r>
      <w:r>
        <w:rPr>
          <w:spacing w:val="-64"/>
        </w:rPr>
        <w:t> </w:t>
      </w:r>
      <w:r>
        <w:rPr>
          <w:rFonts w:ascii="宋体" w:hAnsi="宋体" w:cs="宋体" w:eastAsia="宋体" w:hint="default"/>
        </w:rPr>
        <w:t>3</w:t>
      </w:r>
      <w:r>
        <w:rPr>
          <w:rFonts w:ascii="宋体" w:hAnsi="宋体" w:cs="宋体" w:eastAsia="宋体" w:hint="default"/>
          <w:spacing w:val="-64"/>
        </w:rPr>
        <w:t> </w:t>
      </w:r>
      <w:r>
        <w:rPr/>
        <w:t>万公里。此外， “一带一路”相关项目的建设也成为“十三五”的重要内容，一批与中亚、东南亚等地区互 联互通的铁路及口岸铁路项目即将开工建设。</w:t>
      </w:r>
    </w:p>
    <w:p>
      <w:pPr>
        <w:pStyle w:val="BodyText"/>
        <w:spacing w:line="240" w:lineRule="auto" w:before="33"/>
        <w:ind w:left="1154" w:right="1115"/>
        <w:jc w:val="left"/>
      </w:pPr>
      <w:r>
        <w:rPr/>
        <w:t>“十三五”期间，全国铁路网要基本覆盖</w:t>
      </w:r>
      <w:r>
        <w:rPr>
          <w:spacing w:val="-60"/>
        </w:rPr>
        <w:t> </w:t>
      </w:r>
      <w:r>
        <w:rPr>
          <w:rFonts w:ascii="宋体" w:hAnsi="宋体" w:cs="宋体" w:eastAsia="宋体" w:hint="default"/>
        </w:rPr>
        <w:t>20</w:t>
      </w:r>
      <w:r>
        <w:rPr>
          <w:rFonts w:ascii="宋体" w:hAnsi="宋体" w:cs="宋体" w:eastAsia="宋体" w:hint="default"/>
          <w:spacing w:val="-60"/>
        </w:rPr>
        <w:t> </w:t>
      </w:r>
      <w:r>
        <w:rPr/>
        <w:t>万人口以上的城市，</w:t>
      </w:r>
      <w:r>
        <w:rPr>
          <w:rFonts w:ascii="宋体" w:hAnsi="宋体" w:cs="宋体" w:eastAsia="宋体" w:hint="default"/>
        </w:rPr>
        <w:t>80%</w:t>
      </w:r>
      <w:r>
        <w:rPr/>
        <w:t>的县级行政区。高</w:t>
      </w:r>
    </w:p>
    <w:p>
      <w:pPr>
        <w:pStyle w:val="BodyText"/>
        <w:spacing w:line="240" w:lineRule="auto" w:before="145"/>
        <w:ind w:left="673" w:right="1115"/>
        <w:jc w:val="left"/>
      </w:pPr>
      <w:r>
        <w:rPr/>
        <w:t>速铁路网基本覆盖</w:t>
      </w:r>
      <w:r>
        <w:rPr>
          <w:spacing w:val="-60"/>
        </w:rPr>
        <w:t> </w:t>
      </w:r>
      <w:r>
        <w:rPr>
          <w:rFonts w:ascii="宋体" w:hAnsi="宋体" w:cs="宋体" w:eastAsia="宋体" w:hint="default"/>
        </w:rPr>
        <w:t>50</w:t>
      </w:r>
      <w:r>
        <w:rPr>
          <w:rFonts w:ascii="宋体" w:hAnsi="宋体" w:cs="宋体" w:eastAsia="宋体" w:hint="default"/>
          <w:spacing w:val="-60"/>
        </w:rPr>
        <w:t> </w:t>
      </w:r>
      <w:r>
        <w:rPr/>
        <w:t>万人口以上的城市、</w:t>
      </w:r>
      <w:r>
        <w:rPr>
          <w:rFonts w:ascii="宋体" w:hAnsi="宋体" w:cs="宋体" w:eastAsia="宋体" w:hint="default"/>
        </w:rPr>
        <w:t>90%</w:t>
      </w:r>
      <w:r>
        <w:rPr/>
        <w:t>地级行政中心。基本实现国家、区域中心城市</w:t>
      </w:r>
    </w:p>
    <w:p>
      <w:pPr>
        <w:pStyle w:val="BodyText"/>
        <w:spacing w:line="240" w:lineRule="auto" w:before="146"/>
        <w:ind w:left="673" w:right="1115"/>
        <w:jc w:val="left"/>
      </w:pPr>
      <w:r>
        <w:rPr>
          <w:rFonts w:ascii="宋体" w:hAnsi="宋体" w:cs="宋体" w:eastAsia="宋体" w:hint="default"/>
        </w:rPr>
        <w:t>1</w:t>
      </w:r>
      <w:r>
        <w:rPr>
          <w:rFonts w:ascii="宋体" w:hAnsi="宋体" w:cs="宋体" w:eastAsia="宋体" w:hint="default"/>
          <w:spacing w:val="-60"/>
        </w:rPr>
        <w:t> </w:t>
      </w:r>
      <w:r>
        <w:rPr/>
        <w:t>至</w:t>
      </w:r>
      <w:r>
        <w:rPr>
          <w:spacing w:val="-60"/>
        </w:rPr>
        <w:t> </w:t>
      </w:r>
      <w:r>
        <w:rPr>
          <w:rFonts w:ascii="宋体" w:hAnsi="宋体" w:cs="宋体" w:eastAsia="宋体" w:hint="default"/>
        </w:rPr>
        <w:t>8</w:t>
      </w:r>
      <w:r>
        <w:rPr>
          <w:rFonts w:ascii="宋体" w:hAnsi="宋体" w:cs="宋体" w:eastAsia="宋体" w:hint="default"/>
          <w:spacing w:val="-60"/>
        </w:rPr>
        <w:t> </w:t>
      </w:r>
      <w:r>
        <w:rPr/>
        <w:t>小时高速通达圈；相邻大中城市</w:t>
      </w:r>
      <w:r>
        <w:rPr>
          <w:spacing w:val="-60"/>
        </w:rPr>
        <w:t> </w:t>
      </w:r>
      <w:r>
        <w:rPr>
          <w:rFonts w:ascii="宋体" w:hAnsi="宋体" w:cs="宋体" w:eastAsia="宋体" w:hint="default"/>
        </w:rPr>
        <w:t>1</w:t>
      </w:r>
      <w:r>
        <w:rPr>
          <w:rFonts w:ascii="宋体" w:hAnsi="宋体" w:cs="宋体" w:eastAsia="宋体" w:hint="default"/>
          <w:spacing w:val="-60"/>
        </w:rPr>
        <w:t> </w:t>
      </w:r>
      <w:r>
        <w:rPr/>
        <w:t>至</w:t>
      </w:r>
      <w:r>
        <w:rPr>
          <w:spacing w:val="-60"/>
        </w:rPr>
        <w:t> </w:t>
      </w:r>
      <w:r>
        <w:rPr>
          <w:rFonts w:ascii="宋体" w:hAnsi="宋体" w:cs="宋体" w:eastAsia="宋体" w:hint="default"/>
        </w:rPr>
        <w:t>4</w:t>
      </w:r>
      <w:r>
        <w:rPr>
          <w:rFonts w:ascii="宋体" w:hAnsi="宋体" w:cs="宋体" w:eastAsia="宋体" w:hint="default"/>
          <w:spacing w:val="-60"/>
        </w:rPr>
        <w:t> </w:t>
      </w:r>
      <w:r>
        <w:rPr/>
        <w:t>小时快速交通圈；城市群内</w:t>
      </w:r>
      <w:r>
        <w:rPr>
          <w:spacing w:val="-60"/>
        </w:rPr>
        <w:t> </w:t>
      </w:r>
      <w:r>
        <w:rPr>
          <w:rFonts w:ascii="宋体" w:hAnsi="宋体" w:cs="宋体" w:eastAsia="宋体" w:hint="default"/>
        </w:rPr>
        <w:t>0.5</w:t>
      </w:r>
      <w:r>
        <w:rPr>
          <w:rFonts w:ascii="宋体" w:hAnsi="宋体" w:cs="宋体" w:eastAsia="宋体" w:hint="default"/>
          <w:spacing w:val="-60"/>
        </w:rPr>
        <w:t> </w:t>
      </w:r>
      <w:r>
        <w:rPr/>
        <w:t>小时至</w:t>
      </w:r>
      <w:r>
        <w:rPr>
          <w:spacing w:val="-60"/>
        </w:rPr>
        <w:t> </w:t>
      </w:r>
      <w:r>
        <w:rPr>
          <w:rFonts w:ascii="宋体" w:hAnsi="宋体" w:cs="宋体" w:eastAsia="宋体" w:hint="default"/>
        </w:rPr>
        <w:t>2</w:t>
      </w:r>
      <w:r>
        <w:rPr>
          <w:rFonts w:ascii="宋体" w:hAnsi="宋体" w:cs="宋体" w:eastAsia="宋体" w:hint="default"/>
          <w:spacing w:val="-60"/>
        </w:rPr>
        <w:t> </w:t>
      </w:r>
      <w:r>
        <w:rPr/>
        <w:t>小时</w:t>
      </w:r>
    </w:p>
    <w:p>
      <w:pPr>
        <w:spacing w:after="0" w:line="240" w:lineRule="auto"/>
        <w:jc w:val="left"/>
        <w:sectPr>
          <w:pgSz w:w="11910" w:h="16840"/>
          <w:pgMar w:header="747" w:footer="979" w:top="1060" w:bottom="1160" w:left="460" w:right="0"/>
        </w:sectPr>
      </w:pPr>
    </w:p>
    <w:p>
      <w:pPr>
        <w:spacing w:line="240" w:lineRule="auto" w:before="0"/>
        <w:rPr>
          <w:rFonts w:ascii="宋体" w:hAnsi="宋体" w:cs="宋体" w:eastAsia="宋体" w:hint="default"/>
          <w:sz w:val="20"/>
          <w:szCs w:val="20"/>
        </w:rPr>
      </w:pPr>
    </w:p>
    <w:p>
      <w:pPr>
        <w:pStyle w:val="BodyText"/>
        <w:spacing w:line="240" w:lineRule="auto" w:before="199"/>
        <w:ind w:left="154" w:right="0"/>
        <w:jc w:val="both"/>
      </w:pPr>
      <w:r>
        <w:rPr/>
        <w:t>通勤圈。</w:t>
      </w:r>
    </w:p>
    <w:p>
      <w:pPr>
        <w:pStyle w:val="BodyText"/>
        <w:spacing w:line="352" w:lineRule="auto" w:before="145"/>
        <w:ind w:right="1130" w:firstLine="480"/>
        <w:jc w:val="both"/>
      </w:pPr>
      <w:r>
        <w:rPr>
          <w:spacing w:val="-6"/>
        </w:rPr>
        <w:t>“十三五”期间，高速铁路、干线铁路、城际铁路建设将同时发力。高速铁路网要在“四</w:t>
      </w:r>
      <w:r>
        <w:rPr/>
        <w:t> 纵四横”骨架基础上，继续实施一批条件成熟的高铁项目。包括北京至沈阳、北京至张家口 至呼和浩特、大同至张家口等</w:t>
      </w:r>
      <w:r>
        <w:rPr>
          <w:spacing w:val="-63"/>
        </w:rPr>
        <w:t> </w:t>
      </w:r>
      <w:r>
        <w:rPr>
          <w:rFonts w:ascii="宋体" w:hAnsi="宋体" w:cs="宋体" w:eastAsia="宋体" w:hint="default"/>
        </w:rPr>
        <w:t>23</w:t>
      </w:r>
      <w:r>
        <w:rPr>
          <w:rFonts w:ascii="宋体" w:hAnsi="宋体" w:cs="宋体" w:eastAsia="宋体" w:hint="default"/>
          <w:spacing w:val="-63"/>
        </w:rPr>
        <w:t> </w:t>
      </w:r>
      <w:r>
        <w:rPr>
          <w:spacing w:val="-3"/>
        </w:rPr>
        <w:t>个高速铁路项目；同时建设郑州至万州、太原至郑州、贵阳</w:t>
      </w:r>
    </w:p>
    <w:p>
      <w:pPr>
        <w:pStyle w:val="BodyText"/>
        <w:spacing w:line="352" w:lineRule="auto" w:before="32"/>
        <w:ind w:right="1130"/>
        <w:jc w:val="both"/>
      </w:pPr>
      <w:r>
        <w:rPr/>
        <w:t>至南宁等</w:t>
      </w:r>
      <w:r>
        <w:rPr>
          <w:spacing w:val="-60"/>
        </w:rPr>
        <w:t> </w:t>
      </w:r>
      <w:r>
        <w:rPr>
          <w:rFonts w:ascii="宋体" w:hAnsi="宋体" w:cs="宋体" w:eastAsia="宋体" w:hint="default"/>
        </w:rPr>
        <w:t>21</w:t>
      </w:r>
      <w:r>
        <w:rPr>
          <w:rFonts w:ascii="宋体" w:hAnsi="宋体" w:cs="宋体" w:eastAsia="宋体" w:hint="default"/>
          <w:spacing w:val="-60"/>
        </w:rPr>
        <w:t> </w:t>
      </w:r>
      <w:r>
        <w:rPr/>
        <w:t>个高速铁路。至</w:t>
      </w:r>
      <w:r>
        <w:rPr>
          <w:spacing w:val="-60"/>
        </w:rPr>
        <w:t> </w:t>
      </w:r>
      <w:r>
        <w:rPr>
          <w:rFonts w:ascii="宋体" w:hAnsi="宋体" w:cs="宋体" w:eastAsia="宋体" w:hint="default"/>
        </w:rPr>
        <w:t>2020</w:t>
      </w:r>
      <w:r>
        <w:rPr>
          <w:rFonts w:ascii="宋体" w:hAnsi="宋体" w:cs="宋体" w:eastAsia="宋体" w:hint="default"/>
          <w:spacing w:val="-60"/>
        </w:rPr>
        <w:t> </w:t>
      </w:r>
      <w:r>
        <w:rPr/>
        <w:t>年年末，中国高速铁路里程要达到</w:t>
      </w:r>
      <w:r>
        <w:rPr>
          <w:spacing w:val="-60"/>
        </w:rPr>
        <w:t> </w:t>
      </w:r>
      <w:r>
        <w:rPr>
          <w:rFonts w:ascii="宋体" w:hAnsi="宋体" w:cs="宋体" w:eastAsia="宋体" w:hint="default"/>
        </w:rPr>
        <w:t>3</w:t>
      </w:r>
      <w:r>
        <w:rPr>
          <w:rFonts w:ascii="宋体" w:hAnsi="宋体" w:cs="宋体" w:eastAsia="宋体" w:hint="default"/>
          <w:spacing w:val="-60"/>
        </w:rPr>
        <w:t> </w:t>
      </w:r>
      <w:r>
        <w:rPr/>
        <w:t>万公里；干线铁路方 面，首先推进以中西部区际干线铁路为重点的新线建设，重点建设西宁至成都、罗布泊至若 羌等</w:t>
      </w:r>
      <w:r>
        <w:rPr>
          <w:spacing w:val="-62"/>
        </w:rPr>
        <w:t> </w:t>
      </w:r>
      <w:r>
        <w:rPr>
          <w:rFonts w:ascii="宋体" w:hAnsi="宋体" w:cs="宋体" w:eastAsia="宋体" w:hint="default"/>
        </w:rPr>
        <w:t>6</w:t>
      </w:r>
      <w:r>
        <w:rPr>
          <w:rFonts w:ascii="宋体" w:hAnsi="宋体" w:cs="宋体" w:eastAsia="宋体" w:hint="default"/>
          <w:spacing w:val="-62"/>
        </w:rPr>
        <w:t> </w:t>
      </w:r>
      <w:r>
        <w:rPr>
          <w:spacing w:val="-5"/>
        </w:rPr>
        <w:t>条铁路。至</w:t>
      </w:r>
      <w:r>
        <w:rPr>
          <w:spacing w:val="-62"/>
        </w:rPr>
        <w:t> </w:t>
      </w:r>
      <w:r>
        <w:rPr>
          <w:rFonts w:ascii="宋体" w:hAnsi="宋体" w:cs="宋体" w:eastAsia="宋体" w:hint="default"/>
        </w:rPr>
        <w:t>2020</w:t>
      </w:r>
      <w:r>
        <w:rPr>
          <w:rFonts w:ascii="宋体" w:hAnsi="宋体" w:cs="宋体" w:eastAsia="宋体" w:hint="default"/>
          <w:spacing w:val="-62"/>
        </w:rPr>
        <w:t> </w:t>
      </w:r>
      <w:r>
        <w:rPr/>
        <w:t>年，中西部路网规模要达到</w:t>
      </w:r>
      <w:r>
        <w:rPr>
          <w:spacing w:val="-62"/>
        </w:rPr>
        <w:t> </w:t>
      </w:r>
      <w:r>
        <w:rPr>
          <w:rFonts w:ascii="宋体" w:hAnsi="宋体" w:cs="宋体" w:eastAsia="宋体" w:hint="default"/>
        </w:rPr>
        <w:t>9</w:t>
      </w:r>
      <w:r>
        <w:rPr>
          <w:rFonts w:ascii="宋体" w:hAnsi="宋体" w:cs="宋体" w:eastAsia="宋体" w:hint="default"/>
          <w:spacing w:val="-62"/>
        </w:rPr>
        <w:t> </w:t>
      </w:r>
      <w:r>
        <w:rPr>
          <w:spacing w:val="-3"/>
        </w:rPr>
        <w:t>万公里左右；“十三五”期间，城际铁</w:t>
      </w:r>
    </w:p>
    <w:p>
      <w:pPr>
        <w:pStyle w:val="BodyText"/>
        <w:spacing w:line="240" w:lineRule="auto" w:before="32"/>
        <w:ind w:right="0"/>
        <w:jc w:val="both"/>
      </w:pPr>
      <w:r>
        <w:rPr/>
        <w:t>路规划新开工建设</w:t>
      </w:r>
      <w:r>
        <w:rPr>
          <w:spacing w:val="-65"/>
        </w:rPr>
        <w:t> </w:t>
      </w:r>
      <w:r>
        <w:rPr>
          <w:rFonts w:ascii="宋体" w:hAnsi="宋体" w:cs="宋体" w:eastAsia="宋体" w:hint="default"/>
        </w:rPr>
        <w:t>5000</w:t>
      </w:r>
      <w:r>
        <w:rPr>
          <w:rFonts w:ascii="宋体" w:hAnsi="宋体" w:cs="宋体" w:eastAsia="宋体" w:hint="default"/>
          <w:spacing w:val="-65"/>
        </w:rPr>
        <w:t> </w:t>
      </w:r>
      <w:r>
        <w:rPr/>
        <w:t>公里左右，</w:t>
      </w:r>
      <w:r>
        <w:rPr>
          <w:rFonts w:ascii="宋体" w:hAnsi="宋体" w:cs="宋体" w:eastAsia="宋体" w:hint="default"/>
        </w:rPr>
        <w:t>2020</w:t>
      </w:r>
      <w:r>
        <w:rPr>
          <w:rFonts w:ascii="宋体" w:hAnsi="宋体" w:cs="宋体" w:eastAsia="宋体" w:hint="default"/>
          <w:spacing w:val="-65"/>
        </w:rPr>
        <w:t> </w:t>
      </w:r>
      <w:r>
        <w:rPr/>
        <w:t>年城际铁路规模达到</w:t>
      </w:r>
      <w:r>
        <w:rPr>
          <w:spacing w:val="-65"/>
        </w:rPr>
        <w:t> </w:t>
      </w:r>
      <w:r>
        <w:rPr>
          <w:rFonts w:ascii="宋体" w:hAnsi="宋体" w:cs="宋体" w:eastAsia="宋体" w:hint="default"/>
        </w:rPr>
        <w:t>5000</w:t>
      </w:r>
      <w:r>
        <w:rPr>
          <w:rFonts w:ascii="宋体" w:hAnsi="宋体" w:cs="宋体" w:eastAsia="宋体" w:hint="default"/>
          <w:spacing w:val="-65"/>
        </w:rPr>
        <w:t> </w:t>
      </w:r>
      <w:r>
        <w:rPr/>
        <w:t>公里。重点建设京津冀地</w:t>
      </w:r>
    </w:p>
    <w:p>
      <w:pPr>
        <w:pStyle w:val="BodyText"/>
        <w:spacing w:line="240" w:lineRule="auto" w:before="146"/>
        <w:ind w:right="0"/>
        <w:jc w:val="both"/>
      </w:pPr>
      <w:r>
        <w:rPr/>
        <w:t>区、长三角地区、珠三角地区等</w:t>
      </w:r>
      <w:r>
        <w:rPr>
          <w:spacing w:val="-60"/>
        </w:rPr>
        <w:t> </w:t>
      </w:r>
      <w:r>
        <w:rPr>
          <w:rFonts w:ascii="宋体" w:hAnsi="宋体" w:cs="宋体" w:eastAsia="宋体" w:hint="default"/>
        </w:rPr>
        <w:t>8</w:t>
      </w:r>
      <w:r>
        <w:rPr>
          <w:rFonts w:ascii="宋体" w:hAnsi="宋体" w:cs="宋体" w:eastAsia="宋体" w:hint="default"/>
          <w:spacing w:val="-60"/>
        </w:rPr>
        <w:t> </w:t>
      </w:r>
      <w:r>
        <w:rPr/>
        <w:t>个城市群城际铁路。</w:t>
      </w:r>
    </w:p>
    <w:p>
      <w:pPr>
        <w:spacing w:line="331" w:lineRule="auto" w:before="145"/>
        <w:ind w:left="633" w:right="115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、城市轨道交通市场</w:t>
      </w:r>
      <w:r>
        <w:rPr>
          <w:rFonts w:ascii="宋体" w:hAnsi="宋体" w:cs="宋体" w:eastAsia="宋体" w:hint="default"/>
          <w:b/>
          <w:bCs/>
          <w:w w:val="99"/>
          <w:sz w:val="24"/>
          <w:szCs w:val="24"/>
        </w:rPr>
        <w:t> </w:t>
      </w:r>
      <w:r>
        <w:rPr>
          <w:rFonts w:ascii="宋体" w:hAnsi="宋体" w:cs="宋体" w:eastAsia="宋体" w:hint="default"/>
          <w:sz w:val="24"/>
          <w:szCs w:val="24"/>
        </w:rPr>
        <w:t>随着经济的发展，我国的城市规模不断扩张。城市化进程逐步加快的同时，环境污染、</w:t>
      </w:r>
    </w:p>
    <w:p>
      <w:pPr>
        <w:pStyle w:val="BodyText"/>
        <w:spacing w:line="350" w:lineRule="auto" w:before="55"/>
        <w:ind w:left="633" w:right="1153" w:hanging="480"/>
        <w:jc w:val="left"/>
      </w:pPr>
      <w:r>
        <w:rPr/>
        <w:t>交通拥堵等一些列问题也伴随而来。 地铁作为城市轨道交通最主要的方式，成为世界上大多数大中型城市缓解交通紧张状况</w:t>
      </w:r>
    </w:p>
    <w:p>
      <w:pPr>
        <w:pStyle w:val="BodyText"/>
        <w:spacing w:line="352" w:lineRule="auto" w:before="35"/>
        <w:ind w:right="0"/>
        <w:jc w:val="left"/>
      </w:pPr>
      <w:r>
        <w:rPr>
          <w:spacing w:val="-3"/>
        </w:rPr>
        <w:t>的首要选择。地铁采用电力驱动，有利于保护环境。另外从安全角度来看，地铁一般在地下，</w:t>
      </w:r>
      <w:r>
        <w:rPr>
          <w:spacing w:val="-81"/>
        </w:rPr>
        <w:t> </w:t>
      </w:r>
      <w:r>
        <w:rPr>
          <w:spacing w:val="-81"/>
        </w:rPr>
      </w:r>
      <w:r>
        <w:rPr/>
        <w:t>效率高且更安全。</w:t>
      </w:r>
    </w:p>
    <w:p>
      <w:pPr>
        <w:pStyle w:val="BodyText"/>
        <w:spacing w:line="240" w:lineRule="auto" w:before="33"/>
        <w:ind w:left="633" w:right="0"/>
        <w:jc w:val="left"/>
      </w:pPr>
      <w:r>
        <w:rPr/>
        <w:t>国家发改委在</w:t>
      </w:r>
      <w:r>
        <w:rPr>
          <w:spacing w:val="-64"/>
        </w:rPr>
        <w:t> </w:t>
      </w:r>
      <w:r>
        <w:rPr>
          <w:rFonts w:ascii="宋体" w:hAnsi="宋体" w:cs="宋体" w:eastAsia="宋体" w:hint="default"/>
        </w:rPr>
        <w:t>2015</w:t>
      </w:r>
      <w:r>
        <w:rPr>
          <w:rFonts w:ascii="宋体" w:hAnsi="宋体" w:cs="宋体" w:eastAsia="宋体" w:hint="default"/>
          <w:spacing w:val="-64"/>
        </w:rPr>
        <w:t> </w:t>
      </w:r>
      <w:r>
        <w:rPr/>
        <w:t>年梳理提出了</w:t>
      </w:r>
      <w:r>
        <w:rPr>
          <w:spacing w:val="-63"/>
        </w:rPr>
        <w:t> </w:t>
      </w:r>
      <w:r>
        <w:rPr>
          <w:rFonts w:ascii="宋体" w:hAnsi="宋体" w:cs="宋体" w:eastAsia="宋体" w:hint="default"/>
        </w:rPr>
        <w:t>68</w:t>
      </w:r>
      <w:r>
        <w:rPr>
          <w:rFonts w:ascii="宋体" w:hAnsi="宋体" w:cs="宋体" w:eastAsia="宋体" w:hint="default"/>
          <w:spacing w:val="-64"/>
        </w:rPr>
        <w:t> </w:t>
      </w:r>
      <w:r>
        <w:rPr/>
        <w:t>个</w:t>
      </w:r>
      <w:r>
        <w:rPr>
          <w:spacing w:val="-64"/>
        </w:rPr>
        <w:t> </w:t>
      </w:r>
      <w:r>
        <w:rPr>
          <w:rFonts w:ascii="宋体" w:hAnsi="宋体" w:cs="宋体" w:eastAsia="宋体" w:hint="default"/>
        </w:rPr>
        <w:t>2015</w:t>
      </w:r>
      <w:r>
        <w:rPr>
          <w:rFonts w:ascii="宋体" w:hAnsi="宋体" w:cs="宋体" w:eastAsia="宋体" w:hint="default"/>
          <w:spacing w:val="-64"/>
        </w:rPr>
        <w:t> </w:t>
      </w:r>
      <w:r>
        <w:rPr/>
        <w:t>年</w:t>
      </w:r>
      <w:r>
        <w:rPr>
          <w:rFonts w:ascii="宋体" w:hAnsi="宋体" w:cs="宋体" w:eastAsia="宋体" w:hint="default"/>
        </w:rPr>
        <w:t>-2017</w:t>
      </w:r>
      <w:r>
        <w:rPr>
          <w:rFonts w:ascii="宋体" w:hAnsi="宋体" w:cs="宋体" w:eastAsia="宋体" w:hint="default"/>
          <w:spacing w:val="-63"/>
        </w:rPr>
        <w:t> </w:t>
      </w:r>
      <w:r>
        <w:rPr/>
        <w:t>年拟新开工建设的城市轨道交通重</w:t>
      </w:r>
    </w:p>
    <w:p>
      <w:pPr>
        <w:pStyle w:val="BodyText"/>
        <w:spacing w:line="350" w:lineRule="auto" w:before="145"/>
        <w:ind w:right="0"/>
        <w:jc w:val="left"/>
      </w:pPr>
      <w:r>
        <w:rPr/>
        <w:t>大项目。通过这些重大工程建设，预计到</w:t>
      </w:r>
      <w:r>
        <w:rPr>
          <w:spacing w:val="-60"/>
        </w:rPr>
        <w:t> </w:t>
      </w:r>
      <w:r>
        <w:rPr>
          <w:rFonts w:ascii="宋体" w:hAnsi="宋体" w:cs="宋体" w:eastAsia="宋体" w:hint="default"/>
        </w:rPr>
        <w:t>2020</w:t>
      </w:r>
      <w:r>
        <w:rPr>
          <w:rFonts w:ascii="宋体" w:hAnsi="宋体" w:cs="宋体" w:eastAsia="宋体" w:hint="default"/>
          <w:spacing w:val="-60"/>
        </w:rPr>
        <w:t> </w:t>
      </w:r>
      <w:r>
        <w:rPr/>
        <w:t>年，我国的城市轨道交通总里程将达到</w:t>
      </w:r>
      <w:r>
        <w:rPr>
          <w:spacing w:val="-60"/>
        </w:rPr>
        <w:t> </w:t>
      </w:r>
      <w:r>
        <w:rPr>
          <w:rFonts w:ascii="宋体" w:hAnsi="宋体" w:cs="宋体" w:eastAsia="宋体" w:hint="default"/>
        </w:rPr>
        <w:t>7000 </w:t>
      </w:r>
      <w:r>
        <w:rPr>
          <w:spacing w:val="-3"/>
        </w:rPr>
        <w:t>公里，北京、上海、广州、深圳等城市将建成较为完善的轨道交通网络，南京、重庆、武汉、</w:t>
      </w:r>
      <w:r>
        <w:rPr>
          <w:spacing w:val="-81"/>
        </w:rPr>
        <w:t> </w:t>
      </w:r>
      <w:r>
        <w:rPr>
          <w:spacing w:val="-81"/>
        </w:rPr>
      </w:r>
      <w:r>
        <w:rPr/>
        <w:t>成都等城市建成轨道交通基本网络，南通、石家庄、兰州等城市建成轨道交通骨干线，其他 城市轨道交通建设也将加快，从而使我国轨道交通的总体水平提升到一个新的层次。</w:t>
      </w:r>
    </w:p>
    <w:p>
      <w:pPr>
        <w:pStyle w:val="BodyText"/>
        <w:spacing w:line="350" w:lineRule="auto"/>
        <w:ind w:left="633" w:right="1153" w:firstLine="2"/>
        <w:jc w:val="left"/>
      </w:pPr>
      <w:r>
        <w:rPr>
          <w:rFonts w:ascii="宋体" w:hAnsi="宋体" w:cs="宋体" w:eastAsia="宋体" w:hint="default"/>
          <w:b/>
          <w:bCs/>
        </w:rPr>
        <w:t>（二）行业格局</w:t>
      </w:r>
      <w:r>
        <w:rPr>
          <w:rFonts w:ascii="宋体" w:hAnsi="宋体" w:cs="宋体" w:eastAsia="宋体" w:hint="default"/>
          <w:b/>
          <w:bCs/>
          <w:w w:val="99"/>
        </w:rPr>
        <w:t> </w:t>
      </w:r>
      <w:r>
        <w:rPr/>
        <w:t>公司所处的铁路细分行业市场为通信信号领域，该领域所涵盖的产品较多，且大部分产</w:t>
      </w:r>
    </w:p>
    <w:p>
      <w:pPr>
        <w:pStyle w:val="BodyText"/>
        <w:spacing w:line="350" w:lineRule="auto" w:before="35"/>
        <w:ind w:left="154" w:right="1131"/>
        <w:jc w:val="both"/>
      </w:pPr>
      <w:r>
        <w:rPr/>
        <w:t>品需要取得铁路主管部门的资质认证或</w:t>
      </w:r>
      <w:r>
        <w:rPr>
          <w:spacing w:val="-60"/>
        </w:rPr>
        <w:t> </w:t>
      </w:r>
      <w:r>
        <w:rPr>
          <w:rFonts w:ascii="宋体" w:hAnsi="宋体" w:cs="宋体" w:eastAsia="宋体" w:hint="default"/>
        </w:rPr>
        <w:t>CRCC</w:t>
      </w:r>
      <w:r>
        <w:rPr>
          <w:rFonts w:ascii="宋体" w:hAnsi="宋体" w:cs="宋体" w:eastAsia="宋体" w:hint="default"/>
          <w:spacing w:val="-60"/>
        </w:rPr>
        <w:t> </w:t>
      </w:r>
      <w:r>
        <w:rPr>
          <w:spacing w:val="-4"/>
        </w:rPr>
        <w:t>认证。辉煌科技的主要产品有铁路信号集中监测</w:t>
      </w:r>
      <w:r>
        <w:rPr/>
        <w:t> 系统、铁路防灾安全监控系统、电务管理信息系统、道岔融雪系统、无线调车机车信号和监 控系统、智能电源系统等，相关产品均已取得所需的资质认证。历年来，公司在以上主要产 品市场均保持了比较稳定的占有率。</w:t>
      </w:r>
    </w:p>
    <w:p>
      <w:pPr>
        <w:pStyle w:val="BodyText"/>
        <w:spacing w:line="240" w:lineRule="auto"/>
        <w:ind w:left="634" w:right="0"/>
        <w:jc w:val="left"/>
      </w:pPr>
      <w:r>
        <w:rPr>
          <w:spacing w:val="-3"/>
        </w:rPr>
        <w:t>在城市轨道交通方面，辉煌科技在</w:t>
      </w:r>
      <w:r>
        <w:rPr>
          <w:spacing w:val="-79"/>
        </w:rPr>
        <w:t> </w:t>
      </w:r>
      <w:r>
        <w:rPr>
          <w:rFonts w:ascii="宋体" w:hAnsi="宋体" w:cs="宋体" w:eastAsia="宋体" w:hint="default"/>
        </w:rPr>
        <w:t>2011</w:t>
      </w:r>
      <w:r>
        <w:rPr>
          <w:rFonts w:ascii="宋体" w:hAnsi="宋体" w:cs="宋体" w:eastAsia="宋体" w:hint="default"/>
          <w:spacing w:val="-79"/>
        </w:rPr>
        <w:t> </w:t>
      </w:r>
      <w:r>
        <w:rPr/>
        <w:t>年开始正式进军该领域，已成功运行郑州轨道交</w:t>
      </w:r>
    </w:p>
    <w:p>
      <w:pPr>
        <w:pStyle w:val="BodyText"/>
        <w:spacing w:line="240" w:lineRule="auto" w:before="146"/>
        <w:ind w:left="154" w:right="0"/>
        <w:jc w:val="both"/>
      </w:pPr>
      <w:r>
        <w:rPr/>
        <w:t>通</w:t>
      </w:r>
      <w:r>
        <w:rPr>
          <w:spacing w:val="-60"/>
        </w:rPr>
        <w:t> </w:t>
      </w:r>
      <w:r>
        <w:rPr>
          <w:rFonts w:ascii="宋体" w:hAnsi="宋体" w:cs="宋体" w:eastAsia="宋体" w:hint="default"/>
        </w:rPr>
        <w:t>1</w:t>
      </w:r>
      <w:r>
        <w:rPr>
          <w:rFonts w:ascii="宋体" w:hAnsi="宋体" w:cs="宋体" w:eastAsia="宋体" w:hint="default"/>
          <w:spacing w:val="-60"/>
        </w:rPr>
        <w:t> </w:t>
      </w:r>
      <w:r>
        <w:rPr/>
        <w:t>号线一期工程的综合监控系统、信号维护支持系统、自动售检票系统等，并相继中标郑</w:t>
      </w:r>
    </w:p>
    <w:p>
      <w:pPr>
        <w:pStyle w:val="BodyText"/>
        <w:spacing w:line="352" w:lineRule="auto" w:before="145"/>
        <w:ind w:left="154" w:right="1152"/>
        <w:jc w:val="left"/>
      </w:pPr>
      <w:r>
        <w:rPr/>
        <w:t>州轨道交通</w:t>
      </w:r>
      <w:r>
        <w:rPr>
          <w:spacing w:val="-60"/>
        </w:rPr>
        <w:t> </w:t>
      </w:r>
      <w:r>
        <w:rPr>
          <w:rFonts w:ascii="宋体" w:hAnsi="宋体" w:cs="宋体" w:eastAsia="宋体" w:hint="default"/>
        </w:rPr>
        <w:t>2</w:t>
      </w:r>
      <w:r>
        <w:rPr>
          <w:rFonts w:ascii="宋体" w:hAnsi="宋体" w:cs="宋体" w:eastAsia="宋体" w:hint="default"/>
          <w:spacing w:val="-60"/>
        </w:rPr>
        <w:t> </w:t>
      </w:r>
      <w:r>
        <w:rPr/>
        <w:t>号线一期、郑州轨道交通</w:t>
      </w:r>
      <w:r>
        <w:rPr>
          <w:spacing w:val="-60"/>
        </w:rPr>
        <w:t> </w:t>
      </w:r>
      <w:r>
        <w:rPr>
          <w:rFonts w:ascii="宋体" w:hAnsi="宋体" w:cs="宋体" w:eastAsia="宋体" w:hint="default"/>
        </w:rPr>
        <w:t>1</w:t>
      </w:r>
      <w:r>
        <w:rPr>
          <w:rFonts w:ascii="宋体" w:hAnsi="宋体" w:cs="宋体" w:eastAsia="宋体" w:hint="default"/>
          <w:spacing w:val="-60"/>
        </w:rPr>
        <w:t> </w:t>
      </w:r>
      <w:r>
        <w:rPr/>
        <w:t>号线二期、郑州南四环至郑州南站城郊铁路工程的 综合监控系统。随着业务的发展，公司将在做好河南本区域城市轨道交通业务的同时，积极</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154" w:right="1153"/>
        <w:jc w:val="left"/>
      </w:pPr>
      <w:r>
        <w:rPr/>
        <w:t>向全国市场拓展。</w:t>
      </w:r>
    </w:p>
    <w:p>
      <w:pPr>
        <w:pStyle w:val="Heading2"/>
        <w:spacing w:line="240" w:lineRule="auto" w:before="145"/>
        <w:ind w:right="1153"/>
        <w:jc w:val="left"/>
        <w:rPr>
          <w:b w:val="0"/>
          <w:bCs w:val="0"/>
        </w:rPr>
      </w:pPr>
      <w:r>
        <w:rPr/>
        <w:t>（三）公司发展战略</w:t>
      </w:r>
      <w:r>
        <w:rPr>
          <w:b w:val="0"/>
          <w:bCs w:val="0"/>
        </w:rPr>
      </w:r>
    </w:p>
    <w:p>
      <w:pPr>
        <w:pStyle w:val="BodyText"/>
        <w:spacing w:line="350" w:lineRule="auto" w:before="146"/>
        <w:ind w:left="154" w:right="1131" w:firstLine="480"/>
        <w:jc w:val="both"/>
      </w:pPr>
      <w:r>
        <w:rPr>
          <w:rFonts w:ascii="宋体" w:hAnsi="宋体" w:cs="宋体" w:eastAsia="宋体" w:hint="default"/>
        </w:rPr>
        <w:t>2016</w:t>
      </w:r>
      <w:r>
        <w:rPr>
          <w:rFonts w:ascii="宋体" w:hAnsi="宋体" w:cs="宋体" w:eastAsia="宋体" w:hint="default"/>
          <w:spacing w:val="-80"/>
        </w:rPr>
        <w:t> </w:t>
      </w:r>
      <w:r>
        <w:rPr/>
        <w:t>年，将是公司实现战略落地的关键一年，公司将从多个方面科学的促进业务协同发 展：</w:t>
      </w:r>
    </w:p>
    <w:p>
      <w:pPr>
        <w:pStyle w:val="BodyText"/>
        <w:spacing w:line="352" w:lineRule="auto" w:before="35"/>
        <w:ind w:right="1130" w:firstLine="480"/>
        <w:jc w:val="both"/>
      </w:pPr>
      <w:r>
        <w:rPr>
          <w:rFonts w:ascii="宋体" w:hAnsi="宋体" w:cs="宋体" w:eastAsia="宋体" w:hint="default"/>
          <w:spacing w:val="-3"/>
        </w:rPr>
        <w:t>1</w:t>
      </w:r>
      <w:r>
        <w:rPr>
          <w:spacing w:val="-3"/>
        </w:rPr>
        <w:t>、坚持产品由单一产品供应商向系统集成商和运营服务商转变，管理由粗放向集约的转</w:t>
      </w:r>
      <w:r>
        <w:rPr/>
        <w:t> 变。</w:t>
      </w:r>
    </w:p>
    <w:p>
      <w:pPr>
        <w:pStyle w:val="BodyText"/>
        <w:spacing w:line="352" w:lineRule="auto" w:before="32"/>
        <w:ind w:left="154" w:right="1133" w:firstLine="480"/>
        <w:jc w:val="both"/>
      </w:pPr>
      <w:r>
        <w:rPr>
          <w:rFonts w:ascii="宋体" w:hAnsi="宋体" w:cs="宋体" w:eastAsia="宋体" w:hint="default"/>
          <w:spacing w:val="-3"/>
        </w:rPr>
        <w:t>2</w:t>
      </w:r>
      <w:r>
        <w:rPr>
          <w:spacing w:val="-3"/>
        </w:rPr>
        <w:t>、公司将持续加大研发投入，扩展多层次、多渠道合作方式，完善产品线，提高产品技</w:t>
      </w:r>
      <w:r>
        <w:rPr/>
        <w:t> 术核心竞争力。持续优化组织架构，完善薪酬体系，提升公司凝聚力，加强内部管理，为业 务发展奠定坚实基础。</w:t>
      </w:r>
    </w:p>
    <w:p>
      <w:pPr>
        <w:pStyle w:val="BodyText"/>
        <w:spacing w:line="350" w:lineRule="auto" w:before="32"/>
        <w:ind w:left="633" w:right="1153"/>
        <w:jc w:val="left"/>
      </w:pPr>
      <w:r>
        <w:rPr>
          <w:rFonts w:ascii="宋体" w:hAnsi="宋体" w:cs="宋体" w:eastAsia="宋体" w:hint="default"/>
        </w:rPr>
        <w:t>3</w:t>
      </w:r>
      <w:r>
        <w:rPr/>
        <w:t>、依托轨道交通，提升内生性扩展能力，巩固市场地位，推进业务增长。 为保障轨道交通业务板块全面发展，开创与抓住更多规模性发展的商业机会，公司将不</w:t>
      </w:r>
    </w:p>
    <w:p>
      <w:pPr>
        <w:pStyle w:val="BodyText"/>
        <w:spacing w:line="350" w:lineRule="auto"/>
        <w:ind w:right="1153"/>
        <w:jc w:val="left"/>
      </w:pPr>
      <w:r>
        <w:rPr/>
        <w:t>断延伸产品研发和应用领域，适时调整产品集群，努力拓展车、机、工、辆、供电新专业， 大力开拓城市轨道交通、海外轨道交通及地方专用线轨道交通市场。</w:t>
      </w:r>
    </w:p>
    <w:p>
      <w:pPr>
        <w:pStyle w:val="BodyText"/>
        <w:spacing w:line="352" w:lineRule="auto" w:before="35"/>
        <w:ind w:left="154" w:right="996" w:firstLine="480"/>
        <w:jc w:val="left"/>
      </w:pPr>
      <w:r>
        <w:rPr>
          <w:rFonts w:ascii="宋体" w:hAnsi="宋体" w:cs="宋体" w:eastAsia="宋体" w:hint="default"/>
          <w:spacing w:val="-3"/>
        </w:rPr>
        <w:t>4</w:t>
      </w:r>
      <w:r>
        <w:rPr>
          <w:spacing w:val="-3"/>
        </w:rPr>
        <w:t>、加大“新市场、新领域、新产业”实施力度，扩展外延性业务增长。顺应国家信息产</w:t>
      </w:r>
      <w:r>
        <w:rPr/>
        <w:t> </w:t>
      </w:r>
      <w:r>
        <w:rPr>
          <w:spacing w:val="-4"/>
        </w:rPr>
        <w:t>业发展规划，不断扩展新领域，积极开拓大交通</w:t>
      </w:r>
      <w:r>
        <w:rPr>
          <w:spacing w:val="-32"/>
        </w:rPr>
        <w:t> </w:t>
      </w:r>
      <w:r>
        <w:rPr>
          <w:rFonts w:ascii="宋体" w:hAnsi="宋体" w:cs="宋体" w:eastAsia="宋体" w:hint="default"/>
          <w:spacing w:val="-4"/>
        </w:rPr>
        <w:t>WiFi</w:t>
      </w:r>
      <w:r>
        <w:rPr>
          <w:spacing w:val="-4"/>
        </w:rPr>
        <w:t>，通过商业模式创新，集合既有平台化。</w:t>
      </w:r>
    </w:p>
    <w:p>
      <w:pPr>
        <w:pStyle w:val="Heading2"/>
        <w:spacing w:line="240" w:lineRule="auto" w:before="33"/>
        <w:ind w:right="1153"/>
        <w:jc w:val="left"/>
        <w:rPr>
          <w:b w:val="0"/>
          <w:bCs w:val="0"/>
        </w:rPr>
      </w:pPr>
      <w:r>
        <w:rPr/>
        <w:t>（四）经营计划</w:t>
      </w:r>
      <w:r>
        <w:rPr>
          <w:b w:val="0"/>
          <w:bCs w:val="0"/>
        </w:rPr>
      </w:r>
    </w:p>
    <w:p>
      <w:pPr>
        <w:pStyle w:val="BodyText"/>
        <w:spacing w:line="352" w:lineRule="auto" w:before="145"/>
        <w:ind w:right="1130" w:firstLine="480"/>
        <w:jc w:val="both"/>
      </w:pPr>
      <w:r>
        <w:rPr>
          <w:rFonts w:ascii="宋体" w:hAnsi="宋体" w:cs="宋体" w:eastAsia="宋体" w:hint="default"/>
        </w:rPr>
        <w:t>2016</w:t>
      </w:r>
      <w:r>
        <w:rPr>
          <w:rFonts w:ascii="宋体" w:hAnsi="宋体" w:cs="宋体" w:eastAsia="宋体" w:hint="default"/>
          <w:spacing w:val="-81"/>
        </w:rPr>
        <w:t> </w:t>
      </w:r>
      <w:r>
        <w:rPr/>
        <w:t>年度，公司将继续加大市场推广力度、加大研发投入、有序推进物资生产供应以及 工程交付，持续加强成本控制，确保公司经营取得更好业绩。</w:t>
      </w:r>
    </w:p>
    <w:p>
      <w:pPr>
        <w:pStyle w:val="BodyText"/>
        <w:spacing w:line="352" w:lineRule="auto" w:before="32"/>
        <w:ind w:right="0" w:firstLine="480"/>
        <w:jc w:val="left"/>
      </w:pPr>
      <w:r>
        <w:rPr>
          <w:rFonts w:ascii="宋体" w:hAnsi="宋体" w:cs="宋体" w:eastAsia="宋体" w:hint="default"/>
          <w:spacing w:val="-6"/>
        </w:rPr>
        <w:t>1</w:t>
      </w:r>
      <w:r>
        <w:rPr>
          <w:spacing w:val="-6"/>
        </w:rPr>
        <w:t>、聚焦轨道交通业务领域，深入挖掘核心市场的应用潜力；探索新应用，建立市场优势；</w:t>
      </w:r>
      <w:r>
        <w:rPr/>
        <w:t> 不断进行技术创新，在完善产品能力的同时，大力发展系统解决方案能力；紧抓城市轨道交 通发展机会，持续扩大产品应用范围。</w:t>
      </w:r>
    </w:p>
    <w:p>
      <w:pPr>
        <w:pStyle w:val="BodyText"/>
        <w:spacing w:line="350" w:lineRule="auto" w:before="32"/>
        <w:ind w:right="1131" w:firstLine="480"/>
        <w:jc w:val="both"/>
      </w:pPr>
      <w:r>
        <w:rPr>
          <w:rFonts w:ascii="宋体" w:hAnsi="宋体" w:cs="宋体" w:eastAsia="宋体" w:hint="default"/>
          <w:spacing w:val="-3"/>
        </w:rPr>
        <w:t>2</w:t>
      </w:r>
      <w:r>
        <w:rPr>
          <w:spacing w:val="-3"/>
        </w:rPr>
        <w:t>、聚焦在轨道交通测控领域的关键技术、架构、标准等方面的持续投入，提升公司核心</w:t>
      </w:r>
      <w:r>
        <w:rPr/>
        <w:t> </w:t>
      </w:r>
      <w:r>
        <w:rPr>
          <w:spacing w:val="-3"/>
        </w:rPr>
        <w:t>竞争力；持续优化完善技术</w:t>
      </w:r>
      <w:r>
        <w:rPr>
          <w:rFonts w:ascii="宋体" w:hAnsi="宋体" w:cs="宋体" w:eastAsia="宋体" w:hint="default"/>
          <w:spacing w:val="-3"/>
        </w:rPr>
        <w:t>/</w:t>
      </w:r>
      <w:r>
        <w:rPr>
          <w:spacing w:val="-3"/>
        </w:rPr>
        <w:t>平台开发，优化产品线与产品族、产品包和细分市场的关系，提</w:t>
      </w:r>
      <w:r>
        <w:rPr>
          <w:spacing w:val="-81"/>
        </w:rPr>
        <w:t> </w:t>
      </w:r>
      <w:r>
        <w:rPr>
          <w:spacing w:val="-81"/>
        </w:rPr>
      </w:r>
      <w:r>
        <w:rPr/>
        <w:t>高产品研发效率，以领先的产品为客户服务。继续深化与市场、销售、运营的组织协同，更 好更快地将新产品推向市场。配合营销提供更有价值和竞争力的服务解决方案，为客户持续 创造价值。</w:t>
      </w:r>
    </w:p>
    <w:p>
      <w:pPr>
        <w:pStyle w:val="BodyText"/>
        <w:spacing w:line="350" w:lineRule="auto"/>
        <w:ind w:right="1133" w:firstLine="480"/>
        <w:jc w:val="both"/>
      </w:pPr>
      <w:r>
        <w:rPr>
          <w:rFonts w:ascii="宋体" w:hAnsi="宋体" w:cs="宋体" w:eastAsia="宋体" w:hint="default"/>
          <w:spacing w:val="-3"/>
        </w:rPr>
        <w:t>3</w:t>
      </w:r>
      <w:r>
        <w:rPr>
          <w:spacing w:val="-3"/>
        </w:rPr>
        <w:t>、继续完善计划平台的责任分工，建立和完善计划、采购、生产制造的滚动计划；根据</w:t>
      </w:r>
      <w:r>
        <w:rPr/>
        <w:t> 公司业务规划情况确定对制造平台的需求，制定对应的规划与调整，提升制造平台的管理水 平。</w:t>
      </w:r>
    </w:p>
    <w:p>
      <w:pPr>
        <w:pStyle w:val="BodyText"/>
        <w:spacing w:line="240" w:lineRule="auto"/>
        <w:ind w:left="634" w:right="0"/>
        <w:jc w:val="left"/>
      </w:pPr>
      <w:r>
        <w:rPr>
          <w:rFonts w:ascii="宋体" w:hAnsi="宋体" w:cs="宋体" w:eastAsia="宋体" w:hint="default"/>
          <w:spacing w:val="-3"/>
        </w:rPr>
        <w:t>4</w:t>
      </w:r>
      <w:r>
        <w:rPr>
          <w:spacing w:val="-3"/>
        </w:rPr>
        <w:t>、稳步推进公司第一期员工持股计划的实施，传承核心价值观，推动高绩效文化；增加</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3" w:right="1033" w:hanging="480"/>
        <w:jc w:val="left"/>
      </w:pPr>
      <w:r>
        <w:rPr/>
        <w:t>企业文化活动，强化执行力、创新能力、加强团队建设。 </w:t>
      </w:r>
      <w:r>
        <w:rPr>
          <w:rFonts w:ascii="宋体" w:hAnsi="宋体" w:cs="宋体" w:eastAsia="宋体" w:hint="default"/>
        </w:rPr>
        <w:t>5</w:t>
      </w:r>
      <w:r>
        <w:rPr/>
        <w:t>、继续健全公司各项内部控制制度，建设企业内部控制规范体系，提升公司治理水平，</w:t>
      </w:r>
    </w:p>
    <w:p>
      <w:pPr>
        <w:pStyle w:val="BodyText"/>
        <w:spacing w:line="240" w:lineRule="auto"/>
        <w:ind w:right="0"/>
        <w:jc w:val="left"/>
      </w:pPr>
      <w:r>
        <w:rPr/>
        <w:t>提高规范运作水平和风险防范能力，加强信息披露和投资者关系管理，维护股东合法权益。</w:t>
      </w:r>
    </w:p>
    <w:p>
      <w:pPr>
        <w:pStyle w:val="BodyText"/>
        <w:spacing w:line="314" w:lineRule="auto" w:before="146"/>
        <w:ind w:left="633" w:right="1153" w:firstLine="2"/>
        <w:jc w:val="left"/>
      </w:pPr>
      <w:r>
        <w:rPr>
          <w:rFonts w:ascii="宋体" w:hAnsi="宋体" w:cs="宋体" w:eastAsia="宋体" w:hint="default"/>
          <w:b/>
          <w:bCs/>
        </w:rPr>
        <w:t>（五）资金需求计划</w:t>
      </w:r>
      <w:r>
        <w:rPr>
          <w:rFonts w:ascii="宋体" w:hAnsi="宋体" w:cs="宋体" w:eastAsia="宋体" w:hint="default"/>
          <w:b/>
          <w:bCs/>
          <w:w w:val="99"/>
        </w:rPr>
        <w:t> </w:t>
      </w:r>
      <w:r>
        <w:rPr/>
        <w:t>针对</w:t>
      </w:r>
      <w:r>
        <w:rPr>
          <w:rFonts w:ascii="宋体" w:hAnsi="宋体" w:cs="宋体" w:eastAsia="宋体" w:hint="default"/>
        </w:rPr>
        <w:t>2016</w:t>
      </w:r>
      <w:r>
        <w:rPr/>
        <w:t>年的资金使用及需求，公司将严格按照中国证监会和深圳证券交易所对募集资</w:t>
      </w:r>
    </w:p>
    <w:p>
      <w:pPr>
        <w:pStyle w:val="BodyText"/>
        <w:spacing w:line="357" w:lineRule="auto" w:before="79"/>
        <w:ind w:right="1003"/>
        <w:jc w:val="left"/>
      </w:pPr>
      <w:r>
        <w:rPr>
          <w:spacing w:val="-2"/>
        </w:rPr>
        <w:t>金的各项要求，规范公司</w:t>
      </w:r>
      <w:r>
        <w:rPr>
          <w:rFonts w:ascii="宋体" w:hAnsi="宋体" w:cs="宋体" w:eastAsia="宋体" w:hint="default"/>
          <w:spacing w:val="-2"/>
        </w:rPr>
        <w:t>2013</w:t>
      </w:r>
      <w:r>
        <w:rPr>
          <w:spacing w:val="-2"/>
        </w:rPr>
        <w:t>年非公开发行募集资金和</w:t>
      </w:r>
      <w:r>
        <w:rPr>
          <w:rFonts w:ascii="宋体" w:hAnsi="宋体" w:cs="宋体" w:eastAsia="宋体" w:hint="default"/>
          <w:spacing w:val="-2"/>
        </w:rPr>
        <w:t>2015</w:t>
      </w:r>
      <w:r>
        <w:rPr>
          <w:spacing w:val="-2"/>
        </w:rPr>
        <w:t>年第一期公司债募集资金的使用；</w:t>
      </w:r>
      <w:r>
        <w:rPr>
          <w:spacing w:val="-112"/>
        </w:rPr>
        <w:t> </w:t>
      </w:r>
      <w:r>
        <w:rPr/>
        <w:t>针对未来的资金需求，公司将通过银行信贷等多种形式筹集资金，另外公司已于</w:t>
      </w:r>
      <w:r>
        <w:rPr>
          <w:rFonts w:ascii="宋体" w:hAnsi="宋体" w:cs="宋体" w:eastAsia="宋体" w:hint="default"/>
        </w:rPr>
        <w:t>2015</w:t>
      </w:r>
      <w:r>
        <w:rPr/>
        <w:t>年启动 了</w:t>
      </w:r>
      <w:r>
        <w:rPr>
          <w:rFonts w:ascii="宋体" w:hAnsi="宋体" w:cs="宋体" w:eastAsia="宋体" w:hint="default"/>
        </w:rPr>
        <w:t>2015</w:t>
      </w:r>
      <w:r>
        <w:rPr/>
        <w:t>年非公开发行，计划募集</w:t>
      </w:r>
      <w:r>
        <w:rPr>
          <w:rFonts w:ascii="宋体" w:hAnsi="宋体" w:cs="宋体" w:eastAsia="宋体" w:hint="default"/>
        </w:rPr>
        <w:t>10.2</w:t>
      </w:r>
      <w:r>
        <w:rPr/>
        <w:t>亿元资金，用于支持公司未来业务的发展。</w:t>
      </w:r>
    </w:p>
    <w:p>
      <w:pPr>
        <w:pStyle w:val="Heading2"/>
        <w:spacing w:line="240" w:lineRule="auto" w:before="84"/>
        <w:ind w:right="1153"/>
        <w:jc w:val="left"/>
        <w:rPr>
          <w:b w:val="0"/>
          <w:bCs w:val="0"/>
        </w:rPr>
      </w:pPr>
      <w:r>
        <w:rPr/>
        <w:t>（六）可能面对的风险</w:t>
      </w:r>
      <w:r>
        <w:rPr>
          <w:b w:val="0"/>
          <w:bCs w:val="0"/>
        </w:rPr>
      </w:r>
    </w:p>
    <w:p>
      <w:pPr>
        <w:spacing w:line="350" w:lineRule="auto" w:before="146"/>
        <w:ind w:left="636" w:right="4153" w:hanging="3"/>
        <w:jc w:val="left"/>
        <w:rPr>
          <w:rFonts w:ascii="宋体" w:hAnsi="宋体" w:cs="宋体" w:eastAsia="宋体" w:hint="default"/>
          <w:sz w:val="24"/>
          <w:szCs w:val="24"/>
        </w:rPr>
      </w:pPr>
      <w:r>
        <w:rPr/>
        <w:pict>
          <v:shape style="position:absolute;margin-left:56.459999pt;margin-top:71.895607pt;width:479.25pt;height:413.3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1134"/>
                    <w:gridCol w:w="1701"/>
                    <w:gridCol w:w="4607"/>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53" w:right="0"/>
                          <w:jc w:val="left"/>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2015-001</w:t>
                        </w:r>
                        <w:r>
                          <w:rPr>
                            <w:rFonts w:ascii="宋体" w:hAnsi="宋体" w:cs="宋体" w:eastAsia="宋体" w:hint="default"/>
                            <w:sz w:val="21"/>
                            <w:szCs w:val="21"/>
                          </w:rPr>
                          <w:t>）</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2015-002</w:t>
                        </w:r>
                        <w:r>
                          <w:rPr>
                            <w:rFonts w:ascii="宋体" w:hAnsi="宋体" w:cs="宋体" w:eastAsia="宋体" w:hint="default"/>
                            <w:sz w:val="21"/>
                            <w:szCs w:val="21"/>
                          </w:rPr>
                          <w:t>）</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2015-003</w:t>
                        </w:r>
                        <w:r>
                          <w:rPr>
                            <w:rFonts w:ascii="宋体" w:hAnsi="宋体" w:cs="宋体" w:eastAsia="宋体" w:hint="default"/>
                            <w:sz w:val="21"/>
                            <w:szCs w:val="21"/>
                          </w:rPr>
                          <w:t>）</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2015-004</w:t>
                        </w:r>
                        <w:r>
                          <w:rPr>
                            <w:rFonts w:ascii="宋体" w:hAnsi="宋体" w:cs="宋体" w:eastAsia="宋体" w:hint="default"/>
                            <w:sz w:val="21"/>
                            <w:szCs w:val="21"/>
                          </w:rPr>
                          <w:t>）</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2015-005</w:t>
                        </w:r>
                        <w:r>
                          <w:rPr>
                            <w:rFonts w:ascii="宋体" w:hAnsi="宋体" w:cs="宋体" w:eastAsia="宋体" w:hint="default"/>
                            <w:sz w:val="21"/>
                            <w:szCs w:val="21"/>
                          </w:rPr>
                          <w:t>）</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2015-006</w:t>
                        </w:r>
                        <w:r>
                          <w:rPr>
                            <w:rFonts w:ascii="宋体" w:hAnsi="宋体" w:cs="宋体" w:eastAsia="宋体" w:hint="default"/>
                            <w:sz w:val="21"/>
                            <w:szCs w:val="21"/>
                          </w:rPr>
                          <w:t>）</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2015-007</w:t>
                        </w:r>
                        <w:r>
                          <w:rPr>
                            <w:rFonts w:ascii="宋体" w:hAnsi="宋体" w:cs="宋体" w:eastAsia="宋体" w:hint="default"/>
                            <w:sz w:val="21"/>
                            <w:szCs w:val="21"/>
                          </w:rPr>
                          <w:t>）</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2015-008</w:t>
                        </w:r>
                        <w:r>
                          <w:rPr>
                            <w:rFonts w:ascii="宋体" w:hAnsi="宋体" w:cs="宋体" w:eastAsia="宋体" w:hint="default"/>
                            <w:sz w:val="21"/>
                            <w:szCs w:val="21"/>
                          </w:rPr>
                          <w:t>）</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2015-009</w:t>
                        </w:r>
                        <w:r>
                          <w:rPr>
                            <w:rFonts w:ascii="宋体" w:hAnsi="宋体" w:cs="宋体" w:eastAsia="宋体" w:hint="default"/>
                            <w:sz w:val="21"/>
                            <w:szCs w:val="21"/>
                          </w:rPr>
                          <w:t>）</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09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2015-010</w:t>
                        </w:r>
                        <w:r>
                          <w:rPr>
                            <w:rFonts w:ascii="宋体" w:hAnsi="宋体" w:cs="宋体" w:eastAsia="宋体" w:hint="default"/>
                            <w:sz w:val="21"/>
                            <w:szCs w:val="21"/>
                          </w:rPr>
                          <w:t>）</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2015-011</w:t>
                        </w:r>
                        <w:r>
                          <w:rPr>
                            <w:rFonts w:ascii="宋体" w:hAnsi="宋体" w:cs="宋体" w:eastAsia="宋体" w:hint="default"/>
                            <w:sz w:val="21"/>
                            <w:szCs w:val="21"/>
                          </w:rPr>
                          <w:t>）</w:t>
                        </w:r>
                      </w:p>
                    </w:tc>
                  </w:tr>
                </w:tbl>
                <w:p>
                  <w:pPr/>
                </w:p>
              </w:txbxContent>
            </v:textbox>
            <w10:wrap type="none"/>
          </v:shape>
        </w:pict>
      </w:r>
      <w:r>
        <w:rPr>
          <w:rFonts w:ascii="宋体" w:hAnsi="宋体" w:cs="宋体" w:eastAsia="宋体" w:hint="default"/>
          <w:sz w:val="24"/>
          <w:szCs w:val="24"/>
        </w:rPr>
        <w:t>详见“第一节 重要提示、目录和释义”中所列风险因素。 </w:t>
      </w:r>
      <w:r>
        <w:rPr>
          <w:rFonts w:ascii="宋体" w:hAnsi="宋体" w:cs="宋体" w:eastAsia="宋体" w:hint="default"/>
          <w:b/>
          <w:bCs/>
          <w:sz w:val="24"/>
          <w:szCs w:val="24"/>
        </w:rPr>
        <w:t>十、接待调研、沟通、采访等活动</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、报告期内接待调研、沟通、采访等活动登记表</w:t>
      </w:r>
      <w:r>
        <w:rPr>
          <w:rFonts w:ascii="宋体" w:hAnsi="宋体" w:cs="宋体" w:eastAsia="宋体" w:hint="default"/>
          <w:sz w:val="24"/>
          <w:szCs w:val="24"/>
        </w:rPr>
      </w:r>
    </w:p>
    <w:p>
      <w:pPr>
        <w:spacing w:after="0" w:line="350"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128"/>
        <w:gridCol w:w="1134"/>
        <w:gridCol w:w="1701"/>
        <w:gridCol w:w="4607"/>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2015-012</w:t>
            </w:r>
            <w:r>
              <w:rPr>
                <w:rFonts w:ascii="宋体" w:hAnsi="宋体" w:cs="宋体" w:eastAsia="宋体" w:hint="default"/>
                <w:sz w:val="21"/>
                <w:szCs w:val="21"/>
              </w:rPr>
              <w:t>）</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2015-013</w:t>
            </w:r>
            <w:r>
              <w:rPr>
                <w:rFonts w:ascii="宋体" w:hAnsi="宋体" w:cs="宋体" w:eastAsia="宋体" w:hint="default"/>
                <w:sz w:val="21"/>
                <w:szCs w:val="21"/>
              </w:rPr>
              <w:t>）</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详见深圳证券交易所投资者关系互动平台《投资者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关系活动记录表》（</w:t>
            </w:r>
            <w:r>
              <w:rPr>
                <w:rFonts w:ascii="Times New Roman" w:hAnsi="Times New Roman" w:cs="Times New Roman" w:eastAsia="Times New Roman" w:hint="default"/>
                <w:sz w:val="21"/>
                <w:szCs w:val="21"/>
              </w:rPr>
              <w:t>2015-014</w:t>
            </w:r>
            <w:r>
              <w:rPr>
                <w:rFonts w:ascii="宋体" w:hAnsi="宋体" w:cs="宋体" w:eastAsia="宋体" w:hint="default"/>
                <w:sz w:val="21"/>
                <w:szCs w:val="21"/>
              </w:rPr>
              <w:t>）</w:t>
            </w:r>
          </w:p>
        </w:tc>
      </w:tr>
    </w:tbl>
    <w:p>
      <w:pPr>
        <w:spacing w:line="240" w:lineRule="auto" w:before="10"/>
        <w:rPr>
          <w:rFonts w:ascii="宋体" w:hAnsi="宋体" w:cs="宋体" w:eastAsia="宋体" w:hint="default"/>
          <w:b/>
          <w:bCs/>
          <w:sz w:val="4"/>
          <w:szCs w:val="4"/>
        </w:rPr>
      </w:pPr>
    </w:p>
    <w:p>
      <w:pPr>
        <w:pStyle w:val="Heading2"/>
        <w:spacing w:line="240" w:lineRule="auto"/>
        <w:ind w:right="1153"/>
        <w:jc w:val="left"/>
        <w:rPr>
          <w:b w:val="0"/>
          <w:bCs w:val="0"/>
        </w:rPr>
      </w:pP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1"/>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1985"/>
        <w:gridCol w:w="1417"/>
        <w:gridCol w:w="1844"/>
        <w:gridCol w:w="4324"/>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4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11" w:right="0"/>
              <w:jc w:val="left"/>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机构</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9"/>
              <w:jc w:val="left"/>
              <w:rPr>
                <w:rFonts w:ascii="宋体" w:hAnsi="宋体" w:cs="宋体" w:eastAsia="宋体" w:hint="default"/>
                <w:sz w:val="21"/>
                <w:szCs w:val="21"/>
              </w:rPr>
            </w:pPr>
            <w:r>
              <w:rPr>
                <w:rFonts w:ascii="宋体" w:hAnsi="宋体" w:cs="宋体" w:eastAsia="宋体" w:hint="default"/>
                <w:sz w:val="21"/>
                <w:szCs w:val="21"/>
              </w:rPr>
              <w:t>详见深圳证券交易所投资者关系互动平台《投 资者关系活动记录表》（</w:t>
            </w:r>
            <w:r>
              <w:rPr>
                <w:rFonts w:ascii="Times New Roman" w:hAnsi="Times New Roman" w:cs="Times New Roman" w:eastAsia="Times New Roman" w:hint="default"/>
                <w:sz w:val="21"/>
                <w:szCs w:val="21"/>
              </w:rPr>
              <w:t>2016-001</w:t>
            </w:r>
            <w:r>
              <w:rPr>
                <w:rFonts w:ascii="宋体" w:hAnsi="宋体" w:cs="宋体" w:eastAsia="宋体" w:hint="default"/>
                <w:sz w:val="21"/>
                <w:szCs w:val="21"/>
              </w:rPr>
              <w:t>）</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机构</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9"/>
              <w:jc w:val="left"/>
              <w:rPr>
                <w:rFonts w:ascii="宋体" w:hAnsi="宋体" w:cs="宋体" w:eastAsia="宋体" w:hint="default"/>
                <w:sz w:val="21"/>
                <w:szCs w:val="21"/>
              </w:rPr>
            </w:pPr>
            <w:r>
              <w:rPr>
                <w:rFonts w:ascii="宋体" w:hAnsi="宋体" w:cs="宋体" w:eastAsia="宋体" w:hint="default"/>
                <w:sz w:val="21"/>
                <w:szCs w:val="21"/>
              </w:rPr>
              <w:t>详见深圳证券交易所投资者关系互动平台《投 资者关系活动记录表》（</w:t>
            </w:r>
            <w:r>
              <w:rPr>
                <w:rFonts w:ascii="Times New Roman" w:hAnsi="Times New Roman" w:cs="Times New Roman" w:eastAsia="Times New Roman" w:hint="default"/>
                <w:sz w:val="21"/>
                <w:szCs w:val="21"/>
              </w:rPr>
              <w:t>2016-002</w:t>
            </w:r>
            <w:r>
              <w:rPr>
                <w:rFonts w:ascii="宋体" w:hAnsi="宋体" w:cs="宋体" w:eastAsia="宋体" w:hint="default"/>
                <w:sz w:val="21"/>
                <w:szCs w:val="21"/>
              </w:rPr>
              <w:t>）</w:t>
            </w:r>
          </w:p>
        </w:tc>
      </w:tr>
    </w:tbl>
    <w:p>
      <w:pPr>
        <w:spacing w:after="0" w:line="27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3763"/>
        <w:jc w:val="center"/>
        <w:rPr>
          <w:b w:val="0"/>
          <w:bCs w:val="0"/>
        </w:rPr>
      </w:pPr>
      <w:bookmarkStart w:name="第五节 重要事项" w:id="9"/>
      <w:bookmarkEnd w:id="9"/>
      <w:r>
        <w:rPr>
          <w:b w:val="0"/>
          <w:bCs w:val="0"/>
        </w:rPr>
      </w:r>
      <w:bookmarkStart w:name="_bookmark4" w:id="10"/>
      <w:bookmarkEnd w:id="10"/>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32"/>
          <w:szCs w:val="32"/>
        </w:rPr>
      </w:pPr>
    </w:p>
    <w:p>
      <w:pPr>
        <w:spacing w:line="350" w:lineRule="auto" w:before="215"/>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报告期内，公司实行持续、稳定的利润分配政策，分红政策的制定及执行符合公司章程</w:t>
      </w:r>
    </w:p>
    <w:p>
      <w:pPr>
        <w:pStyle w:val="BodyText"/>
        <w:spacing w:line="350" w:lineRule="auto"/>
        <w:ind w:right="1170"/>
        <w:jc w:val="both"/>
      </w:pPr>
      <w:r>
        <w:rPr/>
        <w:t>的规定及股东大会决议的要求，分红标准和比例明确、清晰，相关的决策程序和机制完备， 独立董事尽职尽责并充分发挥了作用，公司的利润分配预案均提交股东大会进行审议，中小 股东拥有充分表达意见和诉求的机会，其合法权益得到了充分保护。报告期内，公司共实施 了一次利润分配，并制定了</w:t>
      </w:r>
      <w:r>
        <w:rPr>
          <w:spacing w:val="-60"/>
        </w:rPr>
        <w:t> </w:t>
      </w:r>
      <w:r>
        <w:rPr>
          <w:rFonts w:ascii="宋体" w:hAnsi="宋体" w:cs="宋体" w:eastAsia="宋体" w:hint="default"/>
        </w:rPr>
        <w:t>2015-2017</w:t>
      </w:r>
      <w:r>
        <w:rPr>
          <w:rFonts w:ascii="宋体" w:hAnsi="宋体" w:cs="宋体" w:eastAsia="宋体" w:hint="default"/>
          <w:spacing w:val="-60"/>
        </w:rPr>
        <w:t> </w:t>
      </w:r>
      <w:r>
        <w:rPr/>
        <w:t>年股东回报规划，具体情况如下：</w:t>
      </w:r>
    </w:p>
    <w:p>
      <w:pPr>
        <w:pStyle w:val="BodyText"/>
        <w:spacing w:line="350" w:lineRule="auto" w:before="35"/>
        <w:ind w:right="1117" w:firstLine="480"/>
        <w:jc w:val="left"/>
      </w:pPr>
      <w:r>
        <w:rPr>
          <w:rFonts w:ascii="宋体" w:hAnsi="宋体" w:cs="宋体" w:eastAsia="宋体" w:hint="default"/>
          <w:spacing w:val="-5"/>
        </w:rPr>
        <w:t>1</w:t>
      </w:r>
      <w:r>
        <w:rPr>
          <w:spacing w:val="-5"/>
        </w:rPr>
        <w:t>、</w:t>
      </w:r>
      <w:r>
        <w:rPr>
          <w:rFonts w:ascii="宋体" w:hAnsi="宋体" w:cs="宋体" w:eastAsia="宋体" w:hint="default"/>
          <w:spacing w:val="-5"/>
        </w:rPr>
        <w:t>2015</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20</w:t>
      </w:r>
      <w:r>
        <w:rPr>
          <w:rFonts w:ascii="宋体" w:hAnsi="宋体" w:cs="宋体" w:eastAsia="宋体" w:hint="default"/>
          <w:spacing w:val="-57"/>
        </w:rPr>
        <w:t> </w:t>
      </w:r>
      <w:r>
        <w:rPr>
          <w:spacing w:val="-3"/>
        </w:rPr>
        <w:t>日，公司第五届董事会第九次会议审议通过了《</w:t>
      </w:r>
      <w:r>
        <w:rPr>
          <w:rFonts w:ascii="宋体" w:hAnsi="宋体" w:cs="宋体" w:eastAsia="宋体" w:hint="default"/>
          <w:spacing w:val="-3"/>
        </w:rPr>
        <w:t>2014</w:t>
      </w:r>
      <w:r>
        <w:rPr>
          <w:rFonts w:ascii="宋体" w:hAnsi="宋体" w:cs="宋体" w:eastAsia="宋体" w:hint="default"/>
          <w:spacing w:val="-57"/>
        </w:rPr>
        <w:t> </w:t>
      </w:r>
      <w:r>
        <w:rPr/>
        <w:t>年度利润分配预 </w:t>
      </w:r>
      <w:r>
        <w:rPr>
          <w:spacing w:val="-12"/>
        </w:rPr>
        <w:t>案》，并于</w:t>
      </w:r>
      <w:r>
        <w:rPr>
          <w:spacing w:val="-63"/>
        </w:rPr>
        <w:t> </w:t>
      </w:r>
      <w:r>
        <w:rPr>
          <w:rFonts w:ascii="宋体" w:hAnsi="宋体" w:cs="宋体" w:eastAsia="宋体" w:hint="default"/>
        </w:rPr>
        <w:t>2015</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14</w:t>
      </w:r>
      <w:r>
        <w:rPr>
          <w:rFonts w:ascii="宋体" w:hAnsi="宋体" w:cs="宋体" w:eastAsia="宋体" w:hint="default"/>
          <w:spacing w:val="-63"/>
        </w:rPr>
        <w:t> </w:t>
      </w:r>
      <w:r>
        <w:rPr/>
        <w:t>日通过了</w:t>
      </w:r>
      <w:r>
        <w:rPr>
          <w:spacing w:val="-63"/>
        </w:rPr>
        <w:t> </w:t>
      </w:r>
      <w:r>
        <w:rPr>
          <w:rFonts w:ascii="宋体" w:hAnsi="宋体" w:cs="宋体" w:eastAsia="宋体" w:hint="default"/>
        </w:rPr>
        <w:t>2014</w:t>
      </w:r>
      <w:r>
        <w:rPr>
          <w:rFonts w:ascii="宋体" w:hAnsi="宋体" w:cs="宋体" w:eastAsia="宋体" w:hint="default"/>
          <w:spacing w:val="-63"/>
        </w:rPr>
        <w:t> </w:t>
      </w:r>
      <w:r>
        <w:rPr/>
        <w:t>年度股东大会。根据公司的未来的发展需要结合当</w:t>
      </w:r>
    </w:p>
    <w:p>
      <w:pPr>
        <w:pStyle w:val="BodyText"/>
        <w:spacing w:line="240" w:lineRule="auto"/>
        <w:ind w:left="154" w:right="0"/>
        <w:jc w:val="both"/>
      </w:pPr>
      <w:r>
        <w:rPr/>
        <w:t>时公司的实际情况，</w:t>
      </w:r>
      <w:r>
        <w:rPr>
          <w:rFonts w:ascii="宋体" w:hAnsi="宋体" w:cs="宋体" w:eastAsia="宋体" w:hint="default"/>
        </w:rPr>
        <w:t>2014</w:t>
      </w:r>
      <w:r>
        <w:rPr>
          <w:rFonts w:ascii="宋体" w:hAnsi="宋体" w:cs="宋体" w:eastAsia="宋体" w:hint="default"/>
          <w:spacing w:val="-60"/>
        </w:rPr>
        <w:t> </w:t>
      </w:r>
      <w:r>
        <w:rPr/>
        <w:t>年度的利润分配方案为：以</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日的公司总股本</w:t>
      </w:r>
    </w:p>
    <w:p>
      <w:pPr>
        <w:pStyle w:val="BodyText"/>
        <w:spacing w:line="240" w:lineRule="auto" w:before="145"/>
        <w:ind w:right="0"/>
        <w:jc w:val="both"/>
      </w:pPr>
      <w:r>
        <w:rPr>
          <w:rFonts w:ascii="宋体" w:hAnsi="宋体" w:cs="宋体" w:eastAsia="宋体" w:hint="default"/>
        </w:rPr>
        <w:t>376,656,420</w:t>
      </w:r>
      <w:r>
        <w:rPr>
          <w:rFonts w:ascii="宋体" w:hAnsi="宋体" w:cs="宋体" w:eastAsia="宋体" w:hint="default"/>
          <w:spacing w:val="-65"/>
        </w:rPr>
        <w:t> </w:t>
      </w:r>
      <w:r>
        <w:rPr/>
        <w:t>股为基数，向全体股东每</w:t>
      </w:r>
      <w:r>
        <w:rPr>
          <w:spacing w:val="-65"/>
        </w:rPr>
        <w:t> </w:t>
      </w:r>
      <w:r>
        <w:rPr>
          <w:rFonts w:ascii="宋体" w:hAnsi="宋体" w:cs="宋体" w:eastAsia="宋体" w:hint="default"/>
        </w:rPr>
        <w:t>10</w:t>
      </w:r>
      <w:r>
        <w:rPr>
          <w:rFonts w:ascii="宋体" w:hAnsi="宋体" w:cs="宋体" w:eastAsia="宋体" w:hint="default"/>
          <w:spacing w:val="-65"/>
        </w:rPr>
        <w:t> </w:t>
      </w:r>
      <w:r>
        <w:rPr/>
        <w:t>股派发现金红利</w:t>
      </w:r>
      <w:r>
        <w:rPr>
          <w:spacing w:val="-65"/>
        </w:rPr>
        <w:t> </w:t>
      </w:r>
      <w:r>
        <w:rPr>
          <w:rFonts w:ascii="宋体" w:hAnsi="宋体" w:cs="宋体" w:eastAsia="宋体" w:hint="default"/>
        </w:rPr>
        <w:t>0.3</w:t>
      </w:r>
      <w:r>
        <w:rPr>
          <w:rFonts w:ascii="宋体" w:hAnsi="宋体" w:cs="宋体" w:eastAsia="宋体" w:hint="default"/>
          <w:spacing w:val="-65"/>
        </w:rPr>
        <w:t> </w:t>
      </w:r>
      <w:r>
        <w:rPr/>
        <w:t>元（含税），不送红股，不以</w:t>
      </w:r>
    </w:p>
    <w:p>
      <w:pPr>
        <w:pStyle w:val="BodyText"/>
        <w:spacing w:line="240" w:lineRule="auto" w:before="145"/>
        <w:ind w:right="0"/>
        <w:jc w:val="both"/>
      </w:pPr>
      <w:r>
        <w:rPr/>
        <w:t>公积金转增股本。该次利润分配方案于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日实施完毕。</w:t>
      </w:r>
    </w:p>
    <w:p>
      <w:pPr>
        <w:pStyle w:val="BodyText"/>
        <w:spacing w:line="350" w:lineRule="auto" w:before="146"/>
        <w:ind w:right="1213" w:firstLine="480"/>
        <w:jc w:val="left"/>
      </w:pPr>
      <w:r>
        <w:rPr/>
        <w:pict>
          <v:shape style="position:absolute;margin-left:58.77pt;margin-top:48.905621pt;width:478.65pt;height:141.2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92"/>
                    <w:gridCol w:w="2067"/>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2"/>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2" w:hRule="exact"/>
                    </w:trPr>
                    <w:tc>
                      <w:tcPr>
                        <w:tcW w:w="7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2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917"/>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2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917"/>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2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917"/>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2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917"/>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2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917"/>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7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2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917"/>
                          <w:jc w:val="right"/>
                          <w:rPr>
                            <w:rFonts w:ascii="宋体" w:hAnsi="宋体" w:cs="宋体" w:eastAsia="宋体" w:hint="default"/>
                            <w:sz w:val="21"/>
                            <w:szCs w:val="21"/>
                          </w:rPr>
                        </w:pPr>
                        <w:r>
                          <w:rPr>
                            <w:rFonts w:ascii="宋体" w:hAnsi="宋体" w:cs="宋体" w:eastAsia="宋体" w:hint="default"/>
                            <w:sz w:val="21"/>
                            <w:szCs w:val="21"/>
                          </w:rPr>
                          <w:t>是</w:t>
                        </w:r>
                      </w:p>
                    </w:tc>
                  </w:tr>
                </w:tbl>
                <w:p>
                  <w:pPr/>
                </w:p>
              </w:txbxContent>
            </v:textbox>
            <w10:wrap type="none"/>
          </v:shape>
        </w:pict>
      </w: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t>日公司召开第五届董事会第十四次会议，审议通过了《未来三年股 东回报规划（</w:t>
      </w:r>
      <w:r>
        <w:rPr>
          <w:rFonts w:ascii="宋体" w:hAnsi="宋体" w:cs="宋体" w:eastAsia="宋体" w:hint="default"/>
        </w:rPr>
        <w:t>2015</w:t>
      </w:r>
      <w:r>
        <w:rPr>
          <w:rFonts w:ascii="宋体" w:hAnsi="宋体" w:cs="宋体" w:eastAsia="宋体" w:hint="default"/>
          <w:spacing w:val="-60"/>
        </w:rPr>
        <w:t> </w:t>
      </w:r>
      <w:r>
        <w:rPr/>
        <w:t>年</w:t>
      </w:r>
      <w:r>
        <w:rPr>
          <w:rFonts w:ascii="宋体" w:hAnsi="宋体" w:cs="宋体" w:eastAsia="宋体" w:hint="default"/>
        </w:rPr>
        <w:t>-2017</w:t>
      </w:r>
      <w:r>
        <w:rPr>
          <w:rFonts w:ascii="宋体" w:hAnsi="宋体" w:cs="宋体" w:eastAsia="宋体" w:hint="default"/>
          <w:spacing w:val="-60"/>
        </w:rPr>
        <w:t> </w:t>
      </w:r>
      <w:r>
        <w:rPr/>
        <w:t>年）》，并经公司</w:t>
      </w:r>
      <w:r>
        <w:rPr>
          <w:spacing w:val="-60"/>
        </w:rPr>
        <w:t> </w:t>
      </w:r>
      <w:r>
        <w:rPr>
          <w:rFonts w:ascii="宋体" w:hAnsi="宋体" w:cs="宋体" w:eastAsia="宋体" w:hint="default"/>
        </w:rPr>
        <w:t>2015</w:t>
      </w:r>
      <w:r>
        <w:rPr>
          <w:rFonts w:ascii="宋体" w:hAnsi="宋体" w:cs="宋体" w:eastAsia="宋体" w:hint="default"/>
          <w:spacing w:val="-60"/>
        </w:rPr>
        <w:t> </w:t>
      </w:r>
      <w:r>
        <w:rPr/>
        <w:t>年第一次临时股东大会审议通过。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350" w:lineRule="auto" w:before="26"/>
        <w:ind w:right="1153" w:firstLine="480"/>
        <w:jc w:val="left"/>
      </w:pPr>
      <w:r>
        <w:rPr/>
        <w:t>公司近</w:t>
      </w:r>
      <w:r>
        <w:rPr>
          <w:spacing w:val="-60"/>
        </w:rPr>
        <w:t> </w:t>
      </w:r>
      <w:r>
        <w:rPr>
          <w:rFonts w:ascii="宋体" w:hAnsi="宋体" w:cs="宋体" w:eastAsia="宋体" w:hint="default"/>
        </w:rPr>
        <w:t>3</w:t>
      </w:r>
      <w:r>
        <w:rPr>
          <w:rFonts w:ascii="宋体" w:hAnsi="宋体" w:cs="宋体" w:eastAsia="宋体" w:hint="default"/>
          <w:spacing w:val="-60"/>
        </w:rPr>
        <w:t> </w:t>
      </w:r>
      <w:r>
        <w:rPr/>
        <w:t>年（包括本报告期）的普通股股利分配方案（预案）、资本公积金转增股本方 案（预案）情况：</w:t>
      </w:r>
    </w:p>
    <w:p>
      <w:pPr>
        <w:pStyle w:val="BodyText"/>
        <w:spacing w:line="240" w:lineRule="auto" w:before="35"/>
        <w:ind w:left="633" w:right="0"/>
        <w:jc w:val="left"/>
      </w:pPr>
      <w:r>
        <w:rPr>
          <w:rFonts w:ascii="宋体" w:hAnsi="宋体" w:cs="宋体" w:eastAsia="宋体" w:hint="default"/>
        </w:rPr>
        <w:t>1</w:t>
      </w:r>
      <w:r>
        <w:rPr/>
        <w:t>、</w:t>
      </w:r>
      <w:r>
        <w:rPr>
          <w:rFonts w:ascii="宋体" w:hAnsi="宋体" w:cs="宋体" w:eastAsia="宋体" w:hint="default"/>
        </w:rPr>
        <w:t>2013</w:t>
      </w:r>
      <w:r>
        <w:rPr>
          <w:rFonts w:ascii="宋体" w:hAnsi="宋体" w:cs="宋体" w:eastAsia="宋体" w:hint="default"/>
          <w:spacing w:val="-63"/>
        </w:rPr>
        <w:t> </w:t>
      </w:r>
      <w:r>
        <w:rPr/>
        <w:t>年度利润分配方案为：以</w:t>
      </w:r>
      <w:r>
        <w:rPr>
          <w:spacing w:val="-63"/>
        </w:rPr>
        <w:t> </w:t>
      </w:r>
      <w:r>
        <w:rPr>
          <w:rFonts w:ascii="宋体" w:hAnsi="宋体" w:cs="宋体" w:eastAsia="宋体" w:hint="default"/>
        </w:rPr>
        <w:t>2013</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日的公司总股本</w:t>
      </w:r>
      <w:r>
        <w:rPr>
          <w:spacing w:val="-63"/>
        </w:rPr>
        <w:t> </w:t>
      </w:r>
      <w:r>
        <w:rPr>
          <w:rFonts w:ascii="宋体" w:hAnsi="宋体" w:cs="宋体" w:eastAsia="宋体" w:hint="default"/>
        </w:rPr>
        <w:t>221,562,600</w:t>
      </w:r>
      <w:r>
        <w:rPr>
          <w:rFonts w:ascii="宋体" w:hAnsi="宋体" w:cs="宋体" w:eastAsia="宋体" w:hint="default"/>
          <w:spacing w:val="-63"/>
        </w:rPr>
        <w:t> </w:t>
      </w:r>
      <w:r>
        <w:rPr/>
        <w:t>股为基</w:t>
      </w:r>
    </w:p>
    <w:p>
      <w:pPr>
        <w:pStyle w:val="BodyText"/>
        <w:spacing w:line="240" w:lineRule="auto" w:before="146"/>
        <w:ind w:right="0"/>
        <w:jc w:val="left"/>
      </w:pPr>
      <w:r>
        <w:rPr/>
        <w:t>数，向全体股东每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0"/>
        </w:rPr>
        <w:t> </w:t>
      </w:r>
      <w:r>
        <w:rPr>
          <w:rFonts w:ascii="宋体" w:hAnsi="宋体" w:cs="宋体" w:eastAsia="宋体" w:hint="default"/>
        </w:rPr>
        <w:t>2.80</w:t>
      </w:r>
      <w:r>
        <w:rPr>
          <w:rFonts w:ascii="宋体" w:hAnsi="宋体" w:cs="宋体" w:eastAsia="宋体" w:hint="default"/>
          <w:spacing w:val="-60"/>
        </w:rPr>
        <w:t> </w:t>
      </w:r>
      <w:r>
        <w:rPr/>
        <w:t>元（含税），不送红股，不以公积金转增股本。</w:t>
      </w:r>
    </w:p>
    <w:p>
      <w:pPr>
        <w:pStyle w:val="BodyText"/>
        <w:spacing w:line="240" w:lineRule="auto" w:before="145"/>
        <w:ind w:left="633" w:right="1153"/>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60"/>
        </w:rPr>
        <w:t> </w:t>
      </w:r>
      <w:r>
        <w:rPr/>
        <w:t>年中期利润分配方案为：以截至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日公司总股本</w:t>
      </w:r>
      <w:r>
        <w:rPr>
          <w:spacing w:val="-60"/>
        </w:rPr>
        <w:t> </w:t>
      </w:r>
      <w:r>
        <w:rPr>
          <w:rFonts w:ascii="宋体" w:hAnsi="宋体" w:cs="宋体" w:eastAsia="宋体" w:hint="default"/>
        </w:rPr>
        <w:t>221,562,600</w:t>
      </w:r>
      <w:r>
        <w:rPr>
          <w:rFonts w:ascii="宋体" w:hAnsi="宋体" w:cs="宋体" w:eastAsia="宋体" w:hint="default"/>
          <w:spacing w:val="-60"/>
        </w:rPr>
        <w:t> </w:t>
      </w:r>
      <w:r>
        <w:rPr/>
        <w:t>股</w:t>
      </w:r>
    </w:p>
    <w:p>
      <w:pPr>
        <w:pStyle w:val="BodyText"/>
        <w:spacing w:line="240" w:lineRule="auto" w:before="146"/>
        <w:ind w:right="0"/>
        <w:jc w:val="left"/>
      </w:pPr>
      <w:r>
        <w:rPr/>
        <w:t>为基数，以资本公积金向全体股东每</w:t>
      </w:r>
      <w:r>
        <w:rPr>
          <w:spacing w:val="-65"/>
        </w:rPr>
        <w:t> </w:t>
      </w:r>
      <w:r>
        <w:rPr>
          <w:rFonts w:ascii="宋体" w:hAnsi="宋体" w:cs="宋体" w:eastAsia="宋体" w:hint="default"/>
        </w:rPr>
        <w:t>10</w:t>
      </w:r>
      <w:r>
        <w:rPr>
          <w:rFonts w:ascii="宋体" w:hAnsi="宋体" w:cs="宋体" w:eastAsia="宋体" w:hint="default"/>
          <w:spacing w:val="-65"/>
        </w:rPr>
        <w:t> </w:t>
      </w:r>
      <w:r>
        <w:rPr/>
        <w:t>股转增</w:t>
      </w:r>
      <w:r>
        <w:rPr>
          <w:spacing w:val="-65"/>
        </w:rPr>
        <w:t> </w:t>
      </w:r>
      <w:r>
        <w:rPr>
          <w:rFonts w:ascii="宋体" w:hAnsi="宋体" w:cs="宋体" w:eastAsia="宋体" w:hint="default"/>
        </w:rPr>
        <w:t>7</w:t>
      </w:r>
      <w:r>
        <w:rPr>
          <w:rFonts w:ascii="宋体" w:hAnsi="宋体" w:cs="宋体" w:eastAsia="宋体" w:hint="default"/>
          <w:spacing w:val="-65"/>
        </w:rPr>
        <w:t> </w:t>
      </w:r>
      <w:r>
        <w:rPr>
          <w:spacing w:val="-5"/>
        </w:rPr>
        <w:t>股，合计转增</w:t>
      </w:r>
      <w:r>
        <w:rPr>
          <w:spacing w:val="-65"/>
        </w:rPr>
        <w:t> </w:t>
      </w:r>
      <w:r>
        <w:rPr>
          <w:rFonts w:ascii="宋体" w:hAnsi="宋体" w:cs="宋体" w:eastAsia="宋体" w:hint="default"/>
        </w:rPr>
        <w:t>155,093,820</w:t>
      </w:r>
      <w:r>
        <w:rPr>
          <w:rFonts w:ascii="宋体" w:hAnsi="宋体" w:cs="宋体" w:eastAsia="宋体" w:hint="default"/>
          <w:spacing w:val="-65"/>
        </w:rPr>
        <w:t> </w:t>
      </w:r>
      <w:r>
        <w:rPr>
          <w:spacing w:val="-4"/>
        </w:rPr>
        <w:t>股，本次转增完</w:t>
      </w:r>
    </w:p>
    <w:p>
      <w:pPr>
        <w:pStyle w:val="BodyText"/>
        <w:spacing w:line="240" w:lineRule="auto" w:before="146"/>
        <w:ind w:right="1153"/>
        <w:jc w:val="left"/>
      </w:pPr>
      <w:r>
        <w:rPr/>
        <w:t>成后公司总股本将增加至</w:t>
      </w:r>
      <w:r>
        <w:rPr>
          <w:spacing w:val="-60"/>
        </w:rPr>
        <w:t> </w:t>
      </w:r>
      <w:r>
        <w:rPr>
          <w:rFonts w:ascii="宋体" w:hAnsi="宋体" w:cs="宋体" w:eastAsia="宋体" w:hint="default"/>
        </w:rPr>
        <w:t>376,656,420</w:t>
      </w:r>
      <w:r>
        <w:rPr>
          <w:rFonts w:ascii="宋体" w:hAnsi="宋体" w:cs="宋体" w:eastAsia="宋体" w:hint="default"/>
          <w:spacing w:val="-60"/>
        </w:rPr>
        <w:t> </w:t>
      </w:r>
      <w:r>
        <w:rPr/>
        <w:t>股；本次分配不送红股、不进行现金分红。</w:t>
      </w:r>
    </w:p>
    <w:p>
      <w:pPr>
        <w:pStyle w:val="BodyText"/>
        <w:spacing w:line="240" w:lineRule="auto" w:before="145"/>
        <w:ind w:left="633" w:right="0"/>
        <w:jc w:val="left"/>
      </w:pPr>
      <w:r>
        <w:rPr>
          <w:rFonts w:ascii="宋体" w:hAnsi="宋体" w:cs="宋体" w:eastAsia="宋体" w:hint="default"/>
          <w:spacing w:val="-12"/>
        </w:rPr>
        <w:t>3</w:t>
      </w:r>
      <w:r>
        <w:rPr>
          <w:spacing w:val="-12"/>
        </w:rPr>
        <w:t>、</w:t>
      </w:r>
      <w:r>
        <w:rPr>
          <w:rFonts w:ascii="宋体" w:hAnsi="宋体" w:cs="宋体" w:eastAsia="宋体" w:hint="default"/>
          <w:spacing w:val="-12"/>
        </w:rPr>
        <w:t>2014</w:t>
      </w:r>
      <w:r>
        <w:rPr>
          <w:rFonts w:ascii="宋体" w:hAnsi="宋体" w:cs="宋体" w:eastAsia="宋体" w:hint="default"/>
          <w:spacing w:val="-60"/>
        </w:rPr>
        <w:t> </w:t>
      </w:r>
      <w:r>
        <w:rPr>
          <w:spacing w:val="-6"/>
        </w:rPr>
        <w:t>年度利润分配方案为：以公司</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日总股本</w:t>
      </w:r>
      <w:r>
        <w:rPr>
          <w:spacing w:val="-60"/>
        </w:rPr>
        <w:t> </w:t>
      </w:r>
      <w:r>
        <w:rPr>
          <w:rFonts w:ascii="宋体" w:hAnsi="宋体" w:cs="宋体" w:eastAsia="宋体" w:hint="default"/>
        </w:rPr>
        <w:t>376,656,420</w:t>
      </w:r>
      <w:r>
        <w:rPr>
          <w:rFonts w:ascii="宋体" w:hAnsi="宋体" w:cs="宋体" w:eastAsia="宋体" w:hint="default"/>
          <w:spacing w:val="-60"/>
        </w:rPr>
        <w:t> </w:t>
      </w:r>
      <w:r>
        <w:rPr/>
        <w:t>股为基数，</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154" w:right="1153"/>
        <w:jc w:val="left"/>
      </w:pPr>
      <w:r>
        <w:rPr/>
        <w:t>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0"/>
        </w:rPr>
        <w:t> </w:t>
      </w:r>
      <w:r>
        <w:rPr>
          <w:rFonts w:ascii="宋体" w:hAnsi="宋体" w:cs="宋体" w:eastAsia="宋体" w:hint="default"/>
        </w:rPr>
        <w:t>0.30</w:t>
      </w:r>
      <w:r>
        <w:rPr>
          <w:rFonts w:ascii="宋体" w:hAnsi="宋体" w:cs="宋体" w:eastAsia="宋体" w:hint="default"/>
          <w:spacing w:val="-60"/>
        </w:rPr>
        <w:t> </w:t>
      </w:r>
      <w:r>
        <w:rPr/>
        <w:t>元（含税），不送红股，不以公积金转增股本。</w:t>
      </w:r>
    </w:p>
    <w:p>
      <w:pPr>
        <w:pStyle w:val="BodyText"/>
        <w:spacing w:line="240" w:lineRule="auto" w:before="145"/>
        <w:ind w:left="633" w:right="0"/>
        <w:jc w:val="left"/>
      </w:pPr>
      <w:r>
        <w:rPr>
          <w:rFonts w:ascii="宋体" w:hAnsi="宋体" w:cs="宋体" w:eastAsia="宋体" w:hint="default"/>
          <w:spacing w:val="-12"/>
        </w:rPr>
        <w:t>4</w:t>
      </w:r>
      <w:r>
        <w:rPr>
          <w:spacing w:val="-12"/>
        </w:rPr>
        <w:t>、</w:t>
      </w:r>
      <w:r>
        <w:rPr>
          <w:rFonts w:ascii="宋体" w:hAnsi="宋体" w:cs="宋体" w:eastAsia="宋体" w:hint="default"/>
          <w:spacing w:val="-12"/>
        </w:rPr>
        <w:t>2015</w:t>
      </w:r>
      <w:r>
        <w:rPr>
          <w:rFonts w:ascii="宋体" w:hAnsi="宋体" w:cs="宋体" w:eastAsia="宋体" w:hint="default"/>
          <w:spacing w:val="-60"/>
        </w:rPr>
        <w:t> </w:t>
      </w:r>
      <w:r>
        <w:rPr>
          <w:spacing w:val="-6"/>
        </w:rPr>
        <w:t>年度利润分配方案为：以公司</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日总股本</w:t>
      </w:r>
      <w:r>
        <w:rPr>
          <w:spacing w:val="-60"/>
        </w:rPr>
        <w:t> </w:t>
      </w:r>
      <w:r>
        <w:rPr>
          <w:rFonts w:ascii="宋体" w:hAnsi="宋体" w:cs="宋体" w:eastAsia="宋体" w:hint="default"/>
        </w:rPr>
        <w:t>376,656,420</w:t>
      </w:r>
      <w:r>
        <w:rPr>
          <w:rFonts w:ascii="宋体" w:hAnsi="宋体" w:cs="宋体" w:eastAsia="宋体" w:hint="default"/>
          <w:spacing w:val="-60"/>
        </w:rPr>
        <w:t> </w:t>
      </w:r>
      <w:r>
        <w:rPr/>
        <w:t>股为基数，</w:t>
      </w:r>
    </w:p>
    <w:p>
      <w:pPr>
        <w:spacing w:line="350" w:lineRule="auto" w:before="146"/>
        <w:ind w:left="636" w:right="1633" w:hanging="483"/>
        <w:jc w:val="left"/>
        <w:rPr>
          <w:rFonts w:ascii="宋体" w:hAnsi="宋体" w:cs="宋体" w:eastAsia="宋体" w:hint="default"/>
          <w:sz w:val="24"/>
          <w:szCs w:val="24"/>
        </w:rPr>
      </w:pPr>
      <w:r>
        <w:rPr>
          <w:rFonts w:ascii="宋体" w:hAnsi="宋体" w:cs="宋体" w:eastAsia="宋体" w:hint="default"/>
          <w:sz w:val="24"/>
          <w:szCs w:val="24"/>
        </w:rPr>
        <w:t>向全体股东每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股派发现金红利</w:t>
      </w:r>
      <w:r>
        <w:rPr>
          <w:rFonts w:ascii="宋体" w:hAnsi="宋体" w:cs="宋体" w:eastAsia="宋体" w:hint="default"/>
          <w:spacing w:val="-60"/>
          <w:sz w:val="24"/>
          <w:szCs w:val="24"/>
        </w:rPr>
        <w:t> </w:t>
      </w:r>
      <w:r>
        <w:rPr>
          <w:rFonts w:ascii="宋体" w:hAnsi="宋体" w:cs="宋体" w:eastAsia="宋体" w:hint="default"/>
          <w:sz w:val="24"/>
          <w:szCs w:val="24"/>
        </w:rPr>
        <w:t>0.30</w:t>
      </w:r>
      <w:r>
        <w:rPr>
          <w:rFonts w:ascii="宋体" w:hAnsi="宋体" w:cs="宋体" w:eastAsia="宋体" w:hint="default"/>
          <w:spacing w:val="-60"/>
          <w:sz w:val="24"/>
          <w:szCs w:val="24"/>
        </w:rPr>
        <w:t> </w:t>
      </w:r>
      <w:r>
        <w:rPr>
          <w:rFonts w:ascii="宋体" w:hAnsi="宋体" w:cs="宋体" w:eastAsia="宋体" w:hint="default"/>
          <w:sz w:val="24"/>
          <w:szCs w:val="24"/>
        </w:rPr>
        <w:t>元（含税），不送红股，不以公积金转增股本。 </w:t>
      </w:r>
      <w:r>
        <w:rPr>
          <w:rFonts w:ascii="宋体" w:hAnsi="宋体" w:cs="宋体" w:eastAsia="宋体" w:hint="default"/>
          <w:b/>
          <w:bCs/>
          <w:sz w:val="24"/>
          <w:szCs w:val="24"/>
        </w:rPr>
        <w:t>公司近三年（包括本报告期）普通股现金分红情况表</w:t>
      </w:r>
      <w:r>
        <w:rPr>
          <w:rFonts w:ascii="宋体" w:hAnsi="宋体" w:cs="宋体" w:eastAsia="宋体" w:hint="default"/>
          <w:sz w:val="24"/>
          <w:szCs w:val="24"/>
        </w:rPr>
      </w:r>
    </w:p>
    <w:p>
      <w:pPr>
        <w:spacing w:line="248" w:lineRule="exact"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1985"/>
        <w:gridCol w:w="1984"/>
        <w:gridCol w:w="1419"/>
        <w:gridCol w:w="1344"/>
      </w:tblGrid>
      <w:tr>
        <w:trPr>
          <w:trHeight w:val="161"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2" w:right="41"/>
              <w:jc w:val="center"/>
              <w:rPr>
                <w:rFonts w:ascii="宋体" w:hAnsi="宋体" w:cs="宋体" w:eastAsia="宋体" w:hint="default"/>
                <w:sz w:val="21"/>
                <w:szCs w:val="21"/>
              </w:rPr>
            </w:pPr>
            <w:r>
              <w:rPr>
                <w:rFonts w:ascii="宋体" w:hAnsi="宋体" w:cs="宋体" w:eastAsia="宋体" w:hint="default"/>
                <w:sz w:val="21"/>
                <w:szCs w:val="21"/>
              </w:rPr>
              <w:t>分红年度合并报表中 归属于上市公司普通 股股东的净利润</w:t>
            </w:r>
          </w:p>
        </w:tc>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2" w:right="41"/>
              <w:jc w:val="center"/>
              <w:rPr>
                <w:rFonts w:ascii="宋体" w:hAnsi="宋体" w:cs="宋体" w:eastAsia="宋体" w:hint="default"/>
                <w:sz w:val="21"/>
                <w:szCs w:val="21"/>
              </w:rPr>
            </w:pPr>
            <w:r>
              <w:rPr>
                <w:rFonts w:ascii="宋体" w:hAnsi="宋体" w:cs="宋体" w:eastAsia="宋体" w:hint="default"/>
                <w:sz w:val="21"/>
                <w:szCs w:val="21"/>
              </w:rPr>
              <w:t>占合并报表中归属于 上市公司普通股股东 的净利润的比率</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985" w:type="dxa"/>
            <w:vMerge/>
            <w:tcBorders>
              <w:left w:val="single" w:sz="4" w:space="0" w:color="000000"/>
              <w:right w:val="single" w:sz="4" w:space="0" w:color="000000"/>
            </w:tcBorders>
            <w:shd w:val="clear" w:color="auto" w:fill="D2D2D2"/>
          </w:tcPr>
          <w:p>
            <w:pPr/>
          </w:p>
        </w:tc>
        <w:tc>
          <w:tcPr>
            <w:tcW w:w="1984"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73" w:right="75"/>
              <w:jc w:val="left"/>
              <w:rPr>
                <w:rFonts w:ascii="宋体" w:hAnsi="宋体" w:cs="宋体" w:eastAsia="宋体" w:hint="default"/>
                <w:sz w:val="21"/>
                <w:szCs w:val="21"/>
              </w:rPr>
            </w:pPr>
            <w:r>
              <w:rPr>
                <w:rFonts w:ascii="宋体" w:hAnsi="宋体" w:cs="宋体" w:eastAsia="宋体" w:hint="default"/>
                <w:sz w:val="21"/>
                <w:szCs w:val="21"/>
              </w:rPr>
              <w:t>以其他方式现 金分红的金额</w:t>
            </w:r>
          </w:p>
        </w:tc>
        <w:tc>
          <w:tcPr>
            <w:tcW w:w="134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6" w:right="36"/>
              <w:jc w:val="left"/>
              <w:rPr>
                <w:rFonts w:ascii="宋体" w:hAnsi="宋体" w:cs="宋体" w:eastAsia="宋体" w:hint="default"/>
                <w:sz w:val="21"/>
                <w:szCs w:val="21"/>
              </w:rPr>
            </w:pPr>
            <w:r>
              <w:rPr>
                <w:rFonts w:ascii="宋体" w:hAnsi="宋体" w:cs="宋体" w:eastAsia="宋体" w:hint="default"/>
                <w:sz w:val="21"/>
                <w:szCs w:val="21"/>
              </w:rPr>
              <w:t>以其他方式现 金分红的比例</w:t>
            </w:r>
          </w:p>
        </w:tc>
      </w:tr>
      <w:tr>
        <w:trPr>
          <w:trHeight w:val="39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560"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1984"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344" w:type="dxa"/>
            <w:vMerge/>
            <w:tcBorders>
              <w:left w:val="single" w:sz="4" w:space="0" w:color="000000"/>
              <w:right w:val="single" w:sz="4" w:space="0" w:color="000000"/>
            </w:tcBorders>
            <w:shd w:val="clear" w:color="auto" w:fill="D2D2D2"/>
          </w:tcPr>
          <w:p>
            <w:pPr/>
          </w:p>
        </w:tc>
      </w:tr>
      <w:tr>
        <w:trPr>
          <w:trHeight w:val="156"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1984"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34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63" w:right="0"/>
              <w:jc w:val="left"/>
              <w:rPr>
                <w:rFonts w:ascii="Times New Roman" w:hAnsi="Times New Roman" w:cs="Times New Roman" w:eastAsia="Times New Roman" w:hint="default"/>
                <w:sz w:val="21"/>
                <w:szCs w:val="21"/>
              </w:rPr>
            </w:pPr>
            <w:r>
              <w:rPr>
                <w:rFonts w:ascii="Times New Roman"/>
                <w:sz w:val="21"/>
              </w:rPr>
              <w:t>11,299,692.60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74,923,796.86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60"/>
              <w:jc w:val="right"/>
              <w:rPr>
                <w:rFonts w:ascii="Times New Roman" w:hAnsi="Times New Roman" w:cs="Times New Roman" w:eastAsia="Times New Roman" w:hint="default"/>
                <w:sz w:val="21"/>
                <w:szCs w:val="21"/>
              </w:rPr>
            </w:pPr>
            <w:r>
              <w:rPr>
                <w:rFonts w:ascii="Times New Roman"/>
                <w:sz w:val="21"/>
              </w:rPr>
              <w:t>15.08%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63" w:right="0"/>
              <w:jc w:val="left"/>
              <w:rPr>
                <w:rFonts w:ascii="Times New Roman" w:hAnsi="Times New Roman" w:cs="Times New Roman" w:eastAsia="Times New Roman" w:hint="default"/>
                <w:sz w:val="21"/>
                <w:szCs w:val="21"/>
              </w:rPr>
            </w:pPr>
            <w:r>
              <w:rPr>
                <w:rFonts w:ascii="Times New Roman"/>
                <w:sz w:val="21"/>
              </w:rPr>
              <w:t>11,299,692.60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99,007,810.67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64"/>
              <w:jc w:val="right"/>
              <w:rPr>
                <w:rFonts w:ascii="Times New Roman" w:hAnsi="Times New Roman" w:cs="Times New Roman" w:eastAsia="Times New Roman" w:hint="default"/>
                <w:sz w:val="21"/>
                <w:szCs w:val="21"/>
              </w:rPr>
            </w:pPr>
            <w:r>
              <w:rPr>
                <w:rFonts w:ascii="Times New Roman"/>
                <w:spacing w:val="-2"/>
                <w:sz w:val="21"/>
              </w:rPr>
              <w:t>11.41%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60" w:right="0"/>
              <w:jc w:val="left"/>
              <w:rPr>
                <w:rFonts w:ascii="Times New Roman" w:hAnsi="Times New Roman" w:cs="Times New Roman" w:eastAsia="Times New Roman" w:hint="default"/>
                <w:sz w:val="21"/>
                <w:szCs w:val="21"/>
              </w:rPr>
            </w:pPr>
            <w:r>
              <w:rPr>
                <w:rFonts w:ascii="Times New Roman"/>
                <w:sz w:val="21"/>
              </w:rPr>
              <w:t>62,037,528.00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70,399,232.05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60"/>
              <w:jc w:val="right"/>
              <w:rPr>
                <w:rFonts w:ascii="Times New Roman" w:hAnsi="Times New Roman" w:cs="Times New Roman" w:eastAsia="Times New Roman" w:hint="default"/>
                <w:sz w:val="21"/>
                <w:szCs w:val="21"/>
              </w:rPr>
            </w:pPr>
            <w:r>
              <w:rPr>
                <w:rFonts w:ascii="Times New Roman"/>
                <w:sz w:val="21"/>
              </w:rPr>
              <w:t>88.12%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0.00%</w:t>
            </w:r>
          </w:p>
        </w:tc>
      </w:tr>
    </w:tbl>
    <w:p>
      <w:pPr>
        <w:spacing w:line="240" w:lineRule="auto" w:before="10"/>
        <w:rPr>
          <w:rFonts w:ascii="宋体" w:hAnsi="宋体" w:cs="宋体" w:eastAsia="宋体" w:hint="default"/>
          <w:sz w:val="4"/>
          <w:szCs w:val="4"/>
        </w:rPr>
      </w:pPr>
    </w:p>
    <w:p>
      <w:pPr>
        <w:pStyle w:val="Heading2"/>
        <w:spacing w:line="352" w:lineRule="auto"/>
        <w:ind w:left="153" w:right="1153" w:firstLine="482"/>
        <w:jc w:val="left"/>
        <w:rPr>
          <w:b w:val="0"/>
          <w:bCs w:val="0"/>
        </w:rPr>
      </w:pPr>
      <w:r>
        <w:rPr>
          <w:w w:val="95"/>
        </w:rPr>
        <w:t>公司报告期内盈利且母公司可供普通股股东分配利润为正但未提出普通股现金红利分配</w:t>
      </w:r>
      <w:r>
        <w:rPr>
          <w:w w:val="99"/>
        </w:rPr>
        <w:t> </w:t>
      </w:r>
      <w:r>
        <w:rPr/>
        <w:t>预案</w:t>
      </w:r>
      <w:r>
        <w:rPr>
          <w:b w:val="0"/>
          <w:bCs w:val="0"/>
        </w:rPr>
      </w:r>
    </w:p>
    <w:p>
      <w:pPr>
        <w:spacing w:line="350" w:lineRule="auto" w:before="32"/>
        <w:ind w:left="636" w:right="4153" w:hanging="3"/>
        <w:jc w:val="left"/>
        <w:rPr>
          <w:rFonts w:ascii="宋体" w:hAnsi="宋体" w:cs="宋体" w:eastAsia="宋体" w:hint="default"/>
          <w:sz w:val="24"/>
          <w:szCs w:val="24"/>
        </w:rPr>
      </w:pPr>
      <w:r>
        <w:rPr/>
        <w:pict>
          <v:shape style="position:absolute;margin-left:56.459999pt;margin-top:43.215622pt;width:479.2pt;height:363.6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股派息数（元）（含税）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0.30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376,656,420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现金分红总额（元）（含税）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11,299,692.60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227,718,468.79</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4" w:firstLine="420"/>
                          <w:jc w:val="left"/>
                          <w:rPr>
                            <w:rFonts w:ascii="宋体" w:hAnsi="宋体" w:cs="宋体" w:eastAsia="宋体" w:hint="default"/>
                            <w:sz w:val="21"/>
                            <w:szCs w:val="21"/>
                          </w:rPr>
                        </w:pPr>
                        <w:r>
                          <w:rPr>
                            <w:rFonts w:ascii="宋体" w:hAnsi="宋体" w:cs="宋体" w:eastAsia="宋体" w:hint="default"/>
                            <w:sz w:val="21"/>
                            <w:szCs w:val="21"/>
                          </w:rPr>
                          <w:t>公司发展阶段不易区分但有重大资金支出安排的，进行利润分配时，现金分红在本次利润分配中所 占比例最低应达到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74"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293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52" w:lineRule="auto" w:before="127"/>
                          <w:ind w:left="22" w:right="19" w:firstLine="480"/>
                          <w:jc w:val="both"/>
                          <w:rPr>
                            <w:rFonts w:ascii="宋体" w:hAnsi="宋体" w:cs="宋体" w:eastAsia="宋体" w:hint="default"/>
                            <w:sz w:val="24"/>
                            <w:szCs w:val="24"/>
                          </w:rPr>
                        </w:pPr>
                        <w:r>
                          <w:rPr>
                            <w:rFonts w:ascii="宋体" w:hAnsi="宋体" w:cs="宋体" w:eastAsia="宋体" w:hint="default"/>
                            <w:spacing w:val="-14"/>
                            <w:sz w:val="24"/>
                            <w:szCs w:val="24"/>
                          </w:rPr>
                          <w:t>经大华会计师事务所（特殊普通合伙）审计，</w:t>
                        </w:r>
                        <w:r>
                          <w:rPr>
                            <w:rFonts w:ascii="宋体" w:hAnsi="宋体" w:cs="宋体" w:eastAsia="宋体" w:hint="default"/>
                            <w:spacing w:val="-14"/>
                            <w:sz w:val="24"/>
                            <w:szCs w:val="24"/>
                          </w:rPr>
                          <w:t>2015</w:t>
                        </w:r>
                        <w:r>
                          <w:rPr>
                            <w:rFonts w:ascii="宋体" w:hAnsi="宋体" w:cs="宋体" w:eastAsia="宋体" w:hint="default"/>
                            <w:spacing w:val="-57"/>
                            <w:sz w:val="24"/>
                            <w:szCs w:val="24"/>
                          </w:rPr>
                          <w:t> </w:t>
                        </w:r>
                        <w:r>
                          <w:rPr>
                            <w:rFonts w:ascii="宋体" w:hAnsi="宋体" w:cs="宋体" w:eastAsia="宋体" w:hint="default"/>
                            <w:sz w:val="24"/>
                            <w:szCs w:val="24"/>
                          </w:rPr>
                          <w:t>年度母公司实现净利润</w:t>
                        </w:r>
                        <w:r>
                          <w:rPr>
                            <w:rFonts w:ascii="宋体" w:hAnsi="宋体" w:cs="宋体" w:eastAsia="宋体" w:hint="default"/>
                            <w:spacing w:val="-57"/>
                            <w:sz w:val="24"/>
                            <w:szCs w:val="24"/>
                          </w:rPr>
                          <w:t> </w:t>
                        </w:r>
                        <w:r>
                          <w:rPr>
                            <w:rFonts w:ascii="宋体" w:hAnsi="宋体" w:cs="宋体" w:eastAsia="宋体" w:hint="default"/>
                            <w:sz w:val="24"/>
                            <w:szCs w:val="24"/>
                          </w:rPr>
                          <w:t>41,127,324.28 </w:t>
                        </w:r>
                        <w:r>
                          <w:rPr>
                            <w:rFonts w:ascii="宋体" w:hAnsi="宋体" w:cs="宋体" w:eastAsia="宋体" w:hint="default"/>
                            <w:sz w:val="24"/>
                            <w:szCs w:val="24"/>
                          </w:rPr>
                          <w:t>元。根据《公司章程》规定，按 </w:t>
                        </w:r>
                        <w:r>
                          <w:rPr>
                            <w:rFonts w:ascii="宋体" w:hAnsi="宋体" w:cs="宋体" w:eastAsia="宋体" w:hint="default"/>
                            <w:sz w:val="24"/>
                            <w:szCs w:val="24"/>
                          </w:rPr>
                          <w:t>10%</w:t>
                        </w:r>
                        <w:r>
                          <w:rPr>
                            <w:rFonts w:ascii="宋体" w:hAnsi="宋体" w:cs="宋体" w:eastAsia="宋体" w:hint="default"/>
                            <w:sz w:val="24"/>
                            <w:szCs w:val="24"/>
                          </w:rPr>
                          <w:t>提取法定公积金 </w:t>
                        </w:r>
                        <w:r>
                          <w:rPr>
                            <w:rFonts w:ascii="宋体" w:hAnsi="宋体" w:cs="宋体" w:eastAsia="宋体" w:hint="default"/>
                            <w:sz w:val="24"/>
                            <w:szCs w:val="24"/>
                          </w:rPr>
                          <w:t>4,112,732.43</w:t>
                        </w:r>
                        <w:r>
                          <w:rPr>
                            <w:rFonts w:ascii="宋体" w:hAnsi="宋体" w:cs="宋体" w:eastAsia="宋体" w:hint="default"/>
                            <w:spacing w:val="-87"/>
                            <w:sz w:val="24"/>
                            <w:szCs w:val="24"/>
                          </w:rPr>
                          <w:t> </w:t>
                        </w:r>
                        <w:r>
                          <w:rPr>
                            <w:rFonts w:ascii="宋体" w:hAnsi="宋体" w:cs="宋体" w:eastAsia="宋体" w:hint="default"/>
                            <w:sz w:val="24"/>
                            <w:szCs w:val="24"/>
                          </w:rPr>
                          <w:t>元；加上以前年度未分 配利润</w:t>
                        </w:r>
                        <w:r>
                          <w:rPr>
                            <w:rFonts w:ascii="宋体" w:hAnsi="宋体" w:cs="宋体" w:eastAsia="宋体" w:hint="default"/>
                            <w:spacing w:val="-52"/>
                            <w:sz w:val="24"/>
                            <w:szCs w:val="24"/>
                          </w:rPr>
                          <w:t> </w:t>
                        </w:r>
                        <w:r>
                          <w:rPr>
                            <w:rFonts w:ascii="宋体" w:hAnsi="宋体" w:cs="宋体" w:eastAsia="宋体" w:hint="default"/>
                            <w:sz w:val="24"/>
                            <w:szCs w:val="24"/>
                          </w:rPr>
                          <w:t>202,003,569.54</w:t>
                        </w:r>
                        <w:r>
                          <w:rPr>
                            <w:rFonts w:ascii="宋体" w:hAnsi="宋体" w:cs="宋体" w:eastAsia="宋体" w:hint="default"/>
                            <w:spacing w:val="-52"/>
                            <w:sz w:val="24"/>
                            <w:szCs w:val="24"/>
                          </w:rPr>
                          <w:t> </w:t>
                        </w:r>
                        <w:r>
                          <w:rPr>
                            <w:rFonts w:ascii="宋体" w:hAnsi="宋体" w:cs="宋体" w:eastAsia="宋体" w:hint="default"/>
                            <w:sz w:val="24"/>
                            <w:szCs w:val="24"/>
                          </w:rPr>
                          <w:t>元，减去已分配的现金股利</w:t>
                        </w:r>
                        <w:r>
                          <w:rPr>
                            <w:rFonts w:ascii="宋体" w:hAnsi="宋体" w:cs="宋体" w:eastAsia="宋体" w:hint="default"/>
                            <w:spacing w:val="-52"/>
                            <w:sz w:val="24"/>
                            <w:szCs w:val="24"/>
                          </w:rPr>
                          <w:t> </w:t>
                        </w:r>
                        <w:r>
                          <w:rPr>
                            <w:rFonts w:ascii="宋体" w:hAnsi="宋体" w:cs="宋体" w:eastAsia="宋体" w:hint="default"/>
                            <w:sz w:val="24"/>
                            <w:szCs w:val="24"/>
                          </w:rPr>
                          <w:t>11,299,692.60</w:t>
                        </w:r>
                        <w:r>
                          <w:rPr>
                            <w:rFonts w:ascii="宋体" w:hAnsi="宋体" w:cs="宋体" w:eastAsia="宋体" w:hint="default"/>
                            <w:spacing w:val="-52"/>
                            <w:sz w:val="24"/>
                            <w:szCs w:val="24"/>
                          </w:rPr>
                          <w:t> </w:t>
                        </w:r>
                        <w:r>
                          <w:rPr>
                            <w:rFonts w:ascii="宋体" w:hAnsi="宋体" w:cs="宋体" w:eastAsia="宋体" w:hint="default"/>
                            <w:sz w:val="24"/>
                            <w:szCs w:val="24"/>
                          </w:rPr>
                          <w:t>元，本年度实际可供投</w:t>
                        </w:r>
                      </w:p>
                      <w:p>
                        <w:pPr>
                          <w:pStyle w:val="TableParagraph"/>
                          <w:spacing w:line="240" w:lineRule="auto" w:before="32"/>
                          <w:ind w:left="22" w:right="0"/>
                          <w:jc w:val="left"/>
                          <w:rPr>
                            <w:rFonts w:ascii="宋体" w:hAnsi="宋体" w:cs="宋体" w:eastAsia="宋体" w:hint="default"/>
                            <w:sz w:val="24"/>
                            <w:szCs w:val="24"/>
                          </w:rPr>
                        </w:pPr>
                        <w:r>
                          <w:rPr>
                            <w:rFonts w:ascii="宋体" w:hAnsi="宋体" w:cs="宋体" w:eastAsia="宋体" w:hint="default"/>
                            <w:sz w:val="24"/>
                            <w:szCs w:val="24"/>
                          </w:rPr>
                          <w:t>资者分配的利润为</w:t>
                        </w:r>
                        <w:r>
                          <w:rPr>
                            <w:rFonts w:ascii="宋体" w:hAnsi="宋体" w:cs="宋体" w:eastAsia="宋体" w:hint="default"/>
                            <w:spacing w:val="-60"/>
                            <w:sz w:val="24"/>
                            <w:szCs w:val="24"/>
                          </w:rPr>
                          <w:t> </w:t>
                        </w:r>
                        <w:r>
                          <w:rPr>
                            <w:rFonts w:ascii="宋体" w:hAnsi="宋体" w:cs="宋体" w:eastAsia="宋体" w:hint="default"/>
                            <w:sz w:val="24"/>
                            <w:szCs w:val="24"/>
                          </w:rPr>
                          <w:t>227,718,468.79</w:t>
                        </w:r>
                        <w:r>
                          <w:rPr>
                            <w:rFonts w:ascii="宋体" w:hAnsi="宋体" w:cs="宋体" w:eastAsia="宋体" w:hint="default"/>
                            <w:spacing w:val="-60"/>
                            <w:sz w:val="24"/>
                            <w:szCs w:val="24"/>
                          </w:rPr>
                          <w:t> </w:t>
                        </w:r>
                        <w:r>
                          <w:rPr>
                            <w:rFonts w:ascii="宋体" w:hAnsi="宋体" w:cs="宋体" w:eastAsia="宋体" w:hint="default"/>
                            <w:sz w:val="24"/>
                            <w:szCs w:val="24"/>
                          </w:rPr>
                          <w:t>元，资本公积期末余额为</w:t>
                        </w:r>
                        <w:r>
                          <w:rPr>
                            <w:rFonts w:ascii="宋体" w:hAnsi="宋体" w:cs="宋体" w:eastAsia="宋体" w:hint="default"/>
                            <w:spacing w:val="-60"/>
                            <w:sz w:val="24"/>
                            <w:szCs w:val="24"/>
                          </w:rPr>
                          <w:t> </w:t>
                        </w:r>
                        <w:r>
                          <w:rPr>
                            <w:rFonts w:ascii="宋体" w:hAnsi="宋体" w:cs="宋体" w:eastAsia="宋体" w:hint="default"/>
                            <w:sz w:val="24"/>
                            <w:szCs w:val="24"/>
                          </w:rPr>
                          <w:t>732,553,858.88</w:t>
                        </w:r>
                        <w:r>
                          <w:rPr>
                            <w:rFonts w:ascii="宋体" w:hAnsi="宋体" w:cs="宋体" w:eastAsia="宋体" w:hint="default"/>
                            <w:spacing w:val="-60"/>
                            <w:sz w:val="24"/>
                            <w:szCs w:val="24"/>
                          </w:rPr>
                          <w:t> </w:t>
                        </w:r>
                        <w:r>
                          <w:rPr>
                            <w:rFonts w:ascii="宋体" w:hAnsi="宋体" w:cs="宋体" w:eastAsia="宋体" w:hint="default"/>
                            <w:sz w:val="24"/>
                            <w:szCs w:val="24"/>
                          </w:rPr>
                          <w:t>元。</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503" w:right="0"/>
                          <w:jc w:val="left"/>
                          <w:rPr>
                            <w:rFonts w:ascii="宋体" w:hAnsi="宋体" w:cs="宋体" w:eastAsia="宋体" w:hint="default"/>
                            <w:sz w:val="24"/>
                            <w:szCs w:val="24"/>
                          </w:rPr>
                        </w:pPr>
                        <w:r>
                          <w:rPr>
                            <w:rFonts w:ascii="宋体" w:hAnsi="宋体" w:cs="宋体" w:eastAsia="宋体" w:hint="default"/>
                            <w:sz w:val="24"/>
                            <w:szCs w:val="24"/>
                          </w:rPr>
                          <w:t>根据公司未来的发展需要，结合目前的经营现状、资金状况，公司董事会决定 </w:t>
                        </w:r>
                        <w:r>
                          <w:rPr>
                            <w:rFonts w:ascii="宋体" w:hAnsi="宋体" w:cs="宋体" w:eastAsia="宋体" w:hint="default"/>
                            <w:sz w:val="24"/>
                            <w:szCs w:val="24"/>
                          </w:rPr>
                          <w:t>2015</w:t>
                        </w:r>
                        <w:r>
                          <w:rPr>
                            <w:rFonts w:ascii="宋体" w:hAnsi="宋体" w:cs="宋体" w:eastAsia="宋体" w:hint="default"/>
                            <w:spacing w:val="-89"/>
                            <w:sz w:val="24"/>
                            <w:szCs w:val="24"/>
                          </w:rPr>
                          <w:t> </w:t>
                        </w:r>
                        <w:r>
                          <w:rPr>
                            <w:rFonts w:ascii="宋体" w:hAnsi="宋体" w:cs="宋体" w:eastAsia="宋体" w:hint="default"/>
                            <w:sz w:val="24"/>
                            <w:szCs w:val="24"/>
                          </w:rPr>
                          <w:t>年</w:t>
                        </w:r>
                      </w:p>
                      <w:p>
                        <w:pPr>
                          <w:pStyle w:val="TableParagraph"/>
                          <w:spacing w:line="240" w:lineRule="auto" w:before="186"/>
                          <w:ind w:left="22" w:right="0"/>
                          <w:jc w:val="left"/>
                          <w:rPr>
                            <w:rFonts w:ascii="宋体" w:hAnsi="宋体" w:cs="宋体" w:eastAsia="宋体" w:hint="default"/>
                            <w:sz w:val="24"/>
                            <w:szCs w:val="24"/>
                          </w:rPr>
                        </w:pPr>
                        <w:r>
                          <w:rPr>
                            <w:rFonts w:ascii="宋体" w:hAnsi="宋体" w:cs="宋体" w:eastAsia="宋体" w:hint="default"/>
                            <w:sz w:val="24"/>
                            <w:szCs w:val="24"/>
                          </w:rPr>
                          <w:t>度利润分配预案为：以</w:t>
                        </w:r>
                        <w:r>
                          <w:rPr>
                            <w:rFonts w:ascii="宋体" w:hAnsi="宋体" w:cs="宋体" w:eastAsia="宋体" w:hint="default"/>
                            <w:spacing w:val="-57"/>
                            <w:sz w:val="24"/>
                            <w:szCs w:val="24"/>
                          </w:rPr>
                          <w:t> </w:t>
                        </w:r>
                        <w:r>
                          <w:rPr>
                            <w:rFonts w:ascii="宋体" w:hAnsi="宋体" w:cs="宋体" w:eastAsia="宋体" w:hint="default"/>
                            <w:sz w:val="24"/>
                            <w:szCs w:val="24"/>
                          </w:rPr>
                          <w:t>2015</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12</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宋体" w:hAnsi="宋体" w:cs="宋体" w:eastAsia="宋体" w:hint="default"/>
                            <w:sz w:val="24"/>
                            <w:szCs w:val="24"/>
                          </w:rPr>
                          <w:t>31</w:t>
                        </w:r>
                        <w:r>
                          <w:rPr>
                            <w:rFonts w:ascii="宋体" w:hAnsi="宋体" w:cs="宋体" w:eastAsia="宋体" w:hint="default"/>
                            <w:spacing w:val="-57"/>
                            <w:sz w:val="24"/>
                            <w:szCs w:val="24"/>
                          </w:rPr>
                          <w:t> </w:t>
                        </w:r>
                        <w:r>
                          <w:rPr>
                            <w:rFonts w:ascii="宋体" w:hAnsi="宋体" w:cs="宋体" w:eastAsia="宋体" w:hint="default"/>
                            <w:sz w:val="24"/>
                            <w:szCs w:val="24"/>
                          </w:rPr>
                          <w:t>日的公司总股本</w:t>
                        </w:r>
                        <w:r>
                          <w:rPr>
                            <w:rFonts w:ascii="宋体" w:hAnsi="宋体" w:cs="宋体" w:eastAsia="宋体" w:hint="default"/>
                            <w:spacing w:val="-57"/>
                            <w:sz w:val="24"/>
                            <w:szCs w:val="24"/>
                          </w:rPr>
                          <w:t> </w:t>
                        </w:r>
                        <w:r>
                          <w:rPr>
                            <w:rFonts w:ascii="宋体" w:hAnsi="宋体" w:cs="宋体" w:eastAsia="宋体" w:hint="default"/>
                            <w:sz w:val="24"/>
                            <w:szCs w:val="24"/>
                          </w:rPr>
                          <w:t>376,656,420</w:t>
                        </w:r>
                        <w:r>
                          <w:rPr>
                            <w:rFonts w:ascii="宋体" w:hAnsi="宋体" w:cs="宋体" w:eastAsia="宋体" w:hint="default"/>
                            <w:spacing w:val="-56"/>
                            <w:sz w:val="24"/>
                            <w:szCs w:val="24"/>
                          </w:rPr>
                          <w:t> </w:t>
                        </w:r>
                        <w:r>
                          <w:rPr>
                            <w:rFonts w:ascii="宋体" w:hAnsi="宋体" w:cs="宋体" w:eastAsia="宋体" w:hint="default"/>
                            <w:sz w:val="24"/>
                            <w:szCs w:val="24"/>
                          </w:rPr>
                          <w:t>股为基数，向全体股</w:t>
                        </w:r>
                      </w:p>
                    </w:tc>
                  </w:tr>
                </w:tbl>
                <w:p>
                  <w:pPr/>
                </w:p>
              </w:txbxContent>
            </v:textbox>
            <w10:wrap type="none"/>
          </v:shape>
        </w:pict>
      </w:r>
      <w:r>
        <w:rPr>
          <w:rFonts w:ascii="宋体" w:hAnsi="宋体" w:cs="宋体" w:eastAsia="宋体" w:hint="default"/>
          <w:sz w:val="24"/>
          <w:szCs w:val="24"/>
        </w:rPr>
        <w:t>□ 适用 √ 不适用 </w:t>
      </w:r>
      <w:r>
        <w:rPr>
          <w:rFonts w:ascii="宋体" w:hAnsi="宋体" w:cs="宋体" w:eastAsia="宋体" w:hint="default"/>
          <w:b/>
          <w:bCs/>
          <w:w w:val="95"/>
          <w:sz w:val="24"/>
          <w:szCs w:val="24"/>
        </w:rPr>
        <w:t>二、本报告期利润分配及资本公积金转增股本预案</w:t>
      </w:r>
      <w:r>
        <w:rPr>
          <w:rFonts w:ascii="宋体" w:hAnsi="宋体" w:cs="宋体" w:eastAsia="宋体" w:hint="default"/>
          <w:sz w:val="24"/>
          <w:szCs w:val="24"/>
        </w:rPr>
      </w:r>
    </w:p>
    <w:p>
      <w:pPr>
        <w:spacing w:after="0" w:line="350"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11"/>
        <w:rPr>
          <w:rFonts w:ascii="宋体" w:hAnsi="宋体" w:cs="宋体" w:eastAsia="宋体" w:hint="default"/>
          <w:b/>
          <w:bCs/>
          <w:sz w:val="28"/>
          <w:szCs w:val="28"/>
        </w:rPr>
      </w:pPr>
    </w:p>
    <w:p>
      <w:pPr>
        <w:spacing w:line="550" w:lineRule="exact"/>
        <w:ind w:left="814"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78.45pt;height:27.55pt;mso-position-horizontal-relative:char;mso-position-vertical-relative:line" type="#_x0000_t202" filled="false" stroked="true" strokeweight=".48pt" strokecolor="#000000">
            <w10:anchorlock/>
            <v:textbox inset="0,0,0,0">
              <w:txbxContent>
                <w:p>
                  <w:pPr>
                    <w:pStyle w:val="BodyText"/>
                    <w:spacing w:line="240" w:lineRule="auto" w:before="120"/>
                    <w:ind w:left="22" w:right="0"/>
                    <w:jc w:val="left"/>
                  </w:pPr>
                  <w:r>
                    <w:rPr/>
                    <w:t>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0"/>
                    </w:rPr>
                    <w:t> </w:t>
                  </w:r>
                  <w:r>
                    <w:rPr>
                      <w:rFonts w:ascii="宋体" w:hAnsi="宋体" w:cs="宋体" w:eastAsia="宋体" w:hint="default"/>
                    </w:rPr>
                    <w:t>0.3</w:t>
                  </w:r>
                  <w:r>
                    <w:rPr>
                      <w:rFonts w:ascii="宋体" w:hAnsi="宋体" w:cs="宋体" w:eastAsia="宋体" w:hint="default"/>
                      <w:spacing w:val="-60"/>
                    </w:rPr>
                    <w:t> </w:t>
                  </w:r>
                  <w:r>
                    <w:rPr/>
                    <w:t>元（含税），不送红股，不以公积金转增股本。</w:t>
                  </w:r>
                </w:p>
              </w:txbxContent>
            </v:textbox>
          </v:shape>
        </w:pict>
      </w:r>
      <w:r>
        <w:rPr>
          <w:rFonts w:ascii="宋体" w:hAnsi="宋体" w:cs="宋体" w:eastAsia="宋体" w:hint="default"/>
          <w:position w:val="-10"/>
          <w:sz w:val="20"/>
          <w:szCs w:val="20"/>
        </w:rPr>
      </w:r>
    </w:p>
    <w:p>
      <w:pPr>
        <w:spacing w:line="240" w:lineRule="auto" w:before="2"/>
        <w:rPr>
          <w:rFonts w:ascii="宋体" w:hAnsi="宋体" w:cs="宋体" w:eastAsia="宋体" w:hint="default"/>
          <w:b/>
          <w:bCs/>
          <w:sz w:val="5"/>
          <w:szCs w:val="5"/>
        </w:rPr>
      </w:pPr>
    </w:p>
    <w:p>
      <w:pPr>
        <w:spacing w:line="350" w:lineRule="auto" w:before="26"/>
        <w:ind w:left="1293" w:right="1132" w:firstLine="2"/>
        <w:jc w:val="left"/>
        <w:rPr>
          <w:rFonts w:ascii="宋体" w:hAnsi="宋体" w:cs="宋体" w:eastAsia="宋体" w:hint="default"/>
          <w:sz w:val="24"/>
          <w:szCs w:val="24"/>
        </w:rPr>
      </w:pPr>
      <w:r>
        <w:rPr>
          <w:rFonts w:ascii="宋体" w:hAnsi="宋体" w:cs="宋体" w:eastAsia="宋体" w:hint="default"/>
          <w:b/>
          <w:bCs/>
          <w:sz w:val="24"/>
          <w:szCs w:val="24"/>
        </w:rPr>
        <w:t>三、承诺事项履行情况</w:t>
      </w:r>
      <w:r>
        <w:rPr>
          <w:rFonts w:ascii="宋体" w:hAnsi="宋体" w:cs="宋体" w:eastAsia="宋体" w:hint="default"/>
          <w:b/>
          <w:bCs/>
          <w:w w:val="99"/>
          <w:sz w:val="24"/>
          <w:szCs w:val="24"/>
        </w:rPr>
        <w:t> </w:t>
      </w:r>
      <w:r>
        <w:rPr>
          <w:rFonts w:ascii="宋体" w:hAnsi="宋体" w:cs="宋体" w:eastAsia="宋体" w:hint="default"/>
          <w:spacing w:val="-3"/>
          <w:sz w:val="24"/>
          <w:szCs w:val="24"/>
        </w:rPr>
        <w:t>1</w:t>
      </w:r>
      <w:r>
        <w:rPr>
          <w:rFonts w:ascii="宋体" w:hAnsi="宋体" w:cs="宋体" w:eastAsia="宋体" w:hint="default"/>
          <w:spacing w:val="-3"/>
          <w:sz w:val="24"/>
          <w:szCs w:val="24"/>
        </w:rPr>
        <w:t>、公司、股东、实际控制人、收购人、董事、监事、高级管理人员或其他关联方在报告</w:t>
      </w:r>
    </w:p>
    <w:p>
      <w:pPr>
        <w:pStyle w:val="BodyText"/>
        <w:spacing w:line="240" w:lineRule="auto" w:before="35"/>
        <w:ind w:left="813" w:right="1132"/>
        <w:jc w:val="left"/>
      </w:pPr>
      <w:r>
        <w:rPr/>
        <w:pict>
          <v:shape style="position:absolute;margin-left:425.720001pt;margin-top:76.665627pt;width:34.8pt;height:62.4pt;mso-position-horizontal-relative:page;mso-position-vertical-relative:paragraph;z-index:-767464" type="#_x0000_t202" filled="false" stroked="false">
            <v:textbox inset="0,0,0,0">
              <w:txbxContent>
                <w:p>
                  <w:pPr>
                    <w:spacing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t>期内履行完毕及截至报告期末尚未履行完毕的承诺事项</w:t>
      </w:r>
    </w:p>
    <w:p>
      <w:pPr>
        <w:spacing w:line="240" w:lineRule="auto" w:before="6"/>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1407"/>
        <w:gridCol w:w="992"/>
        <w:gridCol w:w="992"/>
        <w:gridCol w:w="4820"/>
        <w:gridCol w:w="566"/>
        <w:gridCol w:w="1134"/>
        <w:gridCol w:w="992"/>
      </w:tblGrid>
      <w:tr>
        <w:trPr>
          <w:trHeight w:val="161"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68" w:right="66"/>
              <w:jc w:val="left"/>
              <w:rPr>
                <w:rFonts w:ascii="宋体" w:hAnsi="宋体" w:cs="宋体" w:eastAsia="宋体" w:hint="default"/>
                <w:sz w:val="21"/>
                <w:szCs w:val="21"/>
              </w:rPr>
            </w:pPr>
            <w:r>
              <w:rPr>
                <w:rFonts w:ascii="宋体" w:hAnsi="宋体" w:cs="宋体" w:eastAsia="宋体" w:hint="default"/>
                <w:sz w:val="21"/>
                <w:szCs w:val="21"/>
              </w:rPr>
              <w:t>承诺 时间</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71" w:right="0"/>
              <w:jc w:val="left"/>
              <w:rPr>
                <w:rFonts w:ascii="宋体" w:hAnsi="宋体" w:cs="宋体" w:eastAsia="宋体" w:hint="default"/>
                <w:sz w:val="21"/>
                <w:szCs w:val="21"/>
              </w:rPr>
            </w:pPr>
            <w:r>
              <w:rPr>
                <w:rFonts w:ascii="宋体" w:hAnsi="宋体" w:cs="宋体" w:eastAsia="宋体" w:hint="default"/>
                <w:sz w:val="21"/>
                <w:szCs w:val="21"/>
              </w:rPr>
              <w:t>承诺事由</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75"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4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56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42"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71"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161"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992"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3" w:lineRule="auto"/>
              <w:ind w:left="16" w:right="119"/>
              <w:jc w:val="left"/>
              <w:rPr>
                <w:rFonts w:ascii="宋体" w:hAnsi="宋体" w:cs="宋体" w:eastAsia="宋体" w:hint="default"/>
                <w:sz w:val="21"/>
                <w:szCs w:val="21"/>
              </w:rPr>
            </w:pPr>
            <w:r>
              <w:rPr>
                <w:rFonts w:ascii="宋体" w:hAnsi="宋体" w:cs="宋体" w:eastAsia="宋体" w:hint="default"/>
                <w:sz w:val="21"/>
                <w:szCs w:val="21"/>
              </w:rPr>
              <w:t>李海鹰、 袁亚琴</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6"/>
              <w:ind w:left="22" w:right="119"/>
              <w:jc w:val="both"/>
              <w:rPr>
                <w:rFonts w:ascii="宋体" w:hAnsi="宋体" w:cs="宋体" w:eastAsia="宋体" w:hint="default"/>
                <w:sz w:val="21"/>
                <w:szCs w:val="21"/>
              </w:rPr>
            </w:pPr>
            <w:r>
              <w:rPr>
                <w:rFonts w:ascii="宋体" w:hAnsi="宋体" w:cs="宋体" w:eastAsia="宋体" w:hint="default"/>
                <w:sz w:val="21"/>
                <w:szCs w:val="21"/>
              </w:rPr>
              <w:t>关于同业 竞争、关 联交易、 资金占用 方面的承 诺</w:t>
            </w:r>
          </w:p>
        </w:tc>
        <w:tc>
          <w:tcPr>
            <w:tcW w:w="4820" w:type="dxa"/>
            <w:vMerge w:val="restart"/>
            <w:tcBorders>
              <w:top w:val="single" w:sz="4" w:space="0" w:color="000000"/>
              <w:left w:val="single" w:sz="4" w:space="0" w:color="000000"/>
              <w:right w:val="single" w:sz="4" w:space="0" w:color="000000"/>
            </w:tcBorders>
          </w:tcPr>
          <w:p>
            <w:pPr>
              <w:pStyle w:val="TableParagraph"/>
              <w:spacing w:line="268" w:lineRule="auto" w:before="26"/>
              <w:ind w:left="22" w:right="22"/>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、在持有辉煌科技股权或担任辉煌科技董事、监事</w:t>
            </w:r>
            <w:r>
              <w:rPr>
                <w:rFonts w:ascii="宋体" w:hAnsi="宋体" w:cs="宋体" w:eastAsia="宋体" w:hint="default"/>
                <w:sz w:val="21"/>
                <w:szCs w:val="21"/>
              </w:rPr>
              <w:t> </w:t>
            </w:r>
            <w:r>
              <w:rPr>
                <w:rFonts w:ascii="宋体" w:hAnsi="宋体" w:cs="宋体" w:eastAsia="宋体" w:hint="default"/>
                <w:spacing w:val="-3"/>
                <w:sz w:val="21"/>
                <w:szCs w:val="21"/>
              </w:rPr>
              <w:t>高级管理人员或核心技术人员期间及法定期限内，不</w:t>
            </w:r>
            <w:r>
              <w:rPr>
                <w:rFonts w:ascii="宋体" w:hAnsi="宋体" w:cs="宋体" w:eastAsia="宋体" w:hint="default"/>
                <w:sz w:val="21"/>
                <w:szCs w:val="21"/>
              </w:rPr>
              <w:t> 经营或投资于任何与辉煌科技主营业务构成同业竞 争的企业。</w:t>
            </w:r>
            <w:r>
              <w:rPr>
                <w:rFonts w:ascii="Times New Roman" w:hAnsi="Times New Roman" w:cs="Times New Roman" w:eastAsia="Times New Roman" w:hint="default"/>
                <w:sz w:val="21"/>
                <w:szCs w:val="21"/>
              </w:rPr>
              <w:t>2</w:t>
            </w:r>
            <w:r>
              <w:rPr>
                <w:rFonts w:ascii="宋体" w:hAnsi="宋体" w:cs="宋体" w:eastAsia="宋体" w:hint="default"/>
                <w:sz w:val="21"/>
                <w:szCs w:val="21"/>
              </w:rPr>
              <w:t>、如果本人（包括本人近亲属）与辉煌 </w:t>
            </w:r>
            <w:r>
              <w:rPr>
                <w:rFonts w:ascii="宋体" w:hAnsi="宋体" w:cs="宋体" w:eastAsia="宋体" w:hint="default"/>
                <w:spacing w:val="-3"/>
                <w:sz w:val="21"/>
                <w:szCs w:val="21"/>
              </w:rPr>
              <w:t>科技不可避免地出现关联交易，将根据《公司法》和</w:t>
            </w:r>
            <w:r>
              <w:rPr>
                <w:rFonts w:ascii="宋体" w:hAnsi="宋体" w:cs="宋体" w:eastAsia="宋体" w:hint="default"/>
                <w:sz w:val="21"/>
                <w:szCs w:val="21"/>
              </w:rPr>
              <w:t> </w:t>
            </w:r>
            <w:r>
              <w:rPr>
                <w:rFonts w:ascii="宋体" w:hAnsi="宋体" w:cs="宋体" w:eastAsia="宋体" w:hint="default"/>
                <w:spacing w:val="-3"/>
                <w:sz w:val="21"/>
                <w:szCs w:val="21"/>
              </w:rPr>
              <w:t>辉煌科技《公司章程》的规定，依照市场规则，本着</w:t>
            </w:r>
            <w:r>
              <w:rPr>
                <w:rFonts w:ascii="宋体" w:hAnsi="宋体" w:cs="宋体" w:eastAsia="宋体" w:hint="default"/>
                <w:sz w:val="21"/>
                <w:szCs w:val="21"/>
              </w:rPr>
              <w:t> </w:t>
            </w:r>
            <w:r>
              <w:rPr>
                <w:rFonts w:ascii="宋体" w:hAnsi="宋体" w:cs="宋体" w:eastAsia="宋体" w:hint="default"/>
                <w:spacing w:val="-3"/>
                <w:sz w:val="21"/>
                <w:szCs w:val="21"/>
              </w:rPr>
              <w:t>一般商业原则，通过签订书面协议，公平合理地进行</w:t>
            </w:r>
            <w:r>
              <w:rPr>
                <w:rFonts w:ascii="宋体" w:hAnsi="宋体" w:cs="宋体" w:eastAsia="宋体" w:hint="default"/>
                <w:sz w:val="21"/>
                <w:szCs w:val="21"/>
              </w:rPr>
              <w:t> </w:t>
            </w:r>
            <w:r>
              <w:rPr>
                <w:rFonts w:ascii="宋体" w:hAnsi="宋体" w:cs="宋体" w:eastAsia="宋体" w:hint="default"/>
                <w:spacing w:val="-3"/>
                <w:sz w:val="21"/>
                <w:szCs w:val="21"/>
              </w:rPr>
              <w:t>交易，以维护辉煌科技及所有股东的利益，将不利用</w:t>
            </w:r>
            <w:r>
              <w:rPr>
                <w:rFonts w:ascii="宋体" w:hAnsi="宋体" w:cs="宋体" w:eastAsia="宋体" w:hint="default"/>
                <w:sz w:val="21"/>
                <w:szCs w:val="21"/>
              </w:rPr>
              <w:t> </w:t>
            </w:r>
            <w:r>
              <w:rPr>
                <w:rFonts w:ascii="宋体" w:hAnsi="宋体" w:cs="宋体" w:eastAsia="宋体" w:hint="default"/>
                <w:spacing w:val="-3"/>
                <w:sz w:val="21"/>
                <w:szCs w:val="21"/>
              </w:rPr>
              <w:t>本人在辉煌科技中的地位，为本人及本人近亲属在与</w:t>
            </w:r>
            <w:r>
              <w:rPr>
                <w:rFonts w:ascii="宋体" w:hAnsi="宋体" w:cs="宋体" w:eastAsia="宋体" w:hint="default"/>
                <w:sz w:val="21"/>
                <w:szCs w:val="21"/>
              </w:rPr>
              <w:t> 辉煌科技的关联交易中谋取不正当利益。</w:t>
            </w:r>
            <w:r>
              <w:rPr>
                <w:rFonts w:ascii="Times New Roman" w:hAnsi="Times New Roman" w:cs="Times New Roman" w:eastAsia="Times New Roman" w:hint="default"/>
                <w:sz w:val="21"/>
                <w:szCs w:val="21"/>
              </w:rPr>
              <w:t>3</w:t>
            </w:r>
            <w:r>
              <w:rPr>
                <w:rFonts w:ascii="宋体" w:hAnsi="宋体" w:cs="宋体" w:eastAsia="宋体" w:hint="default"/>
                <w:sz w:val="21"/>
                <w:szCs w:val="21"/>
              </w:rPr>
              <w:t>、作为辉 </w:t>
            </w:r>
            <w:r>
              <w:rPr>
                <w:rFonts w:ascii="宋体" w:hAnsi="宋体" w:cs="宋体" w:eastAsia="宋体" w:hint="default"/>
                <w:spacing w:val="-3"/>
                <w:sz w:val="21"/>
                <w:szCs w:val="21"/>
              </w:rPr>
              <w:t>煌科技的股东，本人及本人的关联方不存在违规占用</w:t>
            </w:r>
            <w:r>
              <w:rPr>
                <w:rFonts w:ascii="宋体" w:hAnsi="宋体" w:cs="宋体" w:eastAsia="宋体" w:hint="default"/>
                <w:sz w:val="21"/>
                <w:szCs w:val="21"/>
              </w:rPr>
              <w:t> 辉煌科技资金、资产和其他资源的情形。</w:t>
            </w:r>
          </w:p>
        </w:tc>
        <w:tc>
          <w:tcPr>
            <w:tcW w:w="566" w:type="dxa"/>
            <w:vMerge w:val="restart"/>
            <w:tcBorders>
              <w:top w:val="single" w:sz="4" w:space="0" w:color="000000"/>
              <w:left w:val="single" w:sz="4" w:space="0" w:color="000000"/>
              <w:right w:val="single" w:sz="4" w:space="0" w:color="000000"/>
            </w:tcBorders>
          </w:tcPr>
          <w:p>
            <w:pPr>
              <w:pStyle w:val="TableParagraph"/>
              <w:spacing w:line="1248" w:lineRule="exact"/>
              <w:ind w:right="-51"/>
              <w:jc w:val="left"/>
              <w:rPr>
                <w:rFonts w:ascii="宋体" w:hAnsi="宋体" w:cs="宋体" w:eastAsia="宋体" w:hint="default"/>
                <w:sz w:val="20"/>
                <w:szCs w:val="20"/>
              </w:rPr>
            </w:pPr>
            <w:r>
              <w:rPr>
                <w:rFonts w:ascii="宋体" w:hAnsi="宋体" w:cs="宋体" w:eastAsia="宋体" w:hint="default"/>
                <w:position w:val="-24"/>
                <w:sz w:val="20"/>
                <w:szCs w:val="20"/>
              </w:rPr>
              <w:pict>
                <v:group style="width:27.85pt;height:62.4pt;mso-position-horizontal-relative:char;mso-position-vertical-relative:line" coordorigin="0,0" coordsize="557,1248">
                  <v:group style="position:absolute;left:0;top:0;width:557;height:1248" coordorigin="0,0" coordsize="557,1248">
                    <v:shape style="position:absolute;left:0;top:0;width:557;height:1248" coordorigin="0,0" coordsize="557,1248" path="m0,1248l557,1248,557,0,0,0,0,1248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68" w:lineRule="auto"/>
              <w:ind w:left="23" w:right="48"/>
              <w:jc w:val="left"/>
              <w:rPr>
                <w:rFonts w:ascii="宋体" w:hAnsi="宋体" w:cs="宋体" w:eastAsia="宋体" w:hint="default"/>
                <w:sz w:val="21"/>
                <w:szCs w:val="21"/>
              </w:rPr>
            </w:pPr>
            <w:r>
              <w:rPr>
                <w:rFonts w:ascii="宋体" w:hAnsi="宋体" w:cs="宋体" w:eastAsia="宋体" w:hint="default"/>
                <w:sz w:val="21"/>
                <w:szCs w:val="21"/>
              </w:rPr>
              <w:t>认购辉煌科 技</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 非公开发行 股份完成 后。</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1" w:lineRule="auto"/>
              <w:ind w:left="23" w:right="62"/>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年非 公开发行 股票尚未 完成，承 诺方严格 履行承 诺。</w:t>
            </w:r>
          </w:p>
        </w:tc>
      </w:tr>
      <w:tr>
        <w:trPr>
          <w:trHeight w:val="1016"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124"/>
              <w:jc w:val="both"/>
              <w:rPr>
                <w:rFonts w:ascii="宋体" w:hAnsi="宋体" w:cs="宋体" w:eastAsia="宋体" w:hint="default"/>
                <w:sz w:val="21"/>
                <w:szCs w:val="21"/>
              </w:rPr>
            </w:pPr>
            <w:r>
              <w:rPr>
                <w:rFonts w:ascii="宋体" w:hAnsi="宋体" w:cs="宋体" w:eastAsia="宋体" w:hint="default"/>
                <w:sz w:val="21"/>
                <w:szCs w:val="21"/>
              </w:rPr>
              <w:t>收购报告书或 权益变动报告 书中所作承诺</w:t>
            </w:r>
          </w:p>
        </w:tc>
        <w:tc>
          <w:tcPr>
            <w:tcW w:w="992"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482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1409"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4"/>
              <w:jc w:val="left"/>
              <w:rPr>
                <w:rFonts w:ascii="宋体" w:hAnsi="宋体" w:cs="宋体" w:eastAsia="宋体" w:hint="default"/>
                <w:sz w:val="21"/>
                <w:szCs w:val="21"/>
              </w:rPr>
            </w:pPr>
            <w:r>
              <w:rPr>
                <w:rFonts w:ascii="宋体" w:hAnsi="宋体" w:cs="宋体" w:eastAsia="宋体" w:hint="default"/>
                <w:sz w:val="21"/>
                <w:szCs w:val="21"/>
              </w:rPr>
              <w:t>资产重组时所 作承诺</w:t>
            </w:r>
          </w:p>
        </w:tc>
        <w:tc>
          <w:tcPr>
            <w:tcW w:w="992"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2591"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李海鹰</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关于同业 竞争</w:t>
            </w:r>
          </w:p>
        </w:tc>
        <w:tc>
          <w:tcPr>
            <w:tcW w:w="48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pacing w:val="-3"/>
                <w:sz w:val="21"/>
                <w:szCs w:val="21"/>
              </w:rPr>
              <w:t>在持有辉煌科技股权或担任辉煌科技董事、监事、高</w:t>
            </w:r>
            <w:r>
              <w:rPr>
                <w:rFonts w:ascii="宋体" w:hAnsi="宋体" w:cs="宋体" w:eastAsia="宋体" w:hint="default"/>
                <w:sz w:val="21"/>
                <w:szCs w:val="21"/>
              </w:rPr>
              <w:t> </w:t>
            </w:r>
            <w:r>
              <w:rPr>
                <w:rFonts w:ascii="宋体" w:hAnsi="宋体" w:cs="宋体" w:eastAsia="宋体" w:hint="default"/>
                <w:spacing w:val="-3"/>
                <w:sz w:val="21"/>
                <w:szCs w:val="21"/>
              </w:rPr>
              <w:t>级管理人员或核心技术人员期间及法定期限内，不经</w:t>
            </w:r>
            <w:r>
              <w:rPr>
                <w:rFonts w:ascii="宋体" w:hAnsi="宋体" w:cs="宋体" w:eastAsia="宋体" w:hint="default"/>
                <w:sz w:val="21"/>
                <w:szCs w:val="21"/>
              </w:rPr>
              <w:t> 营或投资于任何与辉煌科技主营业务构成同业竞争 的企业。</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2009</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34" w:type="dxa"/>
            <w:vMerge w:val="restart"/>
            <w:tcBorders>
              <w:top w:val="single" w:sz="4" w:space="0" w:color="000000"/>
              <w:left w:val="single" w:sz="4" w:space="0" w:color="000000"/>
              <w:right w:val="single" w:sz="10" w:space="0" w:color="FFFFFF"/>
            </w:tcBorders>
          </w:tcPr>
          <w:p>
            <w:pPr>
              <w:pStyle w:val="TableParagraph"/>
              <w:spacing w:line="273" w:lineRule="auto" w:before="26"/>
              <w:ind w:left="23" w:right="41"/>
              <w:jc w:val="left"/>
              <w:rPr>
                <w:rFonts w:ascii="宋体" w:hAnsi="宋体" w:cs="宋体" w:eastAsia="宋体" w:hint="default"/>
                <w:sz w:val="21"/>
                <w:szCs w:val="21"/>
              </w:rPr>
            </w:pPr>
            <w:r>
              <w:rPr>
                <w:rFonts w:ascii="宋体" w:hAnsi="宋体" w:cs="宋体" w:eastAsia="宋体" w:hint="default"/>
                <w:sz w:val="21"/>
                <w:szCs w:val="21"/>
              </w:rPr>
              <w:t>持有辉煌科 技股权或担 任辉煌科技 </w:t>
            </w:r>
            <w:r>
              <w:rPr>
                <w:rFonts w:ascii="宋体" w:hAnsi="宋体" w:cs="宋体" w:eastAsia="宋体" w:hint="default"/>
                <w:spacing w:val="-16"/>
                <w:sz w:val="21"/>
                <w:szCs w:val="21"/>
              </w:rPr>
              <w:t>董事、监事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高级管理人 员或核心技 术人员期间 及法定期限 内</w:t>
            </w:r>
          </w:p>
        </w:tc>
        <w:tc>
          <w:tcPr>
            <w:tcW w:w="992"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16" w:lineRule="exact" w:before="175"/>
              <w:ind w:left="-145"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6" w:lineRule="exact"/>
              <w:ind w:left="16" w:right="0"/>
              <w:jc w:val="left"/>
              <w:rPr>
                <w:rFonts w:ascii="宋体" w:hAnsi="宋体" w:cs="宋体" w:eastAsia="宋体" w:hint="default"/>
                <w:sz w:val="21"/>
                <w:szCs w:val="21"/>
              </w:rPr>
            </w:pPr>
            <w:r>
              <w:rPr>
                <w:rFonts w:ascii="宋体" w:hAnsi="宋体" w:cs="宋体" w:eastAsia="宋体" w:hint="default"/>
                <w:sz w:val="21"/>
                <w:szCs w:val="21"/>
              </w:rPr>
              <w:t>正常履行</w:t>
            </w:r>
          </w:p>
          <w:p>
            <w:pPr>
              <w:pStyle w:val="TableParagraph"/>
              <w:spacing w:line="240" w:lineRule="auto" w:before="37"/>
              <w:ind w:left="16" w:right="0"/>
              <w:jc w:val="left"/>
              <w:rPr>
                <w:rFonts w:ascii="宋体" w:hAnsi="宋体" w:cs="宋体" w:eastAsia="宋体" w:hint="default"/>
                <w:sz w:val="21"/>
                <w:szCs w:val="21"/>
              </w:rPr>
            </w:pPr>
            <w:r>
              <w:rPr>
                <w:rFonts w:ascii="宋体" w:hAnsi="宋体" w:cs="宋体" w:eastAsia="宋体" w:hint="default"/>
                <w:sz w:val="21"/>
                <w:szCs w:val="21"/>
              </w:rPr>
              <w:t>中</w:t>
            </w:r>
          </w:p>
          <w:p>
            <w:pPr>
              <w:pStyle w:val="TableParagraph"/>
              <w:spacing w:line="1443" w:lineRule="exact"/>
              <w:ind w:left="-8" w:right="-51"/>
              <w:jc w:val="left"/>
              <w:rPr>
                <w:rFonts w:ascii="宋体" w:hAnsi="宋体" w:cs="宋体" w:eastAsia="宋体" w:hint="default"/>
                <w:sz w:val="20"/>
                <w:szCs w:val="20"/>
              </w:rPr>
            </w:pPr>
            <w:r>
              <w:rPr>
                <w:rFonts w:ascii="宋体" w:hAnsi="宋体" w:cs="宋体" w:eastAsia="宋体" w:hint="default"/>
                <w:position w:val="-28"/>
                <w:sz w:val="20"/>
                <w:szCs w:val="20"/>
              </w:rPr>
              <w:pict>
                <v:group style="width:49.15pt;height:72.2pt;mso-position-horizontal-relative:char;mso-position-vertical-relative:line" coordorigin="0,0" coordsize="983,1444">
                  <v:group style="position:absolute;left:0;top:0;width:983;height:1092" coordorigin="0,0" coordsize="983,1092">
                    <v:shape style="position:absolute;left:0;top:0;width:983;height:1092" coordorigin="0,0" coordsize="983,1092" path="m0,1092l983,1092,983,0,0,0,0,1092xe" filled="true" fillcolor="#ffffff" stroked="false">
                      <v:path arrowok="t"/>
                      <v:fill type="solid"/>
                    </v:shape>
                  </v:group>
                  <v:group style="position:absolute;left:24;top:1092;width:936;height:352" coordorigin="24,1092" coordsize="936,352">
                    <v:shape style="position:absolute;left:24;top:1092;width:936;height:352" coordorigin="24,1092" coordsize="936,352" path="m24,1444l960,1444,960,1092,24,1092,24,1444xe" filled="true" fillcolor="#ffffff" stroked="false">
                      <v:path arrowok="t"/>
                      <v:fill type="solid"/>
                    </v:shape>
                  </v:group>
                </v:group>
              </w:pict>
            </w:r>
            <w:r>
              <w:rPr>
                <w:rFonts w:ascii="宋体" w:hAnsi="宋体" w:cs="宋体" w:eastAsia="宋体" w:hint="default"/>
                <w:position w:val="-28"/>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tc>
      </w:tr>
      <w:tr>
        <w:trPr>
          <w:trHeight w:val="307" w:hRule="exact"/>
        </w:trPr>
        <w:tc>
          <w:tcPr>
            <w:tcW w:w="140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 w:right="124"/>
              <w:jc w:val="both"/>
              <w:rPr>
                <w:rFonts w:ascii="宋体" w:hAnsi="宋体" w:cs="宋体" w:eastAsia="宋体" w:hint="default"/>
                <w:sz w:val="21"/>
                <w:szCs w:val="21"/>
              </w:rPr>
            </w:pPr>
            <w:r>
              <w:rPr>
                <w:rFonts w:ascii="宋体" w:hAnsi="宋体" w:cs="宋体" w:eastAsia="宋体" w:hint="default"/>
                <w:sz w:val="21"/>
                <w:szCs w:val="21"/>
              </w:rPr>
              <w:t>首次公开发行 或再融资时所 作承诺</w:t>
            </w:r>
          </w:p>
        </w:tc>
        <w:tc>
          <w:tcPr>
            <w:tcW w:w="992"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10" w:space="0" w:color="FFFFFF"/>
            </w:tcBorders>
          </w:tcPr>
          <w:p>
            <w:pPr/>
          </w:p>
        </w:tc>
        <w:tc>
          <w:tcPr>
            <w:tcW w:w="992" w:type="dxa"/>
            <w:vMerge/>
            <w:tcBorders>
              <w:left w:val="single" w:sz="10" w:space="0" w:color="FFFFFF"/>
              <w:bottom w:val="nil" w:sz="6" w:space="0" w:color="auto"/>
              <w:right w:val="single" w:sz="4" w:space="0" w:color="000000"/>
            </w:tcBorders>
          </w:tcPr>
          <w:p>
            <w:pPr/>
          </w:p>
        </w:tc>
      </w:tr>
      <w:tr>
        <w:trPr>
          <w:trHeight w:val="709" w:hRule="exact"/>
        </w:trPr>
        <w:tc>
          <w:tcPr>
            <w:tcW w:w="1407"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募集资金 使用承诺</w:t>
            </w:r>
          </w:p>
        </w:tc>
        <w:tc>
          <w:tcPr>
            <w:tcW w:w="4820" w:type="dxa"/>
            <w:vMerge w:val="restart"/>
            <w:tcBorders>
              <w:top w:val="single" w:sz="4" w:space="0" w:color="000000"/>
              <w:left w:val="single" w:sz="4" w:space="0" w:color="000000"/>
              <w:right w:val="single" w:sz="4" w:space="0" w:color="000000"/>
            </w:tcBorders>
          </w:tcPr>
          <w:p>
            <w:pPr>
              <w:pStyle w:val="TableParagraph"/>
              <w:spacing w:line="266" w:lineRule="auto" w:before="26"/>
              <w:ind w:left="22" w:right="22"/>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年公司债券发行完毕后，公司债券募集的资金 不直接或间接投资设立产业并购基金及其投资的项 </w:t>
            </w:r>
            <w:r>
              <w:rPr>
                <w:rFonts w:ascii="宋体" w:hAnsi="宋体" w:cs="宋体" w:eastAsia="宋体" w:hint="default"/>
                <w:spacing w:val="-3"/>
                <w:sz w:val="21"/>
                <w:szCs w:val="21"/>
              </w:rPr>
              <w:t>目，不直接或间接投资其他风险投资，不用于对外财</w:t>
            </w:r>
            <w:r>
              <w:rPr>
                <w:rFonts w:ascii="宋体" w:hAnsi="宋体" w:cs="宋体" w:eastAsia="宋体" w:hint="default"/>
                <w:sz w:val="21"/>
                <w:szCs w:val="21"/>
              </w:rPr>
              <w:t> 务资助或委托贷款等非生产经营性支出。</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64" w:lineRule="auto"/>
              <w:ind w:left="23" w:right="19"/>
              <w:jc w:val="both"/>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年公司 债券募集资 金使用期间</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3" w:right="116"/>
              <w:jc w:val="left"/>
              <w:rPr>
                <w:rFonts w:ascii="宋体" w:hAnsi="宋体" w:cs="宋体" w:eastAsia="宋体" w:hint="default"/>
                <w:sz w:val="21"/>
                <w:szCs w:val="21"/>
              </w:rPr>
            </w:pPr>
            <w:r>
              <w:rPr>
                <w:rFonts w:ascii="宋体" w:hAnsi="宋体" w:cs="宋体" w:eastAsia="宋体" w:hint="default"/>
                <w:sz w:val="21"/>
                <w:szCs w:val="21"/>
              </w:rPr>
              <w:t>正常履行 中</w:t>
            </w:r>
          </w:p>
        </w:tc>
      </w:tr>
      <w:tr>
        <w:trPr>
          <w:trHeight w:val="629" w:hRule="exact"/>
        </w:trPr>
        <w:tc>
          <w:tcPr>
            <w:tcW w:w="1407" w:type="dxa"/>
            <w:vMerge w:val="restart"/>
            <w:tcBorders>
              <w:top w:val="nil" w:sz="6" w:space="0" w:color="auto"/>
              <w:left w:val="single" w:sz="4" w:space="0" w:color="000000"/>
              <w:right w:val="single" w:sz="4" w:space="0" w:color="000000"/>
            </w:tcBorders>
            <w:shd w:val="clear" w:color="auto" w:fill="D2D2D2"/>
          </w:tcPr>
          <w:p>
            <w:pPr/>
          </w:p>
        </w:tc>
        <w:tc>
          <w:tcPr>
            <w:tcW w:w="992"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82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1962" w:hRule="exact"/>
        </w:trPr>
        <w:tc>
          <w:tcPr>
            <w:tcW w:w="1407"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李海鹰、 袁亚琴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股份限售 承诺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56" w:lineRule="auto"/>
              <w:ind w:left="22" w:right="60"/>
              <w:jc w:val="left"/>
              <w:rPr>
                <w:rFonts w:ascii="宋体" w:hAnsi="宋体" w:cs="宋体" w:eastAsia="宋体" w:hint="default"/>
                <w:sz w:val="21"/>
                <w:szCs w:val="21"/>
              </w:rPr>
            </w:pPr>
            <w:r>
              <w:rPr>
                <w:rFonts w:ascii="宋体" w:hAnsi="宋体" w:cs="宋体" w:eastAsia="宋体" w:hint="default"/>
                <w:sz w:val="21"/>
                <w:szCs w:val="21"/>
              </w:rPr>
              <w:t>认购股份自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年非公开发行股票结束之日起，三 十六个月内不转让。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20"/>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68" w:lineRule="auto"/>
              <w:ind w:left="23" w:right="19"/>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年非公 开发行股票 结束之日起 三十六个月 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6"/>
              <w:ind w:left="23" w:right="11"/>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年非 公开发行 股票尚未 完成，承 诺尚未开 始执行 。</w:t>
            </w:r>
          </w:p>
        </w:tc>
      </w:tr>
    </w:tbl>
    <w:p>
      <w:pPr>
        <w:spacing w:after="0" w:line="268" w:lineRule="auto"/>
        <w:jc w:val="both"/>
        <w:rPr>
          <w:rFonts w:ascii="宋体" w:hAnsi="宋体" w:cs="宋体" w:eastAsia="宋体" w:hint="default"/>
          <w:sz w:val="21"/>
          <w:szCs w:val="21"/>
        </w:rPr>
        <w:sectPr>
          <w:pgSz w:w="11910" w:h="16840"/>
          <w:pgMar w:header="747" w:footer="979" w:top="1060" w:bottom="1160" w:left="3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419"/>
        <w:gridCol w:w="992"/>
        <w:gridCol w:w="992"/>
        <w:gridCol w:w="4820"/>
        <w:gridCol w:w="566"/>
        <w:gridCol w:w="1134"/>
        <w:gridCol w:w="992"/>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股权激励承诺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73" w:lineRule="auto"/>
              <w:ind w:left="22" w:right="124"/>
              <w:jc w:val="both"/>
              <w:rPr>
                <w:rFonts w:ascii="宋体" w:hAnsi="宋体" w:cs="宋体" w:eastAsia="宋体" w:hint="default"/>
                <w:sz w:val="21"/>
                <w:szCs w:val="21"/>
              </w:rPr>
            </w:pPr>
            <w:r>
              <w:rPr>
                <w:rFonts w:ascii="宋体" w:hAnsi="宋体" w:cs="宋体" w:eastAsia="宋体" w:hint="default"/>
                <w:sz w:val="21"/>
                <w:szCs w:val="21"/>
              </w:rPr>
              <w:t>其他对公司中 小股东所作承 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both"/>
              <w:rPr>
                <w:rFonts w:ascii="宋体" w:hAnsi="宋体" w:cs="宋体" w:eastAsia="宋体" w:hint="default"/>
                <w:sz w:val="21"/>
                <w:szCs w:val="21"/>
              </w:rPr>
            </w:pPr>
            <w:r>
              <w:rPr>
                <w:rFonts w:ascii="宋体" w:hAnsi="宋体" w:cs="宋体" w:eastAsia="宋体" w:hint="default"/>
                <w:sz w:val="21"/>
                <w:szCs w:val="21"/>
              </w:rPr>
              <w:t>刘宝利、 黄继军、 杜旭升、 周健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股份限售 承诺</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一年内不转让或者委托他人管理其所持有的上市公 </w:t>
            </w:r>
            <w:r>
              <w:rPr>
                <w:rFonts w:ascii="宋体" w:hAnsi="宋体" w:cs="宋体" w:eastAsia="宋体" w:hint="default"/>
                <w:spacing w:val="-3"/>
                <w:sz w:val="21"/>
                <w:szCs w:val="21"/>
              </w:rPr>
              <w:t>司股份，也不由上市公司回购该部分股份。若违反前</w:t>
            </w:r>
            <w:r>
              <w:rPr>
                <w:rFonts w:ascii="宋体" w:hAnsi="宋体" w:cs="宋体" w:eastAsia="宋体" w:hint="default"/>
                <w:sz w:val="21"/>
                <w:szCs w:val="21"/>
              </w:rPr>
              <w:t> </w:t>
            </w:r>
            <w:r>
              <w:rPr>
                <w:rFonts w:ascii="宋体" w:hAnsi="宋体" w:cs="宋体" w:eastAsia="宋体" w:hint="default"/>
                <w:spacing w:val="-3"/>
                <w:sz w:val="21"/>
                <w:szCs w:val="21"/>
              </w:rPr>
              <w:t>述承诺，违反承诺减持股份的所得将全部上缴上市公</w:t>
            </w:r>
            <w:r>
              <w:rPr>
                <w:rFonts w:ascii="宋体" w:hAnsi="宋体" w:cs="宋体" w:eastAsia="宋体" w:hint="default"/>
                <w:sz w:val="21"/>
                <w:szCs w:val="21"/>
              </w:rPr>
              <w:t>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p>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-2015</w:t>
            </w:r>
          </w:p>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3" w:right="116"/>
              <w:jc w:val="left"/>
              <w:rPr>
                <w:rFonts w:ascii="宋体" w:hAnsi="宋体" w:cs="宋体" w:eastAsia="宋体" w:hint="default"/>
                <w:sz w:val="21"/>
                <w:szCs w:val="21"/>
              </w:rPr>
            </w:pPr>
            <w:r>
              <w:rPr>
                <w:rFonts w:ascii="宋体" w:hAnsi="宋体" w:cs="宋体" w:eastAsia="宋体" w:hint="default"/>
                <w:sz w:val="21"/>
                <w:szCs w:val="21"/>
              </w:rPr>
              <w:t>已履行完 毕</w:t>
            </w:r>
          </w:p>
        </w:tc>
      </w:tr>
      <w:tr>
        <w:trPr>
          <w:trHeight w:val="1338"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募集资金 使用承诺</w:t>
            </w:r>
          </w:p>
        </w:tc>
        <w:tc>
          <w:tcPr>
            <w:tcW w:w="4820"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2" w:right="-54"/>
              <w:jc w:val="both"/>
              <w:rPr>
                <w:rFonts w:ascii="宋体" w:hAnsi="宋体" w:cs="宋体" w:eastAsia="宋体" w:hint="default"/>
                <w:sz w:val="21"/>
                <w:szCs w:val="21"/>
              </w:rPr>
            </w:pPr>
            <w:r>
              <w:rPr>
                <w:rFonts w:ascii="宋体" w:hAnsi="宋体" w:cs="宋体" w:eastAsia="宋体" w:hint="default"/>
                <w:sz w:val="21"/>
                <w:szCs w:val="21"/>
              </w:rPr>
              <w:t>在丰图辉煌产业并购基金投资设立后的十二个月内， </w:t>
            </w:r>
            <w:r>
              <w:rPr>
                <w:rFonts w:ascii="宋体" w:hAnsi="宋体" w:cs="宋体" w:eastAsia="宋体" w:hint="default"/>
                <w:spacing w:val="-3"/>
                <w:sz w:val="21"/>
                <w:szCs w:val="21"/>
              </w:rPr>
              <w:t>不使用闲置募集资金暂时补充流动资金、不将募集资</w:t>
            </w:r>
            <w:r>
              <w:rPr>
                <w:rFonts w:ascii="宋体" w:hAnsi="宋体" w:cs="宋体" w:eastAsia="宋体" w:hint="default"/>
                <w:sz w:val="21"/>
                <w:szCs w:val="21"/>
              </w:rPr>
              <w:t> </w:t>
            </w:r>
            <w:r>
              <w:rPr>
                <w:rFonts w:ascii="宋体" w:hAnsi="宋体" w:cs="宋体" w:eastAsia="宋体" w:hint="default"/>
                <w:spacing w:val="-3"/>
                <w:sz w:val="21"/>
                <w:szCs w:val="21"/>
              </w:rPr>
              <w:t>金投向变更为永久性补充流动资金、不将募集资金永</w:t>
            </w:r>
            <w:r>
              <w:rPr>
                <w:rFonts w:ascii="宋体" w:hAnsi="宋体" w:cs="宋体" w:eastAsia="宋体" w:hint="default"/>
                <w:sz w:val="21"/>
                <w:szCs w:val="21"/>
              </w:rPr>
              <w:t> 久性用于补充流动资金或归还银行贷款。</w:t>
            </w:r>
          </w:p>
        </w:tc>
        <w:tc>
          <w:tcPr>
            <w:tcW w:w="56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240" w:lineRule="auto" w:before="21"/>
              <w:ind w:left="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w:t>
            </w:r>
          </w:p>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48"/>
              <w:jc w:val="both"/>
              <w:rPr>
                <w:rFonts w:ascii="宋体" w:hAnsi="宋体" w:cs="宋体" w:eastAsia="宋体" w:hint="default"/>
                <w:sz w:val="21"/>
                <w:szCs w:val="21"/>
              </w:rPr>
            </w:pPr>
            <w:r>
              <w:rPr>
                <w:rFonts w:ascii="宋体" w:hAnsi="宋体" w:cs="宋体" w:eastAsia="宋体" w:hint="default"/>
                <w:sz w:val="21"/>
                <w:szCs w:val="21"/>
              </w:rPr>
              <w:t>该产业并购 基金设立后 十二个月内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116"/>
              <w:jc w:val="both"/>
              <w:rPr>
                <w:rFonts w:ascii="宋体" w:hAnsi="宋体" w:cs="宋体" w:eastAsia="宋体" w:hint="default"/>
                <w:sz w:val="21"/>
                <w:szCs w:val="21"/>
              </w:rPr>
            </w:pPr>
            <w:r>
              <w:rPr>
                <w:rFonts w:ascii="宋体" w:hAnsi="宋体" w:cs="宋体" w:eastAsia="宋体" w:hint="default"/>
                <w:sz w:val="21"/>
                <w:szCs w:val="21"/>
              </w:rPr>
              <w:t>该产业并 购基金尚 未设立。</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24"/>
              <w:jc w:val="left"/>
              <w:rPr>
                <w:rFonts w:ascii="宋体" w:hAnsi="宋体" w:cs="宋体" w:eastAsia="宋体" w:hint="default"/>
                <w:sz w:val="21"/>
                <w:szCs w:val="21"/>
              </w:rPr>
            </w:pPr>
            <w:r>
              <w:rPr>
                <w:rFonts w:ascii="宋体" w:hAnsi="宋体" w:cs="宋体" w:eastAsia="宋体" w:hint="default"/>
                <w:sz w:val="21"/>
                <w:szCs w:val="21"/>
              </w:rPr>
              <w:t>承诺是否按时 履行</w:t>
            </w:r>
          </w:p>
        </w:tc>
        <w:tc>
          <w:tcPr>
            <w:tcW w:w="94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27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24"/>
              <w:jc w:val="both"/>
              <w:rPr>
                <w:rFonts w:ascii="宋体" w:hAnsi="宋体" w:cs="宋体" w:eastAsia="宋体" w:hint="default"/>
                <w:sz w:val="21"/>
                <w:szCs w:val="21"/>
              </w:rPr>
            </w:pPr>
            <w:r>
              <w:rPr>
                <w:rFonts w:ascii="宋体" w:hAnsi="宋体" w:cs="宋体" w:eastAsia="宋体" w:hint="default"/>
                <w:sz w:val="21"/>
                <w:szCs w:val="21"/>
              </w:rPr>
              <w:t>如承诺超期未 履行完毕的， 应当详细说明 未完成履行的 具体原因及下 一步的工作计 划</w:t>
            </w:r>
          </w:p>
        </w:tc>
        <w:tc>
          <w:tcPr>
            <w:tcW w:w="94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0"/>
        <w:rPr>
          <w:rFonts w:ascii="宋体" w:hAnsi="宋体" w:cs="宋体" w:eastAsia="宋体" w:hint="default"/>
          <w:sz w:val="4"/>
          <w:szCs w:val="4"/>
        </w:rPr>
      </w:pPr>
    </w:p>
    <w:p>
      <w:pPr>
        <w:pStyle w:val="Heading2"/>
        <w:spacing w:line="333" w:lineRule="auto"/>
        <w:ind w:left="813" w:right="1132" w:firstLine="482"/>
        <w:jc w:val="left"/>
        <w:rPr>
          <w:b w:val="0"/>
          <w:bCs w:val="0"/>
        </w:rPr>
      </w:pPr>
      <w:r>
        <w:rPr>
          <w:rFonts w:ascii="Times New Roman" w:hAnsi="Times New Roman" w:cs="Times New Roman" w:eastAsia="Times New Roman" w:hint="default"/>
          <w:spacing w:val="-4"/>
        </w:rPr>
        <w:t>2</w:t>
      </w:r>
      <w:r>
        <w:rPr>
          <w:spacing w:val="-4"/>
        </w:rPr>
        <w:t>、公司资产或项目存在盈利预测，且报告期仍处在盈利预测期间，公司就资产或项目达</w:t>
      </w:r>
      <w:r>
        <w:rPr>
          <w:w w:val="99"/>
        </w:rPr>
        <w:t> </w:t>
      </w:r>
      <w:r>
        <w:rPr/>
        <w:t>到原盈利预测及其原因做出说明</w:t>
      </w:r>
      <w:r>
        <w:rPr>
          <w:b w:val="0"/>
          <w:bCs w:val="0"/>
        </w:rPr>
      </w:r>
    </w:p>
    <w:p>
      <w:pPr>
        <w:spacing w:line="352" w:lineRule="auto" w:before="52"/>
        <w:ind w:left="1293" w:right="2593"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四、控股股东及其关联方对上市公司的非经营性占用资金情况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公司报告期不存在控股股东及其关联方对上市公司的非经营性占用资金。</w:t>
      </w:r>
    </w:p>
    <w:p>
      <w:pPr>
        <w:pStyle w:val="Heading2"/>
        <w:spacing w:line="331" w:lineRule="auto" w:before="32"/>
        <w:ind w:left="813" w:right="1132" w:firstLine="482"/>
        <w:jc w:val="left"/>
        <w:rPr>
          <w:b w:val="0"/>
          <w:bCs w:val="0"/>
        </w:rPr>
      </w:pPr>
      <w:r>
        <w:rPr>
          <w:w w:val="95"/>
        </w:rPr>
        <w:t>五、董事会、监事会、独立董事（如有）对会计师事务所本报告期</w:t>
      </w:r>
      <w:r>
        <w:rPr>
          <w:rFonts w:ascii="Times New Roman" w:hAnsi="Times New Roman" w:cs="Times New Roman" w:eastAsia="Times New Roman" w:hint="default"/>
          <w:w w:val="95"/>
        </w:rPr>
        <w:t>“</w:t>
      </w:r>
      <w:r>
        <w:rPr>
          <w:w w:val="95"/>
        </w:rPr>
        <w:t>非标准审计报告</w:t>
      </w:r>
      <w:r>
        <w:rPr>
          <w:rFonts w:ascii="Times New Roman" w:hAnsi="Times New Roman" w:cs="Times New Roman" w:eastAsia="Times New Roman" w:hint="default"/>
          <w:w w:val="95"/>
        </w:rPr>
        <w:t>”</w:t>
      </w:r>
      <w:r>
        <w:rPr>
          <w:w w:val="95"/>
        </w:rPr>
        <w:t>的</w:t>
      </w:r>
      <w:r>
        <w:rPr>
          <w:w w:val="99"/>
        </w:rPr>
        <w:t> </w:t>
      </w:r>
      <w:r>
        <w:rPr/>
        <w:t>说明</w:t>
      </w:r>
      <w:r>
        <w:rPr>
          <w:b w:val="0"/>
          <w:bCs w:val="0"/>
        </w:rPr>
      </w:r>
    </w:p>
    <w:p>
      <w:pPr>
        <w:spacing w:line="350" w:lineRule="auto" w:before="55"/>
        <w:ind w:left="1293" w:right="1132"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六、与上年度财务报告相比，会计政策、会计估计和核算方法发生变化的情况说明</w:t>
      </w:r>
      <w:r>
        <w:rPr>
          <w:rFonts w:ascii="宋体" w:hAnsi="宋体" w:cs="宋体" w:eastAsia="宋体" w:hint="default"/>
          <w:b/>
          <w:bCs/>
          <w:spacing w:val="55"/>
          <w:w w:val="95"/>
          <w:sz w:val="24"/>
          <w:szCs w:val="24"/>
        </w:rPr>
        <w:t> </w:t>
      </w:r>
      <w:r>
        <w:rPr>
          <w:rFonts w:ascii="宋体" w:hAnsi="宋体" w:cs="宋体" w:eastAsia="宋体" w:hint="default"/>
          <w:sz w:val="24"/>
          <w:szCs w:val="24"/>
        </w:rPr>
        <w:t>公司报告期无会计政策、会计估计和核算方法发生变化的情况。 </w:t>
      </w:r>
      <w:r>
        <w:rPr>
          <w:rFonts w:ascii="宋体" w:hAnsi="宋体" w:cs="宋体" w:eastAsia="宋体" w:hint="default"/>
          <w:b/>
          <w:bCs/>
          <w:sz w:val="24"/>
          <w:szCs w:val="24"/>
        </w:rPr>
        <w:t>七、报告期内发生重大会计差错更正需追溯重述的情况说明</w:t>
      </w:r>
      <w:r>
        <w:rPr>
          <w:rFonts w:ascii="宋体" w:hAnsi="宋体" w:cs="宋体" w:eastAsia="宋体" w:hint="default"/>
          <w:b/>
          <w:bCs/>
          <w:w w:val="99"/>
          <w:sz w:val="24"/>
          <w:szCs w:val="24"/>
        </w:rPr>
        <w:t> </w:t>
      </w:r>
      <w:r>
        <w:rPr>
          <w:rFonts w:ascii="宋体" w:hAnsi="宋体" w:cs="宋体" w:eastAsia="宋体" w:hint="default"/>
          <w:sz w:val="24"/>
          <w:szCs w:val="24"/>
        </w:rPr>
        <w:t>公司报告期无重大会计差错更正需追溯重述的情况。 </w:t>
      </w:r>
      <w:r>
        <w:rPr>
          <w:rFonts w:ascii="宋体" w:hAnsi="宋体" w:cs="宋体" w:eastAsia="宋体" w:hint="default"/>
          <w:b/>
          <w:bCs/>
          <w:sz w:val="24"/>
          <w:szCs w:val="24"/>
        </w:rPr>
        <w:t>八、与上年度财务报告相比，合并报表范围发生变化的情况说明</w:t>
      </w:r>
      <w:r>
        <w:rPr>
          <w:rFonts w:ascii="宋体" w:hAnsi="宋体" w:cs="宋体" w:eastAsia="宋体" w:hint="default"/>
          <w:b/>
          <w:bCs/>
          <w:w w:val="99"/>
          <w:sz w:val="24"/>
          <w:szCs w:val="24"/>
        </w:rPr>
        <w:t> </w:t>
      </w:r>
      <w:r>
        <w:rPr>
          <w:rFonts w:ascii="宋体" w:hAnsi="宋体" w:cs="宋体" w:eastAsia="宋体" w:hint="default"/>
          <w:sz w:val="24"/>
          <w:szCs w:val="24"/>
        </w:rPr>
        <w:t>公司报告期无合并报表范围发生变化的情况。</w:t>
      </w:r>
    </w:p>
    <w:p>
      <w:pPr>
        <w:pStyle w:val="Heading2"/>
        <w:spacing w:line="285" w:lineRule="auto" w:before="35"/>
        <w:ind w:left="1296" w:right="5713"/>
        <w:jc w:val="left"/>
        <w:rPr>
          <w:b w:val="0"/>
          <w:bCs w:val="0"/>
        </w:rPr>
      </w:pPr>
      <w:r>
        <w:rPr>
          <w:w w:val="95"/>
        </w:rPr>
        <w:t>九、聘任、解聘会计师事务所情况</w:t>
      </w:r>
      <w:r>
        <w:rPr>
          <w:spacing w:val="51"/>
          <w:w w:val="95"/>
        </w:rPr>
        <w:t> </w:t>
      </w:r>
      <w:r>
        <w:rPr/>
        <w:t>现聘任的会计师事务所</w:t>
      </w:r>
      <w:r>
        <w:rPr>
          <w:b w:val="0"/>
          <w:bCs w:val="0"/>
        </w:rPr>
      </w:r>
    </w:p>
    <w:p>
      <w:pPr>
        <w:spacing w:line="240" w:lineRule="auto" w:before="5"/>
        <w:rPr>
          <w:rFonts w:ascii="宋体" w:hAnsi="宋体" w:cs="宋体" w:eastAsia="宋体" w:hint="default"/>
          <w:b/>
          <w:bCs/>
          <w:sz w:val="2"/>
          <w:szCs w:val="2"/>
        </w:rPr>
      </w:pPr>
    </w:p>
    <w:tbl>
      <w:tblPr>
        <w:tblW w:w="0" w:type="auto"/>
        <w:jc w:val="left"/>
        <w:tblInd w:w="1121" w:type="dxa"/>
        <w:tblLayout w:type="fixed"/>
        <w:tblCellMar>
          <w:top w:w="0" w:type="dxa"/>
          <w:left w:w="0" w:type="dxa"/>
          <w:bottom w:w="0" w:type="dxa"/>
          <w:right w:w="0" w:type="dxa"/>
        </w:tblCellMar>
        <w:tblLook w:val="01E0"/>
      </w:tblPr>
      <w:tblGrid>
        <w:gridCol w:w="3886"/>
        <w:gridCol w:w="5128"/>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79"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bl>
    <w:p>
      <w:pPr>
        <w:spacing w:after="0" w:line="240" w:lineRule="auto"/>
        <w:jc w:val="left"/>
        <w:rPr>
          <w:rFonts w:ascii="宋体" w:hAnsi="宋体" w:cs="宋体" w:eastAsia="宋体" w:hint="default"/>
          <w:sz w:val="21"/>
          <w:szCs w:val="21"/>
        </w:rPr>
        <w:sectPr>
          <w:pgSz w:w="11910" w:h="16840"/>
          <w:pgMar w:header="747" w:footer="979" w:top="1060" w:bottom="1160" w:left="320" w:right="0"/>
        </w:sectPr>
      </w:pPr>
    </w:p>
    <w:p>
      <w:pPr>
        <w:spacing w:line="240" w:lineRule="auto" w:before="6"/>
        <w:rPr>
          <w:rFonts w:ascii="宋体" w:hAnsi="宋体" w:cs="宋体" w:eastAsia="宋体" w:hint="default"/>
          <w:b/>
          <w:bCs/>
          <w:sz w:val="28"/>
          <w:szCs w:val="28"/>
        </w:rPr>
      </w:pPr>
    </w:p>
    <w:tbl>
      <w:tblPr>
        <w:tblW w:w="0" w:type="auto"/>
        <w:jc w:val="left"/>
        <w:tblInd w:w="461" w:type="dxa"/>
        <w:tblLayout w:type="fixed"/>
        <w:tblCellMar>
          <w:top w:w="0" w:type="dxa"/>
          <w:left w:w="0" w:type="dxa"/>
          <w:bottom w:w="0" w:type="dxa"/>
          <w:right w:w="0" w:type="dxa"/>
        </w:tblCellMar>
        <w:tblLook w:val="01E0"/>
      </w:tblPr>
      <w:tblGrid>
        <w:gridCol w:w="3886"/>
        <w:gridCol w:w="5128"/>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70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14 </w:t>
            </w:r>
            <w:r>
              <w:rPr>
                <w:rFonts w:ascii="宋体" w:hAnsi="宋体" w:cs="宋体" w:eastAsia="宋体" w:hint="default"/>
                <w:sz w:val="21"/>
                <w:szCs w:val="21"/>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董超、胡丽娟</w:t>
            </w:r>
          </w:p>
        </w:tc>
      </w:tr>
    </w:tbl>
    <w:p>
      <w:pPr>
        <w:spacing w:line="240" w:lineRule="auto" w:before="10"/>
        <w:rPr>
          <w:rFonts w:ascii="宋体" w:hAnsi="宋体" w:cs="宋体" w:eastAsia="宋体" w:hint="default"/>
          <w:b/>
          <w:bCs/>
          <w:sz w:val="4"/>
          <w:szCs w:val="4"/>
        </w:rPr>
      </w:pPr>
    </w:p>
    <w:p>
      <w:pPr>
        <w:pStyle w:val="Heading2"/>
        <w:spacing w:line="240" w:lineRule="auto"/>
        <w:ind w:right="1153"/>
        <w:jc w:val="left"/>
        <w:rPr>
          <w:b w:val="0"/>
          <w:bCs w:val="0"/>
        </w:rPr>
      </w:pPr>
      <w:r>
        <w:rPr/>
        <w:t>当期是否改聘会计师事务所</w:t>
      </w:r>
      <w:r>
        <w:rPr>
          <w:b w:val="0"/>
          <w:bCs w:val="0"/>
        </w:rPr>
      </w:r>
    </w:p>
    <w:p>
      <w:pPr>
        <w:spacing w:line="350" w:lineRule="auto" w:before="146"/>
        <w:ind w:left="636" w:right="4153" w:hanging="3"/>
        <w:jc w:val="left"/>
        <w:rPr>
          <w:rFonts w:ascii="宋体" w:hAnsi="宋体" w:cs="宋体" w:eastAsia="宋体" w:hint="default"/>
          <w:sz w:val="24"/>
          <w:szCs w:val="24"/>
        </w:rPr>
      </w:pPr>
      <w:r>
        <w:rPr>
          <w:rFonts w:ascii="宋体" w:hAnsi="宋体" w:cs="宋体" w:eastAsia="宋体" w:hint="default"/>
          <w:sz w:val="24"/>
          <w:szCs w:val="24"/>
        </w:rPr>
        <w:t>□ 是 √ 否 </w:t>
      </w:r>
      <w:r>
        <w:rPr>
          <w:rFonts w:ascii="宋体" w:hAnsi="宋体" w:cs="宋体" w:eastAsia="宋体" w:hint="default"/>
          <w:b/>
          <w:bCs/>
          <w:w w:val="95"/>
          <w:sz w:val="24"/>
          <w:szCs w:val="24"/>
        </w:rPr>
        <w:t>聘请内部控制审计会计师事务所、财务顾问或保荐人情况</w:t>
      </w:r>
      <w:r>
        <w:rPr>
          <w:rFonts w:ascii="宋体" w:hAnsi="宋体" w:cs="宋体" w:eastAsia="宋体" w:hint="default"/>
          <w:sz w:val="24"/>
          <w:szCs w:val="24"/>
        </w:rPr>
      </w:r>
    </w:p>
    <w:p>
      <w:pPr>
        <w:pStyle w:val="BodyText"/>
        <w:spacing w:line="352" w:lineRule="auto" w:before="35"/>
        <w:ind w:right="0" w:firstLine="480"/>
        <w:jc w:val="left"/>
      </w:pPr>
      <w:r>
        <w:rPr>
          <w:rFonts w:ascii="宋体" w:hAnsi="宋体" w:cs="宋体" w:eastAsia="宋体" w:hint="default"/>
          <w:spacing w:val="-3"/>
        </w:rPr>
        <w:t>1</w:t>
      </w:r>
      <w:r>
        <w:rPr>
          <w:spacing w:val="-3"/>
        </w:rPr>
        <w:t>、报告期内，公司聘请大华会计师事务所（特殊普通合伙）担任公司的内部控制审计会</w:t>
      </w:r>
      <w:r>
        <w:rPr/>
        <w:t> 计师，期间共支付其财务审计、内部控制审计及验资费用共计</w:t>
      </w:r>
      <w:r>
        <w:rPr>
          <w:spacing w:val="-60"/>
        </w:rPr>
        <w:t> </w:t>
      </w:r>
      <w:r>
        <w:rPr>
          <w:rFonts w:ascii="宋体" w:hAnsi="宋体" w:cs="宋体" w:eastAsia="宋体" w:hint="default"/>
        </w:rPr>
        <w:t>70</w:t>
      </w:r>
      <w:r>
        <w:rPr>
          <w:rFonts w:ascii="宋体" w:hAnsi="宋体" w:cs="宋体" w:eastAsia="宋体" w:hint="default"/>
          <w:spacing w:val="-60"/>
        </w:rPr>
        <w:t> </w:t>
      </w:r>
      <w:r>
        <w:rPr/>
        <w:t>万元；</w:t>
      </w:r>
    </w:p>
    <w:p>
      <w:pPr>
        <w:pStyle w:val="BodyText"/>
        <w:spacing w:line="350" w:lineRule="auto" w:before="32"/>
        <w:ind w:right="1118" w:firstLine="480"/>
        <w:jc w:val="left"/>
      </w:pPr>
      <w:r>
        <w:rPr>
          <w:rFonts w:ascii="宋体" w:hAnsi="宋体" w:cs="宋体" w:eastAsia="宋体" w:hint="default"/>
          <w:spacing w:val="-3"/>
        </w:rPr>
        <w:t>2</w:t>
      </w:r>
      <w:r>
        <w:rPr>
          <w:spacing w:val="-3"/>
        </w:rPr>
        <w:t>、报告期内，因公开发行债券事项，公司聘请中原证券股份有限公司担任保荐机构和承</w:t>
      </w:r>
      <w:r>
        <w:rPr/>
        <w:t> 销机构，</w:t>
      </w:r>
      <w:r>
        <w:rPr>
          <w:rFonts w:ascii="宋体" w:hAnsi="宋体" w:cs="宋体" w:eastAsia="宋体" w:hint="default"/>
        </w:rPr>
        <w:t>2015</w:t>
      </w:r>
      <w:r>
        <w:rPr>
          <w:rFonts w:ascii="宋体" w:hAnsi="宋体" w:cs="宋体" w:eastAsia="宋体" w:hint="default"/>
          <w:spacing w:val="-65"/>
        </w:rPr>
        <w:t> </w:t>
      </w:r>
      <w:r>
        <w:rPr/>
        <w:t>年</w:t>
      </w:r>
      <w:r>
        <w:rPr>
          <w:spacing w:val="-65"/>
        </w:rPr>
        <w:t> </w:t>
      </w:r>
      <w:r>
        <w:rPr>
          <w:rFonts w:ascii="宋体" w:hAnsi="宋体" w:cs="宋体" w:eastAsia="宋体" w:hint="default"/>
        </w:rPr>
        <w:t>3</w:t>
      </w:r>
      <w:r>
        <w:rPr>
          <w:rFonts w:ascii="宋体" w:hAnsi="宋体" w:cs="宋体" w:eastAsia="宋体" w:hint="default"/>
          <w:spacing w:val="-65"/>
        </w:rPr>
        <w:t> </w:t>
      </w:r>
      <w:r>
        <w:rPr/>
        <w:t>月公司发行第一期公司债券</w:t>
      </w:r>
      <w:r>
        <w:rPr>
          <w:spacing w:val="-65"/>
        </w:rPr>
        <w:t> </w:t>
      </w:r>
      <w:r>
        <w:rPr>
          <w:rFonts w:ascii="宋体" w:hAnsi="宋体" w:cs="宋体" w:eastAsia="宋体" w:hint="default"/>
        </w:rPr>
        <w:t>2.5</w:t>
      </w:r>
      <w:r>
        <w:rPr>
          <w:rFonts w:ascii="宋体" w:hAnsi="宋体" w:cs="宋体" w:eastAsia="宋体" w:hint="default"/>
          <w:spacing w:val="-65"/>
        </w:rPr>
        <w:t> </w:t>
      </w:r>
      <w:r>
        <w:rPr/>
        <w:t>亿元，支付中原证券保荐费用、承销费用</w:t>
      </w:r>
    </w:p>
    <w:p>
      <w:pPr>
        <w:pStyle w:val="BodyText"/>
        <w:spacing w:line="240" w:lineRule="auto"/>
        <w:ind w:right="1153"/>
        <w:jc w:val="left"/>
      </w:pPr>
      <w:r>
        <w:rPr/>
        <w:t>和受托管理费用共计</w:t>
      </w:r>
      <w:r>
        <w:rPr>
          <w:spacing w:val="-60"/>
        </w:rPr>
        <w:t> </w:t>
      </w:r>
      <w:r>
        <w:rPr>
          <w:rFonts w:ascii="宋体" w:hAnsi="宋体" w:cs="宋体" w:eastAsia="宋体" w:hint="default"/>
        </w:rPr>
        <w:t>230</w:t>
      </w:r>
      <w:r>
        <w:rPr>
          <w:rFonts w:ascii="宋体" w:hAnsi="宋体" w:cs="宋体" w:eastAsia="宋体" w:hint="default"/>
          <w:spacing w:val="-60"/>
        </w:rPr>
        <w:t> </w:t>
      </w:r>
      <w:r>
        <w:rPr/>
        <w:t>万元；</w:t>
      </w:r>
    </w:p>
    <w:p>
      <w:pPr>
        <w:pStyle w:val="BodyText"/>
        <w:spacing w:line="240" w:lineRule="auto" w:before="145"/>
        <w:ind w:left="633" w:right="0"/>
        <w:jc w:val="left"/>
      </w:pPr>
      <w:r>
        <w:rPr>
          <w:rFonts w:ascii="宋体" w:hAnsi="宋体" w:cs="宋体" w:eastAsia="宋体" w:hint="default"/>
        </w:rPr>
        <w:t>3</w:t>
      </w:r>
      <w:r>
        <w:rPr/>
        <w:t>、报告期内，因</w:t>
      </w:r>
      <w:r>
        <w:rPr>
          <w:spacing w:val="-60"/>
        </w:rPr>
        <w:t> </w:t>
      </w:r>
      <w:r>
        <w:rPr>
          <w:rFonts w:ascii="宋体" w:hAnsi="宋体" w:cs="宋体" w:eastAsia="宋体" w:hint="default"/>
        </w:rPr>
        <w:t>2013</w:t>
      </w:r>
      <w:r>
        <w:rPr>
          <w:rFonts w:ascii="宋体" w:hAnsi="宋体" w:cs="宋体" w:eastAsia="宋体" w:hint="default"/>
          <w:spacing w:val="-60"/>
        </w:rPr>
        <w:t> </w:t>
      </w:r>
      <w:r>
        <w:rPr/>
        <w:t>年非公开发行募集资金尚未使用完毕，公司聘请中原证券股份有</w:t>
      </w:r>
    </w:p>
    <w:p>
      <w:pPr>
        <w:spacing w:line="352" w:lineRule="auto" w:before="145"/>
        <w:ind w:left="636" w:right="1512" w:hanging="483"/>
        <w:jc w:val="left"/>
        <w:rPr>
          <w:rFonts w:ascii="宋体" w:hAnsi="宋体" w:cs="宋体" w:eastAsia="宋体" w:hint="default"/>
          <w:sz w:val="24"/>
          <w:szCs w:val="24"/>
        </w:rPr>
      </w:pPr>
      <w:r>
        <w:rPr>
          <w:rFonts w:ascii="宋体" w:hAnsi="宋体" w:cs="宋体" w:eastAsia="宋体" w:hint="default"/>
          <w:sz w:val="24"/>
          <w:szCs w:val="24"/>
        </w:rPr>
        <w:t>限公司对该笔募集资金的使用进行持续督导，该项财务顾问费用已于</w:t>
      </w:r>
      <w:r>
        <w:rPr>
          <w:rFonts w:ascii="宋体" w:hAnsi="宋体" w:cs="宋体" w:eastAsia="宋体" w:hint="default"/>
          <w:spacing w:val="-59"/>
          <w:sz w:val="24"/>
          <w:szCs w:val="24"/>
        </w:rPr>
        <w:t> </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年支付完毕。 </w:t>
      </w:r>
      <w:r>
        <w:rPr>
          <w:rFonts w:ascii="宋体" w:hAnsi="宋体" w:cs="宋体" w:eastAsia="宋体" w:hint="default"/>
          <w:b/>
          <w:bCs/>
          <w:sz w:val="24"/>
          <w:szCs w:val="24"/>
        </w:rPr>
        <w:t>十、年度报告披露后面临暂停上市和终止上市情况</w:t>
      </w:r>
      <w:r>
        <w:rPr>
          <w:rFonts w:ascii="宋体" w:hAnsi="宋体" w:cs="宋体" w:eastAsia="宋体" w:hint="default"/>
          <w:sz w:val="24"/>
          <w:szCs w:val="24"/>
        </w:rPr>
      </w:r>
    </w:p>
    <w:p>
      <w:pPr>
        <w:spacing w:line="350" w:lineRule="auto" w:before="32"/>
        <w:ind w:left="633" w:right="6193"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十一、破产重整相关事项</w:t>
      </w:r>
      <w:r>
        <w:rPr>
          <w:rFonts w:ascii="宋体" w:hAnsi="宋体" w:cs="宋体" w:eastAsia="宋体" w:hint="default"/>
          <w:b/>
          <w:bCs/>
          <w:w w:val="99"/>
          <w:sz w:val="24"/>
          <w:szCs w:val="24"/>
        </w:rPr>
        <w:t> </w:t>
      </w:r>
      <w:r>
        <w:rPr>
          <w:rFonts w:ascii="宋体" w:hAnsi="宋体" w:cs="宋体" w:eastAsia="宋体" w:hint="default"/>
          <w:sz w:val="24"/>
          <w:szCs w:val="24"/>
        </w:rPr>
        <w:t>公司报告期未发生破产重整相关事项。 </w:t>
      </w:r>
      <w:r>
        <w:rPr>
          <w:rFonts w:ascii="宋体" w:hAnsi="宋体" w:cs="宋体" w:eastAsia="宋体" w:hint="default"/>
          <w:b/>
          <w:bCs/>
          <w:sz w:val="24"/>
          <w:szCs w:val="24"/>
        </w:rPr>
        <w:t>十二、重大诉讼、仲裁事项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本报告期公司无重大诉讼、仲裁事项。 </w:t>
      </w:r>
      <w:r>
        <w:rPr>
          <w:rFonts w:ascii="宋体" w:hAnsi="宋体" w:cs="宋体" w:eastAsia="宋体" w:hint="default"/>
          <w:b/>
          <w:bCs/>
          <w:sz w:val="24"/>
          <w:szCs w:val="24"/>
        </w:rPr>
        <w:t>十三、处罚及整改情况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公司报告期不存在处罚及整改情况。</w:t>
      </w:r>
    </w:p>
    <w:p>
      <w:pPr>
        <w:spacing w:line="352" w:lineRule="auto" w:before="35"/>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十四、公司及其控股股东、实际控制人的诚信状况</w:t>
      </w:r>
      <w:r>
        <w:rPr>
          <w:rFonts w:ascii="宋体" w:hAnsi="宋体" w:cs="宋体" w:eastAsia="宋体" w:hint="default"/>
          <w:b/>
          <w:bCs/>
          <w:w w:val="99"/>
          <w:sz w:val="24"/>
          <w:szCs w:val="24"/>
        </w:rPr>
        <w:t> </w:t>
      </w:r>
      <w:r>
        <w:rPr>
          <w:rFonts w:ascii="宋体" w:hAnsi="宋体" w:cs="宋体" w:eastAsia="宋体" w:hint="default"/>
          <w:sz w:val="24"/>
          <w:szCs w:val="24"/>
        </w:rPr>
        <w:t>报告期内，公司及公司第一大股东不存在未履行的法院生效判决、所负数额较大的债务</w:t>
      </w:r>
    </w:p>
    <w:p>
      <w:pPr>
        <w:spacing w:line="350" w:lineRule="auto" w:before="32"/>
        <w:ind w:left="636" w:right="1633" w:hanging="483"/>
        <w:jc w:val="left"/>
        <w:rPr>
          <w:rFonts w:ascii="宋体" w:hAnsi="宋体" w:cs="宋体" w:eastAsia="宋体" w:hint="default"/>
          <w:sz w:val="24"/>
          <w:szCs w:val="24"/>
        </w:rPr>
      </w:pPr>
      <w:r>
        <w:rPr>
          <w:rFonts w:ascii="宋体" w:hAnsi="宋体" w:cs="宋体" w:eastAsia="宋体" w:hint="default"/>
          <w:sz w:val="24"/>
          <w:szCs w:val="24"/>
        </w:rPr>
        <w:t>到期未清偿等情况。 </w:t>
      </w:r>
      <w:r>
        <w:rPr>
          <w:rFonts w:ascii="宋体" w:hAnsi="宋体" w:cs="宋体" w:eastAsia="宋体" w:hint="default"/>
          <w:b/>
          <w:bCs/>
          <w:w w:val="95"/>
          <w:sz w:val="24"/>
          <w:szCs w:val="24"/>
        </w:rPr>
        <w:t>十五、公司股权激励计划、员工持股计划或其他员工激励措施的实施情况</w:t>
      </w:r>
      <w:r>
        <w:rPr>
          <w:rFonts w:ascii="宋体" w:hAnsi="宋体" w:cs="宋体" w:eastAsia="宋体" w:hint="default"/>
          <w:sz w:val="24"/>
          <w:szCs w:val="24"/>
        </w:rPr>
      </w:r>
    </w:p>
    <w:p>
      <w:pPr>
        <w:pStyle w:val="BodyText"/>
        <w:spacing w:line="240" w:lineRule="auto"/>
        <w:ind w:left="634" w:right="0"/>
        <w:jc w:val="left"/>
      </w:pPr>
      <w:r>
        <w:rPr/>
        <w:t>公司于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spacing w:val="-3"/>
        </w:rPr>
        <w:t>日召开的第五届董事会第十五次会议审议通过了《第一期员工持</w:t>
      </w:r>
    </w:p>
    <w:p>
      <w:pPr>
        <w:pStyle w:val="BodyText"/>
        <w:spacing w:line="240" w:lineRule="auto" w:before="145"/>
        <w:ind w:left="154" w:right="0"/>
        <w:jc w:val="left"/>
        <w:rPr>
          <w:rFonts w:ascii="宋体" w:hAnsi="宋体" w:cs="宋体" w:eastAsia="宋体" w:hint="default"/>
        </w:rPr>
      </w:pPr>
      <w:r>
        <w:rPr>
          <w:spacing w:val="-5"/>
        </w:rPr>
        <w:t>股计划（草案）》。本次员工持股计划的总人数不超过</w:t>
      </w:r>
      <w:r>
        <w:rPr>
          <w:spacing w:val="-56"/>
        </w:rPr>
        <w:t> </w:t>
      </w:r>
      <w:r>
        <w:rPr>
          <w:rFonts w:ascii="宋体" w:hAnsi="宋体" w:cs="宋体" w:eastAsia="宋体" w:hint="default"/>
        </w:rPr>
        <w:t>580</w:t>
      </w:r>
      <w:r>
        <w:rPr>
          <w:rFonts w:ascii="宋体" w:hAnsi="宋体" w:cs="宋体" w:eastAsia="宋体" w:hint="default"/>
          <w:spacing w:val="-57"/>
        </w:rPr>
        <w:t> </w:t>
      </w:r>
      <w:r>
        <w:rPr>
          <w:spacing w:val="-3"/>
        </w:rPr>
        <w:t>人，拟筹集资金总额上限为</w:t>
      </w:r>
      <w:r>
        <w:rPr>
          <w:spacing w:val="-57"/>
        </w:rPr>
        <w:t> </w:t>
      </w:r>
      <w:r>
        <w:rPr>
          <w:rFonts w:ascii="宋体" w:hAnsi="宋体" w:cs="宋体" w:eastAsia="宋体" w:hint="default"/>
        </w:rPr>
        <w:t>5,000</w:t>
      </w:r>
    </w:p>
    <w:p>
      <w:pPr>
        <w:pStyle w:val="BodyText"/>
        <w:spacing w:line="240" w:lineRule="auto" w:before="146"/>
        <w:ind w:right="0"/>
        <w:jc w:val="left"/>
      </w:pPr>
      <w:r>
        <w:rPr/>
        <w:t>万元，设立后全额认购深圳市红塔资产管理有限公司设立的红塔资产辉煌</w:t>
      </w:r>
      <w:r>
        <w:rPr>
          <w:spacing w:val="-59"/>
        </w:rPr>
        <w:t> </w:t>
      </w:r>
      <w:r>
        <w:rPr>
          <w:rFonts w:ascii="宋体" w:hAnsi="宋体" w:cs="宋体" w:eastAsia="宋体" w:hint="default"/>
        </w:rPr>
        <w:t>1</w:t>
      </w:r>
      <w:r>
        <w:rPr>
          <w:rFonts w:ascii="宋体" w:hAnsi="宋体" w:cs="宋体" w:eastAsia="宋体" w:hint="default"/>
          <w:spacing w:val="-60"/>
        </w:rPr>
        <w:t> </w:t>
      </w:r>
      <w:r>
        <w:rPr/>
        <w:t>号特定多个客户</w:t>
      </w:r>
    </w:p>
    <w:p>
      <w:pPr>
        <w:pStyle w:val="BodyText"/>
        <w:spacing w:line="240" w:lineRule="auto" w:before="146"/>
        <w:ind w:right="0"/>
        <w:jc w:val="left"/>
      </w:pPr>
      <w:r>
        <w:rPr/>
        <w:t>资产管理计划中的进取级份额。红塔辉煌</w:t>
      </w:r>
      <w:r>
        <w:rPr>
          <w:spacing w:val="-61"/>
        </w:rPr>
        <w:t> </w:t>
      </w:r>
      <w:r>
        <w:rPr>
          <w:rFonts w:ascii="宋体" w:hAnsi="宋体" w:cs="宋体" w:eastAsia="宋体" w:hint="default"/>
        </w:rPr>
        <w:t>1</w:t>
      </w:r>
      <w:r>
        <w:rPr>
          <w:rFonts w:ascii="宋体" w:hAnsi="宋体" w:cs="宋体" w:eastAsia="宋体" w:hint="default"/>
          <w:spacing w:val="-61"/>
        </w:rPr>
        <w:t> </w:t>
      </w:r>
      <w:r>
        <w:rPr/>
        <w:t>号份额上限为</w:t>
      </w:r>
      <w:r>
        <w:rPr>
          <w:spacing w:val="-61"/>
        </w:rPr>
        <w:t> </w:t>
      </w:r>
      <w:r>
        <w:rPr>
          <w:rFonts w:ascii="宋体" w:hAnsi="宋体" w:cs="宋体" w:eastAsia="宋体" w:hint="default"/>
        </w:rPr>
        <w:t>2.5</w:t>
      </w:r>
      <w:r>
        <w:rPr>
          <w:rFonts w:ascii="宋体" w:hAnsi="宋体" w:cs="宋体" w:eastAsia="宋体" w:hint="default"/>
          <w:spacing w:val="-61"/>
        </w:rPr>
        <w:t> </w:t>
      </w:r>
      <w:r>
        <w:rPr>
          <w:spacing w:val="-3"/>
        </w:rPr>
        <w:t>亿份，按照</w:t>
      </w:r>
      <w:r>
        <w:rPr>
          <w:spacing w:val="-61"/>
        </w:rPr>
        <w:t> </w:t>
      </w:r>
      <w:r>
        <w:rPr>
          <w:rFonts w:ascii="宋体" w:hAnsi="宋体" w:cs="宋体" w:eastAsia="宋体" w:hint="default"/>
        </w:rPr>
        <w:t>4:1</w:t>
      </w:r>
      <w:r>
        <w:rPr>
          <w:rFonts w:ascii="宋体" w:hAnsi="宋体" w:cs="宋体" w:eastAsia="宋体" w:hint="default"/>
          <w:spacing w:val="-2"/>
        </w:rPr>
        <w:t> </w:t>
      </w:r>
      <w:r>
        <w:rPr/>
        <w:t>的比例设立优</w:t>
      </w:r>
    </w:p>
    <w:p>
      <w:pPr>
        <w:pStyle w:val="BodyText"/>
        <w:spacing w:line="240" w:lineRule="auto" w:before="145"/>
        <w:ind w:right="0"/>
        <w:jc w:val="left"/>
      </w:pPr>
      <w:r>
        <w:rPr/>
        <w:t>先级份额和进取级份额。本员工持股计划的存续期为</w:t>
      </w:r>
      <w:r>
        <w:rPr>
          <w:spacing w:val="-77"/>
        </w:rPr>
        <w:t> </w:t>
      </w:r>
      <w:r>
        <w:rPr>
          <w:rFonts w:ascii="宋体" w:hAnsi="宋体" w:cs="宋体" w:eastAsia="宋体" w:hint="default"/>
        </w:rPr>
        <w:t>18</w:t>
      </w:r>
      <w:r>
        <w:rPr>
          <w:rFonts w:ascii="宋体" w:hAnsi="宋体" w:cs="宋体" w:eastAsia="宋体" w:hint="default"/>
          <w:spacing w:val="-77"/>
        </w:rPr>
        <w:t> </w:t>
      </w:r>
      <w:r>
        <w:rPr>
          <w:spacing w:val="-3"/>
        </w:rPr>
        <w:t>个月，自股东大会审议通过之日起计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394" w:right="1120"/>
        <w:jc w:val="left"/>
      </w:pPr>
      <w:r>
        <w:rPr/>
        <w:t>算，可展期。具体情况详见公司</w:t>
      </w:r>
      <w:r>
        <w:rPr>
          <w:spacing w:val="-62"/>
        </w:rPr>
        <w:t> </w:t>
      </w:r>
      <w:r>
        <w:rPr>
          <w:rFonts w:ascii="宋体" w:hAnsi="宋体" w:cs="宋体" w:eastAsia="宋体" w:hint="default"/>
        </w:rPr>
        <w:t>2015</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29</w:t>
      </w:r>
      <w:r>
        <w:rPr>
          <w:rFonts w:ascii="宋体" w:hAnsi="宋体" w:cs="宋体" w:eastAsia="宋体" w:hint="default"/>
          <w:spacing w:val="-62"/>
        </w:rPr>
        <w:t> </w:t>
      </w:r>
      <w:r>
        <w:rPr>
          <w:spacing w:val="-4"/>
        </w:rPr>
        <w:t>日刊登于《证券时报》、《中国证券报》及</w:t>
      </w:r>
      <w:r>
        <w:rPr/>
        <w:t> 巨潮资讯网（</w:t>
      </w:r>
      <w:hyperlink r:id="rId12">
        <w:r>
          <w:rPr>
            <w:rFonts w:ascii="宋体" w:hAnsi="宋体" w:cs="宋体" w:eastAsia="宋体" w:hint="default"/>
          </w:rPr>
          <w:t>http://www.cninfo.com.cn</w:t>
        </w:r>
      </w:hyperlink>
      <w:r>
        <w:rPr/>
        <w:t>）的相关公告。</w:t>
      </w:r>
    </w:p>
    <w:p>
      <w:pPr>
        <w:spacing w:line="345" w:lineRule="auto" w:before="36"/>
        <w:ind w:left="873" w:right="5233" w:firstLine="2"/>
        <w:jc w:val="left"/>
        <w:rPr>
          <w:rFonts w:ascii="宋体" w:hAnsi="宋体" w:cs="宋体" w:eastAsia="宋体" w:hint="default"/>
          <w:sz w:val="24"/>
          <w:szCs w:val="24"/>
        </w:rPr>
      </w:pPr>
      <w:r>
        <w:rPr>
          <w:rFonts w:ascii="宋体" w:hAnsi="宋体" w:cs="宋体" w:eastAsia="宋体" w:hint="default"/>
          <w:b/>
          <w:bCs/>
          <w:sz w:val="24"/>
          <w:szCs w:val="24"/>
        </w:rPr>
        <w:t>十六、重大关联交易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、与日常经营相关的关联交易</w:t>
      </w:r>
      <w:r>
        <w:rPr>
          <w:rFonts w:ascii="宋体" w:hAnsi="宋体" w:cs="宋体" w:eastAsia="宋体" w:hint="default"/>
          <w:b/>
          <w:bCs/>
          <w:w w:val="99"/>
          <w:sz w:val="24"/>
          <w:szCs w:val="24"/>
        </w:rPr>
        <w:t> </w:t>
      </w:r>
      <w:r>
        <w:rPr>
          <w:rFonts w:ascii="宋体" w:hAnsi="宋体" w:cs="宋体" w:eastAsia="宋体" w:hint="default"/>
          <w:sz w:val="24"/>
          <w:szCs w:val="24"/>
        </w:rPr>
        <w:t>公司报告期未发生与日常经营相关的关联交易。 </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、资产或股权收购、出售发生的关联交易</w:t>
      </w:r>
      <w:r>
        <w:rPr>
          <w:rFonts w:ascii="宋体" w:hAnsi="宋体" w:cs="宋体" w:eastAsia="宋体" w:hint="default"/>
          <w:sz w:val="24"/>
          <w:szCs w:val="24"/>
        </w:rPr>
      </w:r>
    </w:p>
    <w:p>
      <w:pPr>
        <w:spacing w:line="343" w:lineRule="auto" w:before="10"/>
        <w:ind w:left="874" w:right="4512" w:firstLine="0"/>
        <w:jc w:val="left"/>
        <w:rPr>
          <w:rFonts w:ascii="宋体" w:hAnsi="宋体" w:cs="宋体" w:eastAsia="宋体" w:hint="default"/>
          <w:sz w:val="24"/>
          <w:szCs w:val="24"/>
        </w:rPr>
      </w:pPr>
      <w:r>
        <w:rPr>
          <w:rFonts w:ascii="宋体" w:hAnsi="宋体" w:cs="宋体" w:eastAsia="宋体" w:hint="default"/>
          <w:sz w:val="24"/>
          <w:szCs w:val="24"/>
        </w:rPr>
        <w:t>公司报告期未发生资产或股权收购、出售的关联交易。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、共同对外投资的关联交易</w:t>
      </w:r>
      <w:r>
        <w:rPr>
          <w:rFonts w:ascii="宋体" w:hAnsi="宋体" w:cs="宋体" w:eastAsia="宋体" w:hint="default"/>
          <w:b/>
          <w:bCs/>
          <w:w w:val="99"/>
          <w:sz w:val="24"/>
          <w:szCs w:val="24"/>
        </w:rPr>
        <w:t> </w:t>
      </w:r>
      <w:r>
        <w:rPr>
          <w:rFonts w:ascii="宋体" w:hAnsi="宋体" w:cs="宋体" w:eastAsia="宋体" w:hint="default"/>
          <w:sz w:val="24"/>
          <w:szCs w:val="24"/>
        </w:rPr>
        <w:t>公司报告期未发生共同对外投资的关联交易。 </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、关联债权债务往来</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公司报告期不存在关联债权债务往来。 </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、其他重大关联交易</w:t>
      </w:r>
      <w:r>
        <w:rPr>
          <w:rFonts w:ascii="宋体" w:hAnsi="宋体" w:cs="宋体" w:eastAsia="宋体" w:hint="default"/>
          <w:sz w:val="24"/>
          <w:szCs w:val="24"/>
        </w:rPr>
      </w:r>
    </w:p>
    <w:p>
      <w:pPr>
        <w:pStyle w:val="BodyText"/>
        <w:spacing w:line="240" w:lineRule="auto" w:before="13"/>
        <w:ind w:left="874" w:right="0"/>
        <w:jc w:val="left"/>
      </w:pPr>
      <w:r>
        <w:rPr>
          <w:rFonts w:ascii="宋体" w:hAnsi="宋体" w:cs="宋体" w:eastAsia="宋体" w:hint="default"/>
        </w:rPr>
        <w:t>2015</w:t>
      </w:r>
      <w:r>
        <w:rPr>
          <w:rFonts w:ascii="宋体" w:hAnsi="宋体" w:cs="宋体" w:eastAsia="宋体" w:hint="default"/>
          <w:spacing w:val="-65"/>
        </w:rPr>
        <w:t> </w:t>
      </w:r>
      <w:r>
        <w:rPr/>
        <w:t>年</w:t>
      </w:r>
      <w:r>
        <w:rPr>
          <w:spacing w:val="-65"/>
        </w:rPr>
        <w:t> </w:t>
      </w:r>
      <w:r>
        <w:rPr>
          <w:rFonts w:ascii="宋体" w:hAnsi="宋体" w:cs="宋体" w:eastAsia="宋体" w:hint="default"/>
        </w:rPr>
        <w:t>11</w:t>
      </w:r>
      <w:r>
        <w:rPr>
          <w:rFonts w:ascii="宋体" w:hAnsi="宋体" w:cs="宋体" w:eastAsia="宋体" w:hint="default"/>
          <w:spacing w:val="-65"/>
        </w:rPr>
        <w:t> </w:t>
      </w:r>
      <w:r>
        <w:rPr/>
        <w:t>月</w:t>
      </w:r>
      <w:r>
        <w:rPr>
          <w:spacing w:val="-65"/>
        </w:rPr>
        <w:t> </w:t>
      </w:r>
      <w:r>
        <w:rPr>
          <w:rFonts w:ascii="宋体" w:hAnsi="宋体" w:cs="宋体" w:eastAsia="宋体" w:hint="default"/>
        </w:rPr>
        <w:t>17</w:t>
      </w:r>
      <w:r>
        <w:rPr>
          <w:rFonts w:ascii="宋体" w:hAnsi="宋体" w:cs="宋体" w:eastAsia="宋体" w:hint="default"/>
          <w:spacing w:val="-65"/>
        </w:rPr>
        <w:t> </w:t>
      </w:r>
      <w:r>
        <w:rPr/>
        <w:t>日，辉煌科技分别与李海鹰先生、袁亚琴女士签署了《附条件生效股份</w:t>
      </w:r>
    </w:p>
    <w:p>
      <w:pPr>
        <w:pStyle w:val="BodyText"/>
        <w:spacing w:line="240" w:lineRule="auto" w:before="145"/>
        <w:ind w:left="394" w:right="0"/>
        <w:jc w:val="left"/>
        <w:rPr>
          <w:rFonts w:ascii="宋体" w:hAnsi="宋体" w:cs="宋体" w:eastAsia="宋体" w:hint="default"/>
        </w:rPr>
      </w:pPr>
      <w:r>
        <w:rPr>
          <w:spacing w:val="-8"/>
        </w:rPr>
        <w:t>认购合同》。公司拟以非公开发行方式向李海鹰先生、袁亚琴女士合计发行不超过</w:t>
      </w:r>
      <w:r>
        <w:rPr>
          <w:spacing w:val="-35"/>
        </w:rPr>
        <w:t> </w:t>
      </w:r>
      <w:r>
        <w:rPr>
          <w:rFonts w:ascii="宋体" w:hAnsi="宋体" w:cs="宋体" w:eastAsia="宋体" w:hint="default"/>
        </w:rPr>
        <w:t>68,502,350</w:t>
      </w:r>
    </w:p>
    <w:p>
      <w:pPr>
        <w:pStyle w:val="BodyText"/>
        <w:spacing w:line="350" w:lineRule="auto" w:before="146"/>
        <w:ind w:left="874" w:right="1152" w:hanging="480"/>
        <w:jc w:val="left"/>
      </w:pPr>
      <w:r>
        <w:rPr/>
        <w:t>股人民币普通股，发行价格为</w:t>
      </w:r>
      <w:r>
        <w:rPr>
          <w:spacing w:val="-60"/>
        </w:rPr>
        <w:t> </w:t>
      </w:r>
      <w:r>
        <w:rPr>
          <w:rFonts w:ascii="宋体" w:hAnsi="宋体" w:cs="宋体" w:eastAsia="宋体" w:hint="default"/>
        </w:rPr>
        <w:t>14.89</w:t>
      </w:r>
      <w:r>
        <w:rPr>
          <w:rFonts w:ascii="宋体" w:hAnsi="宋体" w:cs="宋体" w:eastAsia="宋体" w:hint="default"/>
          <w:spacing w:val="-60"/>
        </w:rPr>
        <w:t> </w:t>
      </w:r>
      <w:r>
        <w:rPr/>
        <w:t>元</w:t>
      </w:r>
      <w:r>
        <w:rPr>
          <w:rFonts w:ascii="宋体" w:hAnsi="宋体" w:cs="宋体" w:eastAsia="宋体" w:hint="default"/>
        </w:rPr>
        <w:t>/</w:t>
      </w:r>
      <w:r>
        <w:rPr/>
        <w:t>股。 李海鹰先生为公司第一大股东、董事长，袁亚琴与李海鹰为一致行动人（袁亚琴为李海</w:t>
      </w:r>
    </w:p>
    <w:p>
      <w:pPr>
        <w:pStyle w:val="BodyText"/>
        <w:spacing w:line="352" w:lineRule="auto" w:before="35"/>
        <w:ind w:left="394" w:right="1127"/>
        <w:jc w:val="left"/>
      </w:pPr>
      <w:r>
        <w:rPr>
          <w:spacing w:val="-5"/>
        </w:rPr>
        <w:t>鹰之母），本次交易构成关联交易。本次交易事项已经公司第五届董事会第十四次会议、</w:t>
      </w:r>
      <w:r>
        <w:rPr>
          <w:rFonts w:ascii="宋体" w:hAnsi="宋体" w:cs="宋体" w:eastAsia="宋体" w:hint="default"/>
          <w:spacing w:val="-5"/>
        </w:rPr>
        <w:t>2015</w:t>
      </w:r>
      <w:r>
        <w:rPr>
          <w:rFonts w:ascii="宋体" w:hAnsi="宋体" w:cs="宋体" w:eastAsia="宋体" w:hint="default"/>
          <w:spacing w:val="-108"/>
        </w:rPr>
        <w:t> </w:t>
      </w:r>
      <w:r>
        <w:rPr/>
        <w:t>年第一次临时股东大会审议通过。截至本报告出具体，该事项尚未实施。</w:t>
      </w:r>
    </w:p>
    <w:p>
      <w:pPr>
        <w:pStyle w:val="Heading2"/>
        <w:spacing w:line="240" w:lineRule="auto" w:before="32"/>
        <w:ind w:left="876" w:right="1120"/>
        <w:jc w:val="left"/>
        <w:rPr>
          <w:b w:val="0"/>
          <w:bCs w:val="0"/>
        </w:rPr>
      </w:pPr>
      <w:r>
        <w:rPr/>
        <w:pict>
          <v:group style="position:absolute;margin-left:326.320007pt;margin-top:40.245617pt;width:90.6pt;height:20.7pt;mso-position-horizontal-relative:page;mso-position-vertical-relative:paragraph;z-index:-767440" coordorigin="6526,805" coordsize="1812,414">
            <v:group style="position:absolute;left:6538;top:816;width:2;height:392" coordorigin="6538,816" coordsize="2,392">
              <v:shape style="position:absolute;left:6538;top:816;width:2;height:392" coordorigin="6538,816" coordsize="0,392" path="m6538,816l6538,1208e" filled="false" stroked="true" strokeweight="1.140pt" strokecolor="#ffffff">
                <v:path arrowok="t"/>
              </v:shape>
            </v:group>
            <v:group style="position:absolute;left:6549;top:816;width:1789;height:392" coordorigin="6549,816" coordsize="1789,392">
              <v:shape style="position:absolute;left:6549;top:816;width:1789;height:392" coordorigin="6549,816" coordsize="1789,392" path="m6549,1208l8338,1208,8338,816,6549,816,6549,1208xe" filled="true" fillcolor="#ffffff" stroked="false">
                <v:path arrowok="t"/>
                <v:fill type="solid"/>
              </v:shape>
            </v:group>
            <w10:wrap type="none"/>
          </v:group>
        </w:pict>
      </w:r>
      <w:r>
        <w:rPr/>
        <w:t>重大关联交易临时报告披露网站相关查询</w:t>
      </w:r>
      <w:r>
        <w:rPr>
          <w:b w:val="0"/>
          <w:bCs w:val="0"/>
        </w:rPr>
      </w:r>
    </w:p>
    <w:p>
      <w:pPr>
        <w:spacing w:line="240" w:lineRule="auto" w:before="6"/>
        <w:rPr>
          <w:rFonts w:ascii="宋体" w:hAnsi="宋体" w:cs="宋体" w:eastAsia="宋体" w:hint="default"/>
          <w:b/>
          <w:bCs/>
          <w:sz w:val="4"/>
          <w:szCs w:val="4"/>
        </w:rPr>
      </w:pPr>
    </w:p>
    <w:tbl>
      <w:tblPr>
        <w:tblW w:w="0" w:type="auto"/>
        <w:jc w:val="left"/>
        <w:tblInd w:w="104" w:type="dxa"/>
        <w:tblLayout w:type="fixed"/>
        <w:tblCellMar>
          <w:top w:w="0" w:type="dxa"/>
          <w:left w:w="0" w:type="dxa"/>
          <w:bottom w:w="0" w:type="dxa"/>
          <w:right w:w="0" w:type="dxa"/>
        </w:tblCellMar>
        <w:tblLook w:val="01E0"/>
      </w:tblPr>
      <w:tblGrid>
        <w:gridCol w:w="5672"/>
        <w:gridCol w:w="1844"/>
        <w:gridCol w:w="2693"/>
      </w:tblGrid>
      <w:tr>
        <w:trPr>
          <w:trHeight w:val="401" w:hRule="exact"/>
        </w:trPr>
        <w:tc>
          <w:tcPr>
            <w:tcW w:w="5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临时公告名称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6"/>
              <w:jc w:val="right"/>
              <w:rPr>
                <w:rFonts w:ascii="宋体" w:hAnsi="宋体" w:cs="宋体" w:eastAsia="宋体" w:hint="default"/>
                <w:sz w:val="21"/>
                <w:szCs w:val="21"/>
              </w:rPr>
            </w:pPr>
            <w:r>
              <w:rPr>
                <w:rFonts w:ascii="宋体" w:hAnsi="宋体" w:cs="宋体" w:eastAsia="宋体" w:hint="default"/>
                <w:sz w:val="21"/>
                <w:szCs w:val="21"/>
              </w:rPr>
              <w:t>临时公告披露日期</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91" w:right="0"/>
              <w:jc w:val="left"/>
              <w:rPr>
                <w:rFonts w:ascii="宋体" w:hAnsi="宋体" w:cs="宋体" w:eastAsia="宋体" w:hint="default"/>
                <w:sz w:val="21"/>
                <w:szCs w:val="21"/>
              </w:rPr>
            </w:pPr>
            <w:r>
              <w:rPr>
                <w:rFonts w:ascii="宋体" w:hAnsi="宋体" w:cs="宋体" w:eastAsia="宋体" w:hint="default"/>
                <w:sz w:val="21"/>
                <w:szCs w:val="21"/>
              </w:rPr>
              <w:t>临时公告披露网站名称</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《关于本次非公开发行股票涉及关联交易的公告</w:t>
            </w:r>
            <w:r>
              <w:rPr>
                <w:rFonts w:ascii="宋体" w:hAnsi="宋体" w:cs="宋体" w:eastAsia="宋体" w:hint="default"/>
                <w:spacing w:val="-125"/>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pacing w:val="1"/>
                <w:sz w:val="21"/>
                <w:szCs w:val="21"/>
              </w:rPr>
              <w:t>5</w:t>
            </w:r>
            <w:r>
              <w:rPr>
                <w:rFonts w:ascii="Times New Roman" w:hAnsi="Times New Roman" w:cs="Times New Roman" w:eastAsia="Times New Roman" w:hint="default"/>
                <w:spacing w:val="-1"/>
                <w:sz w:val="21"/>
                <w:szCs w:val="21"/>
              </w:rPr>
              <w:t>-061</w:t>
            </w:r>
            <w:r>
              <w:rPr>
                <w:rFonts w:ascii="Times New Roman" w:hAnsi="Times New Roman" w:cs="Times New Roman" w:eastAsia="Times New Roman"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37" w:right="52"/>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2015</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6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3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http://www.cninfo.com.cn)</w:t>
            </w:r>
          </w:p>
        </w:tc>
      </w:tr>
      <w:tr>
        <w:trPr>
          <w:trHeight w:val="402"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《第五届董事会第十四次会议决议公告》（</w:t>
            </w:r>
            <w:r>
              <w:rPr>
                <w:rFonts w:ascii="Times New Roman" w:hAnsi="Times New Roman" w:cs="Times New Roman" w:eastAsia="Times New Roman" w:hint="default"/>
                <w:sz w:val="21"/>
                <w:szCs w:val="21"/>
              </w:rPr>
              <w:t>2015-059</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2693" w:type="dxa"/>
            <w:vMerge/>
            <w:tcBorders>
              <w:left w:val="single" w:sz="4" w:space="0" w:color="000000"/>
              <w:right w:val="single" w:sz="4" w:space="0" w:color="000000"/>
            </w:tcBorders>
          </w:tcPr>
          <w:p>
            <w:pPr/>
          </w:p>
        </w:tc>
      </w:tr>
      <w:tr>
        <w:trPr>
          <w:trHeight w:val="403"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年第一次临时股东大会决议公告》</w:t>
            </w:r>
            <w:r>
              <w:rPr>
                <w:rFonts w:ascii="Times New Roman" w:hAnsi="Times New Roman" w:cs="Times New Roman" w:eastAsia="Times New Roman" w:hint="default"/>
                <w:sz w:val="21"/>
                <w:szCs w:val="21"/>
              </w:rPr>
              <w:t>2015-070)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8"/>
              <w:jc w:val="righ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93"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4"/>
          <w:szCs w:val="4"/>
        </w:rPr>
      </w:pPr>
    </w:p>
    <w:p>
      <w:pPr>
        <w:pStyle w:val="Heading2"/>
        <w:spacing w:line="240" w:lineRule="auto"/>
        <w:ind w:left="876" w:right="1120"/>
        <w:jc w:val="left"/>
        <w:rPr>
          <w:b w:val="0"/>
          <w:bCs w:val="0"/>
        </w:rPr>
      </w:pPr>
      <w:r>
        <w:rPr/>
        <w:t>十七、重大合同及其履行情况</w:t>
      </w:r>
      <w:r>
        <w:rPr>
          <w:b w:val="0"/>
          <w:bCs w:val="0"/>
        </w:rPr>
      </w:r>
    </w:p>
    <w:p>
      <w:pPr>
        <w:pStyle w:val="Heading2"/>
        <w:spacing w:line="240" w:lineRule="auto" w:before="145"/>
        <w:ind w:left="876" w:right="112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333" w:lineRule="auto" w:before="127"/>
        <w:ind w:left="874" w:right="7152"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）托管情况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公司报告期不存在托管情况。</w:t>
      </w:r>
    </w:p>
    <w:p>
      <w:pPr>
        <w:spacing w:line="331" w:lineRule="auto" w:before="52"/>
        <w:ind w:left="873" w:right="7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）承包情况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公司报告期不存在承包情况。</w:t>
      </w:r>
    </w:p>
    <w:p>
      <w:pPr>
        <w:spacing w:after="0" w:line="331" w:lineRule="auto"/>
        <w:jc w:val="left"/>
        <w:rPr>
          <w:rFonts w:ascii="宋体" w:hAnsi="宋体" w:cs="宋体" w:eastAsia="宋体" w:hint="default"/>
          <w:sz w:val="24"/>
          <w:szCs w:val="24"/>
        </w:rPr>
        <w:sectPr>
          <w:pgSz w:w="11910" w:h="16840"/>
          <w:pgMar w:header="747" w:footer="979" w:top="1060" w:bottom="1160" w:left="74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20" w:right="0"/>
        </w:sectPr>
      </w:pPr>
    </w:p>
    <w:p>
      <w:pPr>
        <w:spacing w:line="340" w:lineRule="auto" w:before="199"/>
        <w:ind w:left="694"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）租赁情况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公司报告期不存在租赁情况。 </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、重大担保</w:t>
      </w:r>
      <w:r>
        <w:rPr>
          <w:rFonts w:ascii="宋体" w:hAnsi="宋体" w:cs="宋体" w:eastAsia="宋体" w:hint="default"/>
          <w:b/>
          <w:bCs/>
          <w:w w:val="99"/>
          <w:sz w:val="24"/>
          <w:szCs w:val="24"/>
        </w:rPr>
        <w:t> </w:t>
      </w:r>
      <w:r>
        <w:rPr>
          <w:rFonts w:ascii="宋体" w:hAnsi="宋体" w:cs="宋体" w:eastAsia="宋体" w:hint="default"/>
          <w:sz w:val="24"/>
          <w:szCs w:val="24"/>
        </w:rPr>
        <w:t>公司报告期不存在担保情况。 </w:t>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、委托他人进行现金资产管理情况</w:t>
      </w:r>
      <w:r>
        <w:rPr>
          <w:rFonts w:ascii="宋体" w:hAnsi="宋体" w:cs="宋体" w:eastAsia="宋体" w:hint="default"/>
          <w:sz w:val="24"/>
          <w:szCs w:val="24"/>
        </w:rPr>
      </w:r>
    </w:p>
    <w:p>
      <w:pPr>
        <w:pStyle w:val="Heading2"/>
        <w:spacing w:line="240" w:lineRule="auto" w:before="17"/>
        <w:ind w:left="696"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before="0"/>
        <w:ind w:left="693"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60" w:bottom="1160" w:left="920" w:right="0"/>
          <w:cols w:num="2" w:equalWidth="0">
            <w:col w:w="4428" w:space="3682"/>
            <w:col w:w="2880"/>
          </w:cols>
        </w:sectPr>
      </w:pP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136"/>
        <w:gridCol w:w="850"/>
        <w:gridCol w:w="994"/>
        <w:gridCol w:w="708"/>
        <w:gridCol w:w="993"/>
        <w:gridCol w:w="992"/>
        <w:gridCol w:w="850"/>
        <w:gridCol w:w="994"/>
        <w:gridCol w:w="708"/>
        <w:gridCol w:w="709"/>
        <w:gridCol w:w="922"/>
      </w:tblGrid>
      <w:tr>
        <w:trPr>
          <w:trHeight w:val="1026"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7" w:right="0"/>
              <w:jc w:val="left"/>
              <w:rPr>
                <w:rFonts w:ascii="宋体" w:hAnsi="宋体" w:cs="宋体" w:eastAsia="宋体" w:hint="default"/>
                <w:sz w:val="21"/>
                <w:szCs w:val="21"/>
              </w:rPr>
            </w:pPr>
            <w:r>
              <w:rPr>
                <w:rFonts w:ascii="宋体" w:hAnsi="宋体" w:cs="宋体" w:eastAsia="宋体" w:hint="default"/>
                <w:sz w:val="21"/>
                <w:szCs w:val="21"/>
              </w:rPr>
              <w:t>受托人名称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4" w:right="103"/>
              <w:jc w:val="left"/>
              <w:rPr>
                <w:rFonts w:ascii="宋体" w:hAnsi="宋体" w:cs="宋体" w:eastAsia="宋体" w:hint="default"/>
                <w:sz w:val="21"/>
                <w:szCs w:val="21"/>
              </w:rPr>
            </w:pPr>
            <w:r>
              <w:rPr>
                <w:rFonts w:ascii="宋体" w:hAnsi="宋体" w:cs="宋体" w:eastAsia="宋体" w:hint="default"/>
                <w:sz w:val="21"/>
                <w:szCs w:val="21"/>
              </w:rPr>
              <w:t>是否关 联交易</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产品类型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3" w:right="32"/>
              <w:jc w:val="left"/>
              <w:rPr>
                <w:rFonts w:ascii="宋体" w:hAnsi="宋体" w:cs="宋体" w:eastAsia="宋体" w:hint="default"/>
                <w:sz w:val="21"/>
                <w:szCs w:val="21"/>
              </w:rPr>
            </w:pPr>
            <w:r>
              <w:rPr>
                <w:rFonts w:ascii="宋体" w:hAnsi="宋体" w:cs="宋体" w:eastAsia="宋体" w:hint="default"/>
                <w:sz w:val="21"/>
                <w:szCs w:val="21"/>
              </w:rPr>
              <w:t>委托理 财金额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起始日期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终止日期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4" w:right="103"/>
              <w:jc w:val="left"/>
              <w:rPr>
                <w:rFonts w:ascii="宋体" w:hAnsi="宋体" w:cs="宋体" w:eastAsia="宋体" w:hint="default"/>
                <w:sz w:val="21"/>
                <w:szCs w:val="21"/>
              </w:rPr>
            </w:pPr>
            <w:r>
              <w:rPr>
                <w:rFonts w:ascii="宋体" w:hAnsi="宋体" w:cs="宋体" w:eastAsia="宋体" w:hint="default"/>
                <w:sz w:val="21"/>
                <w:szCs w:val="21"/>
              </w:rPr>
              <w:t>报酬确 定方式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0" w:right="71"/>
              <w:jc w:val="center"/>
              <w:rPr>
                <w:rFonts w:ascii="宋体" w:hAnsi="宋体" w:cs="宋体" w:eastAsia="宋体" w:hint="default"/>
                <w:sz w:val="21"/>
                <w:szCs w:val="21"/>
              </w:rPr>
            </w:pPr>
            <w:r>
              <w:rPr>
                <w:rFonts w:ascii="宋体" w:hAnsi="宋体" w:cs="宋体" w:eastAsia="宋体" w:hint="default"/>
                <w:sz w:val="21"/>
                <w:szCs w:val="21"/>
              </w:rPr>
              <w:t>本期实际 收回本金 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43" w:right="32" w:hanging="210"/>
              <w:jc w:val="left"/>
              <w:rPr>
                <w:rFonts w:ascii="宋体" w:hAnsi="宋体" w:cs="宋体" w:eastAsia="宋体" w:hint="default"/>
                <w:sz w:val="21"/>
                <w:szCs w:val="21"/>
              </w:rPr>
            </w:pPr>
            <w:r>
              <w:rPr>
                <w:rFonts w:ascii="宋体" w:hAnsi="宋体" w:cs="宋体" w:eastAsia="宋体" w:hint="default"/>
                <w:sz w:val="21"/>
                <w:szCs w:val="21"/>
              </w:rPr>
              <w:t>预计收 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3" w:right="35"/>
              <w:jc w:val="both"/>
              <w:rPr>
                <w:rFonts w:ascii="宋体" w:hAnsi="宋体" w:cs="宋体" w:eastAsia="宋体" w:hint="default"/>
                <w:sz w:val="21"/>
                <w:szCs w:val="21"/>
              </w:rPr>
            </w:pPr>
            <w:r>
              <w:rPr>
                <w:rFonts w:ascii="宋体" w:hAnsi="宋体" w:cs="宋体" w:eastAsia="宋体" w:hint="default"/>
                <w:sz w:val="21"/>
                <w:szCs w:val="21"/>
              </w:rPr>
              <w:t>报告期 实际损 益金额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6" w:right="35"/>
              <w:jc w:val="both"/>
              <w:rPr>
                <w:rFonts w:ascii="宋体" w:hAnsi="宋体" w:cs="宋体" w:eastAsia="宋体" w:hint="default"/>
                <w:sz w:val="21"/>
                <w:szCs w:val="21"/>
              </w:rPr>
            </w:pPr>
            <w:r>
              <w:rPr>
                <w:rFonts w:ascii="宋体" w:hAnsi="宋体" w:cs="宋体" w:eastAsia="宋体" w:hint="default"/>
                <w:sz w:val="21"/>
                <w:szCs w:val="21"/>
              </w:rPr>
              <w:t>报告期损 益实际收 回情况</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1"/>
              <w:jc w:val="left"/>
              <w:rPr>
                <w:rFonts w:ascii="宋体" w:hAnsi="宋体" w:cs="宋体" w:eastAsia="宋体" w:hint="default"/>
                <w:sz w:val="21"/>
                <w:szCs w:val="21"/>
              </w:rPr>
            </w:pPr>
            <w:r>
              <w:rPr>
                <w:rFonts w:ascii="宋体" w:hAnsi="宋体" w:cs="宋体" w:eastAsia="宋体" w:hint="default"/>
                <w:sz w:val="21"/>
                <w:szCs w:val="21"/>
              </w:rPr>
              <w:t>北京银行金 融港支行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保本浮动 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2,500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协议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0.82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0.82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0.82</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1"/>
              <w:jc w:val="left"/>
              <w:rPr>
                <w:rFonts w:ascii="宋体" w:hAnsi="宋体" w:cs="宋体" w:eastAsia="宋体" w:hint="default"/>
                <w:sz w:val="21"/>
                <w:szCs w:val="21"/>
              </w:rPr>
            </w:pPr>
            <w:r>
              <w:rPr>
                <w:rFonts w:ascii="宋体" w:hAnsi="宋体" w:cs="宋体" w:eastAsia="宋体" w:hint="default"/>
                <w:sz w:val="21"/>
                <w:szCs w:val="21"/>
              </w:rPr>
              <w:t>北京银行金 融港支行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保本浮动 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03</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协议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4.19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4.19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4.19</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1"/>
              <w:jc w:val="left"/>
              <w:rPr>
                <w:rFonts w:ascii="宋体" w:hAnsi="宋体" w:cs="宋体" w:eastAsia="宋体" w:hint="default"/>
                <w:sz w:val="21"/>
                <w:szCs w:val="21"/>
              </w:rPr>
            </w:pPr>
            <w:r>
              <w:rPr>
                <w:rFonts w:ascii="宋体" w:hAnsi="宋体" w:cs="宋体" w:eastAsia="宋体" w:hint="default"/>
                <w:sz w:val="21"/>
                <w:szCs w:val="21"/>
              </w:rPr>
              <w:t>北京银行金 融港支行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保本浮动 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03</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03</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协议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3.95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sz w:val="21"/>
              </w:rPr>
              <w:t>3.95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3.95</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1"/>
              <w:jc w:val="left"/>
              <w:rPr>
                <w:rFonts w:ascii="宋体" w:hAnsi="宋体" w:cs="宋体" w:eastAsia="宋体" w:hint="default"/>
                <w:sz w:val="21"/>
                <w:szCs w:val="21"/>
              </w:rPr>
            </w:pPr>
            <w:r>
              <w:rPr>
                <w:rFonts w:ascii="宋体" w:hAnsi="宋体" w:cs="宋体" w:eastAsia="宋体" w:hint="default"/>
                <w:sz w:val="21"/>
                <w:szCs w:val="21"/>
              </w:rPr>
              <w:t>北京银行金 融港支行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76" w:right="71" w:hanging="106"/>
              <w:jc w:val="left"/>
              <w:rPr>
                <w:rFonts w:ascii="宋体" w:hAnsi="宋体" w:cs="宋体" w:eastAsia="宋体" w:hint="default"/>
                <w:sz w:val="21"/>
                <w:szCs w:val="21"/>
              </w:rPr>
            </w:pPr>
            <w:r>
              <w:rPr>
                <w:rFonts w:ascii="宋体" w:hAnsi="宋体" w:cs="宋体" w:eastAsia="宋体" w:hint="default"/>
                <w:sz w:val="21"/>
                <w:szCs w:val="21"/>
              </w:rPr>
              <w:t>保本浮动 收益型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04</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协议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14.65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14.65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14.65</w:t>
            </w:r>
          </w:p>
        </w:tc>
      </w:tr>
      <w:tr>
        <w:trPr>
          <w:trHeight w:val="402" w:hRule="exact"/>
        </w:trPr>
        <w:tc>
          <w:tcPr>
            <w:tcW w:w="2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right="11"/>
              <w:jc w:val="right"/>
              <w:rPr>
                <w:rFonts w:ascii="宋体" w:hAnsi="宋体" w:cs="宋体" w:eastAsia="宋体" w:hint="default"/>
                <w:sz w:val="21"/>
                <w:szCs w:val="21"/>
              </w:rPr>
            </w:pPr>
            <w:r>
              <w:rPr>
                <w:rFonts w:ascii="宋体"/>
                <w:sz w:val="21"/>
              </w:rPr>
              <w:t>6,500</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sz w:val="21"/>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23.61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23.61</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r>
      <w:tr>
        <w:trPr>
          <w:trHeight w:val="402" w:hRule="exact"/>
        </w:trPr>
        <w:tc>
          <w:tcPr>
            <w:tcW w:w="2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委托理财资金来源</w:t>
            </w:r>
          </w:p>
        </w:tc>
        <w:tc>
          <w:tcPr>
            <w:tcW w:w="68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714" w:hRule="exact"/>
        </w:trPr>
        <w:tc>
          <w:tcPr>
            <w:tcW w:w="2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4"/>
              <w:jc w:val="left"/>
              <w:rPr>
                <w:rFonts w:ascii="宋体" w:hAnsi="宋体" w:cs="宋体" w:eastAsia="宋体" w:hint="default"/>
                <w:sz w:val="21"/>
                <w:szCs w:val="21"/>
              </w:rPr>
            </w:pPr>
            <w:r>
              <w:rPr>
                <w:rFonts w:ascii="宋体" w:hAnsi="宋体" w:cs="宋体" w:eastAsia="宋体" w:hint="default"/>
                <w:sz w:val="21"/>
                <w:szCs w:val="21"/>
              </w:rPr>
              <w:t>逾期未收回的本金和收益累计 金额</w:t>
            </w:r>
          </w:p>
        </w:tc>
        <w:tc>
          <w:tcPr>
            <w:tcW w:w="68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r>
      <w:tr>
        <w:trPr>
          <w:trHeight w:val="402" w:hRule="exact"/>
        </w:trPr>
        <w:tc>
          <w:tcPr>
            <w:tcW w:w="2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涉诉情况（如适用）</w:t>
            </w:r>
          </w:p>
        </w:tc>
        <w:tc>
          <w:tcPr>
            <w:tcW w:w="68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714" w:hRule="exact"/>
        </w:trPr>
        <w:tc>
          <w:tcPr>
            <w:tcW w:w="2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4"/>
              <w:jc w:val="left"/>
              <w:rPr>
                <w:rFonts w:ascii="宋体" w:hAnsi="宋体" w:cs="宋体" w:eastAsia="宋体" w:hint="default"/>
                <w:sz w:val="21"/>
                <w:szCs w:val="21"/>
              </w:rPr>
            </w:pPr>
            <w:r>
              <w:rPr>
                <w:rFonts w:ascii="宋体" w:hAnsi="宋体" w:cs="宋体" w:eastAsia="宋体" w:hint="default"/>
                <w:sz w:val="21"/>
                <w:szCs w:val="21"/>
              </w:rPr>
              <w:t>委托理财审批董事会公告披露 日期（如有</w:t>
            </w:r>
            <w:r>
              <w:rPr>
                <w:rFonts w:ascii="宋体" w:hAnsi="宋体" w:cs="宋体" w:eastAsia="宋体" w:hint="default"/>
                <w:sz w:val="21"/>
                <w:szCs w:val="21"/>
              </w:rPr>
              <w:t>)</w:t>
            </w:r>
          </w:p>
        </w:tc>
        <w:tc>
          <w:tcPr>
            <w:tcW w:w="68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714" w:hRule="exact"/>
        </w:trPr>
        <w:tc>
          <w:tcPr>
            <w:tcW w:w="2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4"/>
              <w:jc w:val="left"/>
              <w:rPr>
                <w:rFonts w:ascii="宋体" w:hAnsi="宋体" w:cs="宋体" w:eastAsia="宋体" w:hint="default"/>
                <w:sz w:val="21"/>
                <w:szCs w:val="21"/>
              </w:rPr>
            </w:pPr>
            <w:r>
              <w:rPr>
                <w:rFonts w:ascii="宋体" w:hAnsi="宋体" w:cs="宋体" w:eastAsia="宋体" w:hint="default"/>
                <w:sz w:val="21"/>
                <w:szCs w:val="21"/>
              </w:rPr>
              <w:t>委托理财审批股东会公告披露 日期（如有</w:t>
            </w:r>
            <w:r>
              <w:rPr>
                <w:rFonts w:ascii="宋体" w:hAnsi="宋体" w:cs="宋体" w:eastAsia="宋体" w:hint="default"/>
                <w:sz w:val="21"/>
                <w:szCs w:val="21"/>
              </w:rPr>
              <w:t>)</w:t>
            </w:r>
          </w:p>
        </w:tc>
        <w:tc>
          <w:tcPr>
            <w:tcW w:w="68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2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未来是否还有委托理财计划</w:t>
            </w:r>
          </w:p>
        </w:tc>
        <w:tc>
          <w:tcPr>
            <w:tcW w:w="68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0"/>
        <w:rPr>
          <w:rFonts w:ascii="宋体" w:hAnsi="宋体" w:cs="宋体" w:eastAsia="宋体" w:hint="default"/>
          <w:sz w:val="4"/>
          <w:szCs w:val="4"/>
        </w:rPr>
      </w:pPr>
    </w:p>
    <w:p>
      <w:pPr>
        <w:pStyle w:val="BodyText"/>
        <w:spacing w:line="240" w:lineRule="auto" w:before="26"/>
        <w:ind w:left="694" w:right="0"/>
        <w:jc w:val="left"/>
      </w:pPr>
      <w:r>
        <w:rPr>
          <w:spacing w:val="-4"/>
        </w:rPr>
        <w:t>上述委托理财产品均为全资子公司国铁路阳购买，在</w:t>
      </w:r>
      <w:r>
        <w:rPr>
          <w:spacing w:val="-55"/>
        </w:rPr>
        <w:t> </w:t>
      </w:r>
      <w:r>
        <w:rPr>
          <w:rFonts w:ascii="宋体" w:hAnsi="宋体" w:cs="宋体" w:eastAsia="宋体" w:hint="default"/>
        </w:rPr>
        <w:t>2,500</w:t>
      </w:r>
      <w:r>
        <w:rPr>
          <w:rFonts w:ascii="宋体" w:hAnsi="宋体" w:cs="宋体" w:eastAsia="宋体" w:hint="default"/>
          <w:spacing w:val="-55"/>
        </w:rPr>
        <w:t> </w:t>
      </w:r>
      <w:r>
        <w:rPr/>
        <w:t>万元的额度范围内滚动购买。</w:t>
      </w:r>
    </w:p>
    <w:p>
      <w:pPr>
        <w:spacing w:line="338" w:lineRule="auto" w:before="145"/>
        <w:ind w:left="693" w:right="667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）委托贷款情况</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公司报告期不存在委托贷款。 </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、其他重大合同</w:t>
      </w:r>
      <w:r>
        <w:rPr>
          <w:rFonts w:ascii="宋体" w:hAnsi="宋体" w:cs="宋体" w:eastAsia="宋体" w:hint="default"/>
          <w:b/>
          <w:bCs/>
          <w:w w:val="99"/>
          <w:sz w:val="24"/>
          <w:szCs w:val="24"/>
        </w:rPr>
        <w:t> </w:t>
      </w:r>
      <w:r>
        <w:rPr>
          <w:rFonts w:ascii="宋体" w:hAnsi="宋体" w:cs="宋体" w:eastAsia="宋体" w:hint="default"/>
          <w:sz w:val="24"/>
          <w:szCs w:val="24"/>
        </w:rPr>
        <w:t>公司报告期不存在其他重大合同。</w:t>
      </w:r>
    </w:p>
    <w:p>
      <w:pPr>
        <w:spacing w:after="0" w:line="338" w:lineRule="auto"/>
        <w:jc w:val="left"/>
        <w:rPr>
          <w:rFonts w:ascii="宋体" w:hAnsi="宋体" w:cs="宋体" w:eastAsia="宋体" w:hint="default"/>
          <w:sz w:val="24"/>
          <w:szCs w:val="24"/>
        </w:rPr>
        <w:sectPr>
          <w:type w:val="continuous"/>
          <w:pgSz w:w="11910" w:h="16840"/>
          <w:pgMar w:top="1060" w:bottom="1160" w:left="920" w:right="0"/>
        </w:sectPr>
      </w:pPr>
    </w:p>
    <w:p>
      <w:pPr>
        <w:spacing w:line="240" w:lineRule="auto" w:before="0"/>
        <w:rPr>
          <w:rFonts w:ascii="宋体" w:hAnsi="宋体" w:cs="宋体" w:eastAsia="宋体" w:hint="default"/>
          <w:sz w:val="20"/>
          <w:szCs w:val="20"/>
        </w:rPr>
      </w:pPr>
    </w:p>
    <w:p>
      <w:pPr>
        <w:pStyle w:val="Heading2"/>
        <w:spacing w:line="240" w:lineRule="auto" w:before="199"/>
        <w:ind w:right="1153"/>
        <w:jc w:val="left"/>
        <w:rPr>
          <w:b w:val="0"/>
          <w:bCs w:val="0"/>
        </w:rPr>
      </w:pPr>
      <w:r>
        <w:rPr/>
        <w:t>十八、其他重大事项的说明</w:t>
      </w:r>
      <w:r>
        <w:rPr>
          <w:b w:val="0"/>
          <w:bCs w:val="0"/>
        </w:rPr>
      </w:r>
    </w:p>
    <w:p>
      <w:pPr>
        <w:pStyle w:val="BodyText"/>
        <w:spacing w:line="352" w:lineRule="auto" w:before="145"/>
        <w:ind w:right="1169" w:firstLine="480"/>
        <w:jc w:val="both"/>
      </w:pPr>
      <w:r>
        <w:rPr>
          <w:rFonts w:ascii="宋体" w:hAnsi="宋体" w:cs="宋体" w:eastAsia="宋体" w:hint="default"/>
        </w:rPr>
        <w:t>2013</w:t>
      </w:r>
      <w:r>
        <w:rPr>
          <w:rFonts w:ascii="宋体" w:hAnsi="宋体" w:cs="宋体" w:eastAsia="宋体" w:hint="default"/>
          <w:spacing w:val="-60"/>
        </w:rPr>
        <w:t> </w:t>
      </w:r>
      <w:r>
        <w:rPr/>
        <w:t>年，由公司牵头</w:t>
      </w:r>
      <w:r>
        <w:rPr>
          <w:rFonts w:ascii="宋体" w:hAnsi="宋体" w:cs="宋体" w:eastAsia="宋体" w:hint="default"/>
        </w:rPr>
        <w:t>,</w:t>
      </w:r>
      <w:r>
        <w:rPr/>
        <w:t>与北京金鸿泰科技有限公司、郑州铁路局调度所为联合单位共同 研发的“北斗铁路列车卫星定位与辅助预警系统应用示范”项目，中标由工业和信息化部组 织招标的“2013</w:t>
      </w:r>
      <w:r>
        <w:rPr>
          <w:spacing w:val="-60"/>
        </w:rPr>
        <w:t> </w:t>
      </w:r>
      <w:r>
        <w:rPr/>
        <w:t>年度电子信息产业发展基金项目”，于</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日收到财政部划拨</w:t>
      </w:r>
    </w:p>
    <w:p>
      <w:pPr>
        <w:pStyle w:val="BodyText"/>
        <w:spacing w:line="352" w:lineRule="auto" w:before="32"/>
        <w:ind w:right="1130"/>
        <w:jc w:val="both"/>
      </w:pPr>
      <w:r>
        <w:rPr/>
        <w:t>的财政补助资金</w:t>
      </w:r>
      <w:r>
        <w:rPr>
          <w:spacing w:val="-57"/>
        </w:rPr>
        <w:t> </w:t>
      </w:r>
      <w:r>
        <w:rPr>
          <w:rFonts w:ascii="宋体" w:hAnsi="宋体" w:cs="宋体" w:eastAsia="宋体" w:hint="default"/>
        </w:rPr>
        <w:t>400</w:t>
      </w:r>
      <w:r>
        <w:rPr>
          <w:rFonts w:ascii="宋体" w:hAnsi="宋体" w:cs="宋体" w:eastAsia="宋体" w:hint="default"/>
          <w:spacing w:val="-57"/>
        </w:rPr>
        <w:t> </w:t>
      </w:r>
      <w:r>
        <w:rPr>
          <w:spacing w:val="-5"/>
        </w:rPr>
        <w:t>万元，详见</w:t>
      </w:r>
      <w:r>
        <w:rPr>
          <w:spacing w:val="-57"/>
        </w:rPr>
        <w:t> </w:t>
      </w:r>
      <w:r>
        <w:rPr>
          <w:rFonts w:ascii="宋体" w:hAnsi="宋体" w:cs="宋体" w:eastAsia="宋体" w:hint="default"/>
        </w:rPr>
        <w:t>2013</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w:t>
      </w:r>
      <w:r>
        <w:rPr>
          <w:spacing w:val="-57"/>
        </w:rPr>
        <w:t> </w:t>
      </w:r>
      <w:r>
        <w:rPr>
          <w:rFonts w:ascii="宋体" w:hAnsi="宋体" w:cs="宋体" w:eastAsia="宋体" w:hint="default"/>
        </w:rPr>
        <w:t>2</w:t>
      </w:r>
      <w:r>
        <w:rPr>
          <w:rFonts w:ascii="宋体" w:hAnsi="宋体" w:cs="宋体" w:eastAsia="宋体" w:hint="default"/>
          <w:spacing w:val="-57"/>
        </w:rPr>
        <w:t> </w:t>
      </w:r>
      <w:r>
        <w:rPr>
          <w:spacing w:val="-3"/>
        </w:rPr>
        <w:t>日巨潮资讯网（</w:t>
      </w:r>
      <w:hyperlink r:id="rId12">
        <w:r>
          <w:rPr>
            <w:rFonts w:ascii="宋体" w:hAnsi="宋体" w:cs="宋体" w:eastAsia="宋体" w:hint="default"/>
            <w:spacing w:val="-3"/>
          </w:rPr>
          <w:t>www.cninfo.com.cn</w:t>
        </w:r>
      </w:hyperlink>
      <w:r>
        <w:rPr>
          <w:spacing w:val="-3"/>
        </w:rPr>
        <w:t>）《关于</w:t>
      </w:r>
      <w:r>
        <w:rPr/>
        <w:t> 获得国家财政补贴的公告》（</w:t>
      </w:r>
      <w:r>
        <w:rPr>
          <w:rFonts w:ascii="宋体" w:hAnsi="宋体" w:cs="宋体" w:eastAsia="宋体" w:hint="default"/>
        </w:rPr>
        <w:t>2013-058</w:t>
      </w:r>
      <w:r>
        <w:rPr/>
        <w:t>）。截至报告期末，该项目主要研发工作已经完成， 并完成了部分机车安装，处于试点验证阶段。</w:t>
      </w:r>
    </w:p>
    <w:p>
      <w:pPr>
        <w:pStyle w:val="Heading2"/>
        <w:spacing w:line="240" w:lineRule="auto" w:before="32"/>
        <w:ind w:right="1153"/>
        <w:jc w:val="left"/>
        <w:rPr>
          <w:b w:val="0"/>
          <w:bCs w:val="0"/>
        </w:rPr>
      </w:pPr>
      <w:r>
        <w:rPr/>
        <w:t>十九、公司子公司重大事项</w:t>
      </w:r>
      <w:r>
        <w:rPr>
          <w:b w:val="0"/>
          <w:bCs w:val="0"/>
        </w:rPr>
      </w:r>
    </w:p>
    <w:p>
      <w:pPr>
        <w:spacing w:line="350" w:lineRule="auto" w:before="146"/>
        <w:ind w:left="636" w:right="8101"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二十、社会责任情况</w:t>
      </w:r>
      <w:r>
        <w:rPr>
          <w:rFonts w:ascii="宋体" w:hAnsi="宋体" w:cs="宋体" w:eastAsia="宋体" w:hint="default"/>
          <w:sz w:val="24"/>
          <w:szCs w:val="24"/>
        </w:rPr>
      </w:r>
    </w:p>
    <w:p>
      <w:pPr>
        <w:pStyle w:val="BodyText"/>
        <w:spacing w:line="352" w:lineRule="auto" w:before="35"/>
        <w:ind w:right="1131" w:firstLine="480"/>
        <w:jc w:val="both"/>
      </w:pPr>
      <w:r>
        <w:rPr/>
        <w:t>公司积极主动履行社会责任，</w:t>
      </w:r>
      <w:r>
        <w:rPr>
          <w:rFonts w:ascii="宋体" w:hAnsi="宋体" w:cs="宋体" w:eastAsia="宋体" w:hint="default"/>
        </w:rPr>
        <w:t>2015</w:t>
      </w:r>
      <w:r>
        <w:rPr>
          <w:rFonts w:ascii="宋体" w:hAnsi="宋体" w:cs="宋体" w:eastAsia="宋体" w:hint="default"/>
          <w:spacing w:val="-80"/>
        </w:rPr>
        <w:t> </w:t>
      </w:r>
      <w:r>
        <w:rPr/>
        <w:t>年度社会责任报告已经第五届董事会第十八次会议审 议通过，报告全文详见</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日在巨潮资讯网</w:t>
      </w:r>
      <w:r>
        <w:rPr>
          <w:rFonts w:ascii="宋体" w:hAnsi="宋体" w:cs="宋体" w:eastAsia="宋体" w:hint="default"/>
        </w:rPr>
        <w:t>(www.cninfo.com.cn)</w:t>
      </w:r>
      <w:r>
        <w:rPr/>
        <w:t>披露的《河南辉</w:t>
      </w:r>
    </w:p>
    <w:p>
      <w:pPr>
        <w:spacing w:line="350" w:lineRule="auto" w:before="32"/>
        <w:ind w:left="636" w:right="1153" w:hanging="483"/>
        <w:jc w:val="left"/>
        <w:rPr>
          <w:rFonts w:ascii="宋体" w:hAnsi="宋体" w:cs="宋体" w:eastAsia="宋体" w:hint="default"/>
          <w:sz w:val="24"/>
          <w:szCs w:val="24"/>
        </w:rPr>
      </w:pPr>
      <w:r>
        <w:rPr>
          <w:rFonts w:ascii="宋体" w:hAnsi="宋体" w:cs="宋体" w:eastAsia="宋体" w:hint="default"/>
          <w:sz w:val="24"/>
          <w:szCs w:val="24"/>
        </w:rPr>
        <w:t>煌科技股份有限公司</w:t>
      </w:r>
      <w:r>
        <w:rPr>
          <w:rFonts w:ascii="宋体" w:hAnsi="宋体" w:cs="宋体" w:eastAsia="宋体" w:hint="default"/>
          <w:spacing w:val="-60"/>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年年度社会责任报告》。 </w:t>
      </w:r>
      <w:r>
        <w:rPr>
          <w:rFonts w:ascii="宋体" w:hAnsi="宋体" w:cs="宋体" w:eastAsia="宋体" w:hint="default"/>
          <w:b/>
          <w:bCs/>
          <w:w w:val="95"/>
          <w:sz w:val="24"/>
          <w:szCs w:val="24"/>
        </w:rPr>
        <w:t>上市公司及其子公司是否属于国家环境保护部门规定的重污染行业</w:t>
      </w:r>
      <w:r>
        <w:rPr>
          <w:rFonts w:ascii="宋体" w:hAnsi="宋体" w:cs="宋体" w:eastAsia="宋体" w:hint="default"/>
          <w:sz w:val="24"/>
          <w:szCs w:val="24"/>
        </w:rPr>
      </w:r>
    </w:p>
    <w:p>
      <w:pPr>
        <w:spacing w:line="350" w:lineRule="auto" w:before="36"/>
        <w:ind w:left="636" w:right="7753" w:hanging="3"/>
        <w:jc w:val="left"/>
        <w:rPr>
          <w:rFonts w:ascii="宋体" w:hAnsi="宋体" w:cs="宋体" w:eastAsia="宋体" w:hint="default"/>
          <w:sz w:val="24"/>
          <w:szCs w:val="24"/>
        </w:rPr>
      </w:pPr>
      <w:r>
        <w:rPr>
          <w:rFonts w:ascii="宋体" w:hAnsi="宋体" w:cs="宋体" w:eastAsia="宋体" w:hint="default"/>
          <w:sz w:val="24"/>
          <w:szCs w:val="24"/>
        </w:rPr>
        <w:t>□ 是 √ 否 □ 不适用 </w:t>
      </w:r>
      <w:r>
        <w:rPr>
          <w:rFonts w:ascii="宋体" w:hAnsi="宋体" w:cs="宋体" w:eastAsia="宋体" w:hint="default"/>
          <w:b/>
          <w:bCs/>
          <w:sz w:val="24"/>
          <w:szCs w:val="24"/>
        </w:rPr>
        <w:t>是否发布社会责任报告</w:t>
      </w:r>
      <w:r>
        <w:rPr>
          <w:rFonts w:ascii="宋体" w:hAnsi="宋体" w:cs="宋体" w:eastAsia="宋体" w:hint="default"/>
          <w:sz w:val="24"/>
          <w:szCs w:val="24"/>
        </w:rPr>
      </w:r>
    </w:p>
    <w:p>
      <w:pPr>
        <w:pStyle w:val="BodyText"/>
        <w:spacing w:line="240" w:lineRule="auto" w:before="35"/>
        <w:ind w:left="633" w:right="1153"/>
        <w:jc w:val="left"/>
      </w:pPr>
      <w:r>
        <w:rPr/>
        <w:t>√ 是 □ 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35"/>
        <w:ind w:left="0" w:right="1154" w:firstLine="0"/>
        <w:jc w:val="right"/>
        <w:rPr>
          <w:rFonts w:ascii="宋体" w:hAnsi="宋体" w:cs="宋体" w:eastAsia="宋体" w:hint="default"/>
          <w:sz w:val="21"/>
          <w:szCs w:val="21"/>
        </w:rPr>
      </w:pPr>
      <w:r>
        <w:rPr/>
        <w:pict>
          <v:shape style="position:absolute;margin-left:56.459999pt;margin-top:-60.32634pt;width:479.2pt;height:143.3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276"/>
                    <w:gridCol w:w="1277"/>
                    <w:gridCol w:w="1701"/>
                    <w:gridCol w:w="4181"/>
                  </w:tblGrid>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企业社会责任报告</w:t>
                        </w:r>
                      </w:p>
                    </w:tc>
                  </w:tr>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企业性质</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0"/>
                          <w:ind w:left="212" w:right="107" w:hanging="105"/>
                          <w:jc w:val="left"/>
                          <w:rPr>
                            <w:rFonts w:ascii="宋体" w:hAnsi="宋体" w:cs="宋体" w:eastAsia="宋体" w:hint="default"/>
                            <w:sz w:val="21"/>
                            <w:szCs w:val="21"/>
                          </w:rPr>
                        </w:pPr>
                        <w:r>
                          <w:rPr>
                            <w:rFonts w:ascii="宋体" w:hAnsi="宋体" w:cs="宋体" w:eastAsia="宋体" w:hint="default"/>
                            <w:sz w:val="21"/>
                            <w:szCs w:val="21"/>
                          </w:rPr>
                          <w:t>是否含环境 方面信息</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0"/>
                          <w:ind w:left="213" w:right="107" w:hanging="105"/>
                          <w:jc w:val="left"/>
                          <w:rPr>
                            <w:rFonts w:ascii="宋体" w:hAnsi="宋体" w:cs="宋体" w:eastAsia="宋体" w:hint="default"/>
                            <w:sz w:val="21"/>
                            <w:szCs w:val="21"/>
                          </w:rPr>
                        </w:pPr>
                        <w:r>
                          <w:rPr>
                            <w:rFonts w:ascii="宋体" w:hAnsi="宋体" w:cs="宋体" w:eastAsia="宋体" w:hint="default"/>
                            <w:sz w:val="21"/>
                            <w:szCs w:val="21"/>
                          </w:rPr>
                          <w:t>是否含社会 方面信息</w:t>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0"/>
                          <w:ind w:left="425" w:right="108" w:hanging="315"/>
                          <w:jc w:val="left"/>
                          <w:rPr>
                            <w:rFonts w:ascii="宋体" w:hAnsi="宋体" w:cs="宋体" w:eastAsia="宋体" w:hint="default"/>
                            <w:sz w:val="21"/>
                            <w:szCs w:val="21"/>
                          </w:rPr>
                        </w:pPr>
                        <w:r>
                          <w:rPr>
                            <w:rFonts w:ascii="宋体" w:hAnsi="宋体" w:cs="宋体" w:eastAsia="宋体" w:hint="default"/>
                            <w:sz w:val="21"/>
                            <w:szCs w:val="21"/>
                          </w:rPr>
                          <w:t>是否含公司治理 方面信息</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报告披露标准</w:t>
                        </w:r>
                      </w:p>
                    </w:tc>
                  </w:tr>
                  <w:tr>
                    <w:trPr>
                      <w:trHeight w:val="40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国内标准</w:t>
                        </w:r>
                      </w:p>
                    </w:tc>
                  </w:tr>
                  <w:tr>
                    <w:trPr>
                      <w:trHeight w:val="16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私企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深圳证券交易所《上市公司规范运作指引》</w:t>
                        </w:r>
                      </w:p>
                      <w:p>
                        <w:pPr>
                          <w:pStyle w:val="TableParagraph"/>
                          <w:spacing w:line="273" w:lineRule="auto" w:before="36"/>
                          <w:ind w:left="22" w:right="20"/>
                          <w:jc w:val="left"/>
                          <w:rPr>
                            <w:rFonts w:ascii="宋体" w:hAnsi="宋体" w:cs="宋体" w:eastAsia="宋体" w:hint="default"/>
                            <w:sz w:val="21"/>
                            <w:szCs w:val="21"/>
                          </w:rPr>
                        </w:pPr>
                        <w:r>
                          <w:rPr>
                            <w:rFonts w:ascii="宋体" w:hAnsi="宋体" w:cs="宋体" w:eastAsia="宋体" w:hint="default"/>
                            <w:spacing w:val="-4"/>
                            <w:sz w:val="21"/>
                            <w:szCs w:val="21"/>
                          </w:rPr>
                          <w:t>《深圳证券交易所上市公司社会责任指引》及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中国社会科学院经济学部企业社会责任研究 </w:t>
                        </w:r>
                        <w:r>
                          <w:rPr>
                            <w:rFonts w:ascii="宋体" w:hAnsi="宋体" w:cs="宋体" w:eastAsia="宋体" w:hint="default"/>
                            <w:spacing w:val="-13"/>
                            <w:sz w:val="21"/>
                            <w:szCs w:val="21"/>
                          </w:rPr>
                          <w:t>中心《中国企业社会责任报告编写指南》（</w:t>
                        </w:r>
                        <w:r>
                          <w:rPr>
                            <w:rFonts w:ascii="宋体" w:hAnsi="宋体" w:cs="宋体" w:eastAsia="宋体" w:hint="default"/>
                            <w:spacing w:val="-13"/>
                            <w:sz w:val="21"/>
                            <w:szCs w:val="21"/>
                          </w:rPr>
                          <w:t>CASS</w:t>
                        </w:r>
                      </w:p>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CSR2.0</w:t>
                        </w:r>
                        <w:r>
                          <w:rPr>
                            <w:rFonts w:ascii="宋体" w:hAnsi="宋体" w:cs="宋体" w:eastAsia="宋体" w:hint="default"/>
                            <w:sz w:val="21"/>
                            <w:szCs w:val="21"/>
                          </w:rPr>
                          <w:t>）等。</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2"/>
        <w:spacing w:line="240" w:lineRule="auto"/>
        <w:ind w:left="154" w:right="1153"/>
        <w:jc w:val="left"/>
        <w:rPr>
          <w:b w:val="0"/>
          <w:bCs w:val="0"/>
        </w:rPr>
      </w:pPr>
      <w:r>
        <w:rPr/>
        <w:t>具体情况说明</w:t>
      </w:r>
      <w:r>
        <w:rPr>
          <w:b w:val="0"/>
          <w:bCs w:val="0"/>
        </w:rPr>
      </w:r>
    </w:p>
    <w:p>
      <w:pPr>
        <w:spacing w:line="240" w:lineRule="auto" w:before="5"/>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769"/>
        <w:gridCol w:w="3958"/>
      </w:tblGrid>
      <w:tr>
        <w:trPr>
          <w:trHeight w:val="403" w:hRule="exact"/>
        </w:trPr>
        <w:tc>
          <w:tcPr>
            <w:tcW w:w="5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公司是否通过环境管理体系认证（</w:t>
            </w:r>
            <w:r>
              <w:rPr>
                <w:rFonts w:ascii="Times New Roman" w:hAnsi="Times New Roman" w:cs="Times New Roman" w:eastAsia="Times New Roman" w:hint="default"/>
                <w:sz w:val="21"/>
                <w:szCs w:val="21"/>
              </w:rPr>
              <w:t>ISO14001</w:t>
            </w:r>
            <w:r>
              <w:rPr>
                <w:rFonts w:ascii="宋体" w:hAnsi="宋体" w:cs="宋体" w:eastAsia="宋体" w:hint="default"/>
                <w:sz w:val="21"/>
                <w:szCs w:val="21"/>
              </w:rPr>
              <w:t>）</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5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公司年度环保投支出金额（万元）</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0.4</w:t>
            </w:r>
          </w:p>
        </w:tc>
      </w:tr>
      <w:tr>
        <w:trPr>
          <w:trHeight w:val="714" w:hRule="exact"/>
        </w:trPr>
        <w:tc>
          <w:tcPr>
            <w:tcW w:w="5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废气、废水、废渣</w:t>
            </w:r>
            <w:r>
              <w:rPr>
                <w:rFonts w:ascii="Times New Roman" w:hAnsi="Times New Roman" w:cs="Times New Roman" w:eastAsia="Times New Roman" w:hint="default"/>
                <w:sz w:val="21"/>
                <w:szCs w:val="21"/>
              </w:rPr>
              <w:t>”</w:t>
            </w:r>
            <w:r>
              <w:rPr>
                <w:rFonts w:ascii="宋体" w:hAnsi="宋体" w:cs="宋体" w:eastAsia="宋体" w:hint="default"/>
                <w:sz w:val="21"/>
                <w:szCs w:val="21"/>
              </w:rPr>
              <w:t>三废减排绩效</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3"/>
              <w:jc w:val="left"/>
              <w:rPr>
                <w:rFonts w:ascii="宋体" w:hAnsi="宋体" w:cs="宋体" w:eastAsia="宋体" w:hint="default"/>
                <w:sz w:val="21"/>
                <w:szCs w:val="21"/>
              </w:rPr>
            </w:pPr>
            <w:r>
              <w:rPr>
                <w:rFonts w:ascii="宋体" w:hAnsi="宋体" w:cs="宋体" w:eastAsia="宋体" w:hint="default"/>
                <w:spacing w:val="-5"/>
                <w:sz w:val="21"/>
                <w:szCs w:val="21"/>
              </w:rPr>
              <w:t>公司属软件集成企业，除有少量办公废水排</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放外，无其他</w:t>
            </w:r>
            <w:r>
              <w:rPr>
                <w:rFonts w:ascii="Times New Roman" w:hAnsi="Times New Roman" w:cs="Times New Roman" w:eastAsia="Times New Roman" w:hint="default"/>
                <w:sz w:val="21"/>
                <w:szCs w:val="21"/>
              </w:rPr>
              <w:t>“</w:t>
            </w:r>
            <w:r>
              <w:rPr>
                <w:rFonts w:ascii="宋体" w:hAnsi="宋体" w:cs="宋体" w:eastAsia="宋体" w:hint="default"/>
                <w:sz w:val="21"/>
                <w:szCs w:val="21"/>
              </w:rPr>
              <w:t>废气、废水、废渣</w:t>
            </w:r>
            <w:r>
              <w:rPr>
                <w:rFonts w:ascii="Times New Roman" w:hAnsi="Times New Roman" w:cs="Times New Roman" w:eastAsia="Times New Roman" w:hint="default"/>
                <w:sz w:val="21"/>
                <w:szCs w:val="21"/>
              </w:rPr>
              <w:t>”</w:t>
            </w:r>
            <w:r>
              <w:rPr>
                <w:rFonts w:ascii="宋体" w:hAnsi="宋体" w:cs="宋体" w:eastAsia="宋体" w:hint="default"/>
                <w:sz w:val="21"/>
                <w:szCs w:val="21"/>
              </w:rPr>
              <w:t>的排放。</w:t>
            </w:r>
          </w:p>
        </w:tc>
      </w:tr>
      <w:tr>
        <w:trPr>
          <w:trHeight w:val="714" w:hRule="exact"/>
        </w:trPr>
        <w:tc>
          <w:tcPr>
            <w:tcW w:w="5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23" w:right="116"/>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公司投资于雇员个人知识和技能提高以提升雇员职业发展能 力的投入</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7.8 </w:t>
            </w:r>
            <w:r>
              <w:rPr>
                <w:rFonts w:ascii="宋体" w:hAnsi="宋体" w:cs="宋体" w:eastAsia="宋体" w:hint="default"/>
                <w:sz w:val="21"/>
                <w:szCs w:val="21"/>
              </w:rPr>
              <w:t>万元</w:t>
            </w:r>
          </w:p>
        </w:tc>
      </w:tr>
      <w:tr>
        <w:trPr>
          <w:trHeight w:val="403" w:hRule="exact"/>
        </w:trPr>
        <w:tc>
          <w:tcPr>
            <w:tcW w:w="5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公司的社会公益捐赠（资金、物资、无偿专业服务）金额</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Heading2"/>
        <w:spacing w:line="240" w:lineRule="auto" w:before="199"/>
        <w:ind w:left="956" w:right="0"/>
        <w:jc w:val="left"/>
        <w:rPr>
          <w:b w:val="0"/>
          <w:bCs w:val="0"/>
        </w:rPr>
      </w:pPr>
      <w:r>
        <w:rPr/>
        <w:t>二十一、公司债券相关情况</w:t>
      </w:r>
      <w:r>
        <w:rPr>
          <w:b w:val="0"/>
          <w:bCs w:val="0"/>
        </w:rPr>
      </w:r>
    </w:p>
    <w:p>
      <w:pPr>
        <w:pStyle w:val="Heading2"/>
        <w:spacing w:line="240" w:lineRule="auto" w:before="145"/>
        <w:ind w:left="956" w:right="0"/>
        <w:jc w:val="left"/>
        <w:rPr>
          <w:b w:val="0"/>
          <w:bCs w:val="0"/>
        </w:rPr>
      </w:pPr>
      <w:r>
        <w:rPr>
          <w:rFonts w:ascii="Times New Roman" w:hAnsi="Times New Roman" w:cs="Times New Roman" w:eastAsia="Times New Roman" w:hint="default"/>
        </w:rPr>
        <w:t>1</w:t>
      </w:r>
      <w:r>
        <w:rPr/>
        <w:t>、公司债券基本信息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35"/>
        <w:ind w:left="0" w:right="486" w:firstLine="0"/>
        <w:jc w:val="right"/>
        <w:rPr>
          <w:rFonts w:ascii="宋体" w:hAnsi="宋体" w:cs="宋体" w:eastAsia="宋体" w:hint="default"/>
          <w:sz w:val="21"/>
          <w:szCs w:val="21"/>
        </w:rPr>
      </w:pPr>
      <w:r>
        <w:rPr/>
        <w:pict>
          <v:shape style="position:absolute;margin-left:49.380001pt;margin-top:-66.88633pt;width:518.2pt;height:245.9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1559"/>
                    <w:gridCol w:w="710"/>
                    <w:gridCol w:w="1276"/>
                    <w:gridCol w:w="1134"/>
                    <w:gridCol w:w="1134"/>
                    <w:gridCol w:w="718"/>
                    <w:gridCol w:w="1834"/>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债券简称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43" w:right="34" w:hanging="210"/>
                          <w:jc w:val="left"/>
                          <w:rPr>
                            <w:rFonts w:ascii="宋体" w:hAnsi="宋体" w:cs="宋体" w:eastAsia="宋体" w:hint="default"/>
                            <w:sz w:val="21"/>
                            <w:szCs w:val="21"/>
                          </w:rPr>
                        </w:pPr>
                        <w:r>
                          <w:rPr>
                            <w:rFonts w:ascii="宋体" w:hAnsi="宋体" w:cs="宋体" w:eastAsia="宋体" w:hint="default"/>
                            <w:sz w:val="21"/>
                            <w:szCs w:val="21"/>
                          </w:rPr>
                          <w:t>债券代 码</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发行日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4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债券余额</w:t>
                        </w:r>
                      </w:p>
                      <w:p>
                        <w:pPr>
                          <w:pStyle w:val="TableParagraph"/>
                          <w:spacing w:line="240" w:lineRule="auto" w:before="37"/>
                          <w:ind w:left="14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利率</w:t>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82" w:right="0"/>
                          <w:jc w:val="left"/>
                          <w:rPr>
                            <w:rFonts w:ascii="宋体" w:hAnsi="宋体" w:cs="宋体" w:eastAsia="宋体" w:hint="default"/>
                            <w:sz w:val="21"/>
                            <w:szCs w:val="21"/>
                          </w:rPr>
                        </w:pPr>
                        <w:r>
                          <w:rPr>
                            <w:rFonts w:ascii="宋体" w:hAnsi="宋体" w:cs="宋体" w:eastAsia="宋体" w:hint="default"/>
                            <w:sz w:val="21"/>
                            <w:szCs w:val="21"/>
                          </w:rPr>
                          <w:t>还本付息方式</w:t>
                        </w:r>
                      </w:p>
                    </w:tc>
                  </w:tr>
                  <w:tr>
                    <w:trPr>
                      <w:trHeight w:val="196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64" w:lineRule="auto"/>
                          <w:ind w:left="22" w:right="60"/>
                          <w:jc w:val="left"/>
                          <w:rPr>
                            <w:rFonts w:ascii="宋体" w:hAnsi="宋体" w:cs="宋体" w:eastAsia="宋体" w:hint="default"/>
                            <w:sz w:val="21"/>
                            <w:szCs w:val="21"/>
                          </w:rPr>
                        </w:pPr>
                        <w:r>
                          <w:rPr>
                            <w:rFonts w:ascii="宋体" w:hAnsi="宋体" w:cs="宋体" w:eastAsia="宋体" w:hint="default"/>
                            <w:sz w:val="21"/>
                            <w:szCs w:val="21"/>
                          </w:rPr>
                          <w:t>河南辉煌科技股份有 限公司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 债券（第一期）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3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 </w:t>
                        </w:r>
                        <w:r>
                          <w:rPr>
                            <w:rFonts w:ascii="宋体" w:hAnsi="宋体" w:cs="宋体" w:eastAsia="宋体" w:hint="default"/>
                            <w:sz w:val="21"/>
                            <w:szCs w:val="21"/>
                          </w:rPr>
                          <w:t>辉煌</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38" w:right="0"/>
                          <w:jc w:val="left"/>
                          <w:rPr>
                            <w:rFonts w:ascii="Times New Roman" w:hAnsi="Times New Roman" w:cs="Times New Roman" w:eastAsia="Times New Roman" w:hint="default"/>
                            <w:sz w:val="21"/>
                            <w:szCs w:val="21"/>
                          </w:rPr>
                        </w:pPr>
                        <w:r>
                          <w:rPr>
                            <w:rFonts w:ascii="Times New Roman"/>
                            <w:sz w:val="21"/>
                          </w:rPr>
                          <w:t>112237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27"/>
                            <w:szCs w:val="2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2" w:right="0"/>
                          <w:jc w:val="left"/>
                          <w:rPr>
                            <w:rFonts w:ascii="Arial" w:hAnsi="Arial" w:cs="Arial" w:eastAsia="Arial" w:hint="default"/>
                            <w:sz w:val="18"/>
                            <w:szCs w:val="18"/>
                          </w:rPr>
                        </w:pPr>
                        <w:r>
                          <w:rPr>
                            <w:rFonts w:ascii="Arial"/>
                            <w:w w:val="90"/>
                            <w:sz w:val="18"/>
                          </w:rPr>
                          <w:t>24,828.49</w:t>
                        </w:r>
                        <w:r>
                          <w:rPr>
                            <w:rFonts w:ascii="Arial"/>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1" w:firstLine="49"/>
                          <w:jc w:val="both"/>
                          <w:rPr>
                            <w:rFonts w:ascii="宋体" w:hAnsi="宋体" w:cs="宋体" w:eastAsia="宋体" w:hint="default"/>
                            <w:sz w:val="21"/>
                            <w:szCs w:val="21"/>
                          </w:rPr>
                        </w:pPr>
                        <w:r>
                          <w:rPr>
                            <w:rFonts w:ascii="宋体" w:hAnsi="宋体" w:cs="宋体" w:eastAsia="宋体" w:hint="default"/>
                            <w:sz w:val="21"/>
                            <w:szCs w:val="21"/>
                          </w:rPr>
                          <w:t>本期债券采用单利 按年计息，不计复 利。每年付息一次 到期一次还本，最 后一期利息随本金 的兑付一起支付。</w:t>
                        </w:r>
                      </w:p>
                    </w:tc>
                  </w:tr>
                  <w:tr>
                    <w:trPr>
                      <w:trHeight w:val="402"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公司债券上市或转让的交易场所</w:t>
                        </w:r>
                      </w:p>
                    </w:tc>
                    <w:tc>
                      <w:tcPr>
                        <w:tcW w:w="68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深圳证券交易所综合协议交易平台</w:t>
                        </w:r>
                      </w:p>
                    </w:tc>
                  </w:tr>
                  <w:tr>
                    <w:trPr>
                      <w:trHeight w:val="402"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投资者适当性安排</w:t>
                        </w:r>
                      </w:p>
                    </w:tc>
                    <w:tc>
                      <w:tcPr>
                        <w:tcW w:w="68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z w:val="21"/>
                            <w:szCs w:val="21"/>
                          </w:rPr>
                          <w:t>5 </w:t>
                        </w:r>
                        <w:r>
                          <w:rPr>
                            <w:rFonts w:ascii="宋体" w:hAnsi="宋体" w:cs="宋体" w:eastAsia="宋体" w:hint="default"/>
                            <w:sz w:val="21"/>
                            <w:szCs w:val="21"/>
                          </w:rPr>
                          <w:t>辉煌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附第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年末投资者回售选择权</w:t>
                        </w:r>
                      </w:p>
                    </w:tc>
                  </w:tr>
                  <w:tr>
                    <w:trPr>
                      <w:trHeight w:val="402"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报告期内公司债券的付息兑付情况</w:t>
                        </w:r>
                      </w:p>
                    </w:tc>
                    <w:tc>
                      <w:tcPr>
                        <w:tcW w:w="68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报告期内公司债券无付息兑付情况。</w:t>
                        </w:r>
                      </w:p>
                    </w:tc>
                  </w:tr>
                  <w:tr>
                    <w:trPr>
                      <w:trHeight w:val="1026"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z w:val="21"/>
                            <w:szCs w:val="21"/>
                          </w:rPr>
                          <w:t>公司债券附发行人或投资者选择权条 </w:t>
                        </w:r>
                        <w:r>
                          <w:rPr>
                            <w:rFonts w:ascii="宋体" w:hAnsi="宋体" w:cs="宋体" w:eastAsia="宋体" w:hint="default"/>
                            <w:spacing w:val="-5"/>
                            <w:sz w:val="21"/>
                            <w:szCs w:val="21"/>
                          </w:rPr>
                          <w:t>款、可交换条款等特殊条款的，报告期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内相关条款的执行情况（如适用）。</w:t>
                        </w:r>
                      </w:p>
                    </w:tc>
                    <w:tc>
                      <w:tcPr>
                        <w:tcW w:w="68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56" w:lineRule="auto"/>
                          <w:ind w:left="22"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“15 </w:t>
                        </w:r>
                        <w:r>
                          <w:rPr>
                            <w:rFonts w:ascii="宋体" w:hAnsi="宋体" w:cs="宋体" w:eastAsia="宋体" w:hint="default"/>
                            <w:sz w:val="21"/>
                            <w:szCs w:val="21"/>
                          </w:rPr>
                          <w:t>辉煌 </w:t>
                        </w:r>
                        <w:r>
                          <w:rPr>
                            <w:rFonts w:ascii="Times New Roman" w:hAnsi="Times New Roman" w:cs="Times New Roman" w:eastAsia="Times New Roman" w:hint="default"/>
                            <w:sz w:val="21"/>
                            <w:szCs w:val="21"/>
                          </w:rPr>
                          <w:t>01”</w:t>
                        </w:r>
                        <w:r>
                          <w:rPr>
                            <w:rFonts w:ascii="宋体" w:hAnsi="宋体" w:cs="宋体" w:eastAsia="宋体" w:hint="default"/>
                            <w:sz w:val="21"/>
                            <w:szCs w:val="21"/>
                          </w:rPr>
                          <w:t>为 </w:t>
                        </w:r>
                        <w:r>
                          <w:rPr>
                            <w:rFonts w:ascii="Times New Roman" w:hAnsi="Times New Roman" w:cs="Times New Roman" w:eastAsia="Times New Roman" w:hint="default"/>
                            <w:sz w:val="21"/>
                            <w:szCs w:val="21"/>
                          </w:rPr>
                          <w:t>3 </w:t>
                        </w:r>
                        <w:r>
                          <w:rPr>
                            <w:rFonts w:ascii="宋体" w:hAnsi="宋体" w:cs="宋体" w:eastAsia="宋体" w:hint="default"/>
                            <w:sz w:val="21"/>
                            <w:szCs w:val="21"/>
                          </w:rPr>
                          <w:t>年期债券，附第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年末发行人上调票面利率选择权和投</w:t>
                        </w:r>
                        <w:r>
                          <w:rPr>
                            <w:rFonts w:ascii="宋体" w:hAnsi="宋体" w:cs="宋体" w:eastAsia="宋体" w:hint="default"/>
                            <w:w w:val="100"/>
                            <w:sz w:val="21"/>
                            <w:szCs w:val="21"/>
                          </w:rPr>
                          <w:t> </w:t>
                        </w:r>
                        <w:r>
                          <w:rPr>
                            <w:rFonts w:ascii="宋体" w:hAnsi="宋体" w:cs="宋体" w:eastAsia="宋体" w:hint="default"/>
                            <w:sz w:val="21"/>
                            <w:szCs w:val="21"/>
                          </w:rPr>
                          <w:t>资者回售选择权，现尚未到执行期。</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240" w:lineRule="auto"/>
        <w:ind w:left="956" w:right="0"/>
        <w:jc w:val="left"/>
        <w:rPr>
          <w:b w:val="0"/>
          <w:bCs w:val="0"/>
        </w:rPr>
      </w:pPr>
      <w:r>
        <w:rPr>
          <w:rFonts w:ascii="Times New Roman" w:hAnsi="Times New Roman" w:cs="Times New Roman" w:eastAsia="Times New Roman" w:hint="default"/>
        </w:rPr>
        <w:t>2</w:t>
      </w:r>
      <w:r>
        <w:rPr/>
        <w:t>、债券受托管理人和资信评级机构信息</w:t>
      </w:r>
      <w:r>
        <w:rPr>
          <w:b w:val="0"/>
          <w:bCs w:val="0"/>
        </w:rPr>
      </w:r>
    </w:p>
    <w:p>
      <w:pPr>
        <w:spacing w:line="240" w:lineRule="auto" w:before="1"/>
        <w:rPr>
          <w:rFonts w:ascii="宋体" w:hAnsi="宋体" w:cs="宋体" w:eastAsia="宋体" w:hint="default"/>
          <w:b/>
          <w:bCs/>
          <w:sz w:val="3"/>
          <w:szCs w:val="3"/>
        </w:rPr>
      </w:pPr>
    </w:p>
    <w:tbl>
      <w:tblPr>
        <w:tblW w:w="0" w:type="auto"/>
        <w:jc w:val="left"/>
        <w:tblInd w:w="480" w:type="dxa"/>
        <w:tblLayout w:type="fixed"/>
        <w:tblCellMar>
          <w:top w:w="0" w:type="dxa"/>
          <w:left w:w="0" w:type="dxa"/>
          <w:bottom w:w="0" w:type="dxa"/>
          <w:right w:w="0" w:type="dxa"/>
        </w:tblCellMar>
        <w:tblLook w:val="01E0"/>
      </w:tblPr>
      <w:tblGrid>
        <w:gridCol w:w="1185"/>
        <w:gridCol w:w="1201"/>
        <w:gridCol w:w="993"/>
        <w:gridCol w:w="709"/>
        <w:gridCol w:w="992"/>
        <w:gridCol w:w="295"/>
        <w:gridCol w:w="851"/>
        <w:gridCol w:w="944"/>
        <w:gridCol w:w="1196"/>
        <w:gridCol w:w="1404"/>
      </w:tblGrid>
      <w:tr>
        <w:trPr>
          <w:trHeight w:val="397" w:hRule="exact"/>
        </w:trPr>
        <w:tc>
          <w:tcPr>
            <w:tcW w:w="97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r>
      <w:tr>
        <w:trPr>
          <w:trHeight w:val="323" w:hRule="exact"/>
        </w:trPr>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10" w:space="0" w:color="D2D2D2"/>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73" w:lineRule="auto"/>
              <w:ind w:left="65" w:right="59"/>
              <w:jc w:val="left"/>
              <w:rPr>
                <w:rFonts w:ascii="宋体" w:hAnsi="宋体" w:cs="宋体" w:eastAsia="宋体" w:hint="default"/>
                <w:sz w:val="21"/>
                <w:szCs w:val="21"/>
              </w:rPr>
            </w:pPr>
            <w:r>
              <w:rPr>
                <w:rFonts w:ascii="宋体" w:hAnsi="宋体" w:cs="宋体" w:eastAsia="宋体" w:hint="default"/>
                <w:sz w:val="21"/>
                <w:szCs w:val="21"/>
              </w:rPr>
              <w:t>中原证券股 份有限公司</w:t>
            </w: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9" w:space="0" w:color="D2D2D2"/>
              <w:right w:val="single" w:sz="9" w:space="0" w:color="D2D2D2"/>
            </w:tcBorders>
          </w:tcPr>
          <w:p>
            <w:pPr>
              <w:pStyle w:val="TableParagraph"/>
              <w:spacing w:line="264" w:lineRule="auto" w:before="32"/>
              <w:ind w:left="99" w:right="36" w:hanging="53"/>
              <w:jc w:val="both"/>
              <w:rPr>
                <w:rFonts w:ascii="宋体" w:hAnsi="宋体" w:cs="宋体" w:eastAsia="宋体" w:hint="default"/>
                <w:sz w:val="21"/>
                <w:szCs w:val="21"/>
              </w:rPr>
            </w:pPr>
            <w:r>
              <w:rPr>
                <w:rFonts w:ascii="宋体" w:hAnsi="宋体" w:cs="宋体" w:eastAsia="宋体" w:hint="default"/>
                <w:sz w:val="21"/>
                <w:szCs w:val="21"/>
              </w:rPr>
              <w:t>河南省郑州市郑东新 区商务外环路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 中原广发金融大厦</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944" w:type="dxa"/>
            <w:vMerge w:val="restart"/>
            <w:tcBorders>
              <w:top w:val="single" w:sz="4" w:space="0" w:color="000000"/>
              <w:left w:val="single" w:sz="9" w:space="0" w:color="D2D2D2"/>
              <w:right w:val="single" w:sz="9" w:space="0" w:color="D2D2D2"/>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73" w:lineRule="auto"/>
              <w:ind w:left="250" w:right="38" w:hanging="210"/>
              <w:jc w:val="left"/>
              <w:rPr>
                <w:rFonts w:ascii="宋体" w:hAnsi="宋体" w:cs="宋体" w:eastAsia="宋体" w:hint="default"/>
                <w:sz w:val="21"/>
                <w:szCs w:val="21"/>
              </w:rPr>
            </w:pPr>
            <w:r>
              <w:rPr>
                <w:rFonts w:ascii="宋体" w:hAnsi="宋体" w:cs="宋体" w:eastAsia="宋体" w:hint="default"/>
                <w:sz w:val="21"/>
                <w:szCs w:val="21"/>
              </w:rPr>
              <w:t>王风雷、 朱元</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left="23" w:right="0"/>
              <w:jc w:val="left"/>
              <w:rPr>
                <w:rFonts w:ascii="Times New Roman" w:hAnsi="Times New Roman" w:cs="Times New Roman" w:eastAsia="Times New Roman" w:hint="default"/>
                <w:sz w:val="21"/>
                <w:szCs w:val="21"/>
              </w:rPr>
            </w:pPr>
            <w:r>
              <w:rPr>
                <w:rFonts w:ascii="Times New Roman"/>
                <w:sz w:val="21"/>
              </w:rPr>
              <w:t>0371-65585033</w:t>
            </w:r>
          </w:p>
        </w:tc>
      </w:tr>
      <w:tr>
        <w:trPr>
          <w:trHeight w:val="391" w:hRule="exact"/>
        </w:trPr>
        <w:tc>
          <w:tcPr>
            <w:tcW w:w="1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名称</w:t>
            </w:r>
          </w:p>
        </w:tc>
        <w:tc>
          <w:tcPr>
            <w:tcW w:w="1201" w:type="dxa"/>
            <w:vMerge/>
            <w:tcBorders>
              <w:left w:val="single" w:sz="10" w:space="0" w:color="D2D2D2"/>
              <w:right w:val="single" w:sz="10" w:space="0" w:color="D2D2D2"/>
            </w:tcBorders>
          </w:tcPr>
          <w:p>
            <w:pPr/>
          </w:p>
        </w:tc>
        <w:tc>
          <w:tcPr>
            <w:tcW w:w="993" w:type="dxa"/>
            <w:tcBorders>
              <w:top w:val="nil" w:sz="6" w:space="0" w:color="auto"/>
              <w:left w:val="single" w:sz="10" w:space="0" w:color="D2D2D2"/>
              <w:bottom w:val="nil" w:sz="6" w:space="0" w:color="auto"/>
              <w:right w:val="single" w:sz="13" w:space="0" w:color="D2D2D2"/>
            </w:tcBorders>
          </w:tcPr>
          <w:p>
            <w:pPr>
              <w:pStyle w:val="TableParagraph"/>
              <w:spacing w:line="240" w:lineRule="auto" w:before="26"/>
              <w:ind w:left="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1"/>
                <w:sz w:val="21"/>
                <w:szCs w:val="21"/>
                <w:shd w:fill="D2D2D2" w:color="auto" w:val="clear"/>
              </w:rPr>
              <w:t> </w:t>
            </w:r>
            <w:r>
              <w:rPr>
                <w:rFonts w:ascii="宋体" w:hAnsi="宋体" w:cs="宋体" w:eastAsia="宋体" w:hint="default"/>
                <w:sz w:val="21"/>
                <w:szCs w:val="21"/>
                <w:shd w:fill="D2D2D2" w:color="auto" w:val="clear"/>
              </w:rPr>
              <w:t>办公地址</w:t>
            </w:r>
            <w:r>
              <w:rPr>
                <w:rFonts w:ascii="宋体" w:hAnsi="宋体" w:cs="宋体" w:eastAsia="宋体" w:hint="default"/>
                <w:sz w:val="21"/>
                <w:szCs w:val="21"/>
              </w:rPr>
            </w:r>
          </w:p>
        </w:tc>
        <w:tc>
          <w:tcPr>
            <w:tcW w:w="1997" w:type="dxa"/>
            <w:gridSpan w:val="3"/>
            <w:vMerge/>
            <w:tcBorders>
              <w:left w:val="single" w:sz="9" w:space="0" w:color="D2D2D2"/>
              <w:right w:val="single" w:sz="9" w:space="0" w:color="D2D2D2"/>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04"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944" w:type="dxa"/>
            <w:vMerge/>
            <w:tcBorders>
              <w:left w:val="single" w:sz="9" w:space="0" w:color="D2D2D2"/>
              <w:right w:val="single" w:sz="9" w:space="0" w:color="D2D2D2"/>
            </w:tcBorders>
          </w:tcPr>
          <w:p>
            <w:pPr/>
          </w:p>
        </w:tc>
        <w:tc>
          <w:tcPr>
            <w:tcW w:w="1196" w:type="dxa"/>
            <w:tcBorders>
              <w:top w:val="nil" w:sz="6" w:space="0" w:color="auto"/>
              <w:left w:val="single" w:sz="13" w:space="0" w:color="D2D2D2"/>
              <w:bottom w:val="nil" w:sz="6" w:space="0" w:color="auto"/>
              <w:right w:val="single" w:sz="13" w:space="0" w:color="D2D2D2"/>
            </w:tcBorders>
          </w:tcPr>
          <w:p>
            <w:pPr>
              <w:pStyle w:val="TableParagraph"/>
              <w:spacing w:line="240" w:lineRule="auto" w:before="26"/>
              <w:ind w:left="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联系人电话</w:t>
            </w:r>
            <w:r>
              <w:rPr>
                <w:rFonts w:ascii="宋体" w:hAnsi="宋体" w:cs="宋体" w:eastAsia="宋体" w:hint="default"/>
                <w:sz w:val="21"/>
                <w:szCs w:val="21"/>
              </w:rPr>
            </w:r>
          </w:p>
        </w:tc>
        <w:tc>
          <w:tcPr>
            <w:tcW w:w="1404" w:type="dxa"/>
            <w:vMerge/>
            <w:tcBorders>
              <w:left w:val="single" w:sz="10" w:space="0" w:color="D2D2D2"/>
              <w:right w:val="single" w:sz="4" w:space="0" w:color="000000"/>
            </w:tcBorders>
          </w:tcPr>
          <w:p>
            <w:pPr/>
          </w:p>
        </w:tc>
      </w:tr>
      <w:tr>
        <w:trPr>
          <w:trHeight w:val="323" w:hRule="exact"/>
        </w:trPr>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10" w:space="0" w:color="D2D2D2"/>
            </w:tcBorders>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7" w:type="dxa"/>
            <w:gridSpan w:val="3"/>
            <w:vMerge/>
            <w:tcBorders>
              <w:left w:val="single" w:sz="9" w:space="0" w:color="D2D2D2"/>
              <w:bottom w:val="single" w:sz="4" w:space="0" w:color="000000"/>
              <w:right w:val="single" w:sz="9" w:space="0" w:color="D2D2D2"/>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944"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4" w:type="dxa"/>
            <w:vMerge/>
            <w:tcBorders>
              <w:left w:val="single" w:sz="10" w:space="0" w:color="D2D2D2"/>
              <w:bottom w:val="single" w:sz="4" w:space="0" w:color="000000"/>
              <w:right w:val="single" w:sz="4" w:space="0" w:color="000000"/>
            </w:tcBorders>
          </w:tcPr>
          <w:p>
            <w:pPr/>
          </w:p>
        </w:tc>
      </w:tr>
      <w:tr>
        <w:trPr>
          <w:trHeight w:val="396" w:hRule="exact"/>
        </w:trPr>
        <w:tc>
          <w:tcPr>
            <w:tcW w:w="97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报告期内对公司债券进行跟踪评级的资信评级机构：</w:t>
            </w:r>
          </w:p>
        </w:tc>
      </w:tr>
      <w:tr>
        <w:trPr>
          <w:trHeight w:val="402" w:hRule="exact"/>
        </w:trPr>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名称</w:t>
            </w:r>
          </w:p>
        </w:tc>
        <w:tc>
          <w:tcPr>
            <w:tcW w:w="2903" w:type="dxa"/>
            <w:gridSpan w:val="3"/>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7"/>
              <w:ind w:left="392" w:right="0"/>
              <w:jc w:val="left"/>
              <w:rPr>
                <w:rFonts w:ascii="宋体" w:hAnsi="宋体" w:cs="宋体" w:eastAsia="宋体" w:hint="default"/>
                <w:sz w:val="21"/>
                <w:szCs w:val="21"/>
              </w:rPr>
            </w:pPr>
            <w:r>
              <w:rPr>
                <w:rFonts w:ascii="宋体" w:hAnsi="宋体" w:cs="宋体" w:eastAsia="宋体" w:hint="default"/>
                <w:sz w:val="21"/>
                <w:szCs w:val="21"/>
              </w:rPr>
              <w:t>联合信用评级有限公司</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9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105"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PICC</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1027" w:hRule="exact"/>
        </w:trPr>
        <w:tc>
          <w:tcPr>
            <w:tcW w:w="40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43" w:right="43"/>
              <w:jc w:val="both"/>
              <w:rPr>
                <w:rFonts w:ascii="宋体" w:hAnsi="宋体" w:cs="宋体" w:eastAsia="宋体" w:hint="default"/>
                <w:sz w:val="21"/>
                <w:szCs w:val="21"/>
              </w:rPr>
            </w:pPr>
            <w:r>
              <w:rPr>
                <w:rFonts w:ascii="宋体" w:hAnsi="宋体" w:cs="宋体" w:eastAsia="宋体" w:hint="default"/>
                <w:sz w:val="21"/>
                <w:szCs w:val="21"/>
              </w:rPr>
              <w:t>报告期内公司聘请的债券受托管理人、资信 评级机构发生变更的，变更的原因、履行的 程序、对投资者利益的影响等（如适用）</w:t>
            </w:r>
          </w:p>
        </w:tc>
        <w:tc>
          <w:tcPr>
            <w:tcW w:w="5682"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0"/>
        <w:rPr>
          <w:rFonts w:ascii="宋体" w:hAnsi="宋体" w:cs="宋体" w:eastAsia="宋体" w:hint="default"/>
          <w:b/>
          <w:bCs/>
          <w:sz w:val="4"/>
          <w:szCs w:val="4"/>
        </w:rPr>
      </w:pPr>
    </w:p>
    <w:p>
      <w:pPr>
        <w:pStyle w:val="Heading2"/>
        <w:spacing w:line="240" w:lineRule="auto"/>
        <w:ind w:left="956" w:right="0"/>
        <w:jc w:val="left"/>
        <w:rPr>
          <w:b w:val="0"/>
          <w:bCs w:val="0"/>
        </w:rPr>
      </w:pPr>
      <w:r>
        <w:rPr>
          <w:rFonts w:ascii="Times New Roman" w:hAnsi="Times New Roman" w:cs="Times New Roman" w:eastAsia="Times New Roman" w:hint="default"/>
        </w:rPr>
        <w:t>3</w:t>
      </w:r>
      <w:r>
        <w:rPr/>
        <w:t>、公司债券募集资金使用情况</w:t>
      </w:r>
      <w:r>
        <w:rPr>
          <w:b w:val="0"/>
          <w:bCs w:val="0"/>
        </w:rPr>
      </w:r>
    </w:p>
    <w:p>
      <w:pPr>
        <w:spacing w:line="240" w:lineRule="auto" w:before="0"/>
        <w:rPr>
          <w:rFonts w:ascii="宋体" w:hAnsi="宋体" w:cs="宋体" w:eastAsia="宋体" w:hint="default"/>
          <w:b/>
          <w:bCs/>
          <w:sz w:val="3"/>
          <w:szCs w:val="3"/>
        </w:rPr>
      </w:pPr>
    </w:p>
    <w:tbl>
      <w:tblPr>
        <w:tblW w:w="0" w:type="auto"/>
        <w:jc w:val="left"/>
        <w:tblInd w:w="112" w:type="dxa"/>
        <w:tblLayout w:type="fixed"/>
        <w:tblCellMar>
          <w:top w:w="0" w:type="dxa"/>
          <w:left w:w="0" w:type="dxa"/>
          <w:bottom w:w="0" w:type="dxa"/>
          <w:right w:w="0" w:type="dxa"/>
        </w:tblCellMar>
        <w:tblLook w:val="01E0"/>
      </w:tblPr>
      <w:tblGrid>
        <w:gridCol w:w="2694"/>
        <w:gridCol w:w="7657"/>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12" w:right="81" w:hanging="630"/>
              <w:jc w:val="left"/>
              <w:rPr>
                <w:rFonts w:ascii="宋体" w:hAnsi="宋体" w:cs="宋体" w:eastAsia="宋体" w:hint="default"/>
                <w:sz w:val="21"/>
                <w:szCs w:val="21"/>
              </w:rPr>
            </w:pPr>
            <w:r>
              <w:rPr>
                <w:rFonts w:ascii="宋体" w:hAnsi="宋体" w:cs="宋体" w:eastAsia="宋体" w:hint="default"/>
                <w:sz w:val="21"/>
                <w:szCs w:val="21"/>
              </w:rPr>
              <w:t>公司债券募集资金使用情况 及履行的程序</w:t>
            </w:r>
          </w:p>
        </w:tc>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61"/>
              <w:jc w:val="left"/>
              <w:rPr>
                <w:rFonts w:ascii="宋体" w:hAnsi="宋体" w:cs="宋体" w:eastAsia="宋体" w:hint="default"/>
                <w:sz w:val="21"/>
                <w:szCs w:val="21"/>
              </w:rPr>
            </w:pPr>
            <w:r>
              <w:rPr>
                <w:rFonts w:ascii="宋体" w:hAnsi="宋体" w:cs="宋体" w:eastAsia="宋体" w:hint="default"/>
                <w:sz w:val="21"/>
                <w:szCs w:val="21"/>
              </w:rPr>
              <w:t>根据《募集说明书》约定，本期公司债券募集资金用于补充流动资金。本期募集资 金的使用严格按照《募集说明书》约定的用途使用资金，并履行相应的审批程序。</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年末余额（万元）</w:t>
            </w:r>
          </w:p>
        </w:tc>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6.88</w:t>
            </w:r>
          </w:p>
        </w:tc>
      </w:tr>
      <w:tr>
        <w:trPr>
          <w:trHeight w:val="165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募集资金专项账户运作情况</w:t>
            </w:r>
          </w:p>
        </w:tc>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6"/>
              <w:ind w:left="23" w:right="20"/>
              <w:jc w:val="both"/>
              <w:rPr>
                <w:rFonts w:ascii="宋体" w:hAnsi="宋体" w:cs="宋体" w:eastAsia="宋体" w:hint="default"/>
                <w:sz w:val="21"/>
                <w:szCs w:val="21"/>
              </w:rPr>
            </w:pPr>
            <w:r>
              <w:rPr>
                <w:rFonts w:ascii="宋体" w:hAnsi="宋体" w:cs="宋体" w:eastAsia="宋体" w:hint="default"/>
                <w:spacing w:val="5"/>
                <w:sz w:val="21"/>
                <w:szCs w:val="21"/>
              </w:rPr>
              <w:t>公司于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0"/>
                <w:sz w:val="21"/>
                <w:szCs w:val="21"/>
              </w:rPr>
              <w:t> </w:t>
            </w:r>
            <w:r>
              <w:rPr>
                <w:rFonts w:ascii="宋体" w:hAnsi="宋体" w:cs="宋体" w:eastAsia="宋体" w:hint="default"/>
                <w:spacing w:val="7"/>
                <w:sz w:val="21"/>
                <w:szCs w:val="21"/>
              </w:rPr>
              <w:t>日开立公司债募集资金专户（平安银行郑州分行，账户</w:t>
            </w:r>
            <w:r>
              <w:rPr>
                <w:rFonts w:ascii="宋体" w:hAnsi="宋体" w:cs="宋体" w:eastAsia="宋体" w:hint="default"/>
                <w:sz w:val="21"/>
                <w:szCs w:val="21"/>
              </w:rPr>
              <w:t> </w:t>
            </w:r>
            <w:r>
              <w:rPr>
                <w:rFonts w:ascii="Times New Roman" w:hAnsi="Times New Roman" w:cs="Times New Roman" w:eastAsia="Times New Roman" w:hint="default"/>
                <w:sz w:val="21"/>
                <w:szCs w:val="21"/>
              </w:rPr>
              <w:t>11014740715777</w:t>
            </w:r>
            <w:r>
              <w:rPr>
                <w:rFonts w:ascii="宋体" w:hAnsi="宋体" w:cs="宋体" w:eastAsia="宋体" w:hint="default"/>
                <w:sz w:val="21"/>
                <w:szCs w:val="21"/>
              </w:rPr>
              <w:t>）。根据相关规定，公司连同保荐机构中原证券股份有限公司与平</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安银行股份有限公司郑州分行，于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日签订了《募集资金三方监管协 议》，明确了各方的权利和义务。募集资金三方监管协议与深圳证券交易所三方监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管协议范本不存在重大差异，各方均严格履行三方监管协议。</w:t>
            </w: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4" w:right="21"/>
              <w:jc w:val="center"/>
              <w:rPr>
                <w:rFonts w:ascii="宋体" w:hAnsi="宋体" w:cs="宋体" w:eastAsia="宋体" w:hint="default"/>
                <w:sz w:val="21"/>
                <w:szCs w:val="21"/>
              </w:rPr>
            </w:pPr>
            <w:r>
              <w:rPr>
                <w:rFonts w:ascii="宋体" w:hAnsi="宋体" w:cs="宋体" w:eastAsia="宋体" w:hint="default"/>
                <w:sz w:val="21"/>
                <w:szCs w:val="21"/>
              </w:rPr>
              <w:t>募集资金使用是否与募集说 </w:t>
            </w:r>
            <w:r>
              <w:rPr>
                <w:rFonts w:ascii="宋体" w:hAnsi="宋体" w:cs="宋体" w:eastAsia="宋体" w:hint="default"/>
                <w:spacing w:val="-8"/>
                <w:sz w:val="21"/>
                <w:szCs w:val="21"/>
              </w:rPr>
              <w:t>明书承诺的用途、使用计划及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其他约定一致</w:t>
            </w:r>
          </w:p>
        </w:tc>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center"/>
        <w:rPr>
          <w:rFonts w:ascii="宋体" w:hAnsi="宋体" w:cs="宋体" w:eastAsia="宋体" w:hint="default"/>
          <w:sz w:val="21"/>
          <w:szCs w:val="21"/>
        </w:rPr>
        <w:sectPr>
          <w:pgSz w:w="11910" w:h="16840"/>
          <w:pgMar w:header="747" w:footer="979" w:top="1060" w:bottom="1160" w:left="660" w:right="0"/>
        </w:sectPr>
      </w:pPr>
    </w:p>
    <w:p>
      <w:pPr>
        <w:spacing w:line="240" w:lineRule="auto" w:before="0"/>
        <w:rPr>
          <w:rFonts w:ascii="宋体" w:hAnsi="宋体" w:cs="宋体" w:eastAsia="宋体" w:hint="default"/>
          <w:b/>
          <w:bCs/>
          <w:sz w:val="20"/>
          <w:szCs w:val="20"/>
        </w:rPr>
      </w:pPr>
    </w:p>
    <w:p>
      <w:pPr>
        <w:pStyle w:val="Heading2"/>
        <w:spacing w:line="240" w:lineRule="auto" w:before="199"/>
        <w:ind w:right="1153"/>
        <w:jc w:val="left"/>
        <w:rPr>
          <w:b w:val="0"/>
          <w:bCs w:val="0"/>
        </w:rPr>
      </w:pPr>
      <w:r>
        <w:rPr>
          <w:rFonts w:ascii="Times New Roman" w:hAnsi="Times New Roman" w:cs="Times New Roman" w:eastAsia="Times New Roman" w:hint="default"/>
        </w:rPr>
        <w:t>4</w:t>
      </w:r>
      <w:r>
        <w:rPr/>
        <w:t>、公司债券信息评级情况</w:t>
      </w:r>
      <w:r>
        <w:rPr>
          <w:b w:val="0"/>
          <w:bCs w:val="0"/>
        </w:rPr>
      </w:r>
    </w:p>
    <w:p>
      <w:pPr>
        <w:pStyle w:val="BodyText"/>
        <w:spacing w:line="352" w:lineRule="auto" w:before="127"/>
        <w:ind w:right="1121" w:firstLine="480"/>
        <w:jc w:val="left"/>
      </w:pPr>
      <w:r>
        <w:rPr>
          <w:rFonts w:ascii="宋体" w:hAnsi="宋体" w:cs="宋体" w:eastAsia="宋体" w:hint="default"/>
        </w:rPr>
        <w:t>2015</w:t>
      </w:r>
      <w:r>
        <w:rPr>
          <w:rFonts w:ascii="宋体" w:hAnsi="宋体" w:cs="宋体" w:eastAsia="宋体" w:hint="default"/>
          <w:spacing w:val="-64"/>
        </w:rPr>
        <w:t> </w:t>
      </w:r>
      <w:r>
        <w:rPr/>
        <w:t>年</w:t>
      </w:r>
      <w:r>
        <w:rPr>
          <w:spacing w:val="-64"/>
        </w:rPr>
        <w:t> </w:t>
      </w:r>
      <w:r>
        <w:rPr>
          <w:rFonts w:ascii="宋体" w:hAnsi="宋体" w:cs="宋体" w:eastAsia="宋体" w:hint="default"/>
        </w:rPr>
        <w:t>6</w:t>
      </w:r>
      <w:r>
        <w:rPr>
          <w:rFonts w:ascii="宋体" w:hAnsi="宋体" w:cs="宋体" w:eastAsia="宋体" w:hint="default"/>
          <w:spacing w:val="-64"/>
        </w:rPr>
        <w:t> </w:t>
      </w:r>
      <w:r>
        <w:rPr/>
        <w:t>月</w:t>
      </w:r>
      <w:r>
        <w:rPr>
          <w:spacing w:val="-64"/>
        </w:rPr>
        <w:t> </w:t>
      </w:r>
      <w:r>
        <w:rPr>
          <w:rFonts w:ascii="宋体" w:hAnsi="宋体" w:cs="宋体" w:eastAsia="宋体" w:hint="default"/>
        </w:rPr>
        <w:t>12</w:t>
      </w:r>
      <w:r>
        <w:rPr>
          <w:rFonts w:ascii="宋体" w:hAnsi="宋体" w:cs="宋体" w:eastAsia="宋体" w:hint="default"/>
          <w:spacing w:val="-64"/>
        </w:rPr>
        <w:t> </w:t>
      </w:r>
      <w:r>
        <w:rPr/>
        <w:t>日联合信用评级有限公司根据公司</w:t>
      </w:r>
      <w:r>
        <w:rPr>
          <w:spacing w:val="-64"/>
        </w:rPr>
        <w:t> </w:t>
      </w:r>
      <w:r>
        <w:rPr>
          <w:rFonts w:ascii="宋体" w:hAnsi="宋体" w:cs="宋体" w:eastAsia="宋体" w:hint="default"/>
        </w:rPr>
        <w:t>2014</w:t>
      </w:r>
      <w:r>
        <w:rPr>
          <w:rFonts w:ascii="宋体" w:hAnsi="宋体" w:cs="宋体" w:eastAsia="宋体" w:hint="default"/>
          <w:spacing w:val="-64"/>
        </w:rPr>
        <w:t> </w:t>
      </w:r>
      <w:r>
        <w:rPr/>
        <w:t>年年报出具跟踪评级报告，公司 的主体信用等级为</w:t>
      </w:r>
      <w:r>
        <w:rPr>
          <w:spacing w:val="-60"/>
        </w:rPr>
        <w:t> </w:t>
      </w:r>
      <w:r>
        <w:rPr>
          <w:rFonts w:ascii="宋体" w:hAnsi="宋体" w:cs="宋体" w:eastAsia="宋体" w:hint="default"/>
        </w:rPr>
        <w:t>AA-</w:t>
      </w:r>
      <w:r>
        <w:rPr/>
        <w:t>，本期债券信用等级为</w:t>
      </w:r>
      <w:r>
        <w:rPr>
          <w:spacing w:val="-60"/>
        </w:rPr>
        <w:t> </w:t>
      </w:r>
      <w:r>
        <w:rPr>
          <w:rFonts w:ascii="宋体" w:hAnsi="宋体" w:cs="宋体" w:eastAsia="宋体" w:hint="default"/>
        </w:rPr>
        <w:t>AA-</w:t>
      </w:r>
      <w:r>
        <w:rPr/>
        <w:t>，此次评级结果较上次并未发生变化。</w:t>
      </w:r>
    </w:p>
    <w:p>
      <w:pPr>
        <w:pStyle w:val="BodyText"/>
        <w:spacing w:line="352" w:lineRule="auto" w:before="33"/>
        <w:ind w:right="1170" w:firstLine="480"/>
        <w:jc w:val="both"/>
      </w:pPr>
      <w:r>
        <w:rPr/>
        <w:t>根据联合信用评级有限公司对跟踪评级的有关要求，在本期债券的存续期内，资信评级 机构将在每年公司年报公告后的两个月内进行一次定期跟踪评级；并在本期债券存续期内根 据有关情况进行不定期跟踪评级。</w:t>
      </w:r>
    </w:p>
    <w:p>
      <w:pPr>
        <w:pStyle w:val="Heading2"/>
        <w:spacing w:line="240" w:lineRule="auto" w:before="32"/>
        <w:ind w:right="1153"/>
        <w:jc w:val="left"/>
        <w:rPr>
          <w:b w:val="0"/>
          <w:bCs w:val="0"/>
        </w:rPr>
      </w:pPr>
      <w:r>
        <w:rPr>
          <w:rFonts w:ascii="Times New Roman" w:hAnsi="Times New Roman" w:cs="Times New Roman" w:eastAsia="Times New Roman" w:hint="default"/>
        </w:rPr>
        <w:t>5</w:t>
      </w:r>
      <w:r>
        <w:rPr/>
        <w:t>、公司债券增信机制、偿债计划及其他偿债保障措施</w:t>
      </w:r>
      <w:r>
        <w:rPr>
          <w:b w:val="0"/>
          <w:bCs w:val="0"/>
        </w:rPr>
      </w:r>
    </w:p>
    <w:p>
      <w:pPr>
        <w:pStyle w:val="BodyText"/>
        <w:spacing w:line="350" w:lineRule="auto" w:before="127"/>
        <w:ind w:right="1131" w:firstLine="480"/>
        <w:jc w:val="both"/>
      </w:pPr>
      <w:r>
        <w:rPr>
          <w:spacing w:val="-3"/>
        </w:rPr>
        <w:t>（</w:t>
      </w:r>
      <w:r>
        <w:rPr>
          <w:rFonts w:ascii="宋体" w:hAnsi="宋体" w:cs="宋体" w:eastAsia="宋体" w:hint="default"/>
          <w:spacing w:val="-3"/>
        </w:rPr>
        <w:t>1</w:t>
      </w:r>
      <w:r>
        <w:rPr>
          <w:spacing w:val="-3"/>
        </w:rPr>
        <w:t>）公司本期债券不存在增信机制，本期债券偿债计划及其他偿债保障措施在报告期内</w:t>
      </w:r>
      <w:r>
        <w:rPr/>
        <w:t> 未发生变更。未来，本公司将根据债务结构和资产负债结构进一步加强资产负债管理、流动 性管理和募集资金运用管理，保证资金按计划使用，并及时、足额准备资金用于每年的利息 支付和到期的本金兑付，以充分保障投资者的利益。</w:t>
      </w:r>
    </w:p>
    <w:p>
      <w:pPr>
        <w:pStyle w:val="BodyText"/>
        <w:spacing w:line="240" w:lineRule="auto"/>
        <w:ind w:left="634" w:right="1153"/>
        <w:jc w:val="left"/>
      </w:pPr>
      <w:r>
        <w:rPr/>
        <w:t>（</w:t>
      </w:r>
      <w:r>
        <w:rPr>
          <w:rFonts w:ascii="宋体" w:hAnsi="宋体" w:cs="宋体" w:eastAsia="宋体" w:hint="default"/>
        </w:rPr>
        <w:t>2</w:t>
      </w:r>
      <w:r>
        <w:rPr/>
        <w:t>）偿债计划</w:t>
      </w:r>
    </w:p>
    <w:p>
      <w:pPr>
        <w:pStyle w:val="BodyText"/>
        <w:spacing w:line="240" w:lineRule="auto" w:before="145"/>
        <w:ind w:left="634" w:right="1153"/>
        <w:jc w:val="left"/>
      </w:pPr>
      <w:r>
        <w:rPr/>
        <w:t>① 利息的支付</w:t>
      </w:r>
    </w:p>
    <w:p>
      <w:pPr>
        <w:pStyle w:val="BodyText"/>
        <w:spacing w:line="240" w:lineRule="auto" w:before="145"/>
        <w:ind w:left="634" w:right="0"/>
        <w:jc w:val="left"/>
      </w:pPr>
      <w:r>
        <w:rPr>
          <w:rFonts w:ascii="宋体" w:hAnsi="宋体" w:cs="宋体" w:eastAsia="宋体" w:hint="default"/>
          <w:spacing w:val="-3"/>
        </w:rPr>
        <w:t>a</w:t>
      </w:r>
      <w:r>
        <w:rPr>
          <w:spacing w:val="-3"/>
        </w:rPr>
        <w:t>、本次债券在存续期内每年付息</w:t>
      </w:r>
      <w:r>
        <w:rPr>
          <w:spacing w:val="-59"/>
        </w:rPr>
        <w:t> </w:t>
      </w:r>
      <w:r>
        <w:rPr>
          <w:rFonts w:ascii="宋体" w:hAnsi="宋体" w:cs="宋体" w:eastAsia="宋体" w:hint="default"/>
        </w:rPr>
        <w:t>1</w:t>
      </w:r>
      <w:r>
        <w:rPr>
          <w:rFonts w:ascii="宋体" w:hAnsi="宋体" w:cs="宋体" w:eastAsia="宋体" w:hint="default"/>
          <w:spacing w:val="-59"/>
        </w:rPr>
        <w:t> </w:t>
      </w:r>
      <w:r>
        <w:rPr>
          <w:spacing w:val="-4"/>
        </w:rPr>
        <w:t>次，本期债券的付息日期为</w:t>
      </w:r>
      <w:r>
        <w:rPr>
          <w:spacing w:val="-59"/>
        </w:rPr>
        <w:t> </w:t>
      </w:r>
      <w:r>
        <w:rPr>
          <w:rFonts w:ascii="宋体" w:hAnsi="宋体" w:cs="宋体" w:eastAsia="宋体" w:hint="default"/>
        </w:rPr>
        <w:t>2016</w:t>
      </w:r>
      <w:r>
        <w:rPr>
          <w:rFonts w:ascii="宋体" w:hAnsi="宋体" w:cs="宋体" w:eastAsia="宋体" w:hint="default"/>
          <w:spacing w:val="-59"/>
        </w:rPr>
        <w:t> </w:t>
      </w:r>
      <w:r>
        <w:rPr/>
        <w:t>年至</w:t>
      </w:r>
      <w:r>
        <w:rPr>
          <w:spacing w:val="-59"/>
        </w:rPr>
        <w:t> </w:t>
      </w:r>
      <w:r>
        <w:rPr>
          <w:rFonts w:ascii="宋体" w:hAnsi="宋体" w:cs="宋体" w:eastAsia="宋体" w:hint="default"/>
        </w:rPr>
        <w:t>2018</w:t>
      </w:r>
      <w:r>
        <w:rPr>
          <w:rFonts w:ascii="宋体" w:hAnsi="宋体" w:cs="宋体" w:eastAsia="宋体" w:hint="default"/>
          <w:spacing w:val="-59"/>
        </w:rPr>
        <w:t> </w:t>
      </w:r>
      <w:r>
        <w:rPr/>
        <w:t>年每年的</w:t>
      </w:r>
    </w:p>
    <w:p>
      <w:pPr>
        <w:pStyle w:val="BodyText"/>
        <w:spacing w:line="240" w:lineRule="auto" w:before="146"/>
        <w:ind w:right="1153"/>
        <w:jc w:val="left"/>
      </w:pP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日，如遇法定节假日或休息日，则顺延至其后的第</w:t>
      </w:r>
      <w:r>
        <w:rPr>
          <w:spacing w:val="-60"/>
        </w:rPr>
        <w:t> </w:t>
      </w:r>
      <w:r>
        <w:rPr>
          <w:rFonts w:ascii="宋体" w:hAnsi="宋体" w:cs="宋体" w:eastAsia="宋体" w:hint="default"/>
        </w:rPr>
        <w:t>1</w:t>
      </w:r>
      <w:r>
        <w:rPr>
          <w:rFonts w:ascii="宋体" w:hAnsi="宋体" w:cs="宋体" w:eastAsia="宋体" w:hint="default"/>
          <w:spacing w:val="-60"/>
        </w:rPr>
        <w:t> </w:t>
      </w:r>
      <w:r>
        <w:rPr/>
        <w:t>个工作日；每次付息款项不另计</w:t>
      </w:r>
    </w:p>
    <w:p>
      <w:pPr>
        <w:pStyle w:val="BodyText"/>
        <w:spacing w:line="240" w:lineRule="auto" w:before="146"/>
        <w:ind w:right="0"/>
        <w:jc w:val="left"/>
      </w:pPr>
      <w:r>
        <w:rPr/>
        <w:t>利息。如投资者行使回售选择权，则其回售部分债券的付息日为 </w:t>
      </w:r>
      <w:r>
        <w:rPr>
          <w:rFonts w:ascii="宋体" w:hAnsi="宋体" w:cs="宋体" w:eastAsia="宋体" w:hint="default"/>
        </w:rPr>
        <w:t>2016 </w:t>
      </w:r>
      <w:r>
        <w:rPr/>
        <w:t>年至 </w:t>
      </w:r>
      <w:r>
        <w:rPr>
          <w:rFonts w:ascii="宋体" w:hAnsi="宋体" w:cs="宋体" w:eastAsia="宋体" w:hint="default"/>
        </w:rPr>
        <w:t>2017 </w:t>
      </w:r>
      <w:r>
        <w:rPr/>
        <w:t>年每年的</w:t>
      </w:r>
    </w:p>
    <w:p>
      <w:pPr>
        <w:pStyle w:val="BodyText"/>
        <w:spacing w:line="352" w:lineRule="auto" w:before="145"/>
        <w:ind w:left="154" w:right="1118"/>
        <w:jc w:val="left"/>
      </w:pPr>
      <w:r>
        <w:rPr>
          <w:rFonts w:ascii="宋体" w:hAnsi="宋体" w:cs="宋体" w:eastAsia="宋体" w:hint="default"/>
        </w:rPr>
        <w:t>3</w:t>
      </w:r>
      <w:r>
        <w:rPr>
          <w:rFonts w:ascii="宋体" w:hAnsi="宋体" w:cs="宋体" w:eastAsia="宋体" w:hint="default"/>
          <w:spacing w:val="-64"/>
        </w:rPr>
        <w:t> </w:t>
      </w:r>
      <w:r>
        <w:rPr/>
        <w:t>月</w:t>
      </w:r>
      <w:r>
        <w:rPr>
          <w:spacing w:val="-64"/>
        </w:rPr>
        <w:t> </w:t>
      </w:r>
      <w:r>
        <w:rPr>
          <w:rFonts w:ascii="宋体" w:hAnsi="宋体" w:cs="宋体" w:eastAsia="宋体" w:hint="default"/>
        </w:rPr>
        <w:t>4</w:t>
      </w:r>
      <w:r>
        <w:rPr>
          <w:rFonts w:ascii="宋体" w:hAnsi="宋体" w:cs="宋体" w:eastAsia="宋体" w:hint="default"/>
          <w:spacing w:val="-64"/>
        </w:rPr>
        <w:t> </w:t>
      </w:r>
      <w:r>
        <w:rPr/>
        <w:t>日（如遇法定及政府指定节假日或休息日，则顺延至其后的第</w:t>
      </w:r>
      <w:r>
        <w:rPr>
          <w:spacing w:val="-7"/>
        </w:rPr>
        <w:t> </w:t>
      </w:r>
      <w:r>
        <w:rPr>
          <w:rFonts w:ascii="宋体" w:hAnsi="宋体" w:cs="宋体" w:eastAsia="宋体" w:hint="default"/>
        </w:rPr>
        <w:t>1</w:t>
      </w:r>
      <w:r>
        <w:rPr>
          <w:rFonts w:ascii="宋体" w:hAnsi="宋体" w:cs="宋体" w:eastAsia="宋体" w:hint="default"/>
          <w:spacing w:val="-7"/>
        </w:rPr>
        <w:t> </w:t>
      </w:r>
      <w:r>
        <w:rPr/>
        <w:t>个工作日；顺延期间 付息款项不另计利息）。</w:t>
      </w:r>
    </w:p>
    <w:p>
      <w:pPr>
        <w:pStyle w:val="BodyText"/>
        <w:spacing w:line="350" w:lineRule="auto" w:before="32"/>
        <w:ind w:left="154" w:right="0" w:firstLine="480"/>
        <w:jc w:val="left"/>
      </w:pPr>
      <w:r>
        <w:rPr>
          <w:rFonts w:ascii="宋体" w:hAnsi="宋体" w:cs="宋体" w:eastAsia="宋体" w:hint="default"/>
          <w:spacing w:val="-3"/>
        </w:rPr>
        <w:t>b</w:t>
      </w:r>
      <w:r>
        <w:rPr>
          <w:spacing w:val="-3"/>
        </w:rPr>
        <w:t>、债券利息的支付通过登记机构和有关机构办理。利息支付的具体事项将按照国家有关</w:t>
      </w:r>
      <w:r>
        <w:rPr/>
        <w:t> 规定，由发行人在中国证监会指定媒体上发布的付息公告中加以说明。</w:t>
      </w:r>
    </w:p>
    <w:p>
      <w:pPr>
        <w:pStyle w:val="BodyText"/>
        <w:spacing w:line="240" w:lineRule="auto"/>
        <w:ind w:left="634" w:right="1153"/>
        <w:jc w:val="left"/>
      </w:pPr>
      <w:r>
        <w:rPr>
          <w:rFonts w:ascii="宋体" w:hAnsi="宋体" w:cs="宋体" w:eastAsia="宋体" w:hint="default"/>
        </w:rPr>
        <w:t>c</w:t>
      </w:r>
      <w:r>
        <w:rPr/>
        <w:t>、根据国家税收法律、法规，投资者投资本期债券应缴纳的有关税金由其自行承担。</w:t>
      </w:r>
    </w:p>
    <w:p>
      <w:pPr>
        <w:pStyle w:val="BodyText"/>
        <w:spacing w:line="240" w:lineRule="auto" w:before="145"/>
        <w:ind w:left="634" w:right="1153"/>
        <w:jc w:val="left"/>
      </w:pPr>
      <w:r>
        <w:rPr/>
        <w:t>② 本金的兑付</w:t>
      </w:r>
    </w:p>
    <w:p>
      <w:pPr>
        <w:pStyle w:val="BodyText"/>
        <w:spacing w:line="240" w:lineRule="auto" w:before="145"/>
        <w:ind w:left="634" w:right="0"/>
        <w:jc w:val="left"/>
      </w:pPr>
      <w:r>
        <w:rPr>
          <w:rFonts w:ascii="宋体" w:hAnsi="宋体" w:cs="宋体" w:eastAsia="宋体" w:hint="default"/>
        </w:rPr>
        <w:t>a</w:t>
      </w:r>
      <w:r>
        <w:rPr/>
        <w:t>、本次债券到期一次还本，本期债券的兑付日期为</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日，如遇法定节假日</w:t>
      </w:r>
    </w:p>
    <w:p>
      <w:pPr>
        <w:pStyle w:val="BodyText"/>
        <w:spacing w:line="240" w:lineRule="auto" w:before="146"/>
        <w:ind w:right="0"/>
        <w:jc w:val="left"/>
      </w:pPr>
      <w:r>
        <w:rPr/>
        <w:t>或休息日，则顺延至其后的第</w:t>
      </w:r>
      <w:r>
        <w:rPr>
          <w:spacing w:val="-60"/>
        </w:rPr>
        <w:t> </w:t>
      </w:r>
      <w:r>
        <w:rPr>
          <w:rFonts w:ascii="宋体" w:hAnsi="宋体" w:cs="宋体" w:eastAsia="宋体" w:hint="default"/>
        </w:rPr>
        <w:t>1</w:t>
      </w:r>
      <w:r>
        <w:rPr>
          <w:rFonts w:ascii="宋体" w:hAnsi="宋体" w:cs="宋体" w:eastAsia="宋体" w:hint="default"/>
          <w:spacing w:val="-60"/>
        </w:rPr>
        <w:t> </w:t>
      </w:r>
      <w:r>
        <w:rPr/>
        <w:t>个工作日；顺延期间兑付款项不另计利息。如投资者行使回</w:t>
      </w:r>
    </w:p>
    <w:p>
      <w:pPr>
        <w:pStyle w:val="BodyText"/>
        <w:spacing w:line="240" w:lineRule="auto" w:before="145"/>
        <w:ind w:right="0"/>
        <w:jc w:val="left"/>
      </w:pPr>
      <w:r>
        <w:rPr/>
        <w:t>售选择权，则其回售部分债券的兑付日为 </w:t>
      </w:r>
      <w:r>
        <w:rPr>
          <w:rFonts w:ascii="宋体" w:hAnsi="宋体" w:cs="宋体" w:eastAsia="宋体" w:hint="default"/>
        </w:rPr>
        <w:t>2017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日（如遇法定及政府指定节假日或</w:t>
      </w:r>
    </w:p>
    <w:p>
      <w:pPr>
        <w:pStyle w:val="BodyText"/>
        <w:spacing w:line="352" w:lineRule="auto" w:before="145"/>
        <w:ind w:left="633" w:right="0" w:hanging="480"/>
        <w:jc w:val="left"/>
      </w:pPr>
      <w:r>
        <w:rPr/>
        <w:t>休息日，则顺延至其后的第 </w:t>
      </w:r>
      <w:r>
        <w:rPr>
          <w:rFonts w:ascii="宋体" w:hAnsi="宋体" w:cs="宋体" w:eastAsia="宋体" w:hint="default"/>
        </w:rPr>
        <w:t>1 </w:t>
      </w:r>
      <w:r>
        <w:rPr/>
        <w:t>个工作日；顺延期间兑付款项不另计利息）。 </w:t>
      </w:r>
      <w:r>
        <w:rPr>
          <w:rFonts w:ascii="宋体" w:hAnsi="宋体" w:cs="宋体" w:eastAsia="宋体" w:hint="default"/>
          <w:spacing w:val="-3"/>
        </w:rPr>
        <w:t>b</w:t>
      </w:r>
      <w:r>
        <w:rPr>
          <w:spacing w:val="-3"/>
        </w:rPr>
        <w:t>、本期债券的本金兑付通过登记机构和有关机构办理。本金兑付的具体事项将按照国家</w:t>
      </w:r>
    </w:p>
    <w:p>
      <w:pPr>
        <w:pStyle w:val="BodyText"/>
        <w:spacing w:line="240" w:lineRule="auto" w:before="33"/>
        <w:ind w:right="1153"/>
        <w:jc w:val="left"/>
      </w:pPr>
      <w:r>
        <w:rPr/>
        <w:t>有关规定，由发行人在中国证监会指定媒体上发布的兑付公告中加以说明。</w:t>
      </w:r>
    </w:p>
    <w:p>
      <w:pPr>
        <w:pStyle w:val="BodyText"/>
        <w:spacing w:line="352" w:lineRule="auto" w:before="145"/>
        <w:ind w:left="634" w:right="1152"/>
        <w:jc w:val="left"/>
      </w:pPr>
      <w:r>
        <w:rPr/>
        <w:t>（</w:t>
      </w:r>
      <w:r>
        <w:rPr>
          <w:rFonts w:ascii="宋体" w:hAnsi="宋体" w:cs="宋体" w:eastAsia="宋体" w:hint="default"/>
        </w:rPr>
        <w:t>3</w:t>
      </w:r>
      <w:r>
        <w:rPr/>
        <w:t>）偿债基础 公司偿付本期公司债券本息的资金主要来源于公司经营活动产生的现金流。若未来经济</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left="154" w:right="1169"/>
        <w:jc w:val="both"/>
      </w:pPr>
      <w:r>
        <w:rPr/>
        <w:t>环境发生重大不利变化或其他因素致使公司未来主营业务的经营情况未达到预期水平，或由 于不可预见的原因使公司不能按期偿还本期债券本息时，公司可以通过变现流动资产来补充 偿债资金。</w:t>
      </w:r>
    </w:p>
    <w:p>
      <w:pPr>
        <w:pStyle w:val="BodyText"/>
        <w:spacing w:line="350" w:lineRule="auto" w:before="33"/>
        <w:ind w:left="634" w:right="1392"/>
        <w:jc w:val="left"/>
      </w:pPr>
      <w:r>
        <w:rPr/>
        <w:t>（</w:t>
      </w:r>
      <w:r>
        <w:rPr>
          <w:rFonts w:ascii="宋体" w:hAnsi="宋体" w:cs="宋体" w:eastAsia="宋体" w:hint="default"/>
        </w:rPr>
        <w:t>4</w:t>
      </w:r>
      <w:r>
        <w:rPr/>
        <w:t>）偿债保障措施 为维护本次债券持有人的合法权益，本公司为本次债券采取了如下的偿债保障措施。</w:t>
      </w:r>
    </w:p>
    <w:p>
      <w:pPr>
        <w:pStyle w:val="BodyText"/>
        <w:spacing w:line="350" w:lineRule="auto"/>
        <w:ind w:left="633" w:right="1153"/>
        <w:jc w:val="left"/>
      </w:pPr>
      <w:r>
        <w:rPr/>
        <w:t>① 设立专门的偿付工作小组 本公司指定计划财务部牵头负责协调本次债券的偿付工作，并通过公司其他相关部门，</w:t>
      </w:r>
    </w:p>
    <w:p>
      <w:pPr>
        <w:pStyle w:val="BodyText"/>
        <w:spacing w:line="352" w:lineRule="auto" w:before="35"/>
        <w:ind w:right="1170"/>
        <w:jc w:val="both"/>
      </w:pPr>
      <w:r>
        <w:rPr/>
        <w:t>在每年的财务预算中落实安排本次债券本息的兑付资金，保证本息的如期偿付，保证债券持 有人的利益。</w:t>
      </w:r>
    </w:p>
    <w:p>
      <w:pPr>
        <w:pStyle w:val="BodyText"/>
        <w:spacing w:line="350" w:lineRule="auto" w:before="32"/>
        <w:ind w:left="634" w:right="1152"/>
        <w:jc w:val="left"/>
      </w:pPr>
      <w:r>
        <w:rPr/>
        <w:t>② 切实做到专款专用 本公司将制定专门的债券募集资金使用计划，相关业务部门对资金使用情况将进行严格</w:t>
      </w:r>
    </w:p>
    <w:p>
      <w:pPr>
        <w:pStyle w:val="BodyText"/>
        <w:spacing w:line="350" w:lineRule="auto"/>
        <w:ind w:left="154" w:right="1170"/>
        <w:jc w:val="both"/>
      </w:pPr>
      <w:r>
        <w:rPr/>
        <w:t>检查，切实做到专款专用，保证募集资金在投入、运用、稽核等方面的顺畅运作，确保本次 债券募集资金根据股东大会决议及按照本募集说明书披露的用途使用。</w:t>
      </w:r>
    </w:p>
    <w:p>
      <w:pPr>
        <w:pStyle w:val="BodyText"/>
        <w:spacing w:line="352" w:lineRule="auto" w:before="35"/>
        <w:ind w:left="634" w:right="1152"/>
        <w:jc w:val="left"/>
      </w:pPr>
      <w:r>
        <w:rPr/>
        <w:t>③ 充分发挥债券受托管理人的作用 本公司已按照《试点办法》的规定，聘请中原证券担任本次债券的债券受托管理人，并</w:t>
      </w:r>
    </w:p>
    <w:p>
      <w:pPr>
        <w:pStyle w:val="BodyText"/>
        <w:spacing w:line="350" w:lineRule="auto" w:before="33"/>
        <w:ind w:left="154" w:right="1170"/>
        <w:jc w:val="both"/>
      </w:pPr>
      <w:r>
        <w:rPr/>
        <w:t>与中原证券订立了《债券受托管理协议》，从制度上保障本次债券本金和利息的按时、足额 偿付。</w:t>
      </w:r>
    </w:p>
    <w:p>
      <w:pPr>
        <w:pStyle w:val="BodyText"/>
        <w:spacing w:line="350" w:lineRule="auto"/>
        <w:ind w:left="154" w:right="1169" w:firstLine="480"/>
        <w:jc w:val="both"/>
      </w:pPr>
      <w:r>
        <w:rPr/>
        <w:t>本公司将严格按照《债券受托管理协议》的规定，配合债券受托管理人履行职责，在本 公司可能出现债券违约时及时通知债券受托管理人并以公告方式通知债券持有人，便于启动 相应违约事件处理程序，或根据债券受托管理协议采取其他必要的措施。在本次债券存续期 限内，中原证券依照债券受托管理协议的约定维护本次债券持有人的利益。</w:t>
      </w:r>
    </w:p>
    <w:p>
      <w:pPr>
        <w:pStyle w:val="BodyText"/>
        <w:spacing w:line="240" w:lineRule="auto" w:before="35"/>
        <w:ind w:left="634" w:right="1153"/>
        <w:jc w:val="left"/>
      </w:pPr>
      <w:r>
        <w:rPr/>
        <w:t>有关债券受托管理人的权利和义务，详见本募集说明书“第六节 债券受托管理人”。</w:t>
      </w:r>
    </w:p>
    <w:p>
      <w:pPr>
        <w:pStyle w:val="BodyText"/>
        <w:spacing w:line="352" w:lineRule="auto" w:before="145"/>
        <w:ind w:left="633" w:right="0"/>
        <w:jc w:val="left"/>
      </w:pPr>
      <w:r>
        <w:rPr/>
        <w:t>④ 制定债券持有人会议规则 </w:t>
      </w:r>
      <w:r>
        <w:rPr>
          <w:spacing w:val="-9"/>
        </w:rPr>
        <w:t>本公司已按照《试点办法》第二十六条之规定为本次债券制定了《债券持有人会议规则》。</w:t>
      </w:r>
    </w:p>
    <w:p>
      <w:pPr>
        <w:pStyle w:val="BodyText"/>
        <w:spacing w:line="350" w:lineRule="auto" w:before="32"/>
        <w:ind w:right="1170"/>
        <w:jc w:val="both"/>
      </w:pPr>
      <w:r>
        <w:rPr/>
        <w:t>《债券持有人会议规则》约定了本次债券持有人通过债券持有人会议行使权利的范围、程序 和其他重要事项，为保障本次债券本息及时足额偿付做出了合理的制度安排。</w:t>
      </w:r>
    </w:p>
    <w:p>
      <w:pPr>
        <w:pStyle w:val="BodyText"/>
        <w:spacing w:line="350" w:lineRule="auto"/>
        <w:ind w:left="634" w:right="1152"/>
        <w:jc w:val="left"/>
      </w:pPr>
      <w:r>
        <w:rPr/>
        <w:t>⑤ 严格的信息披露 本公司将遵循真实、准确、完整的信息披露原则，使公司偿债能力、募集资金使用等情</w:t>
      </w:r>
    </w:p>
    <w:p>
      <w:pPr>
        <w:pStyle w:val="BodyText"/>
        <w:spacing w:line="352" w:lineRule="auto" w:before="35"/>
        <w:ind w:left="154" w:right="1133"/>
        <w:jc w:val="both"/>
      </w:pPr>
      <w:r>
        <w:rPr>
          <w:spacing w:val="-5"/>
        </w:rPr>
        <w:t>况受到债券持有人、债券受托管理人的监督，防范偿债风险。本公司将根据《证券法》、《试</w:t>
      </w:r>
      <w:r>
        <w:rPr>
          <w:spacing w:val="-118"/>
        </w:rPr>
        <w:t> </w:t>
      </w:r>
      <w:r>
        <w:rPr>
          <w:spacing w:val="-118"/>
        </w:rPr>
      </w:r>
      <w:r>
        <w:rPr/>
        <w:t>点办法》等其他相关法律、法规、规章及《公司章程》规定，履行信息披露的义务，至少包</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69"/>
        <w:jc w:val="both"/>
      </w:pPr>
      <w:r>
        <w:rPr/>
        <w:t>括但不限于以下内容：预计到期难以偿付本次债券利息或本金；订立可能对发行人还本付息 能力产生重大影响的担保及其他重要合同；发生重大亏损或者遭受超过净资产</w:t>
      </w:r>
      <w:r>
        <w:rPr>
          <w:spacing w:val="-59"/>
        </w:rPr>
        <w:t> </w:t>
      </w:r>
      <w:r>
        <w:rPr>
          <w:rFonts w:ascii="宋体" w:hAnsi="宋体" w:cs="宋体" w:eastAsia="宋体" w:hint="default"/>
        </w:rPr>
        <w:t>10%</w:t>
      </w:r>
      <w:r>
        <w:rPr/>
        <w:t>以上的重 大损失；发生减资、合并、分立、解散及申请破产；发生对发行人还本付息能力产生实质不 利影响的重大仲裁和诉讼；已经进行的重大债务重组可能对发行人还本付息能力产生重大实 质不利影响；本次债券被证券交易所暂停转让交易；以及中国证监会规定的其他情形。</w:t>
      </w:r>
    </w:p>
    <w:p>
      <w:pPr>
        <w:pStyle w:val="BodyText"/>
        <w:spacing w:line="240" w:lineRule="auto"/>
        <w:ind w:left="633" w:right="1153"/>
        <w:jc w:val="left"/>
      </w:pPr>
      <w:r>
        <w:rPr/>
        <w:t>⑥ 发行人承诺</w:t>
      </w:r>
    </w:p>
    <w:p>
      <w:pPr>
        <w:pStyle w:val="BodyText"/>
        <w:spacing w:line="352" w:lineRule="auto" w:before="145"/>
        <w:ind w:right="1130" w:firstLine="480"/>
        <w:jc w:val="both"/>
      </w:pPr>
      <w:r>
        <w:rPr/>
        <w:t>发行人</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26</w:t>
      </w:r>
      <w:r>
        <w:rPr>
          <w:rFonts w:ascii="宋体" w:hAnsi="宋体" w:cs="宋体" w:eastAsia="宋体" w:hint="default"/>
          <w:spacing w:val="-59"/>
        </w:rPr>
        <w:t> </w:t>
      </w:r>
      <w:r>
        <w:rPr>
          <w:spacing w:val="-5"/>
        </w:rPr>
        <w:t>日第五届董事会第二次会议通过决议，并经</w:t>
      </w:r>
      <w:r>
        <w:rPr>
          <w:spacing w:val="-59"/>
        </w:rPr>
        <w:t> </w:t>
      </w:r>
      <w:r>
        <w:rPr>
          <w:rFonts w:ascii="宋体" w:hAnsi="宋体" w:cs="宋体" w:eastAsia="宋体" w:hint="default"/>
        </w:rPr>
        <w:t>2013</w:t>
      </w:r>
      <w:r>
        <w:rPr>
          <w:rFonts w:ascii="宋体" w:hAnsi="宋体" w:cs="宋体" w:eastAsia="宋体" w:hint="default"/>
          <w:spacing w:val="-59"/>
        </w:rPr>
        <w:t> </w:t>
      </w:r>
      <w:r>
        <w:rPr/>
        <w:t>年年度股东大会 审议通过，在出现预计不能按期偿付债券本息或者到期未能按期偿付债券本息时，将至少采 取如下措施：</w:t>
      </w:r>
    </w:p>
    <w:p>
      <w:pPr>
        <w:spacing w:line="348" w:lineRule="auto" w:before="32"/>
        <w:ind w:left="633" w:right="3913" w:firstLine="0"/>
        <w:jc w:val="left"/>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z w:val="24"/>
          <w:szCs w:val="24"/>
        </w:rPr>
        <w:t>、不向股东分配利润； </w:t>
      </w:r>
      <w:r>
        <w:rPr>
          <w:rFonts w:ascii="宋体" w:hAnsi="宋体" w:cs="宋体" w:eastAsia="宋体" w:hint="default"/>
          <w:sz w:val="24"/>
          <w:szCs w:val="24"/>
        </w:rPr>
        <w:t>b</w:t>
      </w:r>
      <w:r>
        <w:rPr>
          <w:rFonts w:ascii="宋体" w:hAnsi="宋体" w:cs="宋体" w:eastAsia="宋体" w:hint="default"/>
          <w:sz w:val="24"/>
          <w:szCs w:val="24"/>
        </w:rPr>
        <w:t>、暂缓重大对外投资、收购兼并等资本性支出项目的实施； </w:t>
      </w:r>
      <w:r>
        <w:rPr>
          <w:rFonts w:ascii="宋体" w:hAnsi="宋体" w:cs="宋体" w:eastAsia="宋体" w:hint="default"/>
          <w:sz w:val="24"/>
          <w:szCs w:val="24"/>
        </w:rPr>
        <w:t>c</w:t>
      </w:r>
      <w:r>
        <w:rPr>
          <w:rFonts w:ascii="宋体" w:hAnsi="宋体" w:cs="宋体" w:eastAsia="宋体" w:hint="default"/>
          <w:sz w:val="24"/>
          <w:szCs w:val="24"/>
        </w:rPr>
        <w:t>、调减或停发董事和高级管理人员的工资和奖金； </w:t>
      </w:r>
      <w:r>
        <w:rPr>
          <w:rFonts w:ascii="宋体" w:hAnsi="宋体" w:cs="宋体" w:eastAsia="宋体" w:hint="default"/>
          <w:sz w:val="24"/>
          <w:szCs w:val="24"/>
        </w:rPr>
        <w:t>d</w:t>
      </w:r>
      <w:r>
        <w:rPr>
          <w:rFonts w:ascii="宋体" w:hAnsi="宋体" w:cs="宋体" w:eastAsia="宋体" w:hint="default"/>
          <w:sz w:val="24"/>
          <w:szCs w:val="24"/>
        </w:rPr>
        <w:t>、主要责任人不得调离。 </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、报告期内债券持有人会议的召开情况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报告期内，公司未召开债券持有人会议。 </w:t>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、报告期内债券受托管理人履行职责的情况</w:t>
      </w:r>
      <w:r>
        <w:rPr>
          <w:rFonts w:ascii="宋体" w:hAnsi="宋体" w:cs="宋体" w:eastAsia="宋体" w:hint="default"/>
          <w:sz w:val="24"/>
          <w:szCs w:val="24"/>
        </w:rPr>
      </w:r>
    </w:p>
    <w:p>
      <w:pPr>
        <w:pStyle w:val="BodyText"/>
        <w:spacing w:line="352" w:lineRule="auto" w:before="7"/>
        <w:ind w:right="1170" w:firstLine="480"/>
        <w:jc w:val="both"/>
      </w:pPr>
      <w:r>
        <w:rPr/>
        <w:t>债券存续期内，债券受托管理人依据《公司债券受托管理人执业行为准则》行使受托管 理人职责，包括监督公司债券募集资金使用情况、持续关注发行人资信状况以及债券增信机 构的资信状况等。</w:t>
      </w:r>
    </w:p>
    <w:p>
      <w:pPr>
        <w:pStyle w:val="BodyText"/>
        <w:spacing w:line="352" w:lineRule="auto" w:before="32"/>
        <w:ind w:right="1131" w:firstLine="480"/>
        <w:jc w:val="both"/>
      </w:pPr>
      <w:r>
        <w:rPr/>
        <w:t>债券受托管理人将于</w:t>
      </w:r>
      <w:r>
        <w:rPr>
          <w:spacing w:val="-59"/>
        </w:rPr>
        <w:t> </w:t>
      </w:r>
      <w:r>
        <w:rPr>
          <w:rFonts w:ascii="宋体" w:hAnsi="宋体" w:cs="宋体" w:eastAsia="宋体" w:hint="default"/>
        </w:rPr>
        <w:t>2016</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30</w:t>
      </w:r>
      <w:r>
        <w:rPr>
          <w:rFonts w:ascii="宋体" w:hAnsi="宋体" w:cs="宋体" w:eastAsia="宋体" w:hint="default"/>
          <w:spacing w:val="-59"/>
        </w:rPr>
        <w:t> </w:t>
      </w:r>
      <w:r>
        <w:rPr/>
        <w:t>日前向市场公告</w:t>
      </w:r>
      <w:r>
        <w:rPr>
          <w:spacing w:val="-59"/>
        </w:rPr>
        <w:t> </w:t>
      </w:r>
      <w:r>
        <w:rPr>
          <w:rFonts w:ascii="宋体" w:hAnsi="宋体" w:cs="宋体" w:eastAsia="宋体" w:hint="default"/>
        </w:rPr>
        <w:t>2015</w:t>
      </w:r>
      <w:r>
        <w:rPr>
          <w:rFonts w:ascii="宋体" w:hAnsi="宋体" w:cs="宋体" w:eastAsia="宋体" w:hint="default"/>
          <w:spacing w:val="-59"/>
        </w:rPr>
        <w:t> </w:t>
      </w:r>
      <w:r>
        <w:rPr>
          <w:spacing w:val="-7"/>
        </w:rPr>
        <w:t>年度受托管理报告，并刊登于</w:t>
      </w:r>
      <w:r>
        <w:rPr/>
        <w:t> 巨潮资讯网，请各位投资者关注。</w:t>
      </w:r>
    </w:p>
    <w:p>
      <w:pPr>
        <w:pStyle w:val="Heading2"/>
        <w:spacing w:line="240" w:lineRule="auto" w:before="32"/>
        <w:ind w:right="1153"/>
        <w:jc w:val="left"/>
        <w:rPr>
          <w:b w:val="0"/>
          <w:bCs w:val="0"/>
        </w:rPr>
      </w:pPr>
      <w:r>
        <w:rPr>
          <w:rFonts w:ascii="Times New Roman" w:hAnsi="Times New Roman" w:cs="Times New Roman" w:eastAsia="Times New Roman" w:hint="default"/>
        </w:rPr>
        <w:t>8</w:t>
      </w:r>
      <w:r>
        <w:rPr/>
        <w:t>、截至报告期末公司近</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年的主要会计数据和财务指标</w:t>
      </w:r>
      <w:r>
        <w:rPr>
          <w:b w:val="0"/>
          <w:bCs w:val="0"/>
        </w:rPr>
      </w:r>
    </w:p>
    <w:p>
      <w:pPr>
        <w:spacing w:before="65"/>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0"/>
        <w:rPr>
          <w:rFonts w:ascii="宋体" w:hAnsi="宋体" w:cs="宋体" w:eastAsia="宋体" w:hint="default"/>
          <w:sz w:val="7"/>
          <w:szCs w:val="7"/>
        </w:rPr>
      </w:pPr>
    </w:p>
    <w:tbl>
      <w:tblPr>
        <w:tblW w:w="0" w:type="auto"/>
        <w:jc w:val="left"/>
        <w:tblInd w:w="195" w:type="dxa"/>
        <w:tblLayout w:type="fixed"/>
        <w:tblCellMar>
          <w:top w:w="0" w:type="dxa"/>
          <w:left w:w="0" w:type="dxa"/>
          <w:bottom w:w="0" w:type="dxa"/>
          <w:right w:w="0" w:type="dxa"/>
        </w:tblCellMar>
        <w:tblLook w:val="01E0"/>
      </w:tblPr>
      <w:tblGrid>
        <w:gridCol w:w="2955"/>
        <w:gridCol w:w="2421"/>
        <w:gridCol w:w="2694"/>
        <w:gridCol w:w="1488"/>
      </w:tblGrid>
      <w:tr>
        <w:trPr>
          <w:trHeight w:val="490"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13" w:right="0"/>
              <w:jc w:val="left"/>
              <w:rPr>
                <w:rFonts w:ascii="宋体" w:hAnsi="宋体" w:cs="宋体" w:eastAsia="宋体" w:hint="default"/>
                <w:sz w:val="21"/>
                <w:szCs w:val="21"/>
              </w:rPr>
            </w:pPr>
            <w:r>
              <w:rPr>
                <w:rFonts w:ascii="宋体" w:hAnsi="宋体" w:cs="宋体" w:eastAsia="宋体" w:hint="default"/>
                <w:sz w:val="21"/>
                <w:szCs w:val="21"/>
              </w:rPr>
              <w:t>同期变动率</w:t>
            </w:r>
          </w:p>
        </w:tc>
      </w:tr>
      <w:tr>
        <w:trPr>
          <w:trHeight w:val="49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1"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13,556.20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15,224.48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w w:val="95"/>
                <w:sz w:val="21"/>
              </w:rPr>
              <w:t>-10.96%</w:t>
            </w:r>
            <w:r>
              <w:rPr>
                <w:rFonts w:ascii="Times New Roman"/>
                <w:sz w:val="21"/>
              </w:rPr>
            </w:r>
          </w:p>
        </w:tc>
      </w:tr>
      <w:tr>
        <w:trPr>
          <w:trHeight w:val="490"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9"/>
              <w:ind w:right="19"/>
              <w:jc w:val="right"/>
              <w:rPr>
                <w:rFonts w:ascii="Times New Roman" w:hAnsi="Times New Roman" w:cs="Times New Roman" w:eastAsia="Times New Roman" w:hint="default"/>
                <w:sz w:val="21"/>
                <w:szCs w:val="21"/>
              </w:rPr>
            </w:pPr>
            <w:r>
              <w:rPr>
                <w:rFonts w:ascii="Times New Roman"/>
                <w:w w:val="95"/>
                <w:sz w:val="21"/>
              </w:rPr>
              <w:t>-20,134.25</w:t>
            </w:r>
            <w:r>
              <w:rPr>
                <w:rFonts w:ascii="Times New Roman"/>
                <w:sz w:val="21"/>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Times New Roman" w:hAnsi="Times New Roman" w:cs="Times New Roman" w:eastAsia="Times New Roman" w:hint="default"/>
                <w:sz w:val="21"/>
                <w:szCs w:val="21"/>
              </w:rPr>
            </w:pPr>
            <w:r>
              <w:rPr>
                <w:rFonts w:ascii="Times New Roman"/>
                <w:w w:val="95"/>
                <w:sz w:val="21"/>
              </w:rPr>
              <w:t>-21,875.72</w:t>
            </w:r>
            <w:r>
              <w:rPr>
                <w:rFonts w:ascii="Times New Roman"/>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7.96%</w:t>
            </w:r>
          </w:p>
        </w:tc>
      </w:tr>
      <w:tr>
        <w:trPr>
          <w:trHeight w:val="490"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pacing w:val="-1"/>
                <w:sz w:val="21"/>
              </w:rPr>
              <w:t>8,594.44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13,836.63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w w:val="95"/>
                <w:sz w:val="21"/>
              </w:rPr>
              <w:t>-37.89%</w:t>
            </w:r>
            <w:r>
              <w:rPr>
                <w:rFonts w:ascii="Times New Roman"/>
                <w:sz w:val="21"/>
              </w:rPr>
            </w:r>
          </w:p>
        </w:tc>
      </w:tr>
      <w:tr>
        <w:trPr>
          <w:trHeight w:val="49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1" w:right="0"/>
              <w:jc w:val="left"/>
              <w:rPr>
                <w:rFonts w:ascii="宋体" w:hAnsi="宋体" w:cs="宋体" w:eastAsia="宋体" w:hint="default"/>
                <w:sz w:val="21"/>
                <w:szCs w:val="21"/>
              </w:rPr>
            </w:pPr>
            <w:r>
              <w:rPr>
                <w:rFonts w:ascii="宋体" w:hAnsi="宋体" w:cs="宋体" w:eastAsia="宋体" w:hint="default"/>
                <w:sz w:val="21"/>
                <w:szCs w:val="21"/>
              </w:rPr>
              <w:t>期末现金及现金等价物余额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21"/>
                <w:szCs w:val="21"/>
              </w:rPr>
            </w:pPr>
            <w:r>
              <w:rPr>
                <w:rFonts w:ascii="Times New Roman"/>
                <w:sz w:val="21"/>
              </w:rPr>
              <w:t>80,808.94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21"/>
                <w:szCs w:val="21"/>
              </w:rPr>
            </w:pPr>
            <w:r>
              <w:rPr>
                <w:rFonts w:ascii="Times New Roman"/>
                <w:sz w:val="21"/>
              </w:rPr>
              <w:t>82,875.92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21"/>
                <w:szCs w:val="21"/>
              </w:rPr>
            </w:pPr>
            <w:r>
              <w:rPr>
                <w:rFonts w:ascii="Times New Roman"/>
                <w:spacing w:val="-1"/>
                <w:sz w:val="21"/>
              </w:rPr>
              <w:t>-2.49%</w:t>
            </w:r>
          </w:p>
        </w:tc>
      </w:tr>
      <w:tr>
        <w:trPr>
          <w:trHeight w:val="490"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1"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391.45%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478.61%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w w:val="95"/>
                <w:sz w:val="21"/>
              </w:rPr>
              <w:t>-87.16%</w:t>
            </w:r>
            <w:r>
              <w:rPr>
                <w:rFonts w:ascii="Times New Roman"/>
                <w:sz w:val="21"/>
              </w:rPr>
            </w:r>
          </w:p>
        </w:tc>
      </w:tr>
      <w:tr>
        <w:trPr>
          <w:trHeight w:val="49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32.27%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28.00%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4.27%</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2978"/>
        <w:gridCol w:w="2410"/>
        <w:gridCol w:w="2694"/>
        <w:gridCol w:w="1488"/>
      </w:tblGrid>
      <w:tr>
        <w:trPr>
          <w:trHeight w:val="49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2"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331.88%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415.23%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w w:val="95"/>
                <w:sz w:val="21"/>
              </w:rPr>
              <w:t>-83.35%</w:t>
            </w:r>
            <w:r>
              <w:rPr>
                <w:rFonts w:ascii="Times New Roman"/>
                <w:sz w:val="21"/>
              </w:rPr>
            </w:r>
          </w:p>
        </w:tc>
      </w:tr>
      <w:tr>
        <w:trPr>
          <w:trHeight w:val="491"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全部债务比</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19.61%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28.21%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pacing w:val="-1"/>
                <w:sz w:val="21"/>
              </w:rPr>
              <w:t>-8.60%</w:t>
            </w:r>
          </w:p>
        </w:tc>
      </w:tr>
      <w:tr>
        <w:trPr>
          <w:trHeight w:val="49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2"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Times New Roman" w:hAnsi="Times New Roman" w:cs="Times New Roman" w:eastAsia="Times New Roman" w:hint="default"/>
                <w:sz w:val="21"/>
                <w:szCs w:val="21"/>
              </w:rPr>
            </w:pPr>
            <w:r>
              <w:rPr>
                <w:rFonts w:ascii="Times New Roman"/>
                <w:sz w:val="21"/>
              </w:rPr>
              <w:t>4.44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Times New Roman" w:hAnsi="Times New Roman" w:cs="Times New Roman" w:eastAsia="Times New Roman" w:hint="default"/>
                <w:sz w:val="21"/>
                <w:szCs w:val="21"/>
              </w:rPr>
            </w:pPr>
            <w:r>
              <w:rPr>
                <w:rFonts w:ascii="Times New Roman"/>
                <w:sz w:val="21"/>
              </w:rPr>
              <w:t>8.91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pacing w:val="-1"/>
                <w:sz w:val="21"/>
              </w:rPr>
              <w:t>-50.17%</w:t>
            </w:r>
          </w:p>
        </w:tc>
      </w:tr>
      <w:tr>
        <w:trPr>
          <w:trHeight w:val="49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2"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19.17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Times New Roman" w:hAnsi="Times New Roman" w:cs="Times New Roman" w:eastAsia="Times New Roman" w:hint="default"/>
                <w:sz w:val="21"/>
                <w:szCs w:val="21"/>
              </w:rPr>
            </w:pPr>
            <w:r>
              <w:rPr>
                <w:rFonts w:ascii="Times New Roman"/>
                <w:sz w:val="21"/>
              </w:rPr>
              <w:t>5.20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pacing w:val="-1"/>
                <w:sz w:val="21"/>
              </w:rPr>
              <w:t>268.65%</w:t>
            </w:r>
          </w:p>
        </w:tc>
      </w:tr>
      <w:tr>
        <w:trPr>
          <w:trHeight w:val="491"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利息保障倍数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Times New Roman" w:hAnsi="Times New Roman" w:cs="Times New Roman" w:eastAsia="Times New Roman" w:hint="default"/>
                <w:sz w:val="21"/>
                <w:szCs w:val="21"/>
              </w:rPr>
            </w:pPr>
            <w:r>
              <w:rPr>
                <w:rFonts w:ascii="Times New Roman"/>
                <w:sz w:val="21"/>
              </w:rPr>
              <w:t>5.29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10.43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pacing w:val="-1"/>
                <w:sz w:val="21"/>
              </w:rPr>
              <w:t>-49.28%</w:t>
            </w:r>
          </w:p>
        </w:tc>
      </w:tr>
      <w:tr>
        <w:trPr>
          <w:trHeight w:val="49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2" w:right="0"/>
              <w:jc w:val="left"/>
              <w:rPr>
                <w:rFonts w:ascii="宋体" w:hAnsi="宋体" w:cs="宋体" w:eastAsia="宋体" w:hint="default"/>
                <w:sz w:val="21"/>
                <w:szCs w:val="21"/>
              </w:rPr>
            </w:pPr>
            <w:r>
              <w:rPr>
                <w:rFonts w:ascii="宋体" w:hAnsi="宋体" w:cs="宋体" w:eastAsia="宋体" w:hint="default"/>
                <w:sz w:val="21"/>
                <w:szCs w:val="21"/>
              </w:rPr>
              <w:t>贷款偿还率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100.00%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100.00%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0.00%</w:t>
            </w:r>
          </w:p>
        </w:tc>
      </w:tr>
      <w:tr>
        <w:trPr>
          <w:trHeight w:val="491"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22" w:right="0"/>
              <w:jc w:val="left"/>
              <w:rPr>
                <w:rFonts w:ascii="宋体" w:hAnsi="宋体" w:cs="宋体" w:eastAsia="宋体" w:hint="default"/>
                <w:sz w:val="21"/>
                <w:szCs w:val="21"/>
              </w:rPr>
            </w:pPr>
            <w:r>
              <w:rPr>
                <w:rFonts w:ascii="宋体" w:hAnsi="宋体" w:cs="宋体" w:eastAsia="宋体" w:hint="default"/>
                <w:sz w:val="21"/>
                <w:szCs w:val="21"/>
              </w:rPr>
              <w:t>利息偿付率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100.00%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Times New Roman" w:hAnsi="Times New Roman" w:cs="Times New Roman" w:eastAsia="Times New Roman" w:hint="default"/>
                <w:sz w:val="21"/>
                <w:szCs w:val="21"/>
              </w:rPr>
            </w:pPr>
            <w:r>
              <w:rPr>
                <w:rFonts w:ascii="Times New Roman"/>
                <w:sz w:val="21"/>
              </w:rPr>
              <w:t>100.00%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11"/>
        <w:rPr>
          <w:rFonts w:ascii="宋体" w:hAnsi="宋体" w:cs="宋体" w:eastAsia="宋体" w:hint="default"/>
          <w:sz w:val="7"/>
          <w:szCs w:val="7"/>
        </w:rPr>
      </w:pPr>
    </w:p>
    <w:p>
      <w:pPr>
        <w:pStyle w:val="Heading2"/>
        <w:spacing w:line="240" w:lineRule="auto"/>
        <w:ind w:right="1153"/>
        <w:jc w:val="left"/>
        <w:rPr>
          <w:b w:val="0"/>
          <w:bCs w:val="0"/>
        </w:rPr>
      </w:pPr>
      <w:r>
        <w:rPr/>
        <w:t>上述会计数据和财务指标同比变动超过</w:t>
      </w:r>
      <w:r>
        <w:rPr>
          <w:spacing w:val="-77"/>
        </w:rPr>
        <w:t> </w:t>
      </w:r>
      <w:r>
        <w:rPr>
          <w:rFonts w:ascii="宋体" w:hAnsi="宋体" w:cs="宋体" w:eastAsia="宋体" w:hint="default"/>
        </w:rPr>
        <w:t>30%</w:t>
      </w:r>
      <w:r>
        <w:rPr/>
        <w:t>的主要原因</w:t>
      </w:r>
      <w:r>
        <w:rPr>
          <w:b w:val="0"/>
          <w:bCs w:val="0"/>
        </w:rPr>
      </w:r>
    </w:p>
    <w:p>
      <w:pPr>
        <w:pStyle w:val="BodyText"/>
        <w:spacing w:line="350" w:lineRule="auto" w:before="185"/>
        <w:ind w:right="1229" w:firstLine="480"/>
        <w:jc w:val="both"/>
      </w:pPr>
      <w:r>
        <w:rPr/>
        <w:t>（</w:t>
      </w:r>
      <w:r>
        <w:rPr>
          <w:rFonts w:ascii="宋体" w:hAnsi="宋体" w:cs="宋体" w:eastAsia="宋体" w:hint="default"/>
        </w:rPr>
        <w:t>1</w:t>
      </w:r>
      <w:r>
        <w:rPr/>
        <w:t>）筹资活动产生的现金流量净额同比下降</w:t>
      </w:r>
      <w:r>
        <w:rPr>
          <w:spacing w:val="-60"/>
        </w:rPr>
        <w:t> </w:t>
      </w:r>
      <w:r>
        <w:rPr>
          <w:rFonts w:ascii="宋体" w:hAnsi="宋体" w:cs="宋体" w:eastAsia="宋体" w:hint="default"/>
        </w:rPr>
        <w:t>37.89%</w:t>
      </w:r>
      <w:r>
        <w:rPr/>
        <w:t>，主要原因系报告期内归还银行贷 款增加所致；</w:t>
      </w:r>
    </w:p>
    <w:p>
      <w:pPr>
        <w:pStyle w:val="BodyText"/>
        <w:spacing w:line="350" w:lineRule="auto" w:before="76"/>
        <w:ind w:right="1130" w:firstLine="480"/>
        <w:jc w:val="both"/>
      </w:pPr>
      <w:r>
        <w:rPr/>
        <w:t>（</w:t>
      </w:r>
      <w:r>
        <w:rPr>
          <w:rFonts w:ascii="宋体" w:hAnsi="宋体" w:cs="宋体" w:eastAsia="宋体" w:hint="default"/>
        </w:rPr>
        <w:t>2</w:t>
      </w:r>
      <w:r>
        <w:rPr/>
        <w:t>）流动比率同比下降</w:t>
      </w:r>
      <w:r>
        <w:rPr>
          <w:spacing w:val="-68"/>
        </w:rPr>
        <w:t> </w:t>
      </w:r>
      <w:r>
        <w:rPr>
          <w:rFonts w:ascii="宋体" w:hAnsi="宋体" w:cs="宋体" w:eastAsia="宋体" w:hint="default"/>
        </w:rPr>
        <w:t>87.16%</w:t>
      </w:r>
      <w:r>
        <w:rPr/>
        <w:t>，速动比率同比下降</w:t>
      </w:r>
      <w:r>
        <w:rPr>
          <w:spacing w:val="-68"/>
        </w:rPr>
        <w:t> </w:t>
      </w:r>
      <w:r>
        <w:rPr>
          <w:rFonts w:ascii="宋体" w:hAnsi="宋体" w:cs="宋体" w:eastAsia="宋体" w:hint="default"/>
        </w:rPr>
        <w:t>83.35%</w:t>
      </w:r>
      <w:r>
        <w:rPr/>
        <w:t>，</w:t>
      </w:r>
      <w:r>
        <w:rPr>
          <w:rFonts w:ascii="宋体" w:hAnsi="宋体" w:cs="宋体" w:eastAsia="宋体" w:hint="default"/>
        </w:rPr>
        <w:t>EBITDA</w:t>
      </w:r>
      <w:r>
        <w:rPr>
          <w:rFonts w:ascii="宋体" w:hAnsi="宋体" w:cs="宋体" w:eastAsia="宋体" w:hint="default"/>
          <w:spacing w:val="-68"/>
        </w:rPr>
        <w:t> </w:t>
      </w:r>
      <w:r>
        <w:rPr/>
        <w:t>全部债务比同比下 降</w:t>
      </w:r>
      <w:r>
        <w:rPr>
          <w:spacing w:val="-56"/>
        </w:rPr>
        <w:t> </w:t>
      </w:r>
      <w:r>
        <w:rPr>
          <w:rFonts w:ascii="宋体" w:hAnsi="宋体" w:cs="宋体" w:eastAsia="宋体" w:hint="default"/>
          <w:spacing w:val="-3"/>
        </w:rPr>
        <w:t>49.28%</w:t>
      </w:r>
      <w:r>
        <w:rPr>
          <w:spacing w:val="-3"/>
        </w:rPr>
        <w:t>，利息保障倍数同比下降</w:t>
      </w:r>
      <w:r>
        <w:rPr>
          <w:spacing w:val="-56"/>
        </w:rPr>
        <w:t> </w:t>
      </w:r>
      <w:r>
        <w:rPr>
          <w:rFonts w:ascii="宋体" w:hAnsi="宋体" w:cs="宋体" w:eastAsia="宋体" w:hint="default"/>
          <w:spacing w:val="-3"/>
        </w:rPr>
        <w:t>50.17%</w:t>
      </w:r>
      <w:r>
        <w:rPr>
          <w:spacing w:val="-3"/>
        </w:rPr>
        <w:t>，主要原因系报告期发行</w:t>
      </w:r>
      <w:r>
        <w:rPr>
          <w:spacing w:val="-56"/>
        </w:rPr>
        <w:t> </w:t>
      </w:r>
      <w:r>
        <w:rPr>
          <w:rFonts w:ascii="宋体" w:hAnsi="宋体" w:cs="宋体" w:eastAsia="宋体" w:hint="default"/>
        </w:rPr>
        <w:t>2.5</w:t>
      </w:r>
      <w:r>
        <w:rPr>
          <w:rFonts w:ascii="宋体" w:hAnsi="宋体" w:cs="宋体" w:eastAsia="宋体" w:hint="default"/>
          <w:spacing w:val="-56"/>
        </w:rPr>
        <w:t> </w:t>
      </w:r>
      <w:r>
        <w:rPr/>
        <w:t>亿元公司债券计提利 息所致；</w:t>
      </w:r>
    </w:p>
    <w:p>
      <w:pPr>
        <w:pStyle w:val="BodyText"/>
        <w:spacing w:line="350" w:lineRule="auto" w:before="76"/>
        <w:ind w:right="1131" w:firstLine="480"/>
        <w:jc w:val="both"/>
      </w:pPr>
      <w:r>
        <w:rPr/>
        <w:t>（</w:t>
      </w:r>
      <w:r>
        <w:rPr>
          <w:rFonts w:ascii="宋体" w:hAnsi="宋体" w:cs="宋体" w:eastAsia="宋体" w:hint="default"/>
        </w:rPr>
        <w:t>3</w:t>
      </w:r>
      <w:r>
        <w:rPr/>
        <w:t>）现金利息保障倍数同比上升</w:t>
      </w:r>
      <w:r>
        <w:rPr>
          <w:spacing w:val="-80"/>
        </w:rPr>
        <w:t> </w:t>
      </w:r>
      <w:r>
        <w:rPr>
          <w:rFonts w:ascii="宋体" w:hAnsi="宋体" w:cs="宋体" w:eastAsia="宋体" w:hint="default"/>
        </w:rPr>
        <w:t>268.65%</w:t>
      </w:r>
      <w:r>
        <w:rPr/>
        <w:t>，主要原因系报告期内银行贷款减少致现金利 息支出下降所致。</w:t>
      </w:r>
    </w:p>
    <w:p>
      <w:pPr>
        <w:spacing w:line="331" w:lineRule="auto" w:before="76"/>
        <w:ind w:left="633" w:right="115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9</w:t>
      </w:r>
      <w:r>
        <w:rPr>
          <w:rFonts w:ascii="宋体" w:hAnsi="宋体" w:cs="宋体" w:eastAsia="宋体" w:hint="default"/>
          <w:b/>
          <w:bCs/>
          <w:sz w:val="24"/>
          <w:szCs w:val="24"/>
        </w:rPr>
        <w:t>、截至报告期末的资产权利受限情况</w:t>
      </w:r>
      <w:r>
        <w:rPr>
          <w:rFonts w:ascii="宋体" w:hAnsi="宋体" w:cs="宋体" w:eastAsia="宋体" w:hint="default"/>
          <w:b/>
          <w:bCs/>
          <w:w w:val="99"/>
          <w:sz w:val="24"/>
          <w:szCs w:val="24"/>
        </w:rPr>
        <w:t> </w:t>
      </w:r>
      <w:r>
        <w:rPr>
          <w:rFonts w:ascii="宋体" w:hAnsi="宋体" w:cs="宋体" w:eastAsia="宋体" w:hint="default"/>
          <w:sz w:val="24"/>
          <w:szCs w:val="24"/>
        </w:rPr>
        <w:t>截止到报告期末，公司不存在资产抵押、质押、被查封、冻结、必须具备一定条件才能</w:t>
      </w:r>
    </w:p>
    <w:p>
      <w:pPr>
        <w:pStyle w:val="BodyText"/>
        <w:spacing w:line="350" w:lineRule="auto" w:before="55"/>
        <w:ind w:right="1169"/>
        <w:jc w:val="both"/>
      </w:pPr>
      <w:r>
        <w:rPr/>
        <w:t>变现、无法变现、无法用于抵偿债务的情况和其它权利受限制的情况和安排，以及其他具有 可对抗的第三人的优先偿付情况。</w:t>
      </w:r>
    </w:p>
    <w:p>
      <w:pPr>
        <w:spacing w:line="338" w:lineRule="auto" w:before="35"/>
        <w:ind w:left="633" w:right="998"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、报告期内对其他债券和债务融资工具的付息兑付情况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报告期内，公司未发行其他债券和债务融资工具。 </w:t>
      </w:r>
      <w:r>
        <w:rPr>
          <w:rFonts w:ascii="Times New Roman" w:hAnsi="Times New Roman" w:cs="Times New Roman" w:eastAsia="Times New Roman" w:hint="default"/>
          <w:b/>
          <w:bCs/>
          <w:sz w:val="24"/>
          <w:szCs w:val="24"/>
        </w:rPr>
        <w:t>11</w:t>
      </w:r>
      <w:r>
        <w:rPr>
          <w:rFonts w:ascii="宋体" w:hAnsi="宋体" w:cs="宋体" w:eastAsia="宋体" w:hint="default"/>
          <w:b/>
          <w:bCs/>
          <w:sz w:val="24"/>
          <w:szCs w:val="24"/>
        </w:rPr>
        <w:t>、报告期内获得的银行授信情况、使用情况以及偿还银行贷款的情况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报告期内，公司共申请银行授信总额度</w:t>
      </w:r>
      <w:r>
        <w:rPr>
          <w:rFonts w:ascii="宋体" w:hAnsi="宋体" w:cs="宋体" w:eastAsia="宋体" w:hint="default"/>
          <w:spacing w:val="-56"/>
          <w:sz w:val="24"/>
          <w:szCs w:val="24"/>
        </w:rPr>
        <w:t> </w:t>
      </w:r>
      <w:r>
        <w:rPr>
          <w:rFonts w:ascii="宋体" w:hAnsi="宋体" w:cs="宋体" w:eastAsia="宋体" w:hint="default"/>
          <w:sz w:val="24"/>
          <w:szCs w:val="24"/>
        </w:rPr>
        <w:t>183,500</w:t>
      </w:r>
      <w:r>
        <w:rPr>
          <w:rFonts w:ascii="宋体" w:hAnsi="宋体" w:cs="宋体" w:eastAsia="宋体" w:hint="default"/>
          <w:spacing w:val="-56"/>
          <w:sz w:val="24"/>
          <w:szCs w:val="24"/>
        </w:rPr>
        <w:t> </w:t>
      </w:r>
      <w:r>
        <w:rPr>
          <w:rFonts w:ascii="宋体" w:hAnsi="宋体" w:cs="宋体" w:eastAsia="宋体" w:hint="default"/>
          <w:spacing w:val="-5"/>
          <w:sz w:val="24"/>
          <w:szCs w:val="24"/>
        </w:rPr>
        <w:t>万元，授信额度已使用</w:t>
      </w:r>
      <w:r>
        <w:rPr>
          <w:rFonts w:ascii="宋体" w:hAnsi="宋体" w:cs="宋体" w:eastAsia="宋体" w:hint="default"/>
          <w:spacing w:val="-56"/>
          <w:sz w:val="24"/>
          <w:szCs w:val="24"/>
        </w:rPr>
        <w:t> </w:t>
      </w:r>
      <w:r>
        <w:rPr>
          <w:rFonts w:ascii="宋体" w:hAnsi="宋体" w:cs="宋体" w:eastAsia="宋体" w:hint="default"/>
          <w:sz w:val="24"/>
          <w:szCs w:val="24"/>
        </w:rPr>
        <w:t>23,337.55</w:t>
      </w:r>
      <w:r>
        <w:rPr>
          <w:rFonts w:ascii="宋体" w:hAnsi="宋体" w:cs="宋体" w:eastAsia="宋体" w:hint="default"/>
          <w:spacing w:val="-56"/>
          <w:sz w:val="24"/>
          <w:szCs w:val="24"/>
        </w:rPr>
        <w:t> </w:t>
      </w:r>
      <w:r>
        <w:rPr>
          <w:rFonts w:ascii="宋体" w:hAnsi="宋体" w:cs="宋体" w:eastAsia="宋体" w:hint="default"/>
          <w:sz w:val="24"/>
          <w:szCs w:val="24"/>
        </w:rPr>
        <w:t>万元，</w:t>
      </w:r>
    </w:p>
    <w:p>
      <w:pPr>
        <w:spacing w:line="340" w:lineRule="auto" w:before="48"/>
        <w:ind w:left="633" w:right="1153" w:hanging="480"/>
        <w:jc w:val="left"/>
        <w:rPr>
          <w:rFonts w:ascii="宋体" w:hAnsi="宋体" w:cs="宋体" w:eastAsia="宋体" w:hint="default"/>
          <w:sz w:val="24"/>
          <w:szCs w:val="24"/>
        </w:rPr>
      </w:pPr>
      <w:r>
        <w:rPr>
          <w:rFonts w:ascii="宋体" w:hAnsi="宋体" w:cs="宋体" w:eastAsia="宋体" w:hint="default"/>
          <w:sz w:val="24"/>
          <w:szCs w:val="24"/>
        </w:rPr>
        <w:t>剩余授信额度</w:t>
      </w:r>
      <w:r>
        <w:rPr>
          <w:rFonts w:ascii="宋体" w:hAnsi="宋体" w:cs="宋体" w:eastAsia="宋体" w:hint="default"/>
          <w:spacing w:val="-60"/>
          <w:sz w:val="24"/>
          <w:szCs w:val="24"/>
        </w:rPr>
        <w:t> </w:t>
      </w:r>
      <w:r>
        <w:rPr>
          <w:rFonts w:ascii="宋体" w:hAnsi="宋体" w:cs="宋体" w:eastAsia="宋体" w:hint="default"/>
          <w:sz w:val="24"/>
          <w:szCs w:val="24"/>
        </w:rPr>
        <w:t>160,162.45</w:t>
      </w:r>
      <w:r>
        <w:rPr>
          <w:rFonts w:ascii="宋体" w:hAnsi="宋体" w:cs="宋体" w:eastAsia="宋体" w:hint="default"/>
          <w:spacing w:val="-60"/>
          <w:sz w:val="24"/>
          <w:szCs w:val="24"/>
        </w:rPr>
        <w:t> </w:t>
      </w:r>
      <w:r>
        <w:rPr>
          <w:rFonts w:ascii="宋体" w:hAnsi="宋体" w:cs="宋体" w:eastAsia="宋体" w:hint="default"/>
          <w:sz w:val="24"/>
          <w:szCs w:val="24"/>
        </w:rPr>
        <w:t>万元。报告期内，公司共偿还银行贷款</w:t>
      </w:r>
      <w:r>
        <w:rPr>
          <w:rFonts w:ascii="宋体" w:hAnsi="宋体" w:cs="宋体" w:eastAsia="宋体" w:hint="default"/>
          <w:spacing w:val="-60"/>
          <w:sz w:val="24"/>
          <w:szCs w:val="24"/>
        </w:rPr>
        <w:t> </w:t>
      </w:r>
      <w:r>
        <w:rPr>
          <w:rFonts w:ascii="宋体" w:hAnsi="宋体" w:cs="宋体" w:eastAsia="宋体" w:hint="default"/>
          <w:sz w:val="24"/>
          <w:szCs w:val="24"/>
        </w:rPr>
        <w:t>24,400</w:t>
      </w:r>
      <w:r>
        <w:rPr>
          <w:rFonts w:ascii="宋体" w:hAnsi="宋体" w:cs="宋体" w:eastAsia="宋体" w:hint="default"/>
          <w:spacing w:val="-60"/>
          <w:sz w:val="24"/>
          <w:szCs w:val="24"/>
        </w:rPr>
        <w:t> </w:t>
      </w:r>
      <w:r>
        <w:rPr>
          <w:rFonts w:ascii="宋体" w:hAnsi="宋体" w:cs="宋体" w:eastAsia="宋体" w:hint="default"/>
          <w:sz w:val="24"/>
          <w:szCs w:val="24"/>
        </w:rPr>
        <w:t>万元。 </w:t>
      </w: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、报告期内执行公司债券募集说明书相关约定或承诺的情况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报告期内，公司严格按照公司债券募集说明书的相关约定或承诺执行。在公司债券发行</w:t>
      </w:r>
    </w:p>
    <w:p>
      <w:pPr>
        <w:pStyle w:val="BodyText"/>
        <w:spacing w:line="350" w:lineRule="auto" w:before="46"/>
        <w:ind w:right="1170"/>
        <w:jc w:val="both"/>
      </w:pPr>
      <w:r>
        <w:rPr/>
        <w:t>完毕后，公司债券募集的资金不直接或间接投资设立产业并购基金及其投资的项目，不直接 或间接投资其他风险投资，不用于对外财务资助或委托贷款等非生产经营性支出，对债券投 资者利益无重大影响。</w:t>
      </w:r>
    </w:p>
    <w:p>
      <w:pPr>
        <w:spacing w:after="0" w:line="35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343" w:lineRule="auto" w:before="199"/>
        <w:ind w:left="633" w:right="115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13</w:t>
      </w:r>
      <w:r>
        <w:rPr>
          <w:rFonts w:ascii="宋体" w:hAnsi="宋体" w:cs="宋体" w:eastAsia="宋体" w:hint="default"/>
          <w:b/>
          <w:bCs/>
          <w:sz w:val="24"/>
          <w:szCs w:val="24"/>
        </w:rPr>
        <w:t>、报告期内发生的重大事项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报告期内，公司无《公司债券发行与交易管理办法》第四十五条列示的重大事项发生。 </w:t>
      </w:r>
      <w:r>
        <w:rPr>
          <w:rFonts w:ascii="Times New Roman" w:hAnsi="Times New Roman" w:cs="Times New Roman" w:eastAsia="Times New Roman" w:hint="default"/>
          <w:b/>
          <w:bCs/>
          <w:sz w:val="24"/>
          <w:szCs w:val="24"/>
        </w:rPr>
        <w:t>14</w:t>
      </w:r>
      <w:r>
        <w:rPr>
          <w:rFonts w:ascii="宋体" w:hAnsi="宋体" w:cs="宋体" w:eastAsia="宋体" w:hint="default"/>
          <w:b/>
          <w:bCs/>
          <w:sz w:val="24"/>
          <w:szCs w:val="24"/>
        </w:rPr>
        <w:t>、公司债券是否存在保证人</w:t>
      </w:r>
      <w:r>
        <w:rPr>
          <w:rFonts w:ascii="宋体" w:hAnsi="宋体" w:cs="宋体" w:eastAsia="宋体" w:hint="default"/>
          <w:sz w:val="24"/>
          <w:szCs w:val="24"/>
        </w:rPr>
      </w:r>
    </w:p>
    <w:p>
      <w:pPr>
        <w:pStyle w:val="BodyText"/>
        <w:spacing w:line="240" w:lineRule="auto" w:before="13"/>
        <w:ind w:left="633" w:right="1153"/>
        <w:jc w:val="left"/>
      </w:pPr>
      <w:r>
        <w:rPr/>
        <w:t>□ 是 √ 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46" w:right="0"/>
        <w:jc w:val="left"/>
        <w:rPr>
          <w:b w:val="0"/>
          <w:bCs w:val="0"/>
        </w:rPr>
      </w:pPr>
      <w:bookmarkStart w:name="第六节 股份变动及股东情况" w:id="11"/>
      <w:bookmarkEnd w:id="11"/>
      <w:r>
        <w:rPr>
          <w:b w:val="0"/>
          <w:bCs w:val="0"/>
        </w:rPr>
      </w:r>
      <w:bookmarkStart w:name="_bookmark5" w:id="12"/>
      <w:bookmarkEnd w:id="1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747" w:footer="979" w:top="1060" w:bottom="1160" w:left="600" w:right="0"/>
        </w:sectPr>
      </w:pPr>
    </w:p>
    <w:p>
      <w:pPr>
        <w:pStyle w:val="Heading2"/>
        <w:spacing w:line="240" w:lineRule="auto"/>
        <w:ind w:left="1016" w:right="0"/>
        <w:jc w:val="left"/>
        <w:rPr>
          <w:b w:val="0"/>
          <w:bCs w:val="0"/>
        </w:rPr>
      </w:pPr>
      <w:r>
        <w:rPr/>
        <w:t>一、股份变动情况</w:t>
      </w:r>
      <w:r>
        <w:rPr>
          <w:b w:val="0"/>
          <w:bCs w:val="0"/>
        </w:rPr>
      </w:r>
    </w:p>
    <w:p>
      <w:pPr>
        <w:pStyle w:val="Heading2"/>
        <w:spacing w:line="240" w:lineRule="auto" w:before="145"/>
        <w:ind w:left="1016" w:right="0"/>
        <w:jc w:val="left"/>
        <w:rPr>
          <w:b w:val="0"/>
          <w:bCs w:val="0"/>
        </w:rPr>
      </w:pPr>
      <w:r>
        <w:rPr>
          <w:w w:val="95"/>
        </w:rPr>
        <w:t>（一）股份变动情况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before="0"/>
        <w:ind w:left="1016"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60" w:bottom="1160" w:left="600" w:right="0"/>
          <w:cols w:num="2" w:equalWidth="0">
            <w:col w:w="3184" w:space="4924"/>
            <w:col w:w="3202"/>
          </w:cols>
        </w:sectPr>
      </w:pPr>
    </w:p>
    <w:p>
      <w:pPr>
        <w:spacing w:line="240" w:lineRule="auto" w:before="12"/>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821"/>
        <w:gridCol w:w="1146"/>
        <w:gridCol w:w="850"/>
        <w:gridCol w:w="568"/>
        <w:gridCol w:w="566"/>
        <w:gridCol w:w="851"/>
        <w:gridCol w:w="1134"/>
        <w:gridCol w:w="1134"/>
        <w:gridCol w:w="1123"/>
        <w:gridCol w:w="1145"/>
      </w:tblGrid>
      <w:tr>
        <w:trPr>
          <w:trHeight w:val="403"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7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96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60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68" w:right="69"/>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09" w:right="103" w:hanging="105"/>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6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1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6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9" w:space="0" w:color="D2D2D2"/>
              <w:right w:val="single" w:sz="22" w:space="0" w:color="D2D2D2"/>
            </w:tcBorders>
          </w:tcPr>
          <w:p>
            <w:pPr>
              <w:pStyle w:val="TableParagraph"/>
              <w:spacing w:line="240" w:lineRule="auto" w:before="26"/>
              <w:ind w:left="6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送股</w:t>
            </w:r>
            <w:r>
              <w:rPr>
                <w:rFonts w:ascii="宋体" w:hAnsi="宋体" w:cs="宋体" w:eastAsia="宋体" w:hint="default"/>
                <w:sz w:val="21"/>
                <w:szCs w:val="21"/>
              </w:rPr>
            </w:r>
          </w:p>
        </w:tc>
        <w:tc>
          <w:tcPr>
            <w:tcW w:w="851"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5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4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5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0"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9" w:space="0" w:color="D2D2D2"/>
              <w:bottom w:val="nil" w:sz="6" w:space="0" w:color="auto"/>
              <w:right w:val="single" w:sz="22" w:space="0" w:color="D2D2D2"/>
            </w:tcBorders>
          </w:tcPr>
          <w:p>
            <w:pPr/>
          </w:p>
        </w:tc>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bottom w:val="nil" w:sz="6" w:space="0" w:color="auto"/>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3"/>
                <w:sz w:val="21"/>
                <w:szCs w:val="21"/>
              </w:rPr>
              <w:t>、</w:t>
            </w:r>
            <w:r>
              <w:rPr>
                <w:rFonts w:ascii="宋体" w:hAnsi="宋体" w:cs="宋体" w:eastAsia="宋体" w:hint="default"/>
                <w:sz w:val="21"/>
                <w:szCs w:val="21"/>
              </w:rPr>
              <w:t>有限售条件股份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99,259,697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7" w:right="0"/>
              <w:jc w:val="center"/>
              <w:rPr>
                <w:rFonts w:ascii="Times New Roman" w:hAnsi="Times New Roman" w:cs="Times New Roman" w:eastAsia="Times New Roman" w:hint="default"/>
                <w:sz w:val="21"/>
                <w:szCs w:val="21"/>
              </w:rPr>
            </w:pPr>
            <w:r>
              <w:rPr>
                <w:rFonts w:ascii="Times New Roman"/>
                <w:sz w:val="21"/>
              </w:rPr>
              <w:t>26.35%</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-38,807,954</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-38,807,954</w:t>
            </w:r>
            <w:r>
              <w:rPr>
                <w:rFonts w:ascii="Times New Roman"/>
                <w:sz w:val="21"/>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60,451,743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16.05%</w:t>
            </w: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99,259,697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7" w:right="0"/>
              <w:jc w:val="center"/>
              <w:rPr>
                <w:rFonts w:ascii="Times New Roman" w:hAnsi="Times New Roman" w:cs="Times New Roman" w:eastAsia="Times New Roman" w:hint="default"/>
                <w:sz w:val="21"/>
                <w:szCs w:val="21"/>
              </w:rPr>
            </w:pPr>
            <w:r>
              <w:rPr>
                <w:rFonts w:ascii="Times New Roman"/>
                <w:sz w:val="21"/>
              </w:rPr>
              <w:t>26.35%</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-38,807,954</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-38,807,954</w:t>
            </w:r>
            <w:r>
              <w:rPr>
                <w:rFonts w:ascii="Times New Roman"/>
                <w:sz w:val="21"/>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60,451,743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16.04%</w:t>
            </w: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1"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99,259,697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7" w:right="0"/>
              <w:jc w:val="center"/>
              <w:rPr>
                <w:rFonts w:ascii="Times New Roman" w:hAnsi="Times New Roman" w:cs="Times New Roman" w:eastAsia="Times New Roman" w:hint="default"/>
                <w:sz w:val="21"/>
                <w:szCs w:val="21"/>
              </w:rPr>
            </w:pPr>
            <w:r>
              <w:rPr>
                <w:rFonts w:ascii="Times New Roman"/>
                <w:sz w:val="21"/>
              </w:rPr>
              <w:t>26.35%</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-38,807,954</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w w:val="95"/>
                <w:sz w:val="21"/>
              </w:rPr>
              <w:t>-38,807,954</w:t>
            </w:r>
            <w:r>
              <w:rPr>
                <w:rFonts w:ascii="Times New Roman"/>
                <w:sz w:val="21"/>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60,451,743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16.04%</w:t>
            </w: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3"/>
                <w:sz w:val="21"/>
                <w:szCs w:val="21"/>
              </w:rPr>
              <w:t>、</w:t>
            </w:r>
            <w:r>
              <w:rPr>
                <w:rFonts w:ascii="宋体" w:hAnsi="宋体" w:cs="宋体" w:eastAsia="宋体" w:hint="default"/>
                <w:sz w:val="21"/>
                <w:szCs w:val="21"/>
              </w:rPr>
              <w:t>无限售条件股份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277,396,723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7" w:right="0"/>
              <w:jc w:val="center"/>
              <w:rPr>
                <w:rFonts w:ascii="Times New Roman" w:hAnsi="Times New Roman" w:cs="Times New Roman" w:eastAsia="Times New Roman" w:hint="default"/>
                <w:sz w:val="21"/>
                <w:szCs w:val="21"/>
              </w:rPr>
            </w:pPr>
            <w:r>
              <w:rPr>
                <w:rFonts w:ascii="Times New Roman"/>
                <w:sz w:val="21"/>
              </w:rPr>
              <w:t>73.65%</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38,807,954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38,807,954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316,204,677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83.95%</w:t>
            </w: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277,396,723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7" w:right="0"/>
              <w:jc w:val="center"/>
              <w:rPr>
                <w:rFonts w:ascii="Times New Roman" w:hAnsi="Times New Roman" w:cs="Times New Roman" w:eastAsia="Times New Roman" w:hint="default"/>
                <w:sz w:val="21"/>
                <w:szCs w:val="21"/>
              </w:rPr>
            </w:pPr>
            <w:r>
              <w:rPr>
                <w:rFonts w:ascii="Times New Roman"/>
                <w:sz w:val="21"/>
              </w:rPr>
              <w:t>73.65%</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38,807,954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38,807,954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316,204,677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83.95%</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376,656,420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2" w:right="0"/>
              <w:jc w:val="center"/>
              <w:rPr>
                <w:rFonts w:ascii="Times New Roman" w:hAnsi="Times New Roman" w:cs="Times New Roman" w:eastAsia="Times New Roman" w:hint="default"/>
                <w:sz w:val="21"/>
                <w:szCs w:val="21"/>
              </w:rPr>
            </w:pPr>
            <w:r>
              <w:rPr>
                <w:rFonts w:ascii="Times New Roman"/>
                <w:sz w:val="21"/>
              </w:rPr>
              <w:t>100.00%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376,656,420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0"/>
        <w:rPr>
          <w:rFonts w:ascii="宋体" w:hAnsi="宋体" w:cs="宋体" w:eastAsia="宋体" w:hint="default"/>
          <w:sz w:val="4"/>
          <w:szCs w:val="4"/>
        </w:rPr>
      </w:pPr>
    </w:p>
    <w:p>
      <w:pPr>
        <w:pStyle w:val="Heading2"/>
        <w:spacing w:line="240" w:lineRule="auto"/>
        <w:ind w:left="1016" w:right="0"/>
        <w:jc w:val="left"/>
        <w:rPr>
          <w:b w:val="0"/>
          <w:bCs w:val="0"/>
        </w:rPr>
      </w:pPr>
      <w:r>
        <w:rPr/>
        <w:t>股份变动的原因</w:t>
      </w:r>
      <w:r>
        <w:rPr>
          <w:b w:val="0"/>
          <w:bCs w:val="0"/>
        </w:rPr>
      </w:r>
    </w:p>
    <w:p>
      <w:pPr>
        <w:pStyle w:val="BodyText"/>
        <w:spacing w:line="240" w:lineRule="auto" w:before="146"/>
        <w:ind w:left="1013" w:right="0"/>
        <w:jc w:val="left"/>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5"/>
        </w:rPr>
        <w:t> </w:t>
      </w:r>
      <w:r>
        <w:rPr/>
        <w:t>月</w:t>
      </w:r>
      <w:r>
        <w:rPr>
          <w:spacing w:val="-65"/>
        </w:rPr>
        <w:t> </w:t>
      </w:r>
      <w:r>
        <w:rPr>
          <w:rFonts w:ascii="宋体" w:hAnsi="宋体" w:cs="宋体" w:eastAsia="宋体" w:hint="default"/>
        </w:rPr>
        <w:t>22</w:t>
      </w:r>
      <w:r>
        <w:rPr>
          <w:rFonts w:ascii="宋体" w:hAnsi="宋体" w:cs="宋体" w:eastAsia="宋体" w:hint="default"/>
          <w:spacing w:val="-65"/>
        </w:rPr>
        <w:t> </w:t>
      </w:r>
      <w:r>
        <w:rPr/>
        <w:t>日，刘宝利先生、黄继军先生、杜旭升先生、周健先生追加承诺锁定</w:t>
      </w:r>
    </w:p>
    <w:p>
      <w:pPr>
        <w:pStyle w:val="BodyText"/>
        <w:spacing w:line="352" w:lineRule="auto" w:before="145"/>
        <w:ind w:left="533" w:right="1169"/>
        <w:jc w:val="left"/>
      </w:pPr>
      <w:r>
        <w:rPr/>
        <w:t>股份共计</w:t>
      </w:r>
      <w:r>
        <w:rPr>
          <w:spacing w:val="-60"/>
        </w:rPr>
        <w:t> </w:t>
      </w:r>
      <w:r>
        <w:rPr>
          <w:rFonts w:ascii="宋体" w:hAnsi="宋体" w:cs="宋体" w:eastAsia="宋体" w:hint="default"/>
        </w:rPr>
        <w:t>5,477,762</w:t>
      </w:r>
      <w:r>
        <w:rPr>
          <w:rFonts w:ascii="宋体" w:hAnsi="宋体" w:cs="宋体" w:eastAsia="宋体" w:hint="default"/>
          <w:spacing w:val="-60"/>
        </w:rPr>
        <w:t> </w:t>
      </w:r>
      <w:r>
        <w:rPr/>
        <w:t>股解禁上市流通，详见公司刊登于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日巨潮资讯网《关于 追加限售股份上市流通的提示性的公告》（</w:t>
      </w:r>
      <w:r>
        <w:rPr>
          <w:rFonts w:ascii="宋体" w:hAnsi="宋体" w:cs="宋体" w:eastAsia="宋体" w:hint="default"/>
        </w:rPr>
        <w:t>2015-008</w:t>
      </w:r>
      <w:r>
        <w:rPr/>
        <w:t>）。</w:t>
      </w:r>
    </w:p>
    <w:p>
      <w:pPr>
        <w:pStyle w:val="BodyText"/>
        <w:spacing w:line="350" w:lineRule="auto" w:before="32"/>
        <w:ind w:left="533" w:right="1121" w:firstLine="480"/>
        <w:jc w:val="left"/>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64"/>
        </w:rPr>
        <w:t> </w:t>
      </w:r>
      <w:r>
        <w:rPr/>
        <w:t>年</w:t>
      </w:r>
      <w:r>
        <w:rPr>
          <w:spacing w:val="-64"/>
        </w:rPr>
        <w:t> </w:t>
      </w:r>
      <w:r>
        <w:rPr>
          <w:rFonts w:ascii="宋体" w:hAnsi="宋体" w:cs="宋体" w:eastAsia="宋体" w:hint="default"/>
        </w:rPr>
        <w:t>6</w:t>
      </w:r>
      <w:r>
        <w:rPr>
          <w:rFonts w:ascii="宋体" w:hAnsi="宋体" w:cs="宋体" w:eastAsia="宋体" w:hint="default"/>
          <w:spacing w:val="-64"/>
        </w:rPr>
        <w:t> </w:t>
      </w:r>
      <w:r>
        <w:rPr/>
        <w:t>月</w:t>
      </w:r>
      <w:r>
        <w:rPr>
          <w:spacing w:val="-64"/>
        </w:rPr>
        <w:t> </w:t>
      </w:r>
      <w:r>
        <w:rPr>
          <w:rFonts w:ascii="宋体" w:hAnsi="宋体" w:cs="宋体" w:eastAsia="宋体" w:hint="default"/>
        </w:rPr>
        <w:t>1</w:t>
      </w:r>
      <w:r>
        <w:rPr>
          <w:rFonts w:ascii="宋体" w:hAnsi="宋体" w:cs="宋体" w:eastAsia="宋体" w:hint="default"/>
          <w:spacing w:val="-64"/>
        </w:rPr>
        <w:t> </w:t>
      </w:r>
      <w:r>
        <w:rPr/>
        <w:t>日，公司监事于辉先生辞职，截至报告期末，其所持有的</w:t>
      </w:r>
      <w:r>
        <w:rPr>
          <w:spacing w:val="-64"/>
        </w:rPr>
        <w:t> </w:t>
      </w:r>
      <w:r>
        <w:rPr>
          <w:rFonts w:ascii="宋体" w:hAnsi="宋体" w:cs="宋体" w:eastAsia="宋体" w:hint="default"/>
        </w:rPr>
        <w:t>95,845</w:t>
      </w:r>
      <w:r>
        <w:rPr>
          <w:rFonts w:ascii="宋体" w:hAnsi="宋体" w:cs="宋体" w:eastAsia="宋体" w:hint="default"/>
          <w:spacing w:val="-64"/>
        </w:rPr>
        <w:t> </w:t>
      </w:r>
      <w:r>
        <w:rPr/>
        <w:t>股处</w:t>
      </w:r>
      <w:r>
        <w:rPr>
          <w:spacing w:val="1"/>
        </w:rPr>
        <w:t> </w:t>
      </w:r>
      <w:r>
        <w:rPr/>
        <w:t>于锁定状态。</w:t>
      </w:r>
    </w:p>
    <w:p>
      <w:pPr>
        <w:pStyle w:val="BodyText"/>
        <w:spacing w:line="240" w:lineRule="auto"/>
        <w:ind w:left="1013" w:right="0"/>
        <w:jc w:val="left"/>
      </w:pPr>
      <w:r>
        <w:rPr>
          <w:rFonts w:ascii="宋体" w:hAnsi="宋体" w:cs="宋体" w:eastAsia="宋体" w:hint="default"/>
          <w:spacing w:val="-3"/>
        </w:rPr>
        <w:t>3</w:t>
      </w:r>
      <w:r>
        <w:rPr>
          <w:spacing w:val="-3"/>
        </w:rPr>
        <w:t>、公司原监事苗卫东、刘锐、李翀，原高级管理人员胡江平、李新建、郑予君离职期满</w:t>
      </w:r>
    </w:p>
    <w:p>
      <w:pPr>
        <w:spacing w:line="350" w:lineRule="auto" w:before="145"/>
        <w:ind w:left="1016" w:right="6613" w:hanging="483"/>
        <w:jc w:val="left"/>
        <w:rPr>
          <w:rFonts w:ascii="宋体" w:hAnsi="宋体" w:cs="宋体" w:eastAsia="宋体" w:hint="default"/>
          <w:sz w:val="24"/>
          <w:szCs w:val="24"/>
        </w:rPr>
      </w:pPr>
      <w:r>
        <w:rPr>
          <w:rFonts w:ascii="宋体" w:hAnsi="宋体" w:cs="宋体" w:eastAsia="宋体" w:hint="default"/>
          <w:sz w:val="24"/>
          <w:szCs w:val="24"/>
        </w:rPr>
        <w:t>18</w:t>
      </w:r>
      <w:r>
        <w:rPr>
          <w:rFonts w:ascii="宋体" w:hAnsi="宋体" w:cs="宋体" w:eastAsia="宋体" w:hint="default"/>
          <w:spacing w:val="-60"/>
          <w:sz w:val="24"/>
          <w:szCs w:val="24"/>
        </w:rPr>
        <w:t> </w:t>
      </w:r>
      <w:r>
        <w:rPr>
          <w:rFonts w:ascii="宋体" w:hAnsi="宋体" w:cs="宋体" w:eastAsia="宋体" w:hint="default"/>
          <w:sz w:val="24"/>
          <w:szCs w:val="24"/>
        </w:rPr>
        <w:t>个月后，其所持股份全部解除限售。 </w:t>
      </w:r>
      <w:r>
        <w:rPr>
          <w:rFonts w:ascii="宋体" w:hAnsi="宋体" w:cs="宋体" w:eastAsia="宋体" w:hint="default"/>
          <w:b/>
          <w:bCs/>
          <w:sz w:val="24"/>
          <w:szCs w:val="24"/>
        </w:rPr>
        <w:t>股份变动的批准情况</w:t>
      </w:r>
      <w:r>
        <w:rPr>
          <w:rFonts w:ascii="宋体" w:hAnsi="宋体" w:cs="宋体" w:eastAsia="宋体" w:hint="default"/>
          <w:sz w:val="24"/>
          <w:szCs w:val="24"/>
        </w:rPr>
      </w:r>
    </w:p>
    <w:p>
      <w:pPr>
        <w:spacing w:line="350" w:lineRule="auto" w:before="36"/>
        <w:ind w:left="1016" w:right="8101"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股份变动的过户情况</w:t>
      </w:r>
      <w:r>
        <w:rPr>
          <w:rFonts w:ascii="宋体" w:hAnsi="宋体" w:cs="宋体" w:eastAsia="宋体" w:hint="default"/>
          <w:sz w:val="24"/>
          <w:szCs w:val="24"/>
        </w:rPr>
      </w:r>
    </w:p>
    <w:p>
      <w:pPr>
        <w:spacing w:line="352" w:lineRule="auto" w:before="35"/>
        <w:ind w:left="1016" w:right="0"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股份变动对最近一年和最近一期基本每股收益和稀释每股收益、归属于公司普通股股东</w:t>
      </w:r>
      <w:r>
        <w:rPr>
          <w:rFonts w:ascii="宋体" w:hAnsi="宋体" w:cs="宋体" w:eastAsia="宋体" w:hint="default"/>
          <w:sz w:val="24"/>
          <w:szCs w:val="24"/>
        </w:rPr>
      </w:r>
    </w:p>
    <w:p>
      <w:pPr>
        <w:pStyle w:val="Heading2"/>
        <w:spacing w:line="240" w:lineRule="auto" w:before="33"/>
        <w:ind w:left="533" w:right="0"/>
        <w:jc w:val="left"/>
        <w:rPr>
          <w:b w:val="0"/>
          <w:bCs w:val="0"/>
        </w:rPr>
      </w:pPr>
      <w:r>
        <w:rPr/>
        <w:t>的每股净资产等财务指标的影响</w:t>
      </w:r>
      <w:r>
        <w:rPr>
          <w:b w:val="0"/>
          <w:bCs w:val="0"/>
        </w:rPr>
      </w:r>
    </w:p>
    <w:p>
      <w:pPr>
        <w:spacing w:line="352" w:lineRule="auto" w:before="145"/>
        <w:ind w:left="1016" w:right="3237"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公司认为必要或证券监管机构要求披露的其他内容</w:t>
      </w:r>
      <w:r>
        <w:rPr>
          <w:rFonts w:ascii="宋体" w:hAnsi="宋体" w:cs="宋体" w:eastAsia="宋体" w:hint="default"/>
          <w:sz w:val="24"/>
          <w:szCs w:val="24"/>
        </w:rPr>
      </w:r>
    </w:p>
    <w:p>
      <w:pPr>
        <w:spacing w:after="0" w:line="352" w:lineRule="auto"/>
        <w:jc w:val="left"/>
        <w:rPr>
          <w:rFonts w:ascii="宋体" w:hAnsi="宋体" w:cs="宋体" w:eastAsia="宋体" w:hint="default"/>
          <w:sz w:val="24"/>
          <w:szCs w:val="24"/>
        </w:rPr>
        <w:sectPr>
          <w:type w:val="continuous"/>
          <w:pgSz w:w="11910" w:h="16840"/>
          <w:pgMar w:top="1060" w:bottom="1160" w:left="600" w:right="0"/>
        </w:sect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BodyText"/>
        <w:spacing w:line="240" w:lineRule="auto" w:before="199"/>
        <w:ind w:left="634" w:right="0"/>
        <w:jc w:val="left"/>
      </w:pPr>
      <w:r>
        <w:rPr/>
        <w:t>□ 适用 √ 不适用</w:t>
      </w:r>
    </w:p>
    <w:p>
      <w:pPr>
        <w:pStyle w:val="Heading2"/>
        <w:spacing w:line="240" w:lineRule="auto" w:before="145"/>
        <w:ind w:right="0"/>
        <w:jc w:val="left"/>
        <w:rPr>
          <w:b w:val="0"/>
          <w:bCs w:val="0"/>
        </w:rPr>
      </w:pPr>
      <w:r>
        <w:rPr>
          <w:w w:val="95"/>
        </w:rPr>
        <w:t>（二）限售股份变动情况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285" w:space="5035"/>
            <w:col w:w="2610"/>
          </w:cols>
        </w:sectPr>
      </w:pP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7"/>
              <w:jc w:val="right"/>
              <w:rPr>
                <w:rFonts w:ascii="宋体" w:hAnsi="宋体" w:cs="宋体" w:eastAsia="宋体" w:hint="default"/>
                <w:sz w:val="21"/>
                <w:szCs w:val="21"/>
              </w:rPr>
            </w:pPr>
            <w:r>
              <w:rPr>
                <w:rFonts w:ascii="宋体" w:hAnsi="宋体" w:cs="宋体" w:eastAsia="宋体" w:hint="default"/>
                <w:sz w:val="21"/>
                <w:szCs w:val="21"/>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468" w:right="47" w:hanging="420"/>
              <w:jc w:val="left"/>
              <w:rPr>
                <w:rFonts w:ascii="宋体" w:hAnsi="宋体" w:cs="宋体" w:eastAsia="宋体" w:hint="default"/>
                <w:sz w:val="21"/>
                <w:szCs w:val="21"/>
              </w:rPr>
            </w:pPr>
            <w:r>
              <w:rPr>
                <w:rFonts w:ascii="宋体" w:hAnsi="宋体" w:cs="宋体" w:eastAsia="宋体" w:hint="default"/>
                <w:sz w:val="21"/>
                <w:szCs w:val="21"/>
              </w:rPr>
              <w:t>本期解除限售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467" w:right="47" w:hanging="420"/>
              <w:jc w:val="left"/>
              <w:rPr>
                <w:rFonts w:ascii="宋体" w:hAnsi="宋体" w:cs="宋体" w:eastAsia="宋体" w:hint="default"/>
                <w:sz w:val="21"/>
                <w:szCs w:val="21"/>
              </w:rPr>
            </w:pPr>
            <w:r>
              <w:rPr>
                <w:rFonts w:ascii="宋体" w:hAnsi="宋体" w:cs="宋体" w:eastAsia="宋体" w:hint="default"/>
                <w:sz w:val="21"/>
                <w:szCs w:val="21"/>
              </w:rPr>
              <w:t>本期增加限售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7"/>
              <w:jc w:val="right"/>
              <w:rPr>
                <w:rFonts w:ascii="宋体" w:hAnsi="宋体" w:cs="宋体" w:eastAsia="宋体" w:hint="default"/>
                <w:sz w:val="21"/>
                <w:szCs w:val="21"/>
              </w:rPr>
            </w:pPr>
            <w:r>
              <w:rPr>
                <w:rFonts w:ascii="宋体" w:hAnsi="宋体" w:cs="宋体" w:eastAsia="宋体" w:hint="default"/>
                <w:sz w:val="21"/>
                <w:szCs w:val="21"/>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杜旭升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342,380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85,595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256,785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2015-04-22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黄继军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357,967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89,492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268,475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2015-04-22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刘宝利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2,384,177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596,044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1,788,133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2015-04-22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周健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2,393,238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2,393,238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追加锁定承诺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2015-04-22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李翀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5,139,041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5,139,041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2015-08-07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苗卫东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w w:val="95"/>
                <w:sz w:val="21"/>
              </w:rPr>
              <w:t>6,591,113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w w:val="95"/>
                <w:sz w:val="21"/>
              </w:rPr>
              <w:t>6,591,113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2015-08-07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李力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7,291,725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7,291,725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2015-08-07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李新建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187,000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187,000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2015-08-13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于辉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141,142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45,297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95,845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2015-12-02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侯菊艳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2015-01-01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胡江平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9,397,600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9,397,600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2015-8-13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郑予君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84,490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84,490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2015-8-13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张奕敏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137,744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137,743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2015-01-01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刘锐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6,907,100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6,907,100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2015-08-07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41,354,935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38,807,954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2,546,981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pStyle w:val="Heading2"/>
        <w:spacing w:line="240" w:lineRule="auto"/>
        <w:ind w:right="1153"/>
        <w:jc w:val="left"/>
        <w:rPr>
          <w:b w:val="0"/>
          <w:bCs w:val="0"/>
        </w:rPr>
      </w:pPr>
      <w:r>
        <w:rPr/>
        <w:t>二、证券发行与上市情况</w:t>
      </w:r>
      <w:r>
        <w:rPr>
          <w:b w:val="0"/>
          <w:bCs w:val="0"/>
        </w:rPr>
      </w:r>
    </w:p>
    <w:p>
      <w:pPr>
        <w:pStyle w:val="Heading2"/>
        <w:spacing w:line="240" w:lineRule="auto" w:before="145"/>
        <w:ind w:right="115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1413"/>
        <w:gridCol w:w="1849"/>
        <w:gridCol w:w="1134"/>
        <w:gridCol w:w="991"/>
        <w:gridCol w:w="1844"/>
        <w:gridCol w:w="992"/>
        <w:gridCol w:w="1346"/>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80" w:right="70" w:hanging="210"/>
              <w:jc w:val="left"/>
              <w:rPr>
                <w:rFonts w:ascii="宋体" w:hAnsi="宋体" w:cs="宋体" w:eastAsia="宋体" w:hint="default"/>
                <w:sz w:val="21"/>
                <w:szCs w:val="21"/>
              </w:rPr>
            </w:pPr>
            <w:r>
              <w:rPr>
                <w:rFonts w:ascii="宋体" w:hAnsi="宋体" w:cs="宋体" w:eastAsia="宋体" w:hint="default"/>
                <w:sz w:val="21"/>
                <w:szCs w:val="21"/>
              </w:rPr>
              <w:t>股票及其衍生 证券名称</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0" w:right="71"/>
              <w:jc w:val="left"/>
              <w:rPr>
                <w:rFonts w:ascii="宋体" w:hAnsi="宋体" w:cs="宋体" w:eastAsia="宋体" w:hint="default"/>
                <w:sz w:val="21"/>
                <w:szCs w:val="21"/>
              </w:rPr>
            </w:pPr>
            <w:r>
              <w:rPr>
                <w:rFonts w:ascii="宋体" w:hAnsi="宋体" w:cs="宋体" w:eastAsia="宋体" w:hint="default"/>
                <w:sz w:val="21"/>
                <w:szCs w:val="21"/>
              </w:rPr>
              <w:t>获准上市 交易数量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可转换公司债券、分离交易的可转换公司债券、公司债类</w:t>
            </w:r>
          </w:p>
        </w:tc>
      </w:tr>
      <w:tr>
        <w:trPr>
          <w:trHeight w:val="40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 </w:t>
            </w:r>
            <w:r>
              <w:rPr>
                <w:rFonts w:ascii="宋体" w:hAnsi="宋体" w:cs="宋体" w:eastAsia="宋体" w:hint="default"/>
                <w:sz w:val="21"/>
                <w:szCs w:val="21"/>
              </w:rPr>
              <w:t>辉煌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01</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90" w:right="0"/>
              <w:jc w:val="left"/>
              <w:rPr>
                <w:rFonts w:ascii="Times New Roman" w:hAnsi="Times New Roman" w:cs="Times New Roman" w:eastAsia="Times New Roman" w:hint="default"/>
                <w:sz w:val="21"/>
                <w:szCs w:val="21"/>
              </w:rPr>
            </w:pPr>
            <w:r>
              <w:rPr>
                <w:rFonts w:ascii="Times New Roman"/>
                <w:sz w:val="21"/>
              </w:rPr>
              <w:t>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2,500,000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0" w:right="0"/>
              <w:jc w:val="left"/>
              <w:rPr>
                <w:rFonts w:ascii="Times New Roman" w:hAnsi="Times New Roman" w:cs="Times New Roman" w:eastAsia="Times New Roman" w:hint="default"/>
                <w:sz w:val="21"/>
                <w:szCs w:val="21"/>
              </w:rPr>
            </w:pPr>
            <w:r>
              <w:rPr>
                <w:rFonts w:ascii="Times New Roman"/>
                <w:sz w:val="21"/>
              </w:rPr>
              <w:t>2,500,000</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4"/>
          <w:szCs w:val="4"/>
        </w:rPr>
      </w:pPr>
    </w:p>
    <w:p>
      <w:pPr>
        <w:pStyle w:val="Heading2"/>
        <w:spacing w:line="240" w:lineRule="auto"/>
        <w:ind w:right="1153"/>
        <w:jc w:val="left"/>
        <w:rPr>
          <w:b w:val="0"/>
          <w:bCs w:val="0"/>
        </w:rPr>
      </w:pPr>
      <w:r>
        <w:rPr/>
        <w:t>报告期内证券发行（不含优先股）情况的说明</w:t>
      </w:r>
      <w:r>
        <w:rPr>
          <w:b w:val="0"/>
          <w:bCs w:val="0"/>
        </w:rPr>
      </w:r>
    </w:p>
    <w:p>
      <w:pPr>
        <w:pStyle w:val="BodyText"/>
        <w:spacing w:line="240" w:lineRule="auto" w:before="145"/>
        <w:ind w:left="633" w:right="1153"/>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日，经中国证券监督管理委员会发行审核委员会审核，辉煌科技发行公</w:t>
      </w:r>
    </w:p>
    <w:p>
      <w:pPr>
        <w:pStyle w:val="BodyText"/>
        <w:spacing w:line="240" w:lineRule="auto" w:before="145"/>
        <w:ind w:right="1153"/>
        <w:jc w:val="left"/>
      </w:pPr>
      <w:r>
        <w:rPr/>
        <w:t>司债券申请获得通过。</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日，公司收到中国证监会核发的《关于核准河南辉煌</w:t>
      </w:r>
    </w:p>
    <w:p>
      <w:pPr>
        <w:pStyle w:val="BodyText"/>
        <w:spacing w:line="240" w:lineRule="auto" w:before="146"/>
        <w:ind w:left="154" w:right="0"/>
        <w:jc w:val="left"/>
      </w:pPr>
      <w:r>
        <w:rPr/>
        <w:t>科技股份有限公司公开发行公司债券的批复》（证监许可</w:t>
      </w:r>
      <w:r>
        <w:rPr>
          <w:rFonts w:ascii="宋体" w:hAnsi="宋体" w:cs="宋体" w:eastAsia="宋体" w:hint="default"/>
        </w:rPr>
        <w:t>[2014] 926</w:t>
      </w:r>
      <w:r>
        <w:rPr>
          <w:rFonts w:ascii="宋体" w:hAnsi="宋体" w:cs="宋体" w:eastAsia="宋体" w:hint="default"/>
          <w:spacing w:val="-82"/>
        </w:rPr>
        <w:t> </w:t>
      </w:r>
      <w:r>
        <w:rPr/>
        <w:t>号），核准公司向社会</w:t>
      </w:r>
    </w:p>
    <w:p>
      <w:pPr>
        <w:pStyle w:val="BodyText"/>
        <w:spacing w:line="240" w:lineRule="auto" w:before="146"/>
        <w:ind w:right="1153"/>
        <w:jc w:val="left"/>
      </w:pPr>
      <w:r>
        <w:rPr/>
        <w:t>公开发行面值不超过</w:t>
      </w:r>
      <w:r>
        <w:rPr>
          <w:spacing w:val="-60"/>
        </w:rPr>
        <w:t> </w:t>
      </w:r>
      <w:r>
        <w:rPr>
          <w:rFonts w:ascii="宋体" w:hAnsi="宋体" w:cs="宋体" w:eastAsia="宋体" w:hint="default"/>
        </w:rPr>
        <w:t>5</w:t>
      </w:r>
      <w:r>
        <w:rPr>
          <w:rFonts w:ascii="宋体" w:hAnsi="宋体" w:cs="宋体" w:eastAsia="宋体" w:hint="default"/>
          <w:spacing w:val="-60"/>
        </w:rPr>
        <w:t> </w:t>
      </w:r>
      <w:r>
        <w:rPr/>
        <w:t>亿元的公司债券。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日，公司以网下向机构投资者配售</w:t>
      </w:r>
    </w:p>
    <w:p>
      <w:pPr>
        <w:pStyle w:val="BodyText"/>
        <w:spacing w:line="240" w:lineRule="auto" w:before="145"/>
        <w:ind w:right="0"/>
        <w:jc w:val="left"/>
        <w:rPr>
          <w:rFonts w:ascii="宋体" w:hAnsi="宋体" w:cs="宋体" w:eastAsia="宋体" w:hint="default"/>
        </w:rPr>
      </w:pPr>
      <w:r>
        <w:rPr>
          <w:spacing w:val="-3"/>
        </w:rPr>
        <w:t>的方式发行了公司债券（第一期），总额为</w:t>
      </w:r>
      <w:r>
        <w:rPr>
          <w:spacing w:val="-57"/>
        </w:rPr>
        <w:t> </w:t>
      </w:r>
      <w:r>
        <w:rPr>
          <w:rFonts w:ascii="宋体" w:hAnsi="宋体" w:cs="宋体" w:eastAsia="宋体" w:hint="default"/>
        </w:rPr>
        <w:t>2.5</w:t>
      </w:r>
      <w:r>
        <w:rPr>
          <w:rFonts w:ascii="宋体" w:hAnsi="宋体" w:cs="宋体" w:eastAsia="宋体" w:hint="default"/>
          <w:spacing w:val="-57"/>
        </w:rPr>
        <w:t> </w:t>
      </w:r>
      <w:r>
        <w:rPr>
          <w:spacing w:val="-3"/>
        </w:rPr>
        <w:t>亿元，票面利率为</w:t>
      </w:r>
      <w:r>
        <w:rPr>
          <w:spacing w:val="-57"/>
        </w:rPr>
        <w:t> </w:t>
      </w:r>
      <w:r>
        <w:rPr>
          <w:rFonts w:ascii="宋体" w:hAnsi="宋体" w:cs="宋体" w:eastAsia="宋体" w:hint="default"/>
          <w:spacing w:val="-3"/>
        </w:rPr>
        <w:t>9%</w:t>
      </w:r>
      <w:r>
        <w:rPr>
          <w:spacing w:val="-3"/>
        </w:rPr>
        <w:t>。本期债券于</w:t>
      </w:r>
      <w:r>
        <w:rPr>
          <w:spacing w:val="-57"/>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5</w:t>
      </w:r>
    </w:p>
    <w:p>
      <w:pPr>
        <w:pStyle w:val="BodyText"/>
        <w:spacing w:line="240" w:lineRule="auto" w:before="146"/>
        <w:ind w:right="1153"/>
        <w:jc w:val="left"/>
      </w:pPr>
      <w:r>
        <w:rPr/>
        <w:t>月</w:t>
      </w:r>
      <w:r>
        <w:rPr>
          <w:spacing w:val="-60"/>
        </w:rPr>
        <w:t> </w:t>
      </w:r>
      <w:r>
        <w:rPr>
          <w:rFonts w:ascii="宋体" w:hAnsi="宋体" w:cs="宋体" w:eastAsia="宋体" w:hint="default"/>
        </w:rPr>
        <w:t>14</w:t>
      </w:r>
      <w:r>
        <w:rPr>
          <w:rFonts w:ascii="宋体" w:hAnsi="宋体" w:cs="宋体" w:eastAsia="宋体" w:hint="default"/>
          <w:spacing w:val="-60"/>
        </w:rPr>
        <w:t> </w:t>
      </w:r>
      <w:r>
        <w:rPr/>
        <w:t>日通过深圳证券交易所综合协议交易平台挂牌交易。</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left="154" w:right="1229" w:firstLine="480"/>
        <w:jc w:val="both"/>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月，公司启动了</w:t>
      </w:r>
      <w:r>
        <w:rPr>
          <w:spacing w:val="-60"/>
        </w:rPr>
        <w:t> </w:t>
      </w:r>
      <w:r>
        <w:rPr>
          <w:rFonts w:ascii="宋体" w:hAnsi="宋体" w:cs="宋体" w:eastAsia="宋体" w:hint="default"/>
        </w:rPr>
        <w:t>2015</w:t>
      </w:r>
      <w:r>
        <w:rPr>
          <w:rFonts w:ascii="宋体" w:hAnsi="宋体" w:cs="宋体" w:eastAsia="宋体" w:hint="default"/>
          <w:spacing w:val="-60"/>
        </w:rPr>
        <w:t> </w:t>
      </w:r>
      <w:r>
        <w:rPr/>
        <w:t>年度非公开发行，拟向李海鹰、袁亚琴定向增发股票数 量不超过</w:t>
      </w:r>
      <w:r>
        <w:rPr>
          <w:spacing w:val="-60"/>
        </w:rPr>
        <w:t> </w:t>
      </w:r>
      <w:r>
        <w:rPr>
          <w:rFonts w:ascii="宋体" w:hAnsi="宋体" w:cs="宋体" w:eastAsia="宋体" w:hint="default"/>
        </w:rPr>
        <w:t>68,502,350</w:t>
      </w:r>
      <w:r>
        <w:rPr>
          <w:rFonts w:ascii="宋体" w:hAnsi="宋体" w:cs="宋体" w:eastAsia="宋体" w:hint="default"/>
          <w:spacing w:val="-60"/>
        </w:rPr>
        <w:t> </w:t>
      </w:r>
      <w:r>
        <w:rPr/>
        <w:t>股，本次非公开发行业经公司第五届董事会第十四次会议、</w:t>
      </w:r>
      <w:r>
        <w:rPr>
          <w:rFonts w:ascii="宋体" w:hAnsi="宋体" w:cs="宋体" w:eastAsia="宋体" w:hint="default"/>
        </w:rPr>
        <w:t>2015</w:t>
      </w:r>
      <w:r>
        <w:rPr>
          <w:rFonts w:ascii="宋体" w:hAnsi="宋体" w:cs="宋体" w:eastAsia="宋体" w:hint="default"/>
          <w:spacing w:val="-60"/>
        </w:rPr>
        <w:t> </w:t>
      </w:r>
      <w:r>
        <w:rPr/>
        <w:t>年度 第一次临时股东大会审议通过，尚需中国证监会的批准。</w:t>
      </w:r>
    </w:p>
    <w:p>
      <w:pPr>
        <w:spacing w:line="331" w:lineRule="auto" w:before="33"/>
        <w:ind w:left="634" w:right="1152"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、公司股份总数及股东结构的变动、公司资产和负债结构的变动情况说明</w:t>
      </w:r>
      <w:r>
        <w:rPr>
          <w:rFonts w:ascii="宋体" w:hAnsi="宋体" w:cs="宋体" w:eastAsia="宋体" w:hint="default"/>
          <w:b/>
          <w:bCs/>
          <w:w w:val="99"/>
          <w:sz w:val="24"/>
          <w:szCs w:val="24"/>
        </w:rPr>
        <w:t> </w:t>
      </w:r>
      <w:r>
        <w:rPr>
          <w:rFonts w:ascii="宋体" w:hAnsi="宋体" w:cs="宋体" w:eastAsia="宋体" w:hint="default"/>
          <w:sz w:val="24"/>
          <w:szCs w:val="24"/>
        </w:rPr>
        <w:t>报告期内，公司发行了</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亿元的公司债券，使公司负债增加</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亿元，导致公司本报</w:t>
      </w:r>
    </w:p>
    <w:p>
      <w:pPr>
        <w:spacing w:line="350" w:lineRule="auto" w:before="55"/>
        <w:ind w:left="636" w:right="4753" w:hanging="483"/>
        <w:jc w:val="left"/>
        <w:rPr>
          <w:rFonts w:ascii="宋体" w:hAnsi="宋体" w:cs="宋体" w:eastAsia="宋体" w:hint="default"/>
          <w:sz w:val="24"/>
          <w:szCs w:val="24"/>
        </w:rPr>
      </w:pPr>
      <w:r>
        <w:rPr>
          <w:rFonts w:ascii="宋体" w:hAnsi="宋体" w:cs="宋体" w:eastAsia="宋体" w:hint="default"/>
          <w:sz w:val="24"/>
          <w:szCs w:val="24"/>
        </w:rPr>
        <w:t>告期末的资产负债率为</w:t>
      </w:r>
      <w:r>
        <w:rPr>
          <w:rFonts w:ascii="宋体" w:hAnsi="宋体" w:cs="宋体" w:eastAsia="宋体" w:hint="default"/>
          <w:spacing w:val="-60"/>
          <w:sz w:val="24"/>
          <w:szCs w:val="24"/>
        </w:rPr>
        <w:t> </w:t>
      </w:r>
      <w:r>
        <w:rPr>
          <w:rFonts w:ascii="宋体" w:hAnsi="宋体" w:cs="宋体" w:eastAsia="宋体" w:hint="default"/>
          <w:sz w:val="24"/>
          <w:szCs w:val="24"/>
        </w:rPr>
        <w:t>32.27%</w:t>
      </w:r>
      <w:r>
        <w:rPr>
          <w:rFonts w:ascii="宋体" w:hAnsi="宋体" w:cs="宋体" w:eastAsia="宋体" w:hint="default"/>
          <w:sz w:val="24"/>
          <w:szCs w:val="24"/>
        </w:rPr>
        <w:t>，比上年期末增加</w:t>
      </w:r>
      <w:r>
        <w:rPr>
          <w:rFonts w:ascii="宋体" w:hAnsi="宋体" w:cs="宋体" w:eastAsia="宋体" w:hint="default"/>
          <w:spacing w:val="-60"/>
          <w:sz w:val="24"/>
          <w:szCs w:val="24"/>
        </w:rPr>
        <w:t> </w:t>
      </w:r>
      <w:r>
        <w:rPr>
          <w:rFonts w:ascii="宋体" w:hAnsi="宋体" w:cs="宋体" w:eastAsia="宋体" w:hint="default"/>
          <w:sz w:val="24"/>
          <w:szCs w:val="24"/>
        </w:rPr>
        <w:t>4.27%</w:t>
      </w:r>
      <w:r>
        <w:rPr>
          <w:rFonts w:ascii="宋体" w:hAnsi="宋体" w:cs="宋体" w:eastAsia="宋体" w:hint="default"/>
          <w:sz w:val="24"/>
          <w:szCs w:val="24"/>
        </w:rPr>
        <w:t>。 </w:t>
      </w:r>
      <w:r>
        <w:rPr>
          <w:rFonts w:ascii="宋体" w:hAnsi="宋体" w:cs="宋体" w:eastAsia="宋体" w:hint="default"/>
          <w:b/>
          <w:bCs/>
          <w:sz w:val="24"/>
          <w:szCs w:val="24"/>
        </w:rPr>
        <w:t>3</w:t>
      </w:r>
      <w:r>
        <w:rPr>
          <w:rFonts w:ascii="宋体" w:hAnsi="宋体" w:cs="宋体" w:eastAsia="宋体" w:hint="default"/>
          <w:b/>
          <w:bCs/>
          <w:sz w:val="24"/>
          <w:szCs w:val="24"/>
        </w:rPr>
        <w:t>、现存的内部职工股情况</w:t>
      </w:r>
      <w:r>
        <w:rPr>
          <w:rFonts w:ascii="宋体" w:hAnsi="宋体" w:cs="宋体" w:eastAsia="宋体" w:hint="default"/>
          <w:sz w:val="24"/>
          <w:szCs w:val="24"/>
        </w:rPr>
      </w:r>
    </w:p>
    <w:p>
      <w:pPr>
        <w:spacing w:line="352" w:lineRule="auto" w:before="35"/>
        <w:ind w:left="636" w:right="6193"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、公司股东数量及持股情况</w:t>
      </w:r>
      <w:r>
        <w:rPr>
          <w:rFonts w:ascii="宋体" w:hAnsi="宋体" w:cs="宋体" w:eastAsia="宋体" w:hint="default"/>
          <w:sz w:val="24"/>
          <w:szCs w:val="24"/>
        </w:rPr>
      </w:r>
    </w:p>
    <w:p>
      <w:pPr>
        <w:spacing w:line="215" w:lineRule="exact"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190"/>
        <w:gridCol w:w="944"/>
        <w:gridCol w:w="275"/>
        <w:gridCol w:w="859"/>
        <w:gridCol w:w="315"/>
        <w:gridCol w:w="819"/>
        <w:gridCol w:w="399"/>
        <w:gridCol w:w="735"/>
        <w:gridCol w:w="438"/>
        <w:gridCol w:w="553"/>
        <w:gridCol w:w="667"/>
        <w:gridCol w:w="610"/>
        <w:gridCol w:w="563"/>
        <w:gridCol w:w="428"/>
        <w:gridCol w:w="779"/>
      </w:tblGrid>
      <w:tr>
        <w:trPr>
          <w:trHeight w:val="161" w:hRule="exact"/>
        </w:trPr>
        <w:tc>
          <w:tcPr>
            <w:tcW w:w="1184" w:type="dxa"/>
            <w:gridSpan w:val="2"/>
            <w:vMerge w:val="restart"/>
            <w:tcBorders>
              <w:top w:val="single" w:sz="4" w:space="0" w:color="000000"/>
              <w:left w:val="single" w:sz="4" w:space="0" w:color="000000"/>
              <w:right w:val="single" w:sz="4" w:space="0" w:color="000000"/>
            </w:tcBorders>
            <w:shd w:val="clear" w:color="auto" w:fill="D2D2D2"/>
          </w:tcPr>
          <w:p>
            <w:pPr/>
          </w:p>
        </w:tc>
        <w:tc>
          <w:tcPr>
            <w:tcW w:w="1220"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08" w:right="0"/>
              <w:jc w:val="left"/>
              <w:rPr>
                <w:rFonts w:ascii="Times New Roman" w:hAnsi="Times New Roman" w:cs="Times New Roman" w:eastAsia="Times New Roman" w:hint="default"/>
                <w:sz w:val="21"/>
                <w:szCs w:val="21"/>
              </w:rPr>
            </w:pPr>
            <w:r>
              <w:rPr>
                <w:rFonts w:ascii="Times New Roman"/>
                <w:sz w:val="21"/>
              </w:rPr>
              <w:t>59,754</w:t>
            </w:r>
          </w:p>
        </w:tc>
        <w:tc>
          <w:tcPr>
            <w:tcW w:w="117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589" w:right="0"/>
              <w:jc w:val="left"/>
              <w:rPr>
                <w:rFonts w:ascii="Times New Roman" w:hAnsi="Times New Roman" w:cs="Times New Roman" w:eastAsia="Times New Roman" w:hint="default"/>
                <w:sz w:val="21"/>
                <w:szCs w:val="21"/>
              </w:rPr>
            </w:pPr>
            <w:r>
              <w:rPr>
                <w:rFonts w:ascii="Times New Roman"/>
                <w:sz w:val="21"/>
              </w:rPr>
              <w:t>49,661</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5" w:right="0"/>
              <w:jc w:val="center"/>
              <w:rPr>
                <w:rFonts w:ascii="Times New Roman" w:hAnsi="Times New Roman" w:cs="Times New Roman" w:eastAsia="Times New Roman" w:hint="default"/>
                <w:sz w:val="21"/>
                <w:szCs w:val="21"/>
              </w:rPr>
            </w:pPr>
            <w:r>
              <w:rPr>
                <w:rFonts w:ascii="Times New Roman"/>
                <w:sz w:val="21"/>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55" w:right="55"/>
              <w:jc w:val="both"/>
              <w:rPr>
                <w:rFonts w:ascii="宋体" w:hAnsi="宋体" w:cs="宋体" w:eastAsia="宋体" w:hint="default"/>
                <w:sz w:val="21"/>
                <w:szCs w:val="21"/>
              </w:rPr>
            </w:pPr>
            <w:r>
              <w:rPr>
                <w:rFonts w:ascii="宋体" w:hAnsi="宋体" w:cs="宋体" w:eastAsia="宋体" w:hint="default"/>
                <w:sz w:val="21"/>
                <w:szCs w:val="21"/>
              </w:rPr>
              <w:t>年度报告披 露日前上一 月末表决权 恢复的优先 股股东总数</w:t>
            </w:r>
          </w:p>
        </w:tc>
        <w:tc>
          <w:tcPr>
            <w:tcW w:w="12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0"/>
              <w:jc w:val="center"/>
              <w:rPr>
                <w:rFonts w:ascii="Times New Roman" w:hAnsi="Times New Roman" w:cs="Times New Roman" w:eastAsia="Times New Roman" w:hint="default"/>
                <w:sz w:val="21"/>
                <w:szCs w:val="21"/>
              </w:rPr>
            </w:pPr>
            <w:r>
              <w:rPr>
                <w:rFonts w:ascii="Times New Roman"/>
                <w:sz w:val="21"/>
              </w:rPr>
              <w:t>0</w:t>
            </w:r>
          </w:p>
        </w:tc>
      </w:tr>
      <w:tr>
        <w:trPr>
          <w:trHeight w:val="156" w:hRule="exact"/>
        </w:trPr>
        <w:tc>
          <w:tcPr>
            <w:tcW w:w="1184"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 w:right="100"/>
              <w:jc w:val="both"/>
              <w:rPr>
                <w:rFonts w:ascii="宋体" w:hAnsi="宋体" w:cs="宋体" w:eastAsia="宋体" w:hint="default"/>
                <w:sz w:val="21"/>
                <w:szCs w:val="21"/>
              </w:rPr>
            </w:pPr>
            <w:r>
              <w:rPr>
                <w:rFonts w:ascii="宋体" w:hAnsi="宋体" w:cs="宋体" w:eastAsia="宋体" w:hint="default"/>
                <w:sz w:val="21"/>
                <w:szCs w:val="21"/>
              </w:rPr>
              <w:t>年度报告披 露日前上一 月末普通股 股东总数</w:t>
            </w:r>
          </w:p>
        </w:tc>
        <w:tc>
          <w:tcPr>
            <w:tcW w:w="1218" w:type="dxa"/>
            <w:gridSpan w:val="2"/>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1" w:right="101"/>
              <w:jc w:val="both"/>
              <w:rPr>
                <w:rFonts w:ascii="宋体" w:hAnsi="宋体" w:cs="宋体" w:eastAsia="宋体" w:hint="default"/>
                <w:sz w:val="21"/>
                <w:szCs w:val="21"/>
              </w:rPr>
            </w:pPr>
            <w:r>
              <w:rPr>
                <w:rFonts w:ascii="宋体" w:hAnsi="宋体" w:cs="宋体" w:eastAsia="宋体" w:hint="default"/>
                <w:sz w:val="21"/>
                <w:szCs w:val="21"/>
              </w:rPr>
              <w:t>报告期末表 决权恢复的 优先股股东 总数</w:t>
            </w: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016" w:hRule="exact"/>
        </w:trPr>
        <w:tc>
          <w:tcPr>
            <w:tcW w:w="118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22" w:right="99"/>
              <w:jc w:val="both"/>
              <w:rPr>
                <w:rFonts w:ascii="宋体" w:hAnsi="宋体" w:cs="宋体" w:eastAsia="宋体" w:hint="default"/>
                <w:sz w:val="21"/>
                <w:szCs w:val="21"/>
              </w:rPr>
            </w:pPr>
            <w:r>
              <w:rPr>
                <w:rFonts w:ascii="宋体" w:hAnsi="宋体" w:cs="宋体" w:eastAsia="宋体" w:hint="default"/>
                <w:sz w:val="21"/>
                <w:szCs w:val="21"/>
              </w:rPr>
              <w:t>报告期末普 通股股东总 数</w:t>
            </w:r>
          </w:p>
        </w:tc>
        <w:tc>
          <w:tcPr>
            <w:tcW w:w="1220"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56" w:hRule="exact"/>
        </w:trPr>
        <w:tc>
          <w:tcPr>
            <w:tcW w:w="1184" w:type="dxa"/>
            <w:gridSpan w:val="2"/>
            <w:vMerge w:val="restart"/>
            <w:tcBorders>
              <w:top w:val="nil" w:sz="6" w:space="0" w:color="auto"/>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66" w:hRule="exact"/>
        </w:trPr>
        <w:tc>
          <w:tcPr>
            <w:tcW w:w="1184" w:type="dxa"/>
            <w:gridSpan w:val="2"/>
            <w:vMerge/>
            <w:tcBorders>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10" w:space="0" w:color="D2D2D2"/>
              <w:bottom w:val="single" w:sz="4" w:space="0" w:color="000000"/>
              <w:right w:val="single" w:sz="9" w:space="0" w:color="D2D2D2"/>
            </w:tcBorders>
          </w:tcPr>
          <w:p>
            <w:pPr/>
          </w:p>
        </w:tc>
        <w:tc>
          <w:tcPr>
            <w:tcW w:w="11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3" w:space="0" w:color="D2D2D2"/>
              <w:bottom w:val="single" w:sz="4" w:space="0" w:color="000000"/>
              <w:right w:val="single" w:sz="4" w:space="0" w:color="000000"/>
            </w:tcBorders>
          </w:tcPr>
          <w:p>
            <w:pPr/>
          </w:p>
        </w:tc>
      </w:tr>
      <w:tr>
        <w:trPr>
          <w:trHeight w:val="393"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776"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166"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70" w:right="68"/>
              <w:jc w:val="both"/>
              <w:rPr>
                <w:rFonts w:ascii="宋体" w:hAnsi="宋体" w:cs="宋体" w:eastAsia="宋体" w:hint="default"/>
                <w:sz w:val="21"/>
                <w:szCs w:val="21"/>
              </w:rPr>
            </w:pPr>
            <w:r>
              <w:rPr>
                <w:rFonts w:ascii="宋体" w:hAnsi="宋体" w:cs="宋体" w:eastAsia="宋体" w:hint="default"/>
                <w:sz w:val="21"/>
                <w:szCs w:val="21"/>
              </w:rPr>
              <w:t>持有有限 售条件的 股份数量</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0"/>
              <w:ind w:left="107" w:right="107"/>
              <w:jc w:val="center"/>
              <w:rPr>
                <w:rFonts w:ascii="宋体" w:hAnsi="宋体" w:cs="宋体" w:eastAsia="宋体" w:hint="default"/>
                <w:sz w:val="21"/>
                <w:szCs w:val="21"/>
              </w:rPr>
            </w:pPr>
            <w:r>
              <w:rPr>
                <w:rFonts w:ascii="宋体" w:hAnsi="宋体" w:cs="宋体" w:eastAsia="宋体" w:hint="default"/>
                <w:sz w:val="21"/>
                <w:szCs w:val="21"/>
              </w:rPr>
              <w:t>持有无限售 条件的股份 数量</w:t>
            </w:r>
          </w:p>
        </w:tc>
        <w:tc>
          <w:tcPr>
            <w:tcW w:w="17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45"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56"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245" w:right="36" w:hanging="210"/>
              <w:jc w:val="left"/>
              <w:rPr>
                <w:rFonts w:ascii="宋体" w:hAnsi="宋体" w:cs="宋体" w:eastAsia="宋体" w:hint="default"/>
                <w:sz w:val="21"/>
                <w:szCs w:val="21"/>
              </w:rPr>
            </w:pPr>
            <w:r>
              <w:rPr>
                <w:rFonts w:ascii="宋体" w:hAnsi="宋体" w:cs="宋体" w:eastAsia="宋体" w:hint="default"/>
                <w:sz w:val="21"/>
                <w:szCs w:val="21"/>
              </w:rPr>
              <w:t>报告期末持 股数量</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6" w:right="36"/>
              <w:jc w:val="left"/>
              <w:rPr>
                <w:rFonts w:ascii="宋体" w:hAnsi="宋体" w:cs="宋体" w:eastAsia="宋体" w:hint="default"/>
                <w:sz w:val="21"/>
                <w:szCs w:val="21"/>
              </w:rPr>
            </w:pPr>
            <w:r>
              <w:rPr>
                <w:rFonts w:ascii="宋体" w:hAnsi="宋体" w:cs="宋体" w:eastAsia="宋体" w:hint="default"/>
                <w:sz w:val="21"/>
                <w:szCs w:val="21"/>
              </w:rPr>
              <w:t>报告期内增 减变动情况</w:t>
            </w:r>
          </w:p>
        </w:tc>
        <w:tc>
          <w:tcPr>
            <w:tcW w:w="991" w:type="dxa"/>
            <w:gridSpan w:val="2"/>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right w:val="single" w:sz="4" w:space="0" w:color="000000"/>
            </w:tcBorders>
            <w:shd w:val="clear" w:color="auto" w:fill="D2D2D2"/>
          </w:tcPr>
          <w:p>
            <w:pPr/>
          </w:p>
        </w:tc>
        <w:tc>
          <w:tcPr>
            <w:tcW w:w="1770" w:type="dxa"/>
            <w:gridSpan w:val="3"/>
            <w:vMerge/>
            <w:tcBorders>
              <w:left w:val="single" w:sz="4" w:space="0" w:color="000000"/>
              <w:right w:val="single" w:sz="4" w:space="0" w:color="000000"/>
            </w:tcBorders>
            <w:shd w:val="clear" w:color="auto" w:fill="D2D2D2"/>
          </w:tcPr>
          <w:p>
            <w:pPr/>
          </w:p>
        </w:tc>
      </w:tr>
      <w:tr>
        <w:trPr>
          <w:trHeight w:val="141" w:hRule="exact"/>
        </w:trPr>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right w:val="single" w:sz="4" w:space="0" w:color="000000"/>
            </w:tcBorders>
            <w:shd w:val="clear" w:color="auto" w:fill="D2D2D2"/>
          </w:tcPr>
          <w:p>
            <w:pPr/>
          </w:p>
        </w:tc>
        <w:tc>
          <w:tcPr>
            <w:tcW w:w="1770"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70"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7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73"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56"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61"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77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李海鹰</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52" w:right="0"/>
              <w:jc w:val="left"/>
              <w:rPr>
                <w:rFonts w:ascii="Times New Roman" w:hAnsi="Times New Roman" w:cs="Times New Roman" w:eastAsia="Times New Roman" w:hint="default"/>
                <w:sz w:val="21"/>
                <w:szCs w:val="21"/>
              </w:rPr>
            </w:pPr>
            <w:r>
              <w:rPr>
                <w:rFonts w:ascii="Times New Roman"/>
                <w:sz w:val="21"/>
              </w:rPr>
              <w:t>14.61%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5" w:right="0"/>
              <w:jc w:val="left"/>
              <w:rPr>
                <w:rFonts w:ascii="Times New Roman" w:hAnsi="Times New Roman" w:cs="Times New Roman" w:eastAsia="Times New Roman" w:hint="default"/>
                <w:sz w:val="21"/>
                <w:szCs w:val="21"/>
              </w:rPr>
            </w:pPr>
            <w:r>
              <w:rPr>
                <w:rFonts w:ascii="Times New Roman"/>
                <w:sz w:val="21"/>
              </w:rPr>
              <w:t>55,025,600</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8" w:right="0"/>
              <w:jc w:val="left"/>
              <w:rPr>
                <w:rFonts w:ascii="Times New Roman" w:hAnsi="Times New Roman" w:cs="Times New Roman" w:eastAsia="Times New Roman" w:hint="default"/>
                <w:sz w:val="21"/>
                <w:szCs w:val="21"/>
              </w:rPr>
            </w:pPr>
            <w:r>
              <w:rPr>
                <w:rFonts w:ascii="Times New Roman"/>
                <w:sz w:val="21"/>
              </w:rPr>
              <w:t>13,756,400</w:t>
            </w:r>
          </w:p>
        </w:tc>
        <w:tc>
          <w:tcPr>
            <w:tcW w:w="991" w:type="dxa"/>
            <w:gridSpan w:val="2"/>
            <w:tcBorders>
              <w:top w:val="single" w:sz="48" w:space="0" w:color="D2D2D2"/>
              <w:left w:val="single" w:sz="4" w:space="0" w:color="000000"/>
              <w:bottom w:val="single" w:sz="4" w:space="0" w:color="000000"/>
              <w:right w:val="single" w:sz="4" w:space="0" w:color="000000"/>
            </w:tcBorders>
          </w:tcPr>
          <w:p>
            <w:pPr/>
          </w:p>
        </w:tc>
        <w:tc>
          <w:tcPr>
            <w:tcW w:w="779" w:type="dxa"/>
            <w:tcBorders>
              <w:top w:val="single" w:sz="48" w:space="0" w:color="D2D2D2"/>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谢春生</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7" w:right="0"/>
              <w:jc w:val="left"/>
              <w:rPr>
                <w:rFonts w:ascii="Times New Roman" w:hAnsi="Times New Roman" w:cs="Times New Roman" w:eastAsia="Times New Roman" w:hint="default"/>
                <w:sz w:val="21"/>
                <w:szCs w:val="21"/>
              </w:rPr>
            </w:pPr>
            <w:r>
              <w:rPr>
                <w:rFonts w:ascii="Times New Roman"/>
                <w:sz w:val="21"/>
              </w:rPr>
              <w:t>5.89%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5" w:right="0"/>
              <w:jc w:val="left"/>
              <w:rPr>
                <w:rFonts w:ascii="Times New Roman" w:hAnsi="Times New Roman" w:cs="Times New Roman" w:eastAsia="Times New Roman" w:hint="default"/>
                <w:sz w:val="21"/>
                <w:szCs w:val="21"/>
              </w:rPr>
            </w:pPr>
            <w:r>
              <w:rPr>
                <w:rFonts w:ascii="Times New Roman"/>
                <w:sz w:val="21"/>
              </w:rPr>
              <w:t>22,168,000</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3" w:right="0"/>
              <w:jc w:val="left"/>
              <w:rPr>
                <w:rFonts w:ascii="Times New Roman" w:hAnsi="Times New Roman" w:cs="Times New Roman" w:eastAsia="Times New Roman" w:hint="default"/>
                <w:sz w:val="21"/>
                <w:szCs w:val="21"/>
              </w:rPr>
            </w:pPr>
            <w:r>
              <w:rPr>
                <w:rFonts w:ascii="Times New Roman"/>
                <w:sz w:val="21"/>
              </w:rPr>
              <w:t>5,542,000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李力</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7" w:right="0"/>
              <w:jc w:val="left"/>
              <w:rPr>
                <w:rFonts w:ascii="Times New Roman" w:hAnsi="Times New Roman" w:cs="Times New Roman" w:eastAsia="Times New Roman" w:hint="default"/>
                <w:sz w:val="21"/>
                <w:szCs w:val="21"/>
              </w:rPr>
            </w:pPr>
            <w:r>
              <w:rPr>
                <w:rFonts w:ascii="Times New Roman"/>
                <w:sz w:val="21"/>
              </w:rPr>
              <w:t>2.94%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3" w:right="0"/>
              <w:jc w:val="left"/>
              <w:rPr>
                <w:rFonts w:ascii="Times New Roman" w:hAnsi="Times New Roman" w:cs="Times New Roman" w:eastAsia="Times New Roman" w:hint="default"/>
                <w:sz w:val="21"/>
                <w:szCs w:val="21"/>
              </w:rPr>
            </w:pPr>
            <w:r>
              <w:rPr>
                <w:rFonts w:ascii="Times New Roman"/>
                <w:sz w:val="21"/>
              </w:rPr>
              <w:t>11,071,288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0" w:right="0"/>
              <w:jc w:val="left"/>
              <w:rPr>
                <w:rFonts w:ascii="Times New Roman" w:hAnsi="Times New Roman" w:cs="Times New Roman" w:eastAsia="Times New Roman" w:hint="default"/>
                <w:sz w:val="21"/>
                <w:szCs w:val="21"/>
              </w:rPr>
            </w:pPr>
            <w:r>
              <w:rPr>
                <w:rFonts w:ascii="Times New Roman"/>
                <w:sz w:val="21"/>
              </w:rPr>
              <w:t>-3,418,649</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5" w:right="0"/>
              <w:jc w:val="left"/>
              <w:rPr>
                <w:rFonts w:ascii="Times New Roman" w:hAnsi="Times New Roman" w:cs="Times New Roman" w:eastAsia="Times New Roman" w:hint="default"/>
                <w:sz w:val="21"/>
                <w:szCs w:val="21"/>
              </w:rPr>
            </w:pPr>
            <w:r>
              <w:rPr>
                <w:rFonts w:ascii="Times New Roman"/>
                <w:sz w:val="21"/>
              </w:rPr>
              <w:t>11,071,288</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胡江平</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7" w:right="0"/>
              <w:jc w:val="left"/>
              <w:rPr>
                <w:rFonts w:ascii="Times New Roman" w:hAnsi="Times New Roman" w:cs="Times New Roman" w:eastAsia="Times New Roman" w:hint="default"/>
                <w:sz w:val="21"/>
                <w:szCs w:val="21"/>
              </w:rPr>
            </w:pPr>
            <w:r>
              <w:rPr>
                <w:rFonts w:ascii="Times New Roman"/>
                <w:sz w:val="21"/>
              </w:rPr>
              <w:t>2.63%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0" w:right="0"/>
              <w:jc w:val="left"/>
              <w:rPr>
                <w:rFonts w:ascii="Times New Roman" w:hAnsi="Times New Roman" w:cs="Times New Roman" w:eastAsia="Times New Roman" w:hint="default"/>
                <w:sz w:val="21"/>
                <w:szCs w:val="21"/>
              </w:rPr>
            </w:pPr>
            <w:r>
              <w:rPr>
                <w:rFonts w:ascii="Times New Roman"/>
                <w:sz w:val="21"/>
              </w:rPr>
              <w:t>9,897,600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0" w:right="0"/>
              <w:jc w:val="left"/>
              <w:rPr>
                <w:rFonts w:ascii="Times New Roman" w:hAnsi="Times New Roman" w:cs="Times New Roman" w:eastAsia="Times New Roman" w:hint="default"/>
                <w:sz w:val="21"/>
                <w:szCs w:val="21"/>
              </w:rPr>
            </w:pPr>
            <w:r>
              <w:rPr>
                <w:rFonts w:ascii="Times New Roman"/>
                <w:sz w:val="21"/>
              </w:rPr>
              <w:t>-3,000,000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3" w:right="0"/>
              <w:jc w:val="left"/>
              <w:rPr>
                <w:rFonts w:ascii="Times New Roman" w:hAnsi="Times New Roman" w:cs="Times New Roman" w:eastAsia="Times New Roman" w:hint="default"/>
                <w:sz w:val="21"/>
                <w:szCs w:val="21"/>
              </w:rPr>
            </w:pPr>
            <w:r>
              <w:rPr>
                <w:rFonts w:ascii="Times New Roman"/>
                <w:sz w:val="21"/>
              </w:rPr>
              <w:t>9,897,600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刘锐</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7" w:right="0"/>
              <w:jc w:val="left"/>
              <w:rPr>
                <w:rFonts w:ascii="Times New Roman" w:hAnsi="Times New Roman" w:cs="Times New Roman" w:eastAsia="Times New Roman" w:hint="default"/>
                <w:sz w:val="21"/>
                <w:szCs w:val="21"/>
              </w:rPr>
            </w:pPr>
            <w:r>
              <w:rPr>
                <w:rFonts w:ascii="Times New Roman"/>
                <w:sz w:val="21"/>
              </w:rPr>
              <w:t>1.83%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0" w:right="0"/>
              <w:jc w:val="left"/>
              <w:rPr>
                <w:rFonts w:ascii="Times New Roman" w:hAnsi="Times New Roman" w:cs="Times New Roman" w:eastAsia="Times New Roman" w:hint="default"/>
                <w:sz w:val="21"/>
                <w:szCs w:val="21"/>
              </w:rPr>
            </w:pPr>
            <w:r>
              <w:rPr>
                <w:rFonts w:ascii="Times New Roman"/>
                <w:sz w:val="21"/>
              </w:rPr>
              <w:t>6,907,100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0" w:right="0"/>
              <w:jc w:val="left"/>
              <w:rPr>
                <w:rFonts w:ascii="Times New Roman" w:hAnsi="Times New Roman" w:cs="Times New Roman" w:eastAsia="Times New Roman" w:hint="default"/>
                <w:sz w:val="21"/>
                <w:szCs w:val="21"/>
              </w:rPr>
            </w:pPr>
            <w:r>
              <w:rPr>
                <w:rFonts w:ascii="Times New Roman"/>
                <w:sz w:val="21"/>
              </w:rPr>
              <w:t>-3,028,550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3" w:right="0"/>
              <w:jc w:val="left"/>
              <w:rPr>
                <w:rFonts w:ascii="Times New Roman" w:hAnsi="Times New Roman" w:cs="Times New Roman" w:eastAsia="Times New Roman" w:hint="default"/>
                <w:sz w:val="21"/>
                <w:szCs w:val="21"/>
              </w:rPr>
            </w:pPr>
            <w:r>
              <w:rPr>
                <w:rFonts w:ascii="Times New Roman"/>
                <w:sz w:val="21"/>
              </w:rPr>
              <w:t>6,907,100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苗卫东</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7" w:right="0"/>
              <w:jc w:val="left"/>
              <w:rPr>
                <w:rFonts w:ascii="Times New Roman" w:hAnsi="Times New Roman" w:cs="Times New Roman" w:eastAsia="Times New Roman" w:hint="default"/>
                <w:sz w:val="21"/>
                <w:szCs w:val="21"/>
              </w:rPr>
            </w:pPr>
            <w:r>
              <w:rPr>
                <w:rFonts w:ascii="Times New Roman"/>
                <w:sz w:val="21"/>
              </w:rPr>
              <w:t>1.70%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0" w:right="0"/>
              <w:jc w:val="left"/>
              <w:rPr>
                <w:rFonts w:ascii="Times New Roman" w:hAnsi="Times New Roman" w:cs="Times New Roman" w:eastAsia="Times New Roman" w:hint="default"/>
                <w:sz w:val="21"/>
                <w:szCs w:val="21"/>
              </w:rPr>
            </w:pPr>
            <w:r>
              <w:rPr>
                <w:rFonts w:ascii="Times New Roman"/>
                <w:sz w:val="21"/>
              </w:rPr>
              <w:t>6,394,025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0" w:right="0"/>
              <w:jc w:val="left"/>
              <w:rPr>
                <w:rFonts w:ascii="Times New Roman" w:hAnsi="Times New Roman" w:cs="Times New Roman" w:eastAsia="Times New Roman" w:hint="default"/>
                <w:sz w:val="21"/>
                <w:szCs w:val="21"/>
              </w:rPr>
            </w:pPr>
            <w:r>
              <w:rPr>
                <w:rFonts w:ascii="Times New Roman"/>
                <w:sz w:val="21"/>
              </w:rPr>
              <w:t>-1,616,759</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3" w:right="0"/>
              <w:jc w:val="left"/>
              <w:rPr>
                <w:rFonts w:ascii="Times New Roman" w:hAnsi="Times New Roman" w:cs="Times New Roman" w:eastAsia="Times New Roman" w:hint="default"/>
                <w:sz w:val="21"/>
                <w:szCs w:val="21"/>
              </w:rPr>
            </w:pPr>
            <w:r>
              <w:rPr>
                <w:rFonts w:ascii="Times New Roman"/>
                <w:sz w:val="21"/>
              </w:rPr>
              <w:t>6,394,025</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李翀</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7" w:right="0"/>
              <w:jc w:val="left"/>
              <w:rPr>
                <w:rFonts w:ascii="Times New Roman" w:hAnsi="Times New Roman" w:cs="Times New Roman" w:eastAsia="Times New Roman" w:hint="default"/>
                <w:sz w:val="21"/>
                <w:szCs w:val="21"/>
              </w:rPr>
            </w:pPr>
            <w:r>
              <w:rPr>
                <w:rFonts w:ascii="Times New Roman"/>
                <w:sz w:val="21"/>
              </w:rPr>
              <w:t>1.49%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0" w:right="0"/>
              <w:jc w:val="left"/>
              <w:rPr>
                <w:rFonts w:ascii="Times New Roman" w:hAnsi="Times New Roman" w:cs="Times New Roman" w:eastAsia="Times New Roman" w:hint="default"/>
                <w:sz w:val="21"/>
                <w:szCs w:val="21"/>
              </w:rPr>
            </w:pPr>
            <w:r>
              <w:rPr>
                <w:rFonts w:ascii="Times New Roman"/>
                <w:sz w:val="21"/>
              </w:rPr>
              <w:t>5,629,341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0" w:right="0"/>
              <w:jc w:val="left"/>
              <w:rPr>
                <w:rFonts w:ascii="Times New Roman" w:hAnsi="Times New Roman" w:cs="Times New Roman" w:eastAsia="Times New Roman" w:hint="default"/>
                <w:sz w:val="21"/>
                <w:szCs w:val="21"/>
              </w:rPr>
            </w:pPr>
            <w:r>
              <w:rPr>
                <w:rFonts w:ascii="Times New Roman"/>
                <w:sz w:val="21"/>
              </w:rPr>
              <w:t>-3,769,806</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3" w:right="0"/>
              <w:jc w:val="left"/>
              <w:rPr>
                <w:rFonts w:ascii="Times New Roman" w:hAnsi="Times New Roman" w:cs="Times New Roman" w:eastAsia="Times New Roman" w:hint="default"/>
                <w:sz w:val="21"/>
                <w:szCs w:val="21"/>
              </w:rPr>
            </w:pPr>
            <w:r>
              <w:rPr>
                <w:rFonts w:ascii="Times New Roman"/>
                <w:sz w:val="21"/>
              </w:rPr>
              <w:t>5,629,341</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李劲松</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7" w:right="0"/>
              <w:jc w:val="left"/>
              <w:rPr>
                <w:rFonts w:ascii="Times New Roman" w:hAnsi="Times New Roman" w:cs="Times New Roman" w:eastAsia="Times New Roman" w:hint="default"/>
                <w:sz w:val="21"/>
                <w:szCs w:val="21"/>
              </w:rPr>
            </w:pPr>
            <w:r>
              <w:rPr>
                <w:rFonts w:ascii="Times New Roman"/>
                <w:sz w:val="21"/>
              </w:rPr>
              <w:t>1.43%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0" w:right="0"/>
              <w:jc w:val="left"/>
              <w:rPr>
                <w:rFonts w:ascii="Times New Roman" w:hAnsi="Times New Roman" w:cs="Times New Roman" w:eastAsia="Times New Roman" w:hint="default"/>
                <w:sz w:val="21"/>
                <w:szCs w:val="21"/>
              </w:rPr>
            </w:pPr>
            <w:r>
              <w:rPr>
                <w:rFonts w:ascii="Times New Roman"/>
                <w:sz w:val="21"/>
              </w:rPr>
              <w:t>5,388,875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0" w:right="0"/>
              <w:jc w:val="left"/>
              <w:rPr>
                <w:rFonts w:ascii="Times New Roman" w:hAnsi="Times New Roman" w:cs="Times New Roman" w:eastAsia="Times New Roman" w:hint="default"/>
                <w:sz w:val="21"/>
                <w:szCs w:val="21"/>
              </w:rPr>
            </w:pPr>
            <w:r>
              <w:rPr>
                <w:rFonts w:ascii="Times New Roman"/>
                <w:sz w:val="21"/>
              </w:rPr>
              <w:t>-4,068,672</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3" w:right="0"/>
              <w:jc w:val="left"/>
              <w:rPr>
                <w:rFonts w:ascii="Times New Roman" w:hAnsi="Times New Roman" w:cs="Times New Roman" w:eastAsia="Times New Roman" w:hint="default"/>
                <w:sz w:val="21"/>
                <w:szCs w:val="21"/>
              </w:rPr>
            </w:pPr>
            <w:r>
              <w:rPr>
                <w:rFonts w:ascii="Times New Roman"/>
                <w:sz w:val="21"/>
              </w:rPr>
              <w:t>5,388,875</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樊志宏</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7" w:right="0"/>
              <w:jc w:val="left"/>
              <w:rPr>
                <w:rFonts w:ascii="Times New Roman" w:hAnsi="Times New Roman" w:cs="Times New Roman" w:eastAsia="Times New Roman" w:hint="default"/>
                <w:sz w:val="21"/>
                <w:szCs w:val="21"/>
              </w:rPr>
            </w:pPr>
            <w:r>
              <w:rPr>
                <w:rFonts w:ascii="Times New Roman"/>
                <w:sz w:val="21"/>
              </w:rPr>
              <w:t>1.19%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0" w:right="0"/>
              <w:jc w:val="left"/>
              <w:rPr>
                <w:rFonts w:ascii="Times New Roman" w:hAnsi="Times New Roman" w:cs="Times New Roman" w:eastAsia="Times New Roman" w:hint="default"/>
                <w:sz w:val="21"/>
                <w:szCs w:val="21"/>
              </w:rPr>
            </w:pPr>
            <w:r>
              <w:rPr>
                <w:rFonts w:ascii="Times New Roman"/>
                <w:sz w:val="21"/>
              </w:rPr>
              <w:t>4,490,693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0" w:right="0"/>
              <w:jc w:val="left"/>
              <w:rPr>
                <w:rFonts w:ascii="Times New Roman" w:hAnsi="Times New Roman" w:cs="Times New Roman" w:eastAsia="Times New Roman" w:hint="default"/>
                <w:sz w:val="21"/>
                <w:szCs w:val="21"/>
              </w:rPr>
            </w:pPr>
            <w:r>
              <w:rPr>
                <w:rFonts w:ascii="Times New Roman"/>
                <w:sz w:val="21"/>
              </w:rPr>
              <w:t>4,490,693</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3" w:right="0"/>
              <w:jc w:val="left"/>
              <w:rPr>
                <w:rFonts w:ascii="Times New Roman" w:hAnsi="Times New Roman" w:cs="Times New Roman" w:eastAsia="Times New Roman" w:hint="default"/>
                <w:sz w:val="21"/>
                <w:szCs w:val="21"/>
              </w:rPr>
            </w:pPr>
            <w:r>
              <w:rPr>
                <w:rFonts w:ascii="Times New Roman"/>
                <w:sz w:val="21"/>
              </w:rPr>
              <w:t>4,490,693</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李天翔</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7" w:right="0"/>
              <w:jc w:val="left"/>
              <w:rPr>
                <w:rFonts w:ascii="Times New Roman" w:hAnsi="Times New Roman" w:cs="Times New Roman" w:eastAsia="Times New Roman" w:hint="default"/>
                <w:sz w:val="21"/>
                <w:szCs w:val="21"/>
              </w:rPr>
            </w:pPr>
            <w:r>
              <w:rPr>
                <w:rFonts w:ascii="Times New Roman"/>
                <w:sz w:val="21"/>
              </w:rPr>
              <w:t>1.06%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0" w:right="0"/>
              <w:jc w:val="left"/>
              <w:rPr>
                <w:rFonts w:ascii="Times New Roman" w:hAnsi="Times New Roman" w:cs="Times New Roman" w:eastAsia="Times New Roman" w:hint="default"/>
                <w:sz w:val="21"/>
                <w:szCs w:val="21"/>
              </w:rPr>
            </w:pPr>
            <w:r>
              <w:rPr>
                <w:rFonts w:ascii="Times New Roman"/>
                <w:sz w:val="21"/>
              </w:rPr>
              <w:t>4,005,301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0" w:right="0"/>
              <w:jc w:val="left"/>
              <w:rPr>
                <w:rFonts w:ascii="Times New Roman" w:hAnsi="Times New Roman" w:cs="Times New Roman" w:eastAsia="Times New Roman" w:hint="default"/>
                <w:sz w:val="21"/>
                <w:szCs w:val="21"/>
              </w:rPr>
            </w:pPr>
            <w:r>
              <w:rPr>
                <w:rFonts w:ascii="Times New Roman"/>
                <w:sz w:val="21"/>
              </w:rPr>
              <w:t>4,005,301</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3" w:right="0"/>
              <w:jc w:val="left"/>
              <w:rPr>
                <w:rFonts w:ascii="Times New Roman" w:hAnsi="Times New Roman" w:cs="Times New Roman" w:eastAsia="Times New Roman" w:hint="default"/>
                <w:sz w:val="21"/>
                <w:szCs w:val="21"/>
              </w:rPr>
            </w:pPr>
            <w:r>
              <w:rPr>
                <w:rFonts w:ascii="Times New Roman"/>
                <w:sz w:val="21"/>
              </w:rPr>
              <w:t>4,005,301</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03"/>
              <w:jc w:val="both"/>
              <w:rPr>
                <w:rFonts w:ascii="宋体" w:hAnsi="宋体" w:cs="宋体" w:eastAsia="宋体" w:hint="default"/>
                <w:sz w:val="21"/>
                <w:szCs w:val="21"/>
              </w:rPr>
            </w:pPr>
            <w:r>
              <w:rPr>
                <w:rFonts w:ascii="宋体" w:hAnsi="宋体" w:cs="宋体" w:eastAsia="宋体" w:hint="default"/>
                <w:sz w:val="21"/>
                <w:szCs w:val="21"/>
              </w:rPr>
              <w:t>战略投资者或一般法 人因配售新股成为前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名股东的情况</w:t>
            </w:r>
          </w:p>
        </w:tc>
        <w:tc>
          <w:tcPr>
            <w:tcW w:w="744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714" w:hRule="exact"/>
        </w:trPr>
        <w:tc>
          <w:tcPr>
            <w:tcW w:w="21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03"/>
              <w:jc w:val="left"/>
              <w:rPr>
                <w:rFonts w:ascii="宋体" w:hAnsi="宋体" w:cs="宋体" w:eastAsia="宋体" w:hint="default"/>
                <w:sz w:val="21"/>
                <w:szCs w:val="21"/>
              </w:rPr>
            </w:pPr>
            <w:r>
              <w:rPr>
                <w:rFonts w:ascii="宋体" w:hAnsi="宋体" w:cs="宋体" w:eastAsia="宋体" w:hint="default"/>
                <w:sz w:val="21"/>
                <w:szCs w:val="21"/>
              </w:rPr>
              <w:t>上述股东关联关系或 一致行动的说明</w:t>
            </w:r>
          </w:p>
        </w:tc>
        <w:tc>
          <w:tcPr>
            <w:tcW w:w="744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李天翔为李劲松之子，除此之外，上述股东无关联关系，也非一致行动人。</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35"/>
        <w:ind w:left="0" w:right="1125" w:firstLine="0"/>
        <w:jc w:val="right"/>
        <w:rPr>
          <w:rFonts w:ascii="宋体" w:hAnsi="宋体" w:cs="宋体" w:eastAsia="宋体" w:hint="default"/>
          <w:sz w:val="21"/>
          <w:szCs w:val="21"/>
        </w:rPr>
      </w:pPr>
      <w:r>
        <w:rPr/>
        <w:pict>
          <v:shape style="position:absolute;margin-left:56.459999pt;margin-top:-284.746338pt;width:479.2pt;height:364.4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名无限售条件股东持股情况</w:t>
                        </w:r>
                      </w:p>
                    </w:tc>
                  </w:tr>
                  <w:tr>
                    <w:trPr>
                      <w:trHeight w:val="402" w:hRule="exact"/>
                    </w:trPr>
                    <w:tc>
                      <w:tcPr>
                        <w:tcW w:w="2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4"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02" w:hRule="exact"/>
                    </w:trPr>
                    <w:tc>
                      <w:tcPr>
                        <w:tcW w:w="2882" w:type="dxa"/>
                        <w:vMerge/>
                        <w:tcBorders>
                          <w:left w:val="single" w:sz="4" w:space="0" w:color="000000"/>
                          <w:bottom w:val="single" w:sz="4" w:space="0" w:color="000000"/>
                          <w:right w:val="single" w:sz="4" w:space="0" w:color="000000"/>
                        </w:tcBorders>
                        <w:shd w:val="clear" w:color="auto" w:fill="D2D2D2"/>
                      </w:tcPr>
                      <w:p>
                        <w:pPr/>
                      </w:p>
                    </w:tc>
                    <w:tc>
                      <w:tcPr>
                        <w:tcW w:w="399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李海鹰</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13,756,400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13,756,400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李力</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11,071,288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11,071,288</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胡江平</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9,897,600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9,897,600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刘锐</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6,907,100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6,907,100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苗卫东</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6,394,025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6,394,025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李翀</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5,629,341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5,629,341</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谢春生</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5,542,000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5,542,000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李劲松</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5,388,875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5,388,875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樊志宏</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4,490,693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4,490,693</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李天翔</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4,005,301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4,005,301</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名无限售流通股股东之</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间，以及前</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名无限售流通股</w:t>
                        </w:r>
                      </w:p>
                      <w:p>
                        <w:pPr>
                          <w:pStyle w:val="TableParagraph"/>
                          <w:spacing w:line="259" w:lineRule="auto" w:before="21"/>
                          <w:ind w:left="22" w:right="23"/>
                          <w:jc w:val="left"/>
                          <w:rPr>
                            <w:rFonts w:ascii="宋体" w:hAnsi="宋体" w:cs="宋体" w:eastAsia="宋体" w:hint="default"/>
                            <w:sz w:val="21"/>
                            <w:szCs w:val="21"/>
                          </w:rPr>
                        </w:pPr>
                        <w:r>
                          <w:rPr>
                            <w:rFonts w:ascii="宋体" w:hAnsi="宋体" w:cs="宋体" w:eastAsia="宋体" w:hint="default"/>
                            <w:sz w:val="21"/>
                            <w:szCs w:val="21"/>
                          </w:rPr>
                          <w:t>股东和前</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名股东之间关联关 系或一致行动的说明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pacing w:val="-7"/>
                            <w:sz w:val="21"/>
                            <w:szCs w:val="21"/>
                          </w:rPr>
                          <w:t>李天翔为李劲松之子，除此之外，上述股东无关联关系，也非一致行动人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名普通股股东参与融资融 券业务情况说明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35"/>
        <w:ind w:left="576" w:right="0" w:firstLine="0"/>
        <w:jc w:val="left"/>
        <w:rPr>
          <w:rFonts w:ascii="宋体" w:hAnsi="宋体" w:cs="宋体" w:eastAsia="宋体" w:hint="default"/>
          <w:sz w:val="21"/>
          <w:szCs w:val="21"/>
        </w:rPr>
      </w:pPr>
      <w:r>
        <w:rPr>
          <w:rFonts w:ascii="宋体" w:hAnsi="宋体" w:cs="宋体" w:eastAsia="宋体" w:hint="default"/>
          <w:b/>
          <w:bCs/>
          <w:spacing w:val="-7"/>
          <w:sz w:val="21"/>
          <w:szCs w:val="21"/>
        </w:rPr>
        <w:t>注：因</w:t>
      </w:r>
      <w:r>
        <w:rPr>
          <w:rFonts w:ascii="宋体" w:hAnsi="宋体" w:cs="宋体" w:eastAsia="宋体" w:hint="default"/>
          <w:b/>
          <w:bCs/>
          <w:spacing w:val="-62"/>
          <w:sz w:val="21"/>
          <w:szCs w:val="21"/>
        </w:rPr>
        <w:t> </w:t>
      </w:r>
      <w:r>
        <w:rPr>
          <w:rFonts w:ascii="宋体" w:hAnsi="宋体" w:cs="宋体" w:eastAsia="宋体" w:hint="default"/>
          <w:b/>
          <w:bCs/>
          <w:sz w:val="21"/>
          <w:szCs w:val="21"/>
        </w:rPr>
        <w:t>2016</w:t>
      </w:r>
      <w:r>
        <w:rPr>
          <w:rFonts w:ascii="宋体" w:hAnsi="宋体" w:cs="宋体" w:eastAsia="宋体" w:hint="default"/>
          <w:b/>
          <w:bCs/>
          <w:spacing w:val="-63"/>
          <w:sz w:val="21"/>
          <w:szCs w:val="21"/>
        </w:rPr>
        <w:t> </w:t>
      </w:r>
      <w:r>
        <w:rPr>
          <w:rFonts w:ascii="宋体" w:hAnsi="宋体" w:cs="宋体" w:eastAsia="宋体" w:hint="default"/>
          <w:b/>
          <w:bCs/>
          <w:sz w:val="21"/>
          <w:szCs w:val="21"/>
        </w:rPr>
        <w:t>年</w:t>
      </w:r>
      <w:r>
        <w:rPr>
          <w:rFonts w:ascii="宋体" w:hAnsi="宋体" w:cs="宋体" w:eastAsia="宋体" w:hint="default"/>
          <w:b/>
          <w:bCs/>
          <w:spacing w:val="-62"/>
          <w:sz w:val="21"/>
          <w:szCs w:val="21"/>
        </w:rPr>
        <w:t> </w:t>
      </w:r>
      <w:r>
        <w:rPr>
          <w:rFonts w:ascii="宋体" w:hAnsi="宋体" w:cs="宋体" w:eastAsia="宋体" w:hint="default"/>
          <w:b/>
          <w:bCs/>
          <w:sz w:val="21"/>
          <w:szCs w:val="21"/>
        </w:rPr>
        <w:t>2</w:t>
      </w:r>
      <w:r>
        <w:rPr>
          <w:rFonts w:ascii="宋体" w:hAnsi="宋体" w:cs="宋体" w:eastAsia="宋体" w:hint="default"/>
          <w:b/>
          <w:bCs/>
          <w:spacing w:val="-63"/>
          <w:sz w:val="21"/>
          <w:szCs w:val="21"/>
        </w:rPr>
        <w:t> </w:t>
      </w:r>
      <w:r>
        <w:rPr>
          <w:rFonts w:ascii="宋体" w:hAnsi="宋体" w:cs="宋体" w:eastAsia="宋体" w:hint="default"/>
          <w:b/>
          <w:bCs/>
          <w:sz w:val="21"/>
          <w:szCs w:val="21"/>
        </w:rPr>
        <w:t>月</w:t>
      </w:r>
      <w:r>
        <w:rPr>
          <w:rFonts w:ascii="宋体" w:hAnsi="宋体" w:cs="宋体" w:eastAsia="宋体" w:hint="default"/>
          <w:b/>
          <w:bCs/>
          <w:spacing w:val="-64"/>
          <w:sz w:val="21"/>
          <w:szCs w:val="21"/>
        </w:rPr>
        <w:t> </w:t>
      </w:r>
      <w:r>
        <w:rPr>
          <w:rFonts w:ascii="宋体" w:hAnsi="宋体" w:cs="宋体" w:eastAsia="宋体" w:hint="default"/>
          <w:b/>
          <w:bCs/>
          <w:sz w:val="21"/>
          <w:szCs w:val="21"/>
        </w:rPr>
        <w:t>29</w:t>
      </w:r>
      <w:r>
        <w:rPr>
          <w:rFonts w:ascii="宋体" w:hAnsi="宋体" w:cs="宋体" w:eastAsia="宋体" w:hint="default"/>
          <w:b/>
          <w:bCs/>
          <w:spacing w:val="-63"/>
          <w:sz w:val="21"/>
          <w:szCs w:val="21"/>
        </w:rPr>
        <w:t> </w:t>
      </w:r>
      <w:r>
        <w:rPr>
          <w:rFonts w:ascii="宋体" w:hAnsi="宋体" w:cs="宋体" w:eastAsia="宋体" w:hint="default"/>
          <w:b/>
          <w:bCs/>
          <w:sz w:val="21"/>
          <w:szCs w:val="21"/>
        </w:rPr>
        <w:t>日股东数据暂无法取得，故上表中“年度报告披露日前上一月末普通股股东总</w:t>
      </w:r>
      <w:r>
        <w:rPr>
          <w:rFonts w:ascii="宋体" w:hAnsi="宋体" w:cs="宋体" w:eastAsia="宋体" w:hint="default"/>
          <w:sz w:val="21"/>
          <w:szCs w:val="21"/>
        </w:rPr>
      </w:r>
    </w:p>
    <w:p>
      <w:pPr>
        <w:spacing w:before="85"/>
        <w:ind w:left="153" w:right="1153" w:firstLine="0"/>
        <w:jc w:val="left"/>
        <w:rPr>
          <w:rFonts w:ascii="宋体" w:hAnsi="宋体" w:cs="宋体" w:eastAsia="宋体" w:hint="default"/>
          <w:sz w:val="21"/>
          <w:szCs w:val="21"/>
        </w:rPr>
      </w:pPr>
      <w:r>
        <w:rPr>
          <w:rFonts w:ascii="宋体" w:hAnsi="宋体" w:cs="宋体" w:eastAsia="宋体" w:hint="default"/>
          <w:b/>
          <w:bCs/>
          <w:sz w:val="21"/>
          <w:szCs w:val="21"/>
        </w:rPr>
        <w:t>数”为</w:t>
      </w:r>
      <w:r>
        <w:rPr>
          <w:rFonts w:ascii="宋体" w:hAnsi="宋体" w:cs="宋体" w:eastAsia="宋体" w:hint="default"/>
          <w:b/>
          <w:bCs/>
          <w:spacing w:val="-55"/>
          <w:sz w:val="21"/>
          <w:szCs w:val="21"/>
        </w:rPr>
        <w:t> </w:t>
      </w:r>
      <w:r>
        <w:rPr>
          <w:rFonts w:ascii="宋体" w:hAnsi="宋体" w:cs="宋体" w:eastAsia="宋体" w:hint="default"/>
          <w:b/>
          <w:bCs/>
          <w:sz w:val="21"/>
          <w:szCs w:val="21"/>
        </w:rPr>
        <w:t>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26</w:t>
      </w:r>
      <w:r>
        <w:rPr>
          <w:rFonts w:ascii="宋体" w:hAnsi="宋体" w:cs="宋体" w:eastAsia="宋体" w:hint="default"/>
          <w:b/>
          <w:bCs/>
          <w:spacing w:val="-54"/>
          <w:sz w:val="21"/>
          <w:szCs w:val="21"/>
        </w:rPr>
        <w:t> </w:t>
      </w:r>
      <w:r>
        <w:rPr>
          <w:rFonts w:ascii="宋体" w:hAnsi="宋体" w:cs="宋体" w:eastAsia="宋体" w:hint="default"/>
          <w:b/>
          <w:bCs/>
          <w:sz w:val="21"/>
          <w:szCs w:val="21"/>
        </w:rPr>
        <w:t>日数据。公司将在</w:t>
      </w:r>
      <w:r>
        <w:rPr>
          <w:rFonts w:ascii="宋体" w:hAnsi="宋体" w:cs="宋体" w:eastAsia="宋体" w:hint="default"/>
          <w:b/>
          <w:bCs/>
          <w:spacing w:val="-55"/>
          <w:sz w:val="21"/>
          <w:szCs w:val="21"/>
        </w:rPr>
        <w:t> </w:t>
      </w:r>
      <w:r>
        <w:rPr>
          <w:rFonts w:ascii="宋体" w:hAnsi="宋体" w:cs="宋体" w:eastAsia="宋体" w:hint="default"/>
          <w:b/>
          <w:bCs/>
          <w:sz w:val="21"/>
          <w:szCs w:val="21"/>
        </w:rPr>
        <w:t>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6"/>
          <w:sz w:val="21"/>
          <w:szCs w:val="21"/>
        </w:rPr>
        <w:t> </w:t>
      </w:r>
      <w:r>
        <w:rPr>
          <w:rFonts w:ascii="宋体" w:hAnsi="宋体" w:cs="宋体" w:eastAsia="宋体" w:hint="default"/>
          <w:b/>
          <w:bCs/>
          <w:sz w:val="21"/>
          <w:szCs w:val="21"/>
        </w:rPr>
        <w:t>29</w:t>
      </w:r>
      <w:r>
        <w:rPr>
          <w:rFonts w:ascii="宋体" w:hAnsi="宋体" w:cs="宋体" w:eastAsia="宋体" w:hint="default"/>
          <w:b/>
          <w:bCs/>
          <w:spacing w:val="-53"/>
          <w:sz w:val="21"/>
          <w:szCs w:val="21"/>
        </w:rPr>
        <w:t> </w:t>
      </w:r>
      <w:r>
        <w:rPr>
          <w:rFonts w:ascii="宋体" w:hAnsi="宋体" w:cs="宋体" w:eastAsia="宋体" w:hint="default"/>
          <w:b/>
          <w:bCs/>
          <w:sz w:val="21"/>
          <w:szCs w:val="21"/>
        </w:rPr>
        <w:t>日的股东人数下发后及时披露。</w:t>
      </w:r>
      <w:r>
        <w:rPr>
          <w:rFonts w:ascii="宋体" w:hAnsi="宋体" w:cs="宋体" w:eastAsia="宋体" w:hint="default"/>
          <w:sz w:val="21"/>
          <w:szCs w:val="21"/>
        </w:rPr>
      </w:r>
    </w:p>
    <w:p>
      <w:pPr>
        <w:pStyle w:val="BodyText"/>
        <w:spacing w:line="352" w:lineRule="auto" w:before="130"/>
        <w:ind w:right="1153" w:firstLine="480"/>
        <w:jc w:val="left"/>
      </w:pPr>
      <w:r>
        <w:rPr/>
        <w:t>公司前</w:t>
      </w:r>
      <w:r>
        <w:rPr>
          <w:spacing w:val="-60"/>
        </w:rPr>
        <w:t> </w:t>
      </w:r>
      <w:r>
        <w:rPr>
          <w:rFonts w:ascii="宋体" w:hAnsi="宋体" w:cs="宋体" w:eastAsia="宋体" w:hint="default"/>
        </w:rPr>
        <w:t>10</w:t>
      </w:r>
      <w:r>
        <w:rPr>
          <w:rFonts w:ascii="宋体" w:hAnsi="宋体" w:cs="宋体" w:eastAsia="宋体" w:hint="default"/>
          <w:spacing w:val="-60"/>
        </w:rPr>
        <w:t> </w:t>
      </w:r>
      <w:r>
        <w:rPr/>
        <w:t>名普通股股东、前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名无限售条件普通股股东在报告期内未进行约定购回交 易。</w:t>
      </w:r>
    </w:p>
    <w:p>
      <w:pPr>
        <w:spacing w:line="345" w:lineRule="auto" w:before="32"/>
        <w:ind w:left="633" w:right="690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、公司控股股东情况</w:t>
      </w:r>
      <w:r>
        <w:rPr>
          <w:rFonts w:ascii="宋体" w:hAnsi="宋体" w:cs="宋体" w:eastAsia="宋体" w:hint="default"/>
          <w:b/>
          <w:bCs/>
          <w:w w:val="99"/>
          <w:sz w:val="24"/>
          <w:szCs w:val="24"/>
        </w:rPr>
        <w:t> </w:t>
      </w:r>
      <w:r>
        <w:rPr>
          <w:rFonts w:ascii="宋体" w:hAnsi="宋体" w:cs="宋体" w:eastAsia="宋体" w:hint="default"/>
          <w:sz w:val="24"/>
          <w:szCs w:val="24"/>
        </w:rPr>
        <w:t>控股股东性质：无控股主体 控股股东类型：不存在 </w:t>
      </w:r>
      <w:r>
        <w:rPr>
          <w:rFonts w:ascii="宋体" w:hAnsi="宋体" w:cs="宋体" w:eastAsia="宋体" w:hint="default"/>
          <w:b/>
          <w:bCs/>
          <w:sz w:val="24"/>
          <w:szCs w:val="24"/>
        </w:rPr>
        <w:t>公司不存在控股股东情况的说明</w:t>
      </w:r>
      <w:r>
        <w:rPr>
          <w:rFonts w:ascii="宋体" w:hAnsi="宋体" w:cs="宋体" w:eastAsia="宋体" w:hint="default"/>
          <w:sz w:val="24"/>
          <w:szCs w:val="24"/>
        </w:rPr>
      </w:r>
    </w:p>
    <w:p>
      <w:pPr>
        <w:pStyle w:val="BodyText"/>
        <w:spacing w:line="352" w:lineRule="auto" w:before="40"/>
        <w:ind w:right="1229" w:firstLine="480"/>
        <w:jc w:val="both"/>
      </w:pPr>
      <w:r>
        <w:rPr/>
        <w:t>公司股权分散，不存在持有的股份占公司股本总额</w:t>
      </w:r>
      <w:r>
        <w:rPr>
          <w:spacing w:val="-60"/>
        </w:rPr>
        <w:t> </w:t>
      </w:r>
      <w:r>
        <w:rPr>
          <w:rFonts w:ascii="宋体" w:hAnsi="宋体" w:cs="宋体" w:eastAsia="宋体" w:hint="default"/>
        </w:rPr>
        <w:t>50%</w:t>
      </w:r>
      <w:r>
        <w:rPr/>
        <w:t>以上的股东；也不存在持有股份 的比例虽然不足</w:t>
      </w:r>
      <w:r>
        <w:rPr>
          <w:spacing w:val="-60"/>
        </w:rPr>
        <w:t> </w:t>
      </w:r>
      <w:r>
        <w:rPr>
          <w:rFonts w:ascii="宋体" w:hAnsi="宋体" w:cs="宋体" w:eastAsia="宋体" w:hint="default"/>
        </w:rPr>
        <w:t>50%</w:t>
      </w:r>
      <w:r>
        <w:rPr/>
        <w:t>，但依其持有的股份所享有的表决权已足以对股东会、股东大会的决议 产生重大影响的股东。</w:t>
      </w:r>
    </w:p>
    <w:p>
      <w:pPr>
        <w:spacing w:line="343" w:lineRule="auto" w:before="32"/>
        <w:ind w:left="633" w:right="691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、公司实际控制人情况</w:t>
      </w:r>
      <w:r>
        <w:rPr>
          <w:rFonts w:ascii="宋体" w:hAnsi="宋体" w:cs="宋体" w:eastAsia="宋体" w:hint="default"/>
          <w:b/>
          <w:bCs/>
          <w:w w:val="99"/>
          <w:sz w:val="24"/>
          <w:szCs w:val="24"/>
        </w:rPr>
        <w:t> </w:t>
      </w:r>
      <w:r>
        <w:rPr>
          <w:rFonts w:ascii="宋体" w:hAnsi="宋体" w:cs="宋体" w:eastAsia="宋体" w:hint="default"/>
          <w:sz w:val="24"/>
          <w:szCs w:val="24"/>
        </w:rPr>
        <w:t>实际控制人性质：无实际控制人 实际控制人类型：不存在</w:t>
      </w:r>
    </w:p>
    <w:p>
      <w:pPr>
        <w:spacing w:after="0" w:line="343"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1153"/>
        <w:jc w:val="left"/>
        <w:rPr>
          <w:b w:val="0"/>
          <w:bCs w:val="0"/>
        </w:rPr>
      </w:pPr>
      <w:r>
        <w:rPr/>
        <w:t>公司不存在实际控制人情况的说明</w:t>
      </w:r>
      <w:r>
        <w:rPr>
          <w:b w:val="0"/>
          <w:bCs w:val="0"/>
        </w:rPr>
      </w:r>
    </w:p>
    <w:p>
      <w:pPr>
        <w:pStyle w:val="BodyText"/>
        <w:spacing w:line="352" w:lineRule="auto" w:before="145"/>
        <w:ind w:right="1003" w:firstLine="480"/>
        <w:jc w:val="left"/>
      </w:pPr>
      <w:r>
        <w:rPr/>
        <w:t>公司目前不存在以下情况：（</w:t>
      </w:r>
      <w:r>
        <w:rPr>
          <w:rFonts w:ascii="宋体" w:hAnsi="宋体" w:cs="宋体" w:eastAsia="宋体" w:hint="default"/>
        </w:rPr>
        <w:t>1</w:t>
      </w:r>
      <w:r>
        <w:rPr/>
        <w:t>）持股</w:t>
      </w:r>
      <w:r>
        <w:rPr>
          <w:spacing w:val="-61"/>
        </w:rPr>
        <w:t> </w:t>
      </w:r>
      <w:r>
        <w:rPr>
          <w:rFonts w:ascii="宋体" w:hAnsi="宋体" w:cs="宋体" w:eastAsia="宋体" w:hint="default"/>
        </w:rPr>
        <w:t>50%</w:t>
      </w:r>
      <w:r>
        <w:rPr/>
        <w:t>以上控股股东；（</w:t>
      </w:r>
      <w:r>
        <w:rPr>
          <w:rFonts w:ascii="宋体" w:hAnsi="宋体" w:cs="宋体" w:eastAsia="宋体" w:hint="default"/>
        </w:rPr>
        <w:t>2</w:t>
      </w:r>
      <w:r>
        <w:rPr/>
        <w:t>）实际支配公司表决权超 过</w:t>
      </w:r>
      <w:r>
        <w:rPr>
          <w:spacing w:val="-68"/>
        </w:rPr>
        <w:t> </w:t>
      </w:r>
      <w:r>
        <w:rPr>
          <w:rFonts w:ascii="宋体" w:hAnsi="宋体" w:cs="宋体" w:eastAsia="宋体" w:hint="default"/>
        </w:rPr>
        <w:t>30%</w:t>
      </w:r>
      <w:r>
        <w:rPr/>
        <w:t>的股东；（</w:t>
      </w:r>
      <w:r>
        <w:rPr>
          <w:rFonts w:ascii="宋体" w:hAnsi="宋体" w:cs="宋体" w:eastAsia="宋体" w:hint="default"/>
        </w:rPr>
        <w:t>3</w:t>
      </w:r>
      <w:r>
        <w:rPr/>
        <w:t>）通过实际支配公司股份表决权能够决定公司董事会半数以上成员选任的 </w:t>
      </w:r>
      <w:r>
        <w:rPr>
          <w:spacing w:val="-5"/>
        </w:rPr>
        <w:t>股东；（</w:t>
      </w:r>
      <w:r>
        <w:rPr>
          <w:rFonts w:ascii="宋体" w:hAnsi="宋体" w:cs="宋体" w:eastAsia="宋体" w:hint="default"/>
          <w:spacing w:val="-5"/>
        </w:rPr>
        <w:t>4</w:t>
      </w:r>
      <w:r>
        <w:rPr>
          <w:spacing w:val="-5"/>
        </w:rPr>
        <w:t>）股东依其可实际支配的公司股份表决权足以对公司股东大会的决议产生重大影响。</w:t>
      </w:r>
      <w:r>
        <w:rPr>
          <w:spacing w:val="-113"/>
        </w:rPr>
        <w:t> </w:t>
      </w:r>
      <w:r>
        <w:rPr>
          <w:spacing w:val="-113"/>
        </w:rPr>
      </w:r>
      <w:r>
        <w:rPr/>
        <w:t>故公司不存在实际控制人。</w:t>
      </w:r>
    </w:p>
    <w:p>
      <w:pPr>
        <w:pStyle w:val="BodyText"/>
        <w:spacing w:line="240" w:lineRule="auto" w:before="34"/>
        <w:ind w:left="634" w:right="0"/>
        <w:jc w:val="left"/>
      </w:pPr>
      <w:r>
        <w:rPr>
          <w:rFonts w:ascii="宋体" w:hAnsi="宋体" w:cs="宋体" w:eastAsia="宋体" w:hint="default"/>
        </w:rPr>
        <w:t>2015</w:t>
      </w:r>
      <w:r>
        <w:rPr>
          <w:rFonts w:ascii="宋体" w:hAnsi="宋体" w:cs="宋体" w:eastAsia="宋体" w:hint="default"/>
          <w:spacing w:val="-82"/>
        </w:rPr>
        <w:t> </w:t>
      </w:r>
      <w:r>
        <w:rPr/>
        <w:t>年公司启动了非公开发行，拟对公司的第一大股东、董事长李海鹰先生及其一致行</w:t>
      </w:r>
    </w:p>
    <w:p>
      <w:pPr>
        <w:pStyle w:val="BodyText"/>
        <w:spacing w:line="350" w:lineRule="auto" w:before="145"/>
        <w:ind w:left="154" w:right="1092"/>
        <w:jc w:val="left"/>
      </w:pPr>
      <w:r>
        <w:rPr/>
        <w:t>动人袁亚琴女士发行股份不超过</w:t>
      </w:r>
      <w:r>
        <w:rPr>
          <w:spacing w:val="-60"/>
        </w:rPr>
        <w:t> </w:t>
      </w:r>
      <w:r>
        <w:rPr>
          <w:rFonts w:ascii="宋体" w:hAnsi="宋体" w:cs="宋体" w:eastAsia="宋体" w:hint="default"/>
        </w:rPr>
        <w:t>68,502,350</w:t>
      </w:r>
      <w:r>
        <w:rPr>
          <w:rFonts w:ascii="宋体" w:hAnsi="宋体" w:cs="宋体" w:eastAsia="宋体" w:hint="default"/>
          <w:spacing w:val="-60"/>
        </w:rPr>
        <w:t> </w:t>
      </w:r>
      <w:r>
        <w:rPr>
          <w:spacing w:val="-4"/>
        </w:rPr>
        <w:t>股。如果本次非公开发行成功，李海鹰及其一致</w:t>
      </w:r>
      <w:r>
        <w:rPr/>
        <w:t> 行动人的合计持股比例将上升为不超过</w:t>
      </w:r>
      <w:r>
        <w:rPr>
          <w:spacing w:val="-60"/>
        </w:rPr>
        <w:t> </w:t>
      </w:r>
      <w:r>
        <w:rPr>
          <w:rFonts w:ascii="宋体" w:hAnsi="宋体" w:cs="宋体" w:eastAsia="宋体" w:hint="default"/>
        </w:rPr>
        <w:t>28.34%</w:t>
      </w:r>
      <w:r>
        <w:rPr/>
        <w:t>，李海鹰先生将成为辉煌科技的实际控制人。</w:t>
      </w:r>
    </w:p>
    <w:p>
      <w:pPr>
        <w:pStyle w:val="Heading2"/>
        <w:spacing w:line="240" w:lineRule="auto" w:before="36"/>
        <w:ind w:right="1153"/>
        <w:jc w:val="left"/>
        <w:rPr>
          <w:b w:val="0"/>
          <w:bCs w:val="0"/>
        </w:rPr>
      </w:pPr>
      <w:r>
        <w:rPr/>
        <w:t>公司最终控制层面是否存在持股比例在</w:t>
      </w:r>
      <w:r>
        <w:rPr>
          <w:spacing w:val="-79"/>
        </w:rPr>
        <w:t> </w:t>
      </w:r>
      <w:r>
        <w:rPr>
          <w:rFonts w:ascii="宋体" w:hAnsi="宋体" w:cs="宋体" w:eastAsia="宋体" w:hint="default"/>
        </w:rPr>
        <w:t>10%</w:t>
      </w:r>
      <w:r>
        <w:rPr/>
        <w:t>以上的股东情况</w:t>
      </w:r>
      <w:r>
        <w:rPr>
          <w:b w:val="0"/>
          <w:bCs w:val="0"/>
        </w:rPr>
      </w:r>
    </w:p>
    <w:p>
      <w:pPr>
        <w:spacing w:line="350" w:lineRule="auto" w:before="145"/>
        <w:ind w:left="636" w:right="7753" w:hanging="3"/>
        <w:jc w:val="left"/>
        <w:rPr>
          <w:rFonts w:ascii="宋体" w:hAnsi="宋体" w:cs="宋体" w:eastAsia="宋体" w:hint="default"/>
          <w:sz w:val="24"/>
          <w:szCs w:val="24"/>
        </w:rPr>
      </w:pPr>
      <w:r>
        <w:rPr/>
        <w:pict>
          <v:shape style="position:absolute;margin-left:56.459999pt;margin-top:48.865604pt;width:479.2pt;height:80.9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0"/>
                    <w:gridCol w:w="1985"/>
                    <w:gridCol w:w="3614"/>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最终控制层面股东姓名</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李海鹰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主要职业及职务</w:t>
                        </w:r>
                      </w:p>
                    </w:tc>
                    <w:tc>
                      <w:tcPr>
                        <w:tcW w:w="559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101"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年一直担任辉煌科技董事长。</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559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rFonts w:ascii="宋体" w:hAnsi="宋体" w:cs="宋体" w:eastAsia="宋体" w:hint="default"/>
          <w:sz w:val="24"/>
          <w:szCs w:val="24"/>
        </w:rPr>
        <w:t>√ 是 □ 否 </w:t>
      </w:r>
      <w:r>
        <w:rPr>
          <w:rFonts w:ascii="宋体" w:hAnsi="宋体" w:cs="宋体" w:eastAsia="宋体" w:hint="default"/>
          <w:b/>
          <w:bCs/>
          <w:w w:val="95"/>
          <w:sz w:val="24"/>
          <w:szCs w:val="24"/>
        </w:rPr>
        <w:t>最终控制层面持股情况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spacing w:line="350" w:lineRule="auto" w:before="26"/>
        <w:ind w:left="636" w:right="4153" w:hanging="3"/>
        <w:jc w:val="left"/>
        <w:rPr>
          <w:rFonts w:ascii="宋体" w:hAnsi="宋体" w:cs="宋体" w:eastAsia="宋体" w:hint="default"/>
          <w:sz w:val="24"/>
          <w:szCs w:val="24"/>
        </w:rPr>
      </w:pPr>
      <w:r>
        <w:rPr>
          <w:rFonts w:ascii="宋体" w:hAnsi="宋体" w:cs="宋体" w:eastAsia="宋体" w:hint="default"/>
          <w:sz w:val="24"/>
          <w:szCs w:val="24"/>
        </w:rPr>
        <w:t>公司报告期实际控制人未发生变更。 </w:t>
      </w:r>
      <w:r>
        <w:rPr>
          <w:rFonts w:ascii="宋体" w:hAnsi="宋体" w:cs="宋体" w:eastAsia="宋体" w:hint="default"/>
          <w:b/>
          <w:bCs/>
          <w:w w:val="95"/>
          <w:sz w:val="24"/>
          <w:szCs w:val="24"/>
        </w:rPr>
        <w:t>公司与实际控制人之间的产权及控制关系的方框图</w:t>
      </w:r>
      <w:r>
        <w:rPr>
          <w:rFonts w:ascii="宋体" w:hAnsi="宋体" w:cs="宋体" w:eastAsia="宋体" w:hint="default"/>
          <w:sz w:val="24"/>
          <w:szCs w:val="24"/>
        </w:rPr>
      </w:r>
    </w:p>
    <w:p>
      <w:pPr>
        <w:spacing w:line="240" w:lineRule="auto" w:before="13"/>
        <w:rPr>
          <w:rFonts w:ascii="宋体" w:hAnsi="宋体" w:cs="宋体" w:eastAsia="宋体" w:hint="default"/>
          <w:b/>
          <w:bCs/>
          <w:sz w:val="13"/>
          <w:szCs w:val="13"/>
        </w:rPr>
      </w:pPr>
    </w:p>
    <w:p>
      <w:pPr>
        <w:spacing w:line="2742" w:lineRule="exact"/>
        <w:ind w:left="2872"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2672460" cy="174136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2672460" cy="1741360"/>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5"/>
        <w:rPr>
          <w:rFonts w:ascii="宋体" w:hAnsi="宋体" w:cs="宋体" w:eastAsia="宋体" w:hint="default"/>
          <w:b/>
          <w:bCs/>
          <w:sz w:val="24"/>
          <w:szCs w:val="24"/>
        </w:rPr>
      </w:pPr>
    </w:p>
    <w:p>
      <w:pPr>
        <w:pStyle w:val="Heading2"/>
        <w:spacing w:line="240" w:lineRule="auto" w:before="0"/>
        <w:ind w:right="1153"/>
        <w:jc w:val="left"/>
        <w:rPr>
          <w:b w:val="0"/>
          <w:bCs w:val="0"/>
        </w:rPr>
      </w:pPr>
      <w:r>
        <w:rPr/>
        <w:t>实际控制人通过信托或其他资产管理方式控制公司</w:t>
      </w:r>
      <w:r>
        <w:rPr>
          <w:b w:val="0"/>
          <w:bCs w:val="0"/>
        </w:rPr>
      </w:r>
    </w:p>
    <w:p>
      <w:pPr>
        <w:pStyle w:val="BodyText"/>
        <w:spacing w:line="240" w:lineRule="auto" w:before="145"/>
        <w:ind w:left="633" w:right="1153"/>
        <w:jc w:val="left"/>
      </w:pPr>
      <w:r>
        <w:rPr/>
        <w:t>□ 适用 √ 不适用</w:t>
      </w:r>
    </w:p>
    <w:p>
      <w:pPr>
        <w:pStyle w:val="Heading2"/>
        <w:spacing w:line="240" w:lineRule="auto" w:before="146"/>
        <w:ind w:right="1153"/>
        <w:jc w:val="left"/>
        <w:rPr>
          <w:b w:val="0"/>
          <w:bCs w:val="0"/>
        </w:rPr>
      </w:pPr>
      <w:r>
        <w:rPr>
          <w:rFonts w:ascii="Times New Roman" w:hAnsi="Times New Roman" w:cs="Times New Roman" w:eastAsia="Times New Roman" w:hint="default"/>
        </w:rPr>
        <w:t>4</w:t>
      </w:r>
      <w:r>
        <w:rPr/>
        <w:t>、其他持股在</w:t>
      </w:r>
      <w:r>
        <w:rPr>
          <w:spacing w:val="-73"/>
        </w:rPr>
        <w:t> </w:t>
      </w:r>
      <w:r>
        <w:rPr>
          <w:rFonts w:ascii="Times New Roman" w:hAnsi="Times New Roman" w:cs="Times New Roman" w:eastAsia="Times New Roman" w:hint="default"/>
        </w:rPr>
        <w:t>10%</w:t>
      </w:r>
      <w:r>
        <w:rPr/>
        <w:t>以上的法人股东</w:t>
      </w:r>
      <w:r>
        <w:rPr>
          <w:b w:val="0"/>
          <w:bCs w:val="0"/>
        </w:rPr>
      </w:r>
    </w:p>
    <w:p>
      <w:pPr>
        <w:pStyle w:val="BodyText"/>
        <w:spacing w:line="240" w:lineRule="auto" w:before="127"/>
        <w:ind w:left="633" w:right="1153"/>
        <w:jc w:val="left"/>
      </w:pPr>
      <w:r>
        <w:rPr/>
        <w:t>□ 适用 √ 不适用</w:t>
      </w:r>
    </w:p>
    <w:p>
      <w:pPr>
        <w:pStyle w:val="Heading2"/>
        <w:spacing w:line="240" w:lineRule="auto" w:before="146"/>
        <w:ind w:right="1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pStyle w:val="BodyText"/>
        <w:spacing w:line="240" w:lineRule="auto" w:before="128"/>
        <w:ind w:left="633" w:right="1153"/>
        <w:jc w:val="left"/>
      </w:pPr>
      <w:r>
        <w:rPr/>
        <w:t>□ 适用 √ 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53"/>
        <w:jc w:val="left"/>
        <w:rPr>
          <w:b w:val="0"/>
          <w:bCs w:val="0"/>
        </w:rPr>
      </w:pPr>
      <w:bookmarkStart w:name="第七节 优先股相关情况" w:id="13"/>
      <w:bookmarkEnd w:id="13"/>
      <w:r>
        <w:rPr>
          <w:b w:val="0"/>
          <w:bCs w:val="0"/>
        </w:rPr>
      </w:r>
      <w:bookmarkStart w:name="_bookmark6" w:id="14"/>
      <w:bookmarkEnd w:id="14"/>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5"/>
        <w:ind w:left="633" w:right="1153"/>
        <w:jc w:val="left"/>
      </w:pPr>
      <w:r>
        <w:rPr/>
        <w:t>报告期公司不存在优先股。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920" w:right="1120"/>
        <w:jc w:val="left"/>
        <w:rPr>
          <w:b w:val="0"/>
          <w:bCs w:val="0"/>
        </w:rPr>
      </w:pPr>
      <w:bookmarkStart w:name="第八节 董事、监事、高级管理人员和员工情况" w:id="15"/>
      <w:bookmarkEnd w:id="15"/>
      <w:r>
        <w:rPr>
          <w:b w:val="0"/>
          <w:bCs w:val="0"/>
        </w:rPr>
      </w:r>
      <w:bookmarkStart w:name="_bookmark7" w:id="16"/>
      <w:bookmarkEnd w:id="16"/>
      <w:r>
        <w:rPr>
          <w:b w:val="0"/>
          <w:bCs w:val="0"/>
        </w:rPr>
      </w:r>
      <w:r>
        <w:rPr/>
        <w:t>第八节</w:t>
      </w:r>
      <w:r>
        <w:rPr>
          <w:spacing w:val="-16"/>
        </w:rPr>
        <w:t> </w:t>
      </w:r>
      <w:r>
        <w:rPr/>
        <w:t>董事、监事、高级管理人员和员工情况</w:t>
      </w:r>
      <w:r>
        <w:rPr>
          <w:b w:val="0"/>
          <w:bCs w:val="0"/>
        </w:rPr>
      </w:r>
    </w:p>
    <w:p>
      <w:pPr>
        <w:spacing w:line="240" w:lineRule="auto" w:before="0"/>
        <w:rPr>
          <w:rFonts w:ascii="宋体" w:hAnsi="宋体" w:cs="宋体" w:eastAsia="宋体" w:hint="default"/>
          <w:b/>
          <w:bCs/>
          <w:sz w:val="32"/>
          <w:szCs w:val="32"/>
        </w:rPr>
      </w:pPr>
    </w:p>
    <w:p>
      <w:pPr>
        <w:pStyle w:val="Heading2"/>
        <w:spacing w:line="240" w:lineRule="auto" w:before="215"/>
        <w:ind w:left="876" w:right="1120"/>
        <w:jc w:val="left"/>
        <w:rPr>
          <w:b w:val="0"/>
          <w:bCs w:val="0"/>
        </w:rPr>
      </w:pPr>
      <w:r>
        <w:rPr/>
        <w:t>一、董事、监事和高级管理人员持股变动</w:t>
      </w:r>
      <w:r>
        <w:rPr>
          <w:b w:val="0"/>
          <w:bCs w:val="0"/>
        </w:rPr>
      </w:r>
    </w:p>
    <w:p>
      <w:pPr>
        <w:spacing w:line="240" w:lineRule="auto" w:before="6"/>
        <w:rPr>
          <w:rFonts w:ascii="宋体" w:hAnsi="宋体" w:cs="宋体" w:eastAsia="宋体" w:hint="default"/>
          <w:b/>
          <w:bCs/>
          <w:sz w:val="4"/>
          <w:szCs w:val="4"/>
        </w:rPr>
      </w:pPr>
    </w:p>
    <w:tbl>
      <w:tblPr>
        <w:tblW w:w="0" w:type="auto"/>
        <w:jc w:val="left"/>
        <w:tblInd w:w="104" w:type="dxa"/>
        <w:tblLayout w:type="fixed"/>
        <w:tblCellMar>
          <w:top w:w="0" w:type="dxa"/>
          <w:left w:w="0" w:type="dxa"/>
          <w:bottom w:w="0" w:type="dxa"/>
          <w:right w:w="0" w:type="dxa"/>
        </w:tblCellMar>
        <w:tblLook w:val="01E0"/>
      </w:tblPr>
      <w:tblGrid>
        <w:gridCol w:w="710"/>
        <w:gridCol w:w="850"/>
        <w:gridCol w:w="568"/>
        <w:gridCol w:w="566"/>
        <w:gridCol w:w="568"/>
        <w:gridCol w:w="1559"/>
        <w:gridCol w:w="1702"/>
        <w:gridCol w:w="993"/>
        <w:gridCol w:w="708"/>
        <w:gridCol w:w="568"/>
        <w:gridCol w:w="566"/>
        <w:gridCol w:w="994"/>
      </w:tblGrid>
      <w:tr>
        <w:trPr>
          <w:trHeight w:val="1649"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77" w:right="78"/>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7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7"/>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李海鹰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55,025,600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55,025,600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谢春生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22,168,000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22,168,000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唐涛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谭宪才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蒋承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刘宝利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0" w:right="59" w:hanging="2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2,384,177</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2,384,177</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黄继军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357,967</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357,967</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郝恩元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12,749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12,749</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杜旭升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342,380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342,380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张奕敏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183,657</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183,657</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侯菊艳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289</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韩瑞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0" w:right="59"/>
              <w:jc w:val="center"/>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于辉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188,189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192,389</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80,663,008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80,667,208</w:t>
            </w:r>
          </w:p>
        </w:tc>
      </w:tr>
    </w:tbl>
    <w:p>
      <w:pPr>
        <w:spacing w:line="240" w:lineRule="auto" w:before="10"/>
        <w:rPr>
          <w:rFonts w:ascii="宋体" w:hAnsi="宋体" w:cs="宋体" w:eastAsia="宋体" w:hint="default"/>
          <w:b/>
          <w:bCs/>
          <w:sz w:val="4"/>
          <w:szCs w:val="4"/>
        </w:rPr>
      </w:pPr>
    </w:p>
    <w:p>
      <w:pPr>
        <w:pStyle w:val="Heading2"/>
        <w:spacing w:line="240" w:lineRule="auto"/>
        <w:ind w:left="876" w:right="1120"/>
        <w:jc w:val="left"/>
        <w:rPr>
          <w:b w:val="0"/>
          <w:bCs w:val="0"/>
        </w:rPr>
      </w:pPr>
      <w:r>
        <w:rPr/>
        <w:t>二、公司董事、监事、高级管理人员变动情况</w:t>
      </w:r>
      <w:r>
        <w:rPr>
          <w:b w:val="0"/>
          <w:bCs w:val="0"/>
        </w:rPr>
      </w:r>
    </w:p>
    <w:p>
      <w:pPr>
        <w:spacing w:line="240" w:lineRule="auto" w:before="5"/>
        <w:rPr>
          <w:rFonts w:ascii="宋体" w:hAnsi="宋体" w:cs="宋体" w:eastAsia="宋体" w:hint="default"/>
          <w:b/>
          <w:bCs/>
          <w:sz w:val="4"/>
          <w:szCs w:val="4"/>
        </w:rPr>
      </w:pPr>
    </w:p>
    <w:tbl>
      <w:tblPr>
        <w:tblW w:w="0" w:type="auto"/>
        <w:jc w:val="left"/>
        <w:tblInd w:w="389" w:type="dxa"/>
        <w:tblLayout w:type="fixed"/>
        <w:tblCellMar>
          <w:top w:w="0" w:type="dxa"/>
          <w:left w:w="0" w:type="dxa"/>
          <w:bottom w:w="0" w:type="dxa"/>
          <w:right w:w="0" w:type="dxa"/>
        </w:tblCellMar>
        <w:tblLook w:val="01E0"/>
      </w:tblPr>
      <w:tblGrid>
        <w:gridCol w:w="1330"/>
        <w:gridCol w:w="1331"/>
        <w:gridCol w:w="1330"/>
        <w:gridCol w:w="1964"/>
        <w:gridCol w:w="3614"/>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于辉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主动离职</w:t>
            </w:r>
          </w:p>
        </w:tc>
      </w:tr>
    </w:tbl>
    <w:p>
      <w:pPr>
        <w:spacing w:line="240" w:lineRule="auto" w:before="10"/>
        <w:rPr>
          <w:rFonts w:ascii="宋体" w:hAnsi="宋体" w:cs="宋体" w:eastAsia="宋体" w:hint="default"/>
          <w:b/>
          <w:bCs/>
          <w:sz w:val="4"/>
          <w:szCs w:val="4"/>
        </w:rPr>
      </w:pPr>
    </w:p>
    <w:p>
      <w:pPr>
        <w:pStyle w:val="Heading2"/>
        <w:spacing w:line="352" w:lineRule="auto"/>
        <w:ind w:left="876" w:right="8824"/>
        <w:jc w:val="left"/>
        <w:rPr>
          <w:b w:val="0"/>
          <w:bCs w:val="0"/>
        </w:rPr>
      </w:pPr>
      <w:r>
        <w:rPr/>
        <w:t>三、任职情况</w:t>
      </w:r>
      <w:r>
        <w:rPr>
          <w:w w:val="99"/>
        </w:rPr>
        <w:t> </w:t>
      </w:r>
      <w:r>
        <w:rPr>
          <w:rFonts w:ascii="宋体" w:hAnsi="宋体" w:cs="宋体" w:eastAsia="宋体" w:hint="default"/>
        </w:rPr>
        <w:t>1</w:t>
      </w:r>
      <w:r>
        <w:rPr/>
        <w:t>、董事</w:t>
      </w:r>
      <w:r>
        <w:rPr>
          <w:b w:val="0"/>
          <w:bCs w:val="0"/>
        </w:rPr>
      </w:r>
    </w:p>
    <w:p>
      <w:pPr>
        <w:pStyle w:val="BodyText"/>
        <w:spacing w:line="240" w:lineRule="auto" w:before="33"/>
        <w:ind w:left="873" w:right="1120"/>
        <w:jc w:val="left"/>
      </w:pPr>
      <w:r>
        <w:rPr/>
        <w:t>（</w:t>
      </w:r>
      <w:r>
        <w:rPr>
          <w:rFonts w:ascii="宋体" w:hAnsi="宋体" w:cs="宋体" w:eastAsia="宋体" w:hint="default"/>
        </w:rPr>
        <w:t>1</w:t>
      </w:r>
      <w:r>
        <w:rPr/>
        <w:t>）李海鹰先生，</w:t>
      </w:r>
      <w:r>
        <w:rPr>
          <w:rFonts w:ascii="宋体" w:hAnsi="宋体" w:cs="宋体" w:eastAsia="宋体" w:hint="default"/>
        </w:rPr>
        <w:t>49</w:t>
      </w:r>
      <w:r>
        <w:rPr>
          <w:rFonts w:ascii="宋体" w:hAnsi="宋体" w:cs="宋体" w:eastAsia="宋体" w:hint="default"/>
          <w:spacing w:val="-60"/>
        </w:rPr>
        <w:t> </w:t>
      </w:r>
      <w:r>
        <w:rPr/>
        <w:t>岁，本科学历，工程师。</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月至</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月任公司董事</w:t>
      </w:r>
    </w:p>
    <w:p>
      <w:pPr>
        <w:pStyle w:val="BodyText"/>
        <w:spacing w:line="352" w:lineRule="auto" w:before="145"/>
        <w:ind w:left="393" w:right="1153"/>
        <w:jc w:val="left"/>
      </w:pPr>
      <w:r>
        <w:rPr/>
        <w:t>长兼总经理；</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月至今担任本公司董事长。</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日至今担任北京七彩通达 传媒股份有限公司董事。</w:t>
      </w:r>
    </w:p>
    <w:p>
      <w:pPr>
        <w:spacing w:after="0" w:line="352" w:lineRule="auto"/>
        <w:jc w:val="left"/>
        <w:sectPr>
          <w:pgSz w:w="11910" w:h="16840"/>
          <w:pgMar w:header="747" w:footer="979" w:top="1060" w:bottom="1160" w:left="740" w:right="0"/>
        </w:sectPr>
      </w:pPr>
    </w:p>
    <w:p>
      <w:pPr>
        <w:spacing w:line="240" w:lineRule="auto" w:before="0"/>
        <w:rPr>
          <w:rFonts w:ascii="宋体" w:hAnsi="宋体" w:cs="宋体" w:eastAsia="宋体" w:hint="default"/>
          <w:sz w:val="20"/>
          <w:szCs w:val="20"/>
        </w:rPr>
      </w:pPr>
    </w:p>
    <w:p>
      <w:pPr>
        <w:pStyle w:val="BodyText"/>
        <w:spacing w:line="240" w:lineRule="auto" w:before="199"/>
        <w:ind w:left="634" w:right="0"/>
        <w:jc w:val="left"/>
      </w:pPr>
      <w:r>
        <w:rPr/>
        <w:t>（</w:t>
      </w:r>
      <w:r>
        <w:rPr>
          <w:rFonts w:ascii="宋体" w:hAnsi="宋体" w:cs="宋体" w:eastAsia="宋体" w:hint="default"/>
        </w:rPr>
        <w:t>2</w:t>
      </w:r>
      <w:r>
        <w:rPr/>
        <w:t>）谢春生先生，</w:t>
      </w:r>
      <w:r>
        <w:rPr>
          <w:rFonts w:ascii="宋体" w:hAnsi="宋体" w:cs="宋体" w:eastAsia="宋体" w:hint="default"/>
        </w:rPr>
        <w:t>47</w:t>
      </w:r>
      <w:r>
        <w:rPr>
          <w:rFonts w:ascii="宋体" w:hAnsi="宋体" w:cs="宋体" w:eastAsia="宋体" w:hint="default"/>
          <w:spacing w:val="-60"/>
        </w:rPr>
        <w:t> </w:t>
      </w:r>
      <w:r>
        <w:rPr/>
        <w:t>岁，本科学历，高级工程师。</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月至</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月任公司</w:t>
      </w:r>
    </w:p>
    <w:p>
      <w:pPr>
        <w:pStyle w:val="BodyText"/>
        <w:spacing w:line="240" w:lineRule="auto" w:before="145"/>
        <w:ind w:right="0"/>
        <w:jc w:val="both"/>
      </w:pPr>
      <w:r>
        <w:rPr/>
        <w:t>董事兼副总经理；</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月任公司董事兼总经理；</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月至</w:t>
      </w:r>
      <w:r>
        <w:rPr>
          <w:spacing w:val="-60"/>
        </w:rPr>
        <w:t> </w:t>
      </w:r>
      <w:r>
        <w:rPr>
          <w:rFonts w:ascii="宋体" w:hAnsi="宋体" w:cs="宋体" w:eastAsia="宋体" w:hint="default"/>
        </w:rPr>
        <w:t>2010</w:t>
      </w:r>
      <w:r>
        <w:rPr>
          <w:rFonts w:ascii="宋体" w:hAnsi="宋体" w:cs="宋体" w:eastAsia="宋体" w:hint="default"/>
          <w:spacing w:val="-60"/>
        </w:rPr>
        <w:t> </w:t>
      </w:r>
      <w:r>
        <w:rPr/>
        <w:t>年</w:t>
      </w:r>
    </w:p>
    <w:p>
      <w:pPr>
        <w:pStyle w:val="BodyText"/>
        <w:spacing w:line="240" w:lineRule="auto" w:before="146"/>
        <w:ind w:right="0"/>
        <w:jc w:val="both"/>
      </w:pPr>
      <w:r>
        <w:rPr>
          <w:rFonts w:ascii="宋体" w:hAnsi="宋体" w:cs="宋体" w:eastAsia="宋体" w:hint="default"/>
        </w:rPr>
        <w:t>12</w:t>
      </w:r>
      <w:r>
        <w:rPr>
          <w:rFonts w:ascii="宋体" w:hAnsi="宋体" w:cs="宋体" w:eastAsia="宋体" w:hint="default"/>
          <w:spacing w:val="-62"/>
        </w:rPr>
        <w:t> </w:t>
      </w:r>
      <w:r>
        <w:rPr>
          <w:spacing w:val="-3"/>
        </w:rPr>
        <w:t>月任公司总经理；</w:t>
      </w:r>
      <w:r>
        <w:rPr>
          <w:rFonts w:ascii="宋体" w:hAnsi="宋体" w:cs="宋体" w:eastAsia="宋体" w:hint="default"/>
          <w:spacing w:val="-3"/>
        </w:rPr>
        <w:t>2010</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spacing w:val="-3"/>
        </w:rPr>
        <w:t>月至今任公司董事；</w:t>
      </w:r>
      <w:r>
        <w:rPr>
          <w:rFonts w:ascii="宋体" w:hAnsi="宋体" w:cs="宋体" w:eastAsia="宋体" w:hint="default"/>
          <w:spacing w:val="-3"/>
        </w:rPr>
        <w:t>2014</w:t>
      </w:r>
      <w:r>
        <w:rPr>
          <w:rFonts w:ascii="宋体" w:hAnsi="宋体" w:cs="宋体" w:eastAsia="宋体" w:hint="default"/>
          <w:spacing w:val="-62"/>
        </w:rPr>
        <w:t> </w:t>
      </w:r>
      <w:r>
        <w:rPr/>
        <w:t>年</w:t>
      </w:r>
      <w:r>
        <w:rPr>
          <w:spacing w:val="-62"/>
        </w:rPr>
        <w:t> </w:t>
      </w:r>
      <w:r>
        <w:rPr>
          <w:rFonts w:ascii="宋体" w:hAnsi="宋体" w:cs="宋体" w:eastAsia="宋体" w:hint="default"/>
        </w:rPr>
        <w:t>2</w:t>
      </w:r>
      <w:r>
        <w:rPr>
          <w:rFonts w:ascii="宋体" w:hAnsi="宋体" w:cs="宋体" w:eastAsia="宋体" w:hint="default"/>
          <w:spacing w:val="-62"/>
        </w:rPr>
        <w:t> </w:t>
      </w:r>
      <w:r>
        <w:rPr/>
        <w:t>月至今任公司总经理。</w:t>
      </w:r>
      <w:r>
        <w:rPr>
          <w:rFonts w:ascii="宋体" w:hAnsi="宋体" w:cs="宋体" w:eastAsia="宋体" w:hint="default"/>
        </w:rPr>
        <w:t>2006</w:t>
      </w:r>
      <w:r>
        <w:rPr>
          <w:rFonts w:ascii="宋体" w:hAnsi="宋体" w:cs="宋体" w:eastAsia="宋体" w:hint="default"/>
          <w:spacing w:val="-62"/>
        </w:rPr>
        <w:t> </w:t>
      </w:r>
      <w:r>
        <w:rPr/>
        <w:t>年</w:t>
      </w:r>
    </w:p>
    <w:p>
      <w:pPr>
        <w:pStyle w:val="BodyText"/>
        <w:spacing w:line="350" w:lineRule="auto" w:before="146"/>
        <w:ind w:right="1169"/>
        <w:jc w:val="both"/>
      </w:pPr>
      <w:r>
        <w:rPr>
          <w:rFonts w:ascii="宋体" w:hAnsi="宋体" w:cs="宋体" w:eastAsia="宋体" w:hint="default"/>
        </w:rPr>
        <w:t>5</w:t>
      </w:r>
      <w:r>
        <w:rPr>
          <w:rFonts w:ascii="宋体" w:hAnsi="宋体" w:cs="宋体" w:eastAsia="宋体" w:hint="default"/>
          <w:spacing w:val="-60"/>
        </w:rPr>
        <w:t> </w:t>
      </w:r>
      <w:r>
        <w:rPr/>
        <w:t>月至今兼任河南辉煌软件有限公司执行董事。</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月至今任河南辉煌信通软件有限公 司执行董事、担任北京全路信通软件科技有限公司执行董事。</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月至今任飞天联合</w:t>
      </w:r>
    </w:p>
    <w:p>
      <w:pPr>
        <w:pStyle w:val="BodyText"/>
        <w:spacing w:line="350" w:lineRule="auto"/>
        <w:ind w:right="1229"/>
        <w:jc w:val="both"/>
      </w:pPr>
      <w:r>
        <w:rPr/>
        <w:t>（北京）系统技术有限公司董事。</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日至今担任北京赛弗网络科技有限责任公 司董事。</w:t>
      </w:r>
    </w:p>
    <w:p>
      <w:pPr>
        <w:pStyle w:val="BodyText"/>
        <w:spacing w:line="352" w:lineRule="auto" w:before="35"/>
        <w:ind w:right="1093" w:firstLine="480"/>
        <w:jc w:val="left"/>
      </w:pPr>
      <w:r>
        <w:rPr/>
        <w:t>（</w:t>
      </w:r>
      <w:r>
        <w:rPr>
          <w:rFonts w:ascii="宋体" w:hAnsi="宋体" w:cs="宋体" w:eastAsia="宋体" w:hint="default"/>
        </w:rPr>
        <w:t>3</w:t>
      </w:r>
      <w:r>
        <w:rPr/>
        <w:t>）唐涛先生，</w:t>
      </w:r>
      <w:r>
        <w:rPr>
          <w:rFonts w:ascii="宋体" w:hAnsi="宋体" w:cs="宋体" w:eastAsia="宋体" w:hint="default"/>
        </w:rPr>
        <w:t>53</w:t>
      </w:r>
      <w:r>
        <w:rPr>
          <w:rFonts w:ascii="宋体" w:hAnsi="宋体" w:cs="宋体" w:eastAsia="宋体" w:hint="default"/>
          <w:spacing w:val="-60"/>
        </w:rPr>
        <w:t> </w:t>
      </w:r>
      <w:r>
        <w:rPr/>
        <w:t>岁，工学博士，北京交通大学教授、博士生导师，北京交通大学轨 道交通控制与安全国家重点实验室主任。</w:t>
      </w:r>
      <w:r>
        <w:rPr>
          <w:rFonts w:ascii="宋体" w:hAnsi="宋体" w:cs="宋体" w:eastAsia="宋体" w:hint="default"/>
        </w:rPr>
        <w:t>2000</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月任北京交通大学铁路自 动化专业教授；</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月至今任北京交通大学轨道交通控制与安全国家重点实验室主任； </w:t>
      </w:r>
      <w:r>
        <w:rPr>
          <w:rFonts w:ascii="宋体" w:hAnsi="宋体" w:cs="宋体" w:eastAsia="宋体" w:hint="default"/>
        </w:rPr>
        <w:t>2009</w:t>
      </w:r>
      <w:r>
        <w:rPr>
          <w:rFonts w:ascii="宋体" w:hAnsi="宋体" w:cs="宋体" w:eastAsia="宋体" w:hint="default"/>
          <w:spacing w:val="-59"/>
        </w:rPr>
        <w:t> </w:t>
      </w:r>
      <w:r>
        <w:rPr/>
        <w:t>年至</w:t>
      </w:r>
      <w:r>
        <w:rPr>
          <w:spacing w:val="-59"/>
        </w:rPr>
        <w:t> </w:t>
      </w:r>
      <w:r>
        <w:rPr>
          <w:rFonts w:ascii="宋体" w:hAnsi="宋体" w:cs="宋体" w:eastAsia="宋体" w:hint="default"/>
        </w:rPr>
        <w:t>2011</w:t>
      </w:r>
      <w:r>
        <w:rPr>
          <w:rFonts w:ascii="宋体" w:hAnsi="宋体" w:cs="宋体" w:eastAsia="宋体" w:hint="default"/>
          <w:spacing w:val="-59"/>
        </w:rPr>
        <w:t> </w:t>
      </w:r>
      <w:r>
        <w:rPr>
          <w:spacing w:val="-5"/>
        </w:rPr>
        <w:t>年任北京交控科技有限公司董事长，</w:t>
      </w:r>
      <w:r>
        <w:rPr>
          <w:rFonts w:ascii="宋体" w:hAnsi="宋体" w:cs="宋体" w:eastAsia="宋体" w:hint="default"/>
          <w:spacing w:val="-5"/>
        </w:rPr>
        <w:t>2012</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月至</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月任北京交控 科技有限公司董事。</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月至今担任本公司独立董事。</w:t>
      </w:r>
    </w:p>
    <w:p>
      <w:pPr>
        <w:pStyle w:val="BodyText"/>
        <w:spacing w:line="352" w:lineRule="auto" w:before="32"/>
        <w:ind w:right="1153" w:firstLine="480"/>
        <w:jc w:val="left"/>
      </w:pPr>
      <w:r>
        <w:rPr/>
        <w:t>（</w:t>
      </w:r>
      <w:r>
        <w:rPr>
          <w:rFonts w:ascii="宋体" w:hAnsi="宋体" w:cs="宋体" w:eastAsia="宋体" w:hint="default"/>
        </w:rPr>
        <w:t>4</w:t>
      </w:r>
      <w:r>
        <w:rPr/>
        <w:t>）谭宪才先生，</w:t>
      </w:r>
      <w:r>
        <w:rPr>
          <w:rFonts w:ascii="宋体" w:hAnsi="宋体" w:cs="宋体" w:eastAsia="宋体" w:hint="default"/>
        </w:rPr>
        <w:t>51</w:t>
      </w:r>
      <w:r>
        <w:rPr>
          <w:rFonts w:ascii="宋体" w:hAnsi="宋体" w:cs="宋体" w:eastAsia="宋体" w:hint="default"/>
          <w:spacing w:val="-60"/>
        </w:rPr>
        <w:t> </w:t>
      </w:r>
      <w:r>
        <w:rPr/>
        <w:t>岁，硕士学位，中国注册会计师，高级会计师。</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月至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月，在天职国际会计师事务所工作，任总经理。</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月至今，在天职国际会 计师事务所（特殊普通合伙）工作，任合伙人，总经理。现兼任全国工商联执委，财政部管 理会计咨询专家，中国注册会计师协会内部治理指导委员会委员，拟上市公司威海光威复合 材料股份有限公司、天津科迈化工股份有限公司、北京直真科技股份有限公司独立董事，北 京城建集团有限责任公司外部董事。</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月至今担任本公司独立董事。</w:t>
      </w:r>
    </w:p>
    <w:p>
      <w:pPr>
        <w:pStyle w:val="BodyText"/>
        <w:spacing w:line="350" w:lineRule="auto" w:before="32"/>
        <w:ind w:left="154" w:right="1152" w:firstLine="480"/>
        <w:jc w:val="left"/>
      </w:pPr>
      <w:r>
        <w:rPr/>
        <w:t>（</w:t>
      </w:r>
      <w:r>
        <w:rPr>
          <w:rFonts w:ascii="宋体" w:hAnsi="宋体" w:cs="宋体" w:eastAsia="宋体" w:hint="default"/>
        </w:rPr>
        <w:t>5</w:t>
      </w:r>
      <w:r>
        <w:rPr/>
        <w:t>）蒋承先生，</w:t>
      </w:r>
      <w:r>
        <w:rPr>
          <w:rFonts w:ascii="宋体" w:hAnsi="宋体" w:cs="宋体" w:eastAsia="宋体" w:hint="default"/>
        </w:rPr>
        <w:t>37</w:t>
      </w:r>
      <w:r>
        <w:rPr>
          <w:rFonts w:ascii="宋体" w:hAnsi="宋体" w:cs="宋体" w:eastAsia="宋体" w:hint="default"/>
          <w:spacing w:val="-60"/>
        </w:rPr>
        <w:t> </w:t>
      </w:r>
      <w:r>
        <w:rPr/>
        <w:t>岁，博士研究生，</w:t>
      </w:r>
      <w:r>
        <w:rPr>
          <w:rFonts w:ascii="宋体" w:hAnsi="宋体" w:cs="宋体" w:eastAsia="宋体" w:hint="default"/>
        </w:rPr>
        <w:t>2009</w:t>
      </w:r>
      <w:r>
        <w:rPr>
          <w:rFonts w:ascii="宋体" w:hAnsi="宋体" w:cs="宋体" w:eastAsia="宋体" w:hint="default"/>
          <w:spacing w:val="-60"/>
        </w:rPr>
        <w:t> </w:t>
      </w:r>
      <w:r>
        <w:rPr/>
        <w:t>年至今北京大学光华管理学院博士后联合会 秘书长，</w:t>
      </w:r>
      <w:r>
        <w:rPr>
          <w:rFonts w:ascii="宋体" w:hAnsi="宋体" w:cs="宋体" w:eastAsia="宋体" w:hint="default"/>
        </w:rPr>
        <w:t>2011</w:t>
      </w:r>
      <w:r>
        <w:rPr>
          <w:rFonts w:ascii="宋体" w:hAnsi="宋体" w:cs="宋体" w:eastAsia="宋体" w:hint="default"/>
          <w:spacing w:val="-60"/>
        </w:rPr>
        <w:t> </w:t>
      </w:r>
      <w:r>
        <w:rPr/>
        <w:t>年至今任北京大学教育学院教师。</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月至今担任本公司独立董事。</w:t>
      </w:r>
    </w:p>
    <w:p>
      <w:pPr>
        <w:pStyle w:val="Heading2"/>
        <w:spacing w:line="240" w:lineRule="auto" w:before="36"/>
        <w:ind w:right="1153"/>
        <w:jc w:val="left"/>
        <w:rPr>
          <w:b w:val="0"/>
          <w:bCs w:val="0"/>
        </w:rPr>
      </w:pPr>
      <w:r>
        <w:rPr>
          <w:rFonts w:ascii="宋体" w:hAnsi="宋体" w:cs="宋体" w:eastAsia="宋体" w:hint="default"/>
        </w:rPr>
        <w:t>2</w:t>
      </w:r>
      <w:r>
        <w:rPr/>
        <w:t>、监事</w:t>
      </w:r>
      <w:r>
        <w:rPr>
          <w:b w:val="0"/>
          <w:bCs w:val="0"/>
        </w:rPr>
      </w:r>
    </w:p>
    <w:p>
      <w:pPr>
        <w:pStyle w:val="BodyText"/>
        <w:spacing w:line="240" w:lineRule="auto" w:before="145"/>
        <w:ind w:left="633" w:right="0"/>
        <w:jc w:val="left"/>
      </w:pPr>
      <w:r>
        <w:rPr>
          <w:spacing w:val="-4"/>
        </w:rPr>
        <w:t>（</w:t>
      </w:r>
      <w:r>
        <w:rPr>
          <w:rFonts w:ascii="宋体" w:hAnsi="宋体" w:cs="宋体" w:eastAsia="宋体" w:hint="default"/>
          <w:spacing w:val="-4"/>
        </w:rPr>
        <w:t>1</w:t>
      </w:r>
      <w:r>
        <w:rPr>
          <w:spacing w:val="-4"/>
        </w:rPr>
        <w:t>）刘宝利先生，</w:t>
      </w:r>
      <w:r>
        <w:rPr>
          <w:rFonts w:ascii="宋体" w:hAnsi="宋体" w:cs="宋体" w:eastAsia="宋体" w:hint="default"/>
          <w:spacing w:val="-4"/>
        </w:rPr>
        <w:t>45</w:t>
      </w:r>
      <w:r>
        <w:rPr>
          <w:rFonts w:ascii="宋体" w:hAnsi="宋体" w:cs="宋体" w:eastAsia="宋体" w:hint="default"/>
          <w:spacing w:val="-60"/>
        </w:rPr>
        <w:t> </w:t>
      </w:r>
      <w:r>
        <w:rPr>
          <w:spacing w:val="-4"/>
        </w:rPr>
        <w:t>岁，大专学历。</w:t>
      </w:r>
      <w:r>
        <w:rPr>
          <w:rFonts w:ascii="宋体" w:hAnsi="宋体" w:cs="宋体" w:eastAsia="宋体" w:hint="default"/>
          <w:spacing w:val="-4"/>
        </w:rPr>
        <w:t>1992</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月至</w:t>
      </w:r>
      <w:r>
        <w:rPr>
          <w:spacing w:val="-60"/>
        </w:rPr>
        <w:t> </w:t>
      </w:r>
      <w:r>
        <w:rPr>
          <w:rFonts w:ascii="宋体" w:hAnsi="宋体" w:cs="宋体" w:eastAsia="宋体" w:hint="default"/>
        </w:rPr>
        <w:t>1996</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月任天津铁路信号工厂子</w:t>
      </w:r>
    </w:p>
    <w:p>
      <w:pPr>
        <w:pStyle w:val="BodyText"/>
        <w:spacing w:line="240" w:lineRule="auto" w:before="145"/>
        <w:ind w:right="0"/>
        <w:jc w:val="both"/>
      </w:pPr>
      <w:r>
        <w:rPr/>
        <w:t>弟中学教师；</w:t>
      </w:r>
      <w:r>
        <w:rPr>
          <w:rFonts w:ascii="宋体" w:hAnsi="宋体" w:cs="宋体" w:eastAsia="宋体" w:hint="default"/>
        </w:rPr>
        <w:t>1996</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月至</w:t>
      </w:r>
      <w:r>
        <w:rPr>
          <w:spacing w:val="-60"/>
        </w:rPr>
        <w:t> </w:t>
      </w:r>
      <w:r>
        <w:rPr>
          <w:rFonts w:ascii="宋体" w:hAnsi="宋体" w:cs="宋体" w:eastAsia="宋体" w:hint="default"/>
        </w:rPr>
        <w:t>2000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月任职于天津铁路信号工厂市场处；</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w:t>
      </w:r>
    </w:p>
    <w:p>
      <w:pPr>
        <w:pStyle w:val="BodyText"/>
        <w:spacing w:line="350" w:lineRule="auto" w:before="146"/>
        <w:ind w:right="1130"/>
        <w:jc w:val="both"/>
      </w:pPr>
      <w:r>
        <w:rPr>
          <w:rFonts w:ascii="宋体" w:hAnsi="宋体" w:cs="宋体" w:eastAsia="宋体" w:hint="default"/>
        </w:rPr>
        <w:t>2006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月任北京国铁路阳技术有限公司市场部经理；</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月人北京 国铁路阳技术有限公司总经理；</w:t>
      </w:r>
      <w:r>
        <w:rPr>
          <w:rFonts w:ascii="宋体" w:hAnsi="宋体" w:cs="宋体" w:eastAsia="宋体" w:hint="default"/>
        </w:rPr>
        <w:t>2011</w:t>
      </w:r>
      <w:r>
        <w:rPr>
          <w:rFonts w:ascii="宋体" w:hAnsi="宋体" w:cs="宋体" w:eastAsia="宋体" w:hint="default"/>
          <w:spacing w:val="-67"/>
        </w:rPr>
        <w:t> </w:t>
      </w:r>
      <w:r>
        <w:rPr/>
        <w:t>年</w:t>
      </w:r>
      <w:r>
        <w:rPr>
          <w:spacing w:val="-67"/>
        </w:rPr>
        <w:t> </w:t>
      </w:r>
      <w:r>
        <w:rPr>
          <w:rFonts w:ascii="宋体" w:hAnsi="宋体" w:cs="宋体" w:eastAsia="宋体" w:hint="default"/>
        </w:rPr>
        <w:t>1</w:t>
      </w:r>
      <w:r>
        <w:rPr>
          <w:rFonts w:ascii="宋体" w:hAnsi="宋体" w:cs="宋体" w:eastAsia="宋体" w:hint="default"/>
          <w:spacing w:val="-67"/>
        </w:rPr>
        <w:t> </w:t>
      </w:r>
      <w:r>
        <w:rPr/>
        <w:t>月至今任北京国铁路阳技术有限公司董事长；</w:t>
      </w:r>
      <w:r>
        <w:rPr>
          <w:rFonts w:ascii="宋体" w:hAnsi="宋体" w:cs="宋体" w:eastAsia="宋体" w:hint="default"/>
        </w:rPr>
        <w:t>2014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月至今任公司监事会主席。</w:t>
      </w:r>
    </w:p>
    <w:p>
      <w:pPr>
        <w:pStyle w:val="BodyText"/>
        <w:spacing w:line="350" w:lineRule="auto"/>
        <w:ind w:right="0" w:firstLine="480"/>
        <w:jc w:val="left"/>
      </w:pPr>
      <w:r>
        <w:rPr>
          <w:spacing w:val="-4"/>
        </w:rPr>
        <w:t>（</w:t>
      </w:r>
      <w:r>
        <w:rPr>
          <w:rFonts w:ascii="宋体" w:hAnsi="宋体" w:cs="宋体" w:eastAsia="宋体" w:hint="default"/>
          <w:spacing w:val="-4"/>
        </w:rPr>
        <w:t>2</w:t>
      </w:r>
      <w:r>
        <w:rPr>
          <w:spacing w:val="-4"/>
        </w:rPr>
        <w:t>）黄继军先生，</w:t>
      </w:r>
      <w:r>
        <w:rPr>
          <w:rFonts w:ascii="宋体" w:hAnsi="宋体" w:cs="宋体" w:eastAsia="宋体" w:hint="default"/>
          <w:spacing w:val="-4"/>
        </w:rPr>
        <w:t>46</w:t>
      </w:r>
      <w:r>
        <w:rPr>
          <w:rFonts w:ascii="宋体" w:hAnsi="宋体" w:cs="宋体" w:eastAsia="宋体" w:hint="default"/>
          <w:spacing w:val="-59"/>
        </w:rPr>
        <w:t> </w:t>
      </w:r>
      <w:r>
        <w:rPr>
          <w:spacing w:val="-3"/>
        </w:rPr>
        <w:t>岁，本科学历，助理工程师。</w:t>
      </w:r>
      <w:r>
        <w:rPr>
          <w:rFonts w:ascii="宋体" w:hAnsi="宋体" w:cs="宋体" w:eastAsia="宋体" w:hint="default"/>
          <w:spacing w:val="-3"/>
        </w:rPr>
        <w:t>2001</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月至今任公司职工代表监 </w:t>
      </w:r>
      <w:r>
        <w:rPr>
          <w:spacing w:val="-3"/>
        </w:rPr>
        <w:t>事，现兼任公司物资部经理。最近五年无在其他公司担任董事、监事、高级管理人员的情况。</w:t>
      </w:r>
    </w:p>
    <w:p>
      <w:pPr>
        <w:pStyle w:val="BodyText"/>
        <w:spacing w:line="352" w:lineRule="auto" w:before="35"/>
        <w:ind w:right="1122" w:firstLine="480"/>
        <w:jc w:val="left"/>
      </w:pPr>
      <w:r>
        <w:rPr>
          <w:spacing w:val="-4"/>
        </w:rPr>
        <w:t>（</w:t>
      </w:r>
      <w:r>
        <w:rPr>
          <w:rFonts w:ascii="宋体" w:hAnsi="宋体" w:cs="宋体" w:eastAsia="宋体" w:hint="default"/>
          <w:spacing w:val="-4"/>
        </w:rPr>
        <w:t>3</w:t>
      </w:r>
      <w:r>
        <w:rPr>
          <w:spacing w:val="-4"/>
        </w:rPr>
        <w:t>）郝恩元先生，</w:t>
      </w:r>
      <w:r>
        <w:rPr>
          <w:rFonts w:ascii="宋体" w:hAnsi="宋体" w:cs="宋体" w:eastAsia="宋体" w:hint="default"/>
          <w:spacing w:val="-4"/>
        </w:rPr>
        <w:t>40</w:t>
      </w:r>
      <w:r>
        <w:rPr>
          <w:rFonts w:ascii="宋体" w:hAnsi="宋体" w:cs="宋体" w:eastAsia="宋体" w:hint="default"/>
          <w:spacing w:val="-57"/>
        </w:rPr>
        <w:t> </w:t>
      </w:r>
      <w:r>
        <w:rPr>
          <w:spacing w:val="-3"/>
        </w:rPr>
        <w:t>岁，郑州大学本科学历，会计师。</w:t>
      </w:r>
      <w:r>
        <w:rPr>
          <w:rFonts w:ascii="宋体" w:hAnsi="宋体" w:cs="宋体" w:eastAsia="宋体" w:hint="default"/>
          <w:spacing w:val="-3"/>
        </w:rPr>
        <w:t>2001</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月至今任公司职工代 表监事；现兼任本公司财务部会计。最近五年无在其他公司担任董事、监事、高级管理人员</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154" w:right="1153"/>
        <w:jc w:val="left"/>
      </w:pPr>
      <w:r>
        <w:rPr/>
        <w:t>的情况。</w:t>
      </w:r>
    </w:p>
    <w:p>
      <w:pPr>
        <w:pStyle w:val="Heading2"/>
        <w:spacing w:line="240" w:lineRule="auto" w:before="145"/>
        <w:ind w:right="1153"/>
        <w:jc w:val="left"/>
        <w:rPr>
          <w:b w:val="0"/>
          <w:bCs w:val="0"/>
        </w:rPr>
      </w:pPr>
      <w:r>
        <w:rPr>
          <w:rFonts w:ascii="宋体" w:hAnsi="宋体" w:cs="宋体" w:eastAsia="宋体" w:hint="default"/>
        </w:rPr>
        <w:t>3</w:t>
      </w:r>
      <w:r>
        <w:rPr/>
        <w:t>、高级管理人员</w:t>
      </w:r>
      <w:r>
        <w:rPr>
          <w:b w:val="0"/>
          <w:bCs w:val="0"/>
        </w:rPr>
      </w:r>
    </w:p>
    <w:p>
      <w:pPr>
        <w:pStyle w:val="BodyText"/>
        <w:spacing w:line="240" w:lineRule="auto" w:before="146"/>
        <w:ind w:left="634" w:right="1153"/>
        <w:jc w:val="left"/>
      </w:pPr>
      <w:r>
        <w:rPr/>
        <w:t>（</w:t>
      </w:r>
      <w:r>
        <w:rPr>
          <w:rFonts w:ascii="宋体" w:hAnsi="宋体" w:cs="宋体" w:eastAsia="宋体" w:hint="default"/>
        </w:rPr>
        <w:t>1</w:t>
      </w:r>
      <w:r>
        <w:rPr/>
        <w:t>）谢春生先生，现任公司董事、总经理，其最近五年工作经历详见本节“董事”。</w:t>
      </w:r>
    </w:p>
    <w:p>
      <w:pPr>
        <w:pStyle w:val="BodyText"/>
        <w:spacing w:line="350" w:lineRule="auto" w:before="146"/>
        <w:ind w:right="1153" w:firstLine="480"/>
        <w:jc w:val="left"/>
      </w:pPr>
      <w:r>
        <w:rPr/>
        <w:t>（</w:t>
      </w:r>
      <w:r>
        <w:rPr>
          <w:rFonts w:ascii="宋体" w:hAnsi="宋体" w:cs="宋体" w:eastAsia="宋体" w:hint="default"/>
        </w:rPr>
        <w:t>2</w:t>
      </w:r>
      <w:r>
        <w:rPr/>
        <w:t>）杜旭升先生，</w:t>
      </w:r>
      <w:r>
        <w:rPr>
          <w:rFonts w:ascii="宋体" w:hAnsi="宋体" w:cs="宋体" w:eastAsia="宋体" w:hint="default"/>
        </w:rPr>
        <w:t>41</w:t>
      </w:r>
      <w:r>
        <w:rPr>
          <w:rFonts w:ascii="宋体" w:hAnsi="宋体" w:cs="宋体" w:eastAsia="宋体" w:hint="default"/>
          <w:spacing w:val="-60"/>
        </w:rPr>
        <w:t> </w:t>
      </w:r>
      <w:r>
        <w:rPr/>
        <w:t>岁，大专学历，工程师。</w:t>
      </w:r>
      <w:r>
        <w:rPr>
          <w:rFonts w:ascii="宋体" w:hAnsi="宋体" w:cs="宋体" w:eastAsia="宋体" w:hint="default"/>
        </w:rPr>
        <w:t>2001</w:t>
      </w:r>
      <w:r>
        <w:rPr>
          <w:rFonts w:ascii="宋体" w:hAnsi="宋体" w:cs="宋体" w:eastAsia="宋体" w:hint="default"/>
          <w:spacing w:val="-60"/>
        </w:rPr>
        <w:t> </w:t>
      </w:r>
      <w:r>
        <w:rPr/>
        <w:t>年至今历任公司副总工程师、常务 副总工程师、总工程师，现任公司副总经理。</w:t>
      </w:r>
    </w:p>
    <w:p>
      <w:pPr>
        <w:pStyle w:val="BodyText"/>
        <w:spacing w:line="350" w:lineRule="auto"/>
        <w:ind w:right="1153" w:firstLine="480"/>
        <w:jc w:val="left"/>
      </w:pPr>
      <w:r>
        <w:rPr/>
        <w:t>（</w:t>
      </w:r>
      <w:r>
        <w:rPr>
          <w:rFonts w:ascii="宋体" w:hAnsi="宋体" w:cs="宋体" w:eastAsia="宋体" w:hint="default"/>
        </w:rPr>
        <w:t>3</w:t>
      </w:r>
      <w:r>
        <w:rPr/>
        <w:t>）张奕敏女士，</w:t>
      </w:r>
      <w:r>
        <w:rPr>
          <w:rFonts w:ascii="宋体" w:hAnsi="宋体" w:cs="宋体" w:eastAsia="宋体" w:hint="default"/>
        </w:rPr>
        <w:t>42</w:t>
      </w:r>
      <w:r>
        <w:rPr>
          <w:rFonts w:ascii="宋体" w:hAnsi="宋体" w:cs="宋体" w:eastAsia="宋体" w:hint="default"/>
          <w:spacing w:val="-60"/>
        </w:rPr>
        <w:t> </w:t>
      </w:r>
      <w:r>
        <w:rPr/>
        <w:t>岁，硕士学位，工程师。</w:t>
      </w:r>
      <w:r>
        <w:rPr>
          <w:rFonts w:ascii="宋体" w:hAnsi="宋体" w:cs="宋体" w:eastAsia="宋体" w:hint="default"/>
        </w:rPr>
        <w:t>2001</w:t>
      </w:r>
      <w:r>
        <w:rPr>
          <w:rFonts w:ascii="宋体" w:hAnsi="宋体" w:cs="宋体" w:eastAsia="宋体" w:hint="default"/>
          <w:spacing w:val="-60"/>
        </w:rPr>
        <w:t> </w:t>
      </w:r>
      <w:r>
        <w:rPr/>
        <w:t>年至今历任营销总监、总裁助理、 城轨事业部总经理，现任公司副总经理。</w:t>
      </w:r>
    </w:p>
    <w:p>
      <w:pPr>
        <w:pStyle w:val="BodyText"/>
        <w:spacing w:line="352" w:lineRule="auto" w:before="35"/>
        <w:ind w:right="1153" w:firstLine="480"/>
        <w:jc w:val="left"/>
      </w:pPr>
      <w:r>
        <w:rPr/>
        <w:t>（</w:t>
      </w:r>
      <w:r>
        <w:rPr>
          <w:rFonts w:ascii="宋体" w:hAnsi="宋体" w:cs="宋体" w:eastAsia="宋体" w:hint="default"/>
        </w:rPr>
        <w:t>4</w:t>
      </w:r>
      <w:r>
        <w:rPr/>
        <w:t>）侯菊艳女士，</w:t>
      </w:r>
      <w:r>
        <w:rPr>
          <w:rFonts w:ascii="宋体" w:hAnsi="宋体" w:cs="宋体" w:eastAsia="宋体" w:hint="default"/>
        </w:rPr>
        <w:t>49</w:t>
      </w:r>
      <w:r>
        <w:rPr>
          <w:rFonts w:ascii="宋体" w:hAnsi="宋体" w:cs="宋体" w:eastAsia="宋体" w:hint="default"/>
          <w:spacing w:val="-60"/>
        </w:rPr>
        <w:t> </w:t>
      </w:r>
      <w:r>
        <w:rPr/>
        <w:t>岁，本科学历，会计师。</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月至今在本公司财务部工作， 现任公司财务总监。</w:t>
      </w:r>
    </w:p>
    <w:p>
      <w:pPr>
        <w:pStyle w:val="BodyText"/>
        <w:spacing w:line="350" w:lineRule="auto" w:before="32"/>
        <w:ind w:right="1000" w:firstLine="480"/>
        <w:jc w:val="left"/>
      </w:pPr>
      <w:r>
        <w:rPr>
          <w:spacing w:val="-9"/>
        </w:rPr>
        <w:t>（</w:t>
      </w:r>
      <w:r>
        <w:rPr>
          <w:rFonts w:ascii="宋体" w:hAnsi="宋体" w:cs="宋体" w:eastAsia="宋体" w:hint="default"/>
          <w:spacing w:val="-9"/>
        </w:rPr>
        <w:t>5</w:t>
      </w:r>
      <w:r>
        <w:rPr>
          <w:spacing w:val="-9"/>
        </w:rPr>
        <w:t>）韩瑞女士，</w:t>
      </w:r>
      <w:r>
        <w:rPr>
          <w:rFonts w:ascii="宋体" w:hAnsi="宋体" w:cs="宋体" w:eastAsia="宋体" w:hint="default"/>
          <w:spacing w:val="-9"/>
        </w:rPr>
        <w:t>32</w:t>
      </w:r>
      <w:r>
        <w:rPr>
          <w:rFonts w:ascii="宋体" w:hAnsi="宋体" w:cs="宋体" w:eastAsia="宋体" w:hint="default"/>
          <w:spacing w:val="-56"/>
        </w:rPr>
        <w:t> </w:t>
      </w:r>
      <w:r>
        <w:rPr>
          <w:spacing w:val="-7"/>
        </w:rPr>
        <w:t>岁，会计学硕士。</w:t>
      </w:r>
      <w:r>
        <w:rPr>
          <w:rFonts w:ascii="宋体" w:hAnsi="宋体" w:cs="宋体" w:eastAsia="宋体" w:hint="default"/>
          <w:spacing w:val="-7"/>
        </w:rPr>
        <w:t>2010</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spacing w:val="-3"/>
        </w:rPr>
        <w:t>月份进入辉煌科技证券办公室工作，</w:t>
      </w:r>
      <w:r>
        <w:rPr>
          <w:rFonts w:ascii="宋体" w:hAnsi="宋体" w:cs="宋体" w:eastAsia="宋体" w:hint="default"/>
          <w:spacing w:val="-3"/>
        </w:rPr>
        <w:t>2011</w:t>
      </w:r>
      <w:r>
        <w:rPr>
          <w:rFonts w:ascii="宋体" w:hAnsi="宋体" w:cs="宋体" w:eastAsia="宋体" w:hint="default"/>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月至</w:t>
      </w:r>
      <w:r>
        <w:rPr>
          <w:spacing w:val="-63"/>
        </w:rPr>
        <w:t> </w:t>
      </w:r>
      <w:r>
        <w:rPr>
          <w:rFonts w:ascii="宋体" w:hAnsi="宋体" w:cs="宋体" w:eastAsia="宋体" w:hint="default"/>
        </w:rPr>
        <w:t>2014</w:t>
      </w:r>
      <w:r>
        <w:rPr>
          <w:rFonts w:ascii="宋体" w:hAnsi="宋体" w:cs="宋体" w:eastAsia="宋体" w:hint="default"/>
          <w:spacing w:val="-63"/>
        </w:rPr>
        <w:t> </w:t>
      </w:r>
      <w:r>
        <w:rPr/>
        <w:t>年</w:t>
      </w:r>
      <w:r>
        <w:rPr>
          <w:spacing w:val="-63"/>
        </w:rPr>
        <w:t> </w:t>
      </w:r>
      <w:r>
        <w:rPr>
          <w:rFonts w:ascii="宋体" w:hAnsi="宋体" w:cs="宋体" w:eastAsia="宋体" w:hint="default"/>
        </w:rPr>
        <w:t>2</w:t>
      </w:r>
      <w:r>
        <w:rPr>
          <w:rFonts w:ascii="宋体" w:hAnsi="宋体" w:cs="宋体" w:eastAsia="宋体" w:hint="default"/>
          <w:spacing w:val="-63"/>
        </w:rPr>
        <w:t> </w:t>
      </w:r>
      <w:r>
        <w:rPr/>
        <w:t>月任公司证券事务代表，</w:t>
      </w:r>
      <w:r>
        <w:rPr>
          <w:rFonts w:ascii="宋体" w:hAnsi="宋体" w:cs="宋体" w:eastAsia="宋体" w:hint="default"/>
        </w:rPr>
        <w:t>2014</w:t>
      </w:r>
      <w:r>
        <w:rPr>
          <w:rFonts w:ascii="宋体" w:hAnsi="宋体" w:cs="宋体" w:eastAsia="宋体" w:hint="default"/>
          <w:spacing w:val="-63"/>
        </w:rPr>
        <w:t> </w:t>
      </w:r>
      <w:r>
        <w:rPr/>
        <w:t>年</w:t>
      </w:r>
      <w:r>
        <w:rPr>
          <w:spacing w:val="-63"/>
        </w:rPr>
        <w:t> </w:t>
      </w:r>
      <w:r>
        <w:rPr>
          <w:rFonts w:ascii="宋体" w:hAnsi="宋体" w:cs="宋体" w:eastAsia="宋体" w:hint="default"/>
        </w:rPr>
        <w:t>2</w:t>
      </w:r>
      <w:r>
        <w:rPr>
          <w:rFonts w:ascii="宋体" w:hAnsi="宋体" w:cs="宋体" w:eastAsia="宋体" w:hint="default"/>
          <w:spacing w:val="-63"/>
        </w:rPr>
        <w:t> </w:t>
      </w:r>
      <w:r>
        <w:rPr/>
        <w:t>月至今任公司董事会秘书、副总经理。</w:t>
      </w:r>
    </w:p>
    <w:p>
      <w:pPr>
        <w:pStyle w:val="Heading2"/>
        <w:spacing w:line="240" w:lineRule="auto" w:before="36"/>
        <w:ind w:right="1153"/>
        <w:jc w:val="left"/>
        <w:rPr>
          <w:b w:val="0"/>
          <w:bCs w:val="0"/>
        </w:rPr>
      </w:pPr>
      <w:r>
        <w:rPr/>
        <w:t>在股东单位任职情况</w:t>
      </w:r>
      <w:r>
        <w:rPr>
          <w:b w:val="0"/>
          <w:bCs w:val="0"/>
        </w:rPr>
      </w:r>
    </w:p>
    <w:p>
      <w:pPr>
        <w:spacing w:line="350" w:lineRule="auto" w:before="145"/>
        <w:ind w:left="636" w:right="8101" w:hanging="3"/>
        <w:jc w:val="left"/>
        <w:rPr>
          <w:rFonts w:ascii="宋体" w:hAnsi="宋体" w:cs="宋体" w:eastAsia="宋体" w:hint="default"/>
          <w:sz w:val="24"/>
          <w:szCs w:val="24"/>
        </w:rPr>
      </w:pPr>
      <w:r>
        <w:rPr/>
        <w:pict>
          <v:shape style="position:absolute;margin-left:56.459999pt;margin-top:48.865635pt;width:518.2pt;height:375.5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3420"/>
                    <w:gridCol w:w="1331"/>
                    <w:gridCol w:w="1770"/>
                    <w:gridCol w:w="1842"/>
                    <w:gridCol w:w="1134"/>
                  </w:tblGrid>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105" w:right="105"/>
                          <w:jc w:val="left"/>
                          <w:rPr>
                            <w:rFonts w:ascii="宋体" w:hAnsi="宋体" w:cs="宋体" w:eastAsia="宋体" w:hint="default"/>
                            <w:sz w:val="21"/>
                            <w:szCs w:val="21"/>
                          </w:rPr>
                        </w:pPr>
                        <w:r>
                          <w:rPr>
                            <w:rFonts w:ascii="宋体" w:hAnsi="宋体" w:cs="宋体" w:eastAsia="宋体" w:hint="default"/>
                            <w:sz w:val="21"/>
                            <w:szCs w:val="21"/>
                          </w:rPr>
                          <w:t>任职人 员姓名</w:t>
                        </w:r>
                      </w:p>
                    </w:tc>
                    <w:tc>
                      <w:tcPr>
                        <w:tcW w:w="3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39" w:right="29" w:hanging="210"/>
                          <w:jc w:val="left"/>
                          <w:rPr>
                            <w:rFonts w:ascii="宋体" w:hAnsi="宋体" w:cs="宋体" w:eastAsia="宋体" w:hint="default"/>
                            <w:sz w:val="21"/>
                            <w:szCs w:val="21"/>
                          </w:rPr>
                        </w:pPr>
                        <w:r>
                          <w:rPr>
                            <w:rFonts w:ascii="宋体" w:hAnsi="宋体" w:cs="宋体" w:eastAsia="宋体" w:hint="default"/>
                            <w:sz w:val="21"/>
                            <w:szCs w:val="21"/>
                          </w:rPr>
                          <w:t>在其他单位担 任的职务</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7" w:right="35"/>
                          <w:jc w:val="center"/>
                          <w:rPr>
                            <w:rFonts w:ascii="宋体" w:hAnsi="宋体" w:cs="宋体" w:eastAsia="宋体" w:hint="default"/>
                            <w:sz w:val="21"/>
                            <w:szCs w:val="21"/>
                          </w:rPr>
                        </w:pPr>
                        <w:r>
                          <w:rPr>
                            <w:rFonts w:ascii="宋体" w:hAnsi="宋体" w:cs="宋体" w:eastAsia="宋体" w:hint="default"/>
                            <w:sz w:val="21"/>
                            <w:szCs w:val="21"/>
                          </w:rPr>
                          <w:t>在其他单位 是否领取报 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李海鹰</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北京七彩通达传媒股份有限公司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谢春生</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河南辉煌软件有限公司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851" w:type="dxa"/>
                        <w:vMerge/>
                        <w:tcBorders>
                          <w:left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北京全路信通软件科技有限公司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851" w:type="dxa"/>
                        <w:vMerge/>
                        <w:tcBorders>
                          <w:left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河南辉煌信通软件有限公司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851" w:type="dxa"/>
                        <w:vMerge/>
                        <w:tcBorders>
                          <w:left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飞天联合（北京）系统技术有限公司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北京赛弗网络科技有限责任公司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刘宝利</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9"/>
                            <w:szCs w:val="29"/>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唐涛</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073" w:right="24" w:hanging="1050"/>
                          <w:jc w:val="left"/>
                          <w:rPr>
                            <w:rFonts w:ascii="宋体" w:hAnsi="宋体" w:cs="宋体" w:eastAsia="宋体" w:hint="default"/>
                            <w:sz w:val="21"/>
                            <w:szCs w:val="21"/>
                          </w:rPr>
                        </w:pPr>
                        <w:r>
                          <w:rPr>
                            <w:rFonts w:ascii="宋体" w:hAnsi="宋体" w:cs="宋体" w:eastAsia="宋体" w:hint="default"/>
                            <w:sz w:val="21"/>
                            <w:szCs w:val="21"/>
                          </w:rPr>
                          <w:t>北京交通大学轨道交通控制与安全国 家重点实验室</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主任</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北京交控科技有限公司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谭宪才</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天职国际会计师事务所</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555" w:right="29" w:hanging="526"/>
                          <w:jc w:val="left"/>
                          <w:rPr>
                            <w:rFonts w:ascii="宋体" w:hAnsi="宋体" w:cs="宋体" w:eastAsia="宋体" w:hint="default"/>
                            <w:sz w:val="21"/>
                            <w:szCs w:val="21"/>
                          </w:rPr>
                        </w:pPr>
                        <w:r>
                          <w:rPr>
                            <w:rFonts w:ascii="宋体" w:hAnsi="宋体" w:cs="宋体" w:eastAsia="宋体" w:hint="default"/>
                            <w:sz w:val="21"/>
                            <w:szCs w:val="21"/>
                          </w:rPr>
                          <w:t>合伙人、总经 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851" w:type="dxa"/>
                        <w:vMerge/>
                        <w:tcBorders>
                          <w:left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财政部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449" w:right="29" w:hanging="420"/>
                          <w:jc w:val="left"/>
                          <w:rPr>
                            <w:rFonts w:ascii="宋体" w:hAnsi="宋体" w:cs="宋体" w:eastAsia="宋体" w:hint="default"/>
                            <w:sz w:val="21"/>
                            <w:szCs w:val="21"/>
                          </w:rPr>
                        </w:pPr>
                        <w:r>
                          <w:rPr>
                            <w:rFonts w:ascii="宋体" w:hAnsi="宋体" w:cs="宋体" w:eastAsia="宋体" w:hint="default"/>
                            <w:sz w:val="21"/>
                            <w:szCs w:val="21"/>
                          </w:rPr>
                          <w:t>管理会计咨询 专家</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851" w:type="dxa"/>
                        <w:vMerge/>
                        <w:tcBorders>
                          <w:left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中国注册会计师协会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45" w:right="29" w:hanging="316"/>
                          <w:jc w:val="left"/>
                          <w:rPr>
                            <w:rFonts w:ascii="宋体" w:hAnsi="宋体" w:cs="宋体" w:eastAsia="宋体" w:hint="default"/>
                            <w:sz w:val="21"/>
                            <w:szCs w:val="21"/>
                          </w:rPr>
                        </w:pPr>
                        <w:r>
                          <w:rPr>
                            <w:rFonts w:ascii="宋体" w:hAnsi="宋体" w:cs="宋体" w:eastAsia="宋体" w:hint="default"/>
                            <w:sz w:val="21"/>
                            <w:szCs w:val="21"/>
                          </w:rPr>
                          <w:t>内部治理委员 会委员</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851" w:type="dxa"/>
                        <w:vMerge/>
                        <w:tcBorders>
                          <w:left w:val="single" w:sz="4" w:space="0" w:color="000000"/>
                          <w:bottom w:val="nil" w:sz="6" w:space="0" w:color="auto"/>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全国工商联</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执委</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p>
              </w:txbxContent>
            </v:textbox>
            <w10:wrap type="none"/>
          </v:shape>
        </w:pict>
      </w:r>
      <w:r>
        <w:rPr>
          <w:rFonts w:ascii="宋体" w:hAnsi="宋体" w:cs="宋体" w:eastAsia="宋体" w:hint="default"/>
          <w:sz w:val="24"/>
          <w:szCs w:val="24"/>
        </w:rPr>
        <w:t>□ 适用 √ 不适用 </w:t>
      </w:r>
      <w:r>
        <w:rPr>
          <w:rFonts w:ascii="宋体" w:hAnsi="宋体" w:cs="宋体" w:eastAsia="宋体" w:hint="default"/>
          <w:b/>
          <w:bCs/>
          <w:sz w:val="24"/>
          <w:szCs w:val="24"/>
        </w:rPr>
        <w:t>在其他单位任职情况</w:t>
      </w:r>
      <w:r>
        <w:rPr>
          <w:rFonts w:ascii="宋体" w:hAnsi="宋体" w:cs="宋体" w:eastAsia="宋体" w:hint="default"/>
          <w:sz w:val="24"/>
          <w:szCs w:val="24"/>
        </w:rPr>
      </w:r>
    </w:p>
    <w:p>
      <w:pPr>
        <w:spacing w:after="0" w:line="350"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51"/>
        <w:gridCol w:w="3420"/>
        <w:gridCol w:w="1331"/>
        <w:gridCol w:w="1770"/>
        <w:gridCol w:w="1842"/>
        <w:gridCol w:w="1134"/>
      </w:tblGrid>
      <w:tr>
        <w:trPr>
          <w:trHeight w:val="402" w:hRule="exact"/>
        </w:trPr>
        <w:tc>
          <w:tcPr>
            <w:tcW w:w="851" w:type="dxa"/>
            <w:vMerge w:val="restart"/>
            <w:tcBorders>
              <w:top w:val="nil" w:sz="6" w:space="0" w:color="auto"/>
              <w:left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天津科迈化工股份有限公司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51" w:type="dxa"/>
            <w:vMerge/>
            <w:tcBorders>
              <w:left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威海光威复合材料股份有限公司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51" w:type="dxa"/>
            <w:vMerge/>
            <w:tcBorders>
              <w:left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北京直真科技股份有限公司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北京城建集团有限责任公司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外部董事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0" w:right="0"/>
              <w:jc w:val="left"/>
              <w:rPr>
                <w:rFonts w:ascii="宋体" w:hAnsi="宋体" w:cs="宋体" w:eastAsia="宋体" w:hint="default"/>
                <w:sz w:val="21"/>
                <w:szCs w:val="21"/>
              </w:rPr>
            </w:pPr>
            <w:r>
              <w:rPr>
                <w:rFonts w:ascii="宋体" w:hAnsi="宋体" w:cs="宋体" w:eastAsia="宋体" w:hint="default"/>
                <w:sz w:val="21"/>
                <w:szCs w:val="21"/>
              </w:rPr>
              <w:t>蒋承</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北京大学教育学院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教师</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105"/>
              <w:jc w:val="both"/>
              <w:rPr>
                <w:rFonts w:ascii="宋体" w:hAnsi="宋体" w:cs="宋体" w:eastAsia="宋体" w:hint="default"/>
                <w:sz w:val="21"/>
                <w:szCs w:val="21"/>
              </w:rPr>
            </w:pPr>
            <w:r>
              <w:rPr>
                <w:rFonts w:ascii="宋体" w:hAnsi="宋体" w:cs="宋体" w:eastAsia="宋体" w:hint="default"/>
                <w:sz w:val="21"/>
                <w:szCs w:val="21"/>
              </w:rPr>
              <w:t>在其他 单位任 职情况 的说明</w:t>
            </w:r>
          </w:p>
        </w:tc>
        <w:tc>
          <w:tcPr>
            <w:tcW w:w="94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0"/>
        <w:rPr>
          <w:rFonts w:ascii="宋体" w:hAnsi="宋体" w:cs="宋体" w:eastAsia="宋体" w:hint="default"/>
          <w:b/>
          <w:bCs/>
          <w:sz w:val="4"/>
          <w:szCs w:val="4"/>
        </w:rPr>
      </w:pPr>
    </w:p>
    <w:p>
      <w:pPr>
        <w:pStyle w:val="Heading2"/>
        <w:spacing w:line="240" w:lineRule="auto"/>
        <w:ind w:right="1153"/>
        <w:jc w:val="left"/>
        <w:rPr>
          <w:b w:val="0"/>
          <w:bCs w:val="0"/>
        </w:rPr>
      </w:pPr>
      <w:r>
        <w:rPr/>
        <w:t>公司现任及报告期内离任董事、监事和高级管理人员近三年证券监管机构处罚的情况</w:t>
      </w:r>
      <w:r>
        <w:rPr>
          <w:b w:val="0"/>
          <w:bCs w:val="0"/>
        </w:rPr>
      </w:r>
    </w:p>
    <w:p>
      <w:pPr>
        <w:spacing w:line="350" w:lineRule="auto" w:before="146"/>
        <w:ind w:left="636" w:right="4153"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四、董事、监事、高级管理人员报酬情况</w:t>
      </w:r>
      <w:r>
        <w:rPr>
          <w:rFonts w:ascii="宋体" w:hAnsi="宋体" w:cs="宋体" w:eastAsia="宋体" w:hint="default"/>
          <w:sz w:val="24"/>
          <w:szCs w:val="24"/>
        </w:rPr>
      </w:r>
    </w:p>
    <w:p>
      <w:pPr>
        <w:pStyle w:val="BodyText"/>
        <w:spacing w:line="352" w:lineRule="auto" w:before="35"/>
        <w:ind w:right="996" w:firstLine="480"/>
        <w:jc w:val="left"/>
      </w:pPr>
      <w:r>
        <w:rPr/>
        <w:t>董事、监事、高级管理人员的报酬按照公司《薪酬体系管理规定》、《高级管理人员薪 酬管理制度》的规定进行考核，并由公司董事会、监事会审议后提交公司股东大会审议。公 </w:t>
      </w:r>
      <w:r>
        <w:rPr>
          <w:spacing w:val="-6"/>
        </w:rPr>
        <w:t>司根据薪酬计划按月发放薪酬，报告期内共支付董事、监事、高级管理人员薪酬</w:t>
      </w:r>
      <w:r>
        <w:rPr>
          <w:spacing w:val="-56"/>
        </w:rPr>
        <w:t> </w:t>
      </w:r>
      <w:r>
        <w:rPr>
          <w:rFonts w:ascii="宋体" w:hAnsi="宋体" w:cs="宋体" w:eastAsia="宋体" w:hint="default"/>
        </w:rPr>
        <w:t>280.02</w:t>
      </w:r>
      <w:r>
        <w:rPr>
          <w:rFonts w:ascii="宋体" w:hAnsi="宋体" w:cs="宋体" w:eastAsia="宋体" w:hint="default"/>
          <w:spacing w:val="-57"/>
        </w:rPr>
        <w:t> </w:t>
      </w:r>
      <w:r>
        <w:rPr/>
        <w:t>万元。</w:t>
      </w:r>
    </w:p>
    <w:p>
      <w:pPr>
        <w:pStyle w:val="BodyText"/>
        <w:spacing w:line="240" w:lineRule="auto" w:before="32"/>
        <w:ind w:left="634" w:right="1153"/>
        <w:jc w:val="left"/>
      </w:pPr>
      <w:r>
        <w:rPr/>
        <w:t>公司报告期内董事、监事和高级管理人员报酬情况：</w:t>
      </w:r>
    </w:p>
    <w:p>
      <w:pPr>
        <w:spacing w:before="84"/>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 w:right="47"/>
              <w:jc w:val="left"/>
              <w:rPr>
                <w:rFonts w:ascii="宋体" w:hAnsi="宋体" w:cs="宋体" w:eastAsia="宋体" w:hint="default"/>
                <w:sz w:val="21"/>
                <w:szCs w:val="21"/>
              </w:rPr>
            </w:pPr>
            <w:r>
              <w:rPr>
                <w:rFonts w:ascii="宋体" w:hAnsi="宋体" w:cs="宋体" w:eastAsia="宋体" w:hint="default"/>
                <w:sz w:val="21"/>
                <w:szCs w:val="21"/>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7" w:right="47"/>
              <w:jc w:val="left"/>
              <w:rPr>
                <w:rFonts w:ascii="宋体" w:hAnsi="宋体" w:cs="宋体" w:eastAsia="宋体" w:hint="default"/>
                <w:sz w:val="21"/>
                <w:szCs w:val="21"/>
              </w:rPr>
            </w:pPr>
            <w:r>
              <w:rPr>
                <w:rFonts w:ascii="宋体" w:hAnsi="宋体" w:cs="宋体" w:eastAsia="宋体" w:hint="default"/>
                <w:sz w:val="21"/>
                <w:szCs w:val="21"/>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李海鹰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46" w:right="0"/>
              <w:jc w:val="left"/>
              <w:rPr>
                <w:rFonts w:ascii="Times New Roman" w:hAnsi="Times New Roman" w:cs="Times New Roman" w:eastAsia="Times New Roman" w:hint="default"/>
                <w:sz w:val="21"/>
                <w:szCs w:val="21"/>
              </w:rPr>
            </w:pPr>
            <w:r>
              <w:rPr>
                <w:rFonts w:ascii="Times New Roman"/>
                <w:sz w:val="21"/>
              </w:rPr>
              <w:t>11.96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谢春生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41" w:right="0"/>
              <w:jc w:val="left"/>
              <w:rPr>
                <w:rFonts w:ascii="Times New Roman" w:hAnsi="Times New Roman" w:cs="Times New Roman" w:eastAsia="Times New Roman" w:hint="default"/>
                <w:sz w:val="21"/>
                <w:szCs w:val="21"/>
              </w:rPr>
            </w:pPr>
            <w:r>
              <w:rPr>
                <w:rFonts w:ascii="Times New Roman"/>
                <w:sz w:val="21"/>
              </w:rPr>
              <w:t>81.68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唐涛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94" w:right="0"/>
              <w:jc w:val="left"/>
              <w:rPr>
                <w:rFonts w:ascii="Times New Roman" w:hAnsi="Times New Roman" w:cs="Times New Roman" w:eastAsia="Times New Roman" w:hint="default"/>
                <w:sz w:val="21"/>
                <w:szCs w:val="21"/>
              </w:rPr>
            </w:pPr>
            <w:r>
              <w:rPr>
                <w:rFonts w:ascii="Times New Roman"/>
                <w:sz w:val="21"/>
              </w:rPr>
              <w:t>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谭宪才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94" w:right="0"/>
              <w:jc w:val="left"/>
              <w:rPr>
                <w:rFonts w:ascii="Times New Roman" w:hAnsi="Times New Roman" w:cs="Times New Roman" w:eastAsia="Times New Roman" w:hint="default"/>
                <w:sz w:val="21"/>
                <w:szCs w:val="21"/>
              </w:rPr>
            </w:pPr>
            <w:r>
              <w:rPr>
                <w:rFonts w:ascii="Times New Roman"/>
                <w:sz w:val="21"/>
              </w:rPr>
              <w:t>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蒋承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94" w:right="0"/>
              <w:jc w:val="left"/>
              <w:rPr>
                <w:rFonts w:ascii="Times New Roman" w:hAnsi="Times New Roman" w:cs="Times New Roman" w:eastAsia="Times New Roman" w:hint="default"/>
                <w:sz w:val="21"/>
                <w:szCs w:val="21"/>
              </w:rPr>
            </w:pPr>
            <w:r>
              <w:rPr>
                <w:rFonts w:ascii="Times New Roman"/>
                <w:sz w:val="21"/>
              </w:rPr>
              <w:t>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刘宝利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41" w:right="0"/>
              <w:jc w:val="left"/>
              <w:rPr>
                <w:rFonts w:ascii="Times New Roman" w:hAnsi="Times New Roman" w:cs="Times New Roman" w:eastAsia="Times New Roman" w:hint="default"/>
                <w:sz w:val="21"/>
                <w:szCs w:val="21"/>
              </w:rPr>
            </w:pPr>
            <w:r>
              <w:rPr>
                <w:rFonts w:ascii="Times New Roman"/>
                <w:sz w:val="21"/>
              </w:rPr>
              <w:t>39.71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黄继军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41" w:right="0"/>
              <w:jc w:val="left"/>
              <w:rPr>
                <w:rFonts w:ascii="Times New Roman" w:hAnsi="Times New Roman" w:cs="Times New Roman" w:eastAsia="Times New Roman" w:hint="default"/>
                <w:sz w:val="21"/>
                <w:szCs w:val="21"/>
              </w:rPr>
            </w:pPr>
            <w:r>
              <w:rPr>
                <w:rFonts w:ascii="Times New Roman"/>
                <w:sz w:val="21"/>
              </w:rPr>
              <w:t>13.54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郝恩元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94" w:right="0"/>
              <w:jc w:val="left"/>
              <w:rPr>
                <w:rFonts w:ascii="Times New Roman" w:hAnsi="Times New Roman" w:cs="Times New Roman" w:eastAsia="Times New Roman" w:hint="default"/>
                <w:sz w:val="21"/>
                <w:szCs w:val="21"/>
              </w:rPr>
            </w:pPr>
            <w:r>
              <w:rPr>
                <w:rFonts w:ascii="Times New Roman"/>
                <w:sz w:val="21"/>
              </w:rPr>
              <w:t>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杜旭升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41" w:right="0"/>
              <w:jc w:val="left"/>
              <w:rPr>
                <w:rFonts w:ascii="Times New Roman" w:hAnsi="Times New Roman" w:cs="Times New Roman" w:eastAsia="Times New Roman" w:hint="default"/>
                <w:sz w:val="21"/>
                <w:szCs w:val="21"/>
              </w:rPr>
            </w:pPr>
            <w:r>
              <w:rPr>
                <w:rFonts w:ascii="Times New Roman"/>
                <w:sz w:val="21"/>
              </w:rPr>
              <w:t>31.62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张奕敏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41" w:right="0"/>
              <w:jc w:val="left"/>
              <w:rPr>
                <w:rFonts w:ascii="Times New Roman" w:hAnsi="Times New Roman" w:cs="Times New Roman" w:eastAsia="Times New Roman" w:hint="default"/>
                <w:sz w:val="21"/>
                <w:szCs w:val="21"/>
              </w:rPr>
            </w:pPr>
            <w:r>
              <w:rPr>
                <w:rFonts w:ascii="Times New Roman"/>
                <w:sz w:val="21"/>
              </w:rPr>
              <w:t>31.62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侯菊艳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41" w:right="0"/>
              <w:jc w:val="left"/>
              <w:rPr>
                <w:rFonts w:ascii="Times New Roman" w:hAnsi="Times New Roman" w:cs="Times New Roman" w:eastAsia="Times New Roman" w:hint="default"/>
                <w:sz w:val="21"/>
                <w:szCs w:val="21"/>
              </w:rPr>
            </w:pPr>
            <w:r>
              <w:rPr>
                <w:rFonts w:ascii="Times New Roman"/>
                <w:sz w:val="21"/>
              </w:rPr>
              <w:t>19.62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韩瑞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57" w:right="47" w:hanging="210"/>
              <w:jc w:val="left"/>
              <w:rPr>
                <w:rFonts w:ascii="宋体" w:hAnsi="宋体" w:cs="宋体" w:eastAsia="宋体" w:hint="default"/>
                <w:sz w:val="21"/>
                <w:szCs w:val="21"/>
              </w:rPr>
            </w:pPr>
            <w:r>
              <w:rPr>
                <w:rFonts w:ascii="宋体" w:hAnsi="宋体" w:cs="宋体" w:eastAsia="宋体" w:hint="default"/>
                <w:sz w:val="21"/>
                <w:szCs w:val="21"/>
              </w:rPr>
              <w:t>董事会秘书、 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41" w:right="0"/>
              <w:jc w:val="left"/>
              <w:rPr>
                <w:rFonts w:ascii="Times New Roman" w:hAnsi="Times New Roman" w:cs="Times New Roman" w:eastAsia="Times New Roman" w:hint="default"/>
                <w:sz w:val="21"/>
                <w:szCs w:val="21"/>
              </w:rPr>
            </w:pPr>
            <w:r>
              <w:rPr>
                <w:rFonts w:ascii="Times New Roman"/>
                <w:sz w:val="21"/>
              </w:rPr>
              <w:t>19.62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于辉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94" w:right="0"/>
              <w:jc w:val="left"/>
              <w:rPr>
                <w:rFonts w:ascii="Times New Roman" w:hAnsi="Times New Roman" w:cs="Times New Roman" w:eastAsia="Times New Roman" w:hint="default"/>
                <w:sz w:val="21"/>
                <w:szCs w:val="21"/>
              </w:rPr>
            </w:pPr>
            <w:r>
              <w:rPr>
                <w:rFonts w:ascii="Times New Roman"/>
                <w:sz w:val="21"/>
              </w:rPr>
              <w:t>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90" w:right="0"/>
              <w:jc w:val="left"/>
              <w:rPr>
                <w:rFonts w:ascii="Times New Roman" w:hAnsi="Times New Roman" w:cs="Times New Roman" w:eastAsia="Times New Roman" w:hint="default"/>
                <w:sz w:val="21"/>
                <w:szCs w:val="21"/>
              </w:rPr>
            </w:pPr>
            <w:r>
              <w:rPr>
                <w:rFonts w:ascii="Times New Roman"/>
                <w:sz w:val="21"/>
              </w:rPr>
              <w:t>280.02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608" w:right="0"/>
              <w:jc w:val="lef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1153"/>
        <w:jc w:val="left"/>
        <w:rPr>
          <w:b w:val="0"/>
          <w:bCs w:val="0"/>
        </w:rPr>
      </w:pPr>
      <w:r>
        <w:rPr/>
        <w:t>公司董事、监事、高级管理人员报告期内被授予的股权激励情况</w:t>
      </w:r>
      <w:r>
        <w:rPr>
          <w:b w:val="0"/>
          <w:bCs w:val="0"/>
        </w:rPr>
      </w:r>
    </w:p>
    <w:p>
      <w:pPr>
        <w:spacing w:line="352" w:lineRule="auto" w:before="145"/>
        <w:ind w:left="636" w:right="8233"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五、公司员工情况</w:t>
      </w:r>
      <w:r>
        <w:rPr>
          <w:rFonts w:ascii="宋体" w:hAnsi="宋体" w:cs="宋体" w:eastAsia="宋体" w:hint="default"/>
          <w:sz w:val="24"/>
          <w:szCs w:val="24"/>
        </w:rPr>
      </w:r>
    </w:p>
    <w:p>
      <w:pPr>
        <w:pStyle w:val="BodyText"/>
        <w:spacing w:line="240" w:lineRule="auto" w:before="33"/>
        <w:ind w:left="633" w:right="0"/>
        <w:jc w:val="left"/>
      </w:pPr>
      <w:r>
        <w:rPr/>
        <w:t>截止</w:t>
      </w:r>
      <w:r>
        <w:rPr>
          <w:spacing w:val="-60"/>
        </w:rPr>
        <w:t> </w:t>
      </w:r>
      <w:r>
        <w:rPr>
          <w:rFonts w:ascii="宋体" w:hAnsi="宋体" w:cs="宋体" w:eastAsia="宋体" w:hint="default"/>
        </w:rPr>
        <w:t>2015</w:t>
      </w:r>
      <w:r>
        <w:rPr>
          <w:rFonts w:ascii="宋体" w:hAnsi="宋体" w:cs="宋体" w:eastAsia="宋体" w:hint="default"/>
          <w:spacing w:val="-60"/>
        </w:rPr>
        <w:t> </w:t>
      </w:r>
      <w:r>
        <w:rPr/>
        <w:t>年底，公司共有员工</w:t>
      </w:r>
      <w:r>
        <w:rPr>
          <w:spacing w:val="-60"/>
        </w:rPr>
        <w:t> </w:t>
      </w:r>
      <w:r>
        <w:rPr>
          <w:rFonts w:ascii="宋体" w:hAnsi="宋体" w:cs="宋体" w:eastAsia="宋体" w:hint="default"/>
        </w:rPr>
        <w:t>746</w:t>
      </w:r>
      <w:r>
        <w:rPr>
          <w:rFonts w:ascii="宋体" w:hAnsi="宋体" w:cs="宋体" w:eastAsia="宋体" w:hint="default"/>
          <w:spacing w:val="-60"/>
        </w:rPr>
        <w:t> </w:t>
      </w:r>
      <w:r>
        <w:rPr/>
        <w:t>人，其中辉煌科技</w:t>
      </w:r>
      <w:r>
        <w:rPr>
          <w:spacing w:val="-60"/>
        </w:rPr>
        <w:t> </w:t>
      </w:r>
      <w:r>
        <w:rPr>
          <w:rFonts w:ascii="宋体" w:hAnsi="宋体" w:cs="宋体" w:eastAsia="宋体" w:hint="default"/>
        </w:rPr>
        <w:t>455</w:t>
      </w:r>
      <w:r>
        <w:rPr>
          <w:rFonts w:ascii="宋体" w:hAnsi="宋体" w:cs="宋体" w:eastAsia="宋体" w:hint="default"/>
          <w:spacing w:val="-60"/>
        </w:rPr>
        <w:t> </w:t>
      </w:r>
      <w:r>
        <w:rPr/>
        <w:t>人，辉煌软件</w:t>
      </w:r>
      <w:r>
        <w:rPr>
          <w:spacing w:val="-60"/>
        </w:rPr>
        <w:t> </w:t>
      </w:r>
      <w:r>
        <w:rPr>
          <w:rFonts w:ascii="宋体" w:hAnsi="宋体" w:cs="宋体" w:eastAsia="宋体" w:hint="default"/>
        </w:rPr>
        <w:t>10</w:t>
      </w:r>
      <w:r>
        <w:rPr>
          <w:rFonts w:ascii="宋体" w:hAnsi="宋体" w:cs="宋体" w:eastAsia="宋体" w:hint="default"/>
          <w:spacing w:val="-60"/>
        </w:rPr>
        <w:t> </w:t>
      </w:r>
      <w:r>
        <w:rPr/>
        <w:t>人，北京全</w:t>
      </w:r>
    </w:p>
    <w:p>
      <w:pPr>
        <w:pStyle w:val="BodyText"/>
        <w:spacing w:line="240" w:lineRule="auto" w:before="145"/>
        <w:ind w:right="1153"/>
        <w:jc w:val="left"/>
      </w:pPr>
      <w:r>
        <w:rPr/>
        <w:t>路信通</w:t>
      </w:r>
      <w:r>
        <w:rPr>
          <w:spacing w:val="-60"/>
        </w:rPr>
        <w:t> </w:t>
      </w:r>
      <w:r>
        <w:rPr>
          <w:rFonts w:ascii="宋体" w:hAnsi="宋体" w:cs="宋体" w:eastAsia="宋体" w:hint="default"/>
        </w:rPr>
        <w:t>15</w:t>
      </w:r>
      <w:r>
        <w:rPr>
          <w:rFonts w:ascii="宋体" w:hAnsi="宋体" w:cs="宋体" w:eastAsia="宋体" w:hint="default"/>
          <w:spacing w:val="-60"/>
        </w:rPr>
        <w:t> </w:t>
      </w:r>
      <w:r>
        <w:rPr/>
        <w:t>人，辉煌信通</w:t>
      </w:r>
      <w:r>
        <w:rPr>
          <w:spacing w:val="-60"/>
        </w:rPr>
        <w:t> </w:t>
      </w:r>
      <w:r>
        <w:rPr>
          <w:rFonts w:ascii="宋体" w:hAnsi="宋体" w:cs="宋体" w:eastAsia="宋体" w:hint="default"/>
        </w:rPr>
        <w:t>22</w:t>
      </w:r>
      <w:r>
        <w:rPr>
          <w:rFonts w:ascii="宋体" w:hAnsi="宋体" w:cs="宋体" w:eastAsia="宋体" w:hint="default"/>
          <w:spacing w:val="-60"/>
        </w:rPr>
        <w:t> </w:t>
      </w:r>
      <w:r>
        <w:rPr/>
        <w:t>人，国铁路阳</w:t>
      </w:r>
      <w:r>
        <w:rPr>
          <w:spacing w:val="-60"/>
        </w:rPr>
        <w:t> </w:t>
      </w:r>
      <w:r>
        <w:rPr>
          <w:rFonts w:ascii="宋体" w:hAnsi="宋体" w:cs="宋体" w:eastAsia="宋体" w:hint="default"/>
        </w:rPr>
        <w:t>244</w:t>
      </w:r>
      <w:r>
        <w:rPr>
          <w:rFonts w:ascii="宋体" w:hAnsi="宋体" w:cs="宋体" w:eastAsia="宋体" w:hint="default"/>
          <w:spacing w:val="-60"/>
        </w:rPr>
        <w:t> </w:t>
      </w:r>
      <w:r>
        <w:rPr/>
        <w:t>人。</w:t>
      </w:r>
    </w:p>
    <w:p>
      <w:pPr>
        <w:pStyle w:val="Heading2"/>
        <w:spacing w:line="240" w:lineRule="auto" w:before="146"/>
        <w:ind w:right="1153"/>
        <w:jc w:val="left"/>
        <w:rPr>
          <w:b w:val="0"/>
          <w:bCs w:val="0"/>
        </w:rPr>
      </w:pPr>
      <w:r>
        <w:rPr>
          <w:rFonts w:ascii="Times New Roman" w:hAnsi="Times New Roman" w:cs="Times New Roman" w:eastAsia="Times New Roman" w:hint="default"/>
        </w:rPr>
        <w:t>1</w:t>
      </w:r>
      <w:r>
        <w:rPr/>
        <w:t>、员工专业构成：</w:t>
      </w:r>
      <w:r>
        <w:rPr>
          <w:b w:val="0"/>
          <w:bCs w:val="0"/>
        </w:rPr>
      </w:r>
    </w:p>
    <w:p>
      <w:pPr>
        <w:spacing w:line="240" w:lineRule="auto" w:before="0"/>
        <w:rPr>
          <w:rFonts w:ascii="宋体" w:hAnsi="宋体" w:cs="宋体" w:eastAsia="宋体" w:hint="default"/>
          <w:b/>
          <w:bCs/>
          <w:sz w:val="3"/>
          <w:szCs w:val="3"/>
        </w:rPr>
      </w:pPr>
    </w:p>
    <w:tbl>
      <w:tblPr>
        <w:tblW w:w="0" w:type="auto"/>
        <w:jc w:val="left"/>
        <w:tblInd w:w="488" w:type="dxa"/>
        <w:tblLayout w:type="fixed"/>
        <w:tblCellMar>
          <w:top w:w="0" w:type="dxa"/>
          <w:left w:w="0" w:type="dxa"/>
          <w:bottom w:w="0" w:type="dxa"/>
          <w:right w:w="0" w:type="dxa"/>
        </w:tblCellMar>
        <w:tblLook w:val="01E0"/>
      </w:tblPr>
      <w:tblGrid>
        <w:gridCol w:w="1362"/>
        <w:gridCol w:w="992"/>
        <w:gridCol w:w="1048"/>
        <w:gridCol w:w="1362"/>
        <w:gridCol w:w="992"/>
        <w:gridCol w:w="1134"/>
        <w:gridCol w:w="708"/>
        <w:gridCol w:w="1360"/>
      </w:tblGrid>
      <w:tr>
        <w:trPr>
          <w:trHeight w:val="430"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辉煌科技</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辉煌软件</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北京全路信通</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辉煌信通</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国铁路阳</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占比</w:t>
            </w:r>
          </w:p>
        </w:tc>
      </w:tr>
      <w:tr>
        <w:trPr>
          <w:trHeight w:val="431"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67</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21"/>
                <w:szCs w:val="21"/>
              </w:rPr>
            </w:pPr>
            <w:r>
              <w:rPr>
                <w:rFonts w:ascii="Times New Roman"/>
                <w:sz w:val="21"/>
              </w:rPr>
              <w:t>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21"/>
                <w:szCs w:val="21"/>
              </w:rPr>
            </w:pPr>
            <w:r>
              <w:rPr>
                <w:rFonts w:ascii="Times New Roman"/>
                <w:sz w:val="21"/>
              </w:rPr>
              <w:t>145</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50" w:right="0"/>
              <w:jc w:val="left"/>
              <w:rPr>
                <w:rFonts w:ascii="Times New Roman" w:hAnsi="Times New Roman" w:cs="Times New Roman" w:eastAsia="Times New Roman" w:hint="default"/>
                <w:sz w:val="21"/>
                <w:szCs w:val="21"/>
              </w:rPr>
            </w:pPr>
            <w:r>
              <w:rPr>
                <w:rFonts w:ascii="Times New Roman"/>
                <w:sz w:val="21"/>
              </w:rPr>
              <w:t>19.44%</w:t>
            </w:r>
          </w:p>
        </w:tc>
      </w:tr>
      <w:tr>
        <w:trPr>
          <w:trHeight w:val="43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21"/>
                <w:szCs w:val="21"/>
              </w:rPr>
            </w:pPr>
            <w:r>
              <w:rPr>
                <w:rFonts w:ascii="Times New Roman"/>
                <w:sz w:val="21"/>
              </w:rPr>
              <w:t>37</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21"/>
                <w:szCs w:val="21"/>
              </w:rPr>
            </w:pPr>
            <w:r>
              <w:rPr>
                <w:rFonts w:ascii="Times New Roman"/>
                <w:sz w:val="21"/>
              </w:rPr>
              <w:t>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21"/>
                <w:szCs w:val="21"/>
              </w:rPr>
            </w:pPr>
            <w:r>
              <w:rPr>
                <w:rFonts w:ascii="Times New Roman"/>
                <w:sz w:val="21"/>
              </w:rPr>
              <w:t>2</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21"/>
                <w:szCs w:val="21"/>
              </w:rPr>
            </w:pPr>
            <w:r>
              <w:rPr>
                <w:rFonts w:ascii="Times New Roman"/>
                <w:sz w:val="21"/>
              </w:rPr>
              <w:t>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21"/>
                <w:szCs w:val="21"/>
              </w:rPr>
            </w:pPr>
            <w:r>
              <w:rPr>
                <w:rFonts w:ascii="Times New Roman"/>
                <w:sz w:val="21"/>
              </w:rPr>
              <w:t>65</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03" w:right="0"/>
              <w:jc w:val="left"/>
              <w:rPr>
                <w:rFonts w:ascii="Times New Roman" w:hAnsi="Times New Roman" w:cs="Times New Roman" w:eastAsia="Times New Roman" w:hint="default"/>
                <w:sz w:val="21"/>
                <w:szCs w:val="21"/>
              </w:rPr>
            </w:pPr>
            <w:r>
              <w:rPr>
                <w:rFonts w:ascii="Times New Roman"/>
                <w:sz w:val="21"/>
              </w:rPr>
              <w:t>8.71%</w:t>
            </w:r>
          </w:p>
        </w:tc>
      </w:tr>
      <w:tr>
        <w:trPr>
          <w:trHeight w:val="43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304</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111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21"/>
                <w:szCs w:val="21"/>
              </w:rPr>
            </w:pPr>
            <w:r>
              <w:rPr>
                <w:rFonts w:ascii="Times New Roman"/>
                <w:sz w:val="21"/>
              </w:rPr>
              <w:t>452</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50" w:right="0"/>
              <w:jc w:val="left"/>
              <w:rPr>
                <w:rFonts w:ascii="Times New Roman" w:hAnsi="Times New Roman" w:cs="Times New Roman" w:eastAsia="Times New Roman" w:hint="default"/>
                <w:sz w:val="21"/>
                <w:szCs w:val="21"/>
              </w:rPr>
            </w:pPr>
            <w:r>
              <w:rPr>
                <w:rFonts w:ascii="Times New Roman"/>
                <w:sz w:val="21"/>
              </w:rPr>
              <w:t>60.59%</w:t>
            </w:r>
          </w:p>
        </w:tc>
      </w:tr>
      <w:tr>
        <w:trPr>
          <w:trHeight w:val="431"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8</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20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03" w:right="0"/>
              <w:jc w:val="left"/>
              <w:rPr>
                <w:rFonts w:ascii="Times New Roman" w:hAnsi="Times New Roman" w:cs="Times New Roman" w:eastAsia="Times New Roman" w:hint="default"/>
                <w:sz w:val="21"/>
                <w:szCs w:val="21"/>
              </w:rPr>
            </w:pPr>
            <w:r>
              <w:rPr>
                <w:rFonts w:ascii="Times New Roman"/>
                <w:sz w:val="21"/>
              </w:rPr>
              <w:t>2.68%</w:t>
            </w:r>
          </w:p>
        </w:tc>
      </w:tr>
      <w:tr>
        <w:trPr>
          <w:trHeight w:val="43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21"/>
                <w:szCs w:val="21"/>
              </w:rPr>
            </w:pPr>
            <w:r>
              <w:rPr>
                <w:rFonts w:ascii="Times New Roman"/>
                <w:sz w:val="21"/>
              </w:rPr>
              <w:t>39</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21"/>
                <w:szCs w:val="21"/>
              </w:rPr>
            </w:pPr>
            <w:r>
              <w:rPr>
                <w:rFonts w:ascii="Times New Roman"/>
                <w:sz w:val="21"/>
              </w:rPr>
              <w:t>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21"/>
                <w:szCs w:val="21"/>
              </w:rPr>
            </w:pPr>
            <w:r>
              <w:rPr>
                <w:rFonts w:ascii="Times New Roman"/>
                <w:sz w:val="21"/>
              </w:rPr>
              <w:t>2</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21"/>
                <w:szCs w:val="21"/>
              </w:rPr>
            </w:pPr>
            <w:r>
              <w:rPr>
                <w:rFonts w:ascii="Times New Roman"/>
                <w:sz w:val="21"/>
              </w:rPr>
              <w:t>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21"/>
                <w:szCs w:val="21"/>
              </w:rPr>
            </w:pPr>
            <w:r>
              <w:rPr>
                <w:rFonts w:ascii="Times New Roman"/>
                <w:sz w:val="21"/>
              </w:rPr>
              <w:t>64</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03" w:right="0"/>
              <w:jc w:val="left"/>
              <w:rPr>
                <w:rFonts w:ascii="Times New Roman" w:hAnsi="Times New Roman" w:cs="Times New Roman" w:eastAsia="Times New Roman" w:hint="default"/>
                <w:sz w:val="21"/>
                <w:szCs w:val="21"/>
              </w:rPr>
            </w:pPr>
            <w:r>
              <w:rPr>
                <w:rFonts w:ascii="Times New Roman"/>
                <w:sz w:val="21"/>
              </w:rPr>
              <w:t>8.58%</w:t>
            </w:r>
          </w:p>
        </w:tc>
      </w:tr>
      <w:tr>
        <w:trPr>
          <w:trHeight w:val="431"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455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10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244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Times New Roman" w:hAnsi="Times New Roman" w:cs="Times New Roman" w:eastAsia="Times New Roman" w:hint="default"/>
                <w:sz w:val="21"/>
                <w:szCs w:val="21"/>
              </w:rPr>
            </w:pPr>
            <w:r>
              <w:rPr>
                <w:rFonts w:ascii="Times New Roman"/>
                <w:sz w:val="21"/>
              </w:rPr>
              <w:t>746</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98"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p>
      <w:pPr>
        <w:spacing w:line="4193" w:lineRule="exact"/>
        <w:ind w:left="1313"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668047" cy="2662809"/>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4668047" cy="2662809"/>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11"/>
        <w:rPr>
          <w:rFonts w:ascii="宋体" w:hAnsi="宋体" w:cs="宋体" w:eastAsia="宋体" w:hint="default"/>
          <w:b/>
          <w:bCs/>
          <w:sz w:val="10"/>
          <w:szCs w:val="10"/>
        </w:rPr>
      </w:pPr>
    </w:p>
    <w:p>
      <w:pPr>
        <w:pStyle w:val="Heading2"/>
        <w:spacing w:line="240" w:lineRule="auto"/>
        <w:ind w:right="1153"/>
        <w:jc w:val="left"/>
        <w:rPr>
          <w:b w:val="0"/>
          <w:bCs w:val="0"/>
        </w:rPr>
      </w:pPr>
      <w:r>
        <w:rPr>
          <w:rFonts w:ascii="Times New Roman" w:hAnsi="Times New Roman" w:cs="Times New Roman" w:eastAsia="Times New Roman" w:hint="default"/>
        </w:rPr>
        <w:t>2</w:t>
      </w:r>
      <w:r>
        <w:rPr/>
        <w:t>、员工受教育程度：</w:t>
      </w:r>
      <w:r>
        <w:rPr>
          <w:b w:val="0"/>
          <w:bCs w:val="0"/>
        </w:rPr>
      </w:r>
    </w:p>
    <w:p>
      <w:pPr>
        <w:spacing w:line="240" w:lineRule="auto" w:before="3"/>
        <w:rPr>
          <w:rFonts w:ascii="宋体" w:hAnsi="宋体" w:cs="宋体" w:eastAsia="宋体" w:hint="default"/>
          <w:b/>
          <w:bCs/>
          <w:sz w:val="4"/>
          <w:szCs w:val="4"/>
        </w:rPr>
      </w:pPr>
    </w:p>
    <w:tbl>
      <w:tblPr>
        <w:tblW w:w="0" w:type="auto"/>
        <w:jc w:val="left"/>
        <w:tblInd w:w="608" w:type="dxa"/>
        <w:tblLayout w:type="fixed"/>
        <w:tblCellMar>
          <w:top w:w="0" w:type="dxa"/>
          <w:left w:w="0" w:type="dxa"/>
          <w:bottom w:w="0" w:type="dxa"/>
          <w:right w:w="0" w:type="dxa"/>
        </w:tblCellMar>
        <w:tblLook w:val="01E0"/>
      </w:tblPr>
      <w:tblGrid>
        <w:gridCol w:w="1242"/>
        <w:gridCol w:w="1560"/>
        <w:gridCol w:w="1416"/>
        <w:gridCol w:w="1277"/>
        <w:gridCol w:w="1559"/>
        <w:gridCol w:w="1664"/>
      </w:tblGrid>
      <w:tr>
        <w:trPr>
          <w:trHeight w:val="638"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专科及以下</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6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46.11%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16.35%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r>
      <w:tr>
        <w:trPr>
          <w:trHeight w:val="6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746</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spacing w:line="4146" w:lineRule="exact"/>
        <w:ind w:left="1599"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583789" cy="2633186"/>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4583789" cy="2633186"/>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4"/>
        <w:rPr>
          <w:rFonts w:ascii="宋体" w:hAnsi="宋体" w:cs="宋体" w:eastAsia="宋体" w:hint="default"/>
          <w:b/>
          <w:bCs/>
          <w:sz w:val="12"/>
          <w:szCs w:val="12"/>
        </w:rPr>
      </w:pPr>
    </w:p>
    <w:p>
      <w:pPr>
        <w:pStyle w:val="BodyText"/>
        <w:spacing w:line="331" w:lineRule="auto" w:before="26"/>
        <w:ind w:left="633" w:right="1153" w:firstLine="2"/>
        <w:jc w:val="left"/>
      </w:pPr>
      <w:r>
        <w:rPr>
          <w:rFonts w:ascii="Times New Roman" w:hAnsi="Times New Roman" w:cs="Times New Roman" w:eastAsia="Times New Roman" w:hint="default"/>
          <w:b/>
          <w:bCs/>
        </w:rPr>
        <w:t>3</w:t>
      </w:r>
      <w:r>
        <w:rPr>
          <w:rFonts w:ascii="宋体" w:hAnsi="宋体" w:cs="宋体" w:eastAsia="宋体" w:hint="default"/>
          <w:b/>
          <w:bCs/>
        </w:rPr>
        <w:t>、员工薪酬政策</w:t>
      </w:r>
      <w:r>
        <w:rPr>
          <w:rFonts w:ascii="宋体" w:hAnsi="宋体" w:cs="宋体" w:eastAsia="宋体" w:hint="default"/>
          <w:b/>
          <w:bCs/>
          <w:w w:val="99"/>
        </w:rPr>
        <w:t> </w:t>
      </w:r>
      <w:r>
        <w:rPr/>
        <w:t>公司严格遵守《中华人民共和国劳动合同法》等有关法律法规、部门规章和规范性文件</w:t>
      </w:r>
    </w:p>
    <w:p>
      <w:pPr>
        <w:pStyle w:val="BodyText"/>
        <w:spacing w:line="350" w:lineRule="auto" w:before="55"/>
        <w:ind w:right="1153"/>
        <w:jc w:val="left"/>
      </w:pPr>
      <w:r>
        <w:rPr/>
        <w:t>的规定，实行劳动合同制，并根据相关规定缴纳各类社会保险及住房公积金。在此基础上， 公司结合所处行业及经营特点，充分考虑公平性和竞争力，形成了《薪酬体系管理规定》、</w:t>
      </w:r>
    </w:p>
    <w:p>
      <w:pPr>
        <w:pStyle w:val="BodyText"/>
        <w:spacing w:line="352" w:lineRule="auto" w:before="35"/>
        <w:ind w:right="1170"/>
        <w:jc w:val="both"/>
      </w:pPr>
      <w:r>
        <w:rPr/>
        <w:t>《高级管理人员薪酬管理规定》等一系列富有竞争力的薪酬考核制度及绩效考核制度。报告 期内，公司深入推进绩效考核工作，充分评价团队和个人的工作业绩，形成奖惩分明的考核 机制，有效提升了员工执行力和责任意识，有利于留住和吸引优秀人才，为公司发展提供人 力资源保障。</w:t>
      </w:r>
    </w:p>
    <w:p>
      <w:pPr>
        <w:pStyle w:val="BodyText"/>
        <w:spacing w:line="331" w:lineRule="auto" w:before="34"/>
        <w:ind w:left="633" w:right="1153" w:firstLine="2"/>
        <w:jc w:val="left"/>
      </w:pPr>
      <w:r>
        <w:rPr>
          <w:rFonts w:ascii="Times New Roman" w:hAnsi="Times New Roman" w:cs="Times New Roman" w:eastAsia="Times New Roman" w:hint="default"/>
          <w:b/>
          <w:bCs/>
        </w:rPr>
        <w:t>4</w:t>
      </w:r>
      <w:r>
        <w:rPr>
          <w:rFonts w:ascii="宋体" w:hAnsi="宋体" w:cs="宋体" w:eastAsia="宋体" w:hint="default"/>
          <w:b/>
          <w:bCs/>
        </w:rPr>
        <w:t>、员工培训</w:t>
      </w:r>
      <w:r>
        <w:rPr>
          <w:rFonts w:ascii="宋体" w:hAnsi="宋体" w:cs="宋体" w:eastAsia="宋体" w:hint="default"/>
          <w:b/>
          <w:bCs/>
          <w:w w:val="99"/>
        </w:rPr>
        <w:t> </w:t>
      </w:r>
      <w:r>
        <w:rPr/>
        <w:t>公司始终高度重视职工的培训工作，结合企业发展战略、岗位要求、企业文化及个人职</w:t>
      </w:r>
    </w:p>
    <w:p>
      <w:pPr>
        <w:pStyle w:val="BodyText"/>
        <w:spacing w:line="350" w:lineRule="auto" w:before="54"/>
        <w:ind w:right="0"/>
        <w:jc w:val="left"/>
      </w:pPr>
      <w:r>
        <w:rPr/>
        <w:t>业发展路径等实际情况，不断建立完善培训体系和制度，进一步丰富培训的方式方法，满足 </w:t>
      </w:r>
      <w:r>
        <w:rPr>
          <w:spacing w:val="-3"/>
        </w:rPr>
        <w:t>各业务部门的培训需求。报告期内，公司开展了企业内部讲师培训、派出员工参加行业交流、</w:t>
      </w:r>
      <w:r>
        <w:rPr>
          <w:spacing w:val="-81"/>
        </w:rPr>
        <w:t> </w:t>
      </w:r>
      <w:r>
        <w:rPr>
          <w:spacing w:val="-81"/>
        </w:rPr>
      </w:r>
      <w:r>
        <w:rPr/>
        <w:t>与高校合作进行专业培训等多渠道的员工培训形式，实现了员工自身职业能力提升及公司公 司可持续发展的共赢目标。具体如下：</w:t>
      </w:r>
    </w:p>
    <w:p>
      <w:pPr>
        <w:pStyle w:val="BodyText"/>
        <w:spacing w:line="240" w:lineRule="auto"/>
        <w:ind w:left="633" w:right="0"/>
        <w:jc w:val="left"/>
      </w:pPr>
      <w:r>
        <w:rPr/>
        <w:t>（</w:t>
      </w:r>
      <w:r>
        <w:rPr>
          <w:rFonts w:ascii="宋体" w:hAnsi="宋体" w:cs="宋体" w:eastAsia="宋体" w:hint="default"/>
        </w:rPr>
        <w:t>1</w:t>
      </w:r>
      <w:r>
        <w:rPr>
          <w:spacing w:val="-101"/>
        </w:rPr>
        <w:t>）</w:t>
      </w:r>
      <w:r>
        <w:rPr/>
        <w:t>立足岗位</w:t>
      </w:r>
      <w:r>
        <w:rPr>
          <w:spacing w:val="-101"/>
        </w:rPr>
        <w:t>，</w:t>
      </w:r>
      <w:r>
        <w:rPr/>
        <w:t>重点建立与公司各级专业技术人员岗位序列相对应的内部培训课程体系。</w:t>
      </w:r>
    </w:p>
    <w:p>
      <w:pPr>
        <w:pStyle w:val="BodyText"/>
        <w:spacing w:line="350" w:lineRule="auto" w:before="145"/>
        <w:ind w:right="0" w:firstLine="480"/>
        <w:jc w:val="left"/>
      </w:pPr>
      <w:r>
        <w:rPr>
          <w:spacing w:val="-3"/>
        </w:rPr>
        <w:t>（</w:t>
      </w:r>
      <w:r>
        <w:rPr>
          <w:rFonts w:ascii="宋体" w:hAnsi="宋体" w:cs="宋体" w:eastAsia="宋体" w:hint="default"/>
          <w:spacing w:val="-3"/>
        </w:rPr>
        <w:t>2</w:t>
      </w:r>
      <w:r>
        <w:rPr>
          <w:spacing w:val="-3"/>
        </w:rPr>
        <w:t>）加强安全培训，积极推行全公司内部的三级安全教育培训制度，不断提高全体员工</w:t>
      </w:r>
      <w:r>
        <w:rPr/>
        <w:t> 的安全质量意识。</w:t>
      </w:r>
    </w:p>
    <w:p>
      <w:pPr>
        <w:pStyle w:val="BodyText"/>
        <w:spacing w:line="350" w:lineRule="auto"/>
        <w:ind w:right="0" w:firstLine="480"/>
        <w:jc w:val="left"/>
      </w:pPr>
      <w:r>
        <w:rPr>
          <w:spacing w:val="-6"/>
        </w:rPr>
        <w:t>（</w:t>
      </w:r>
      <w:r>
        <w:rPr>
          <w:rFonts w:ascii="宋体" w:hAnsi="宋体" w:cs="宋体" w:eastAsia="宋体" w:hint="default"/>
          <w:spacing w:val="-6"/>
        </w:rPr>
        <w:t>3</w:t>
      </w:r>
      <w:r>
        <w:rPr>
          <w:spacing w:val="-6"/>
        </w:rPr>
        <w:t>）优化培训资源投入与过程管理，增强培训的针对性与实用性，提高培训质量和效果，</w:t>
      </w:r>
      <w:r>
        <w:rPr/>
        <w:t> 创造最佳培训效益。</w:t>
      </w:r>
    </w:p>
    <w:p>
      <w:pPr>
        <w:pStyle w:val="Heading2"/>
        <w:spacing w:line="240" w:lineRule="auto" w:before="35"/>
        <w:ind w:right="1153"/>
        <w:jc w:val="left"/>
        <w:rPr>
          <w:b w:val="0"/>
          <w:bCs w:val="0"/>
        </w:rPr>
      </w:pPr>
      <w:r>
        <w:rPr/>
        <w:t>企业薪酬成本情况</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714"/>
        <w:gridCol w:w="5855"/>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746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当期总体薪酬发生额（万元）</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7,711.61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总体薪酬占当期营业收入比例</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13.62%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高管人均薪酬金额（万元</w:t>
            </w:r>
            <w:r>
              <w:rPr>
                <w:rFonts w:ascii="Times New Roman" w:hAnsi="Times New Roman" w:cs="Times New Roman" w:eastAsia="Times New Roman" w:hint="default"/>
                <w:sz w:val="21"/>
                <w:szCs w:val="21"/>
              </w:rPr>
              <w:t>/</w:t>
            </w:r>
            <w:r>
              <w:rPr>
                <w:rFonts w:ascii="宋体" w:hAnsi="宋体" w:cs="宋体" w:eastAsia="宋体" w:hint="default"/>
                <w:sz w:val="21"/>
                <w:szCs w:val="21"/>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21.54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所有员工人均薪酬金额（万元</w:t>
            </w:r>
            <w:r>
              <w:rPr>
                <w:rFonts w:ascii="Times New Roman" w:hAnsi="Times New Roman" w:cs="Times New Roman" w:eastAsia="Times New Roman" w:hint="default"/>
                <w:sz w:val="21"/>
                <w:szCs w:val="21"/>
              </w:rPr>
              <w:t>/</w:t>
            </w:r>
            <w:r>
              <w:rPr>
                <w:rFonts w:ascii="宋体" w:hAnsi="宋体" w:cs="宋体" w:eastAsia="宋体" w:hint="default"/>
                <w:sz w:val="21"/>
                <w:szCs w:val="21"/>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10.34</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3763"/>
        <w:jc w:val="center"/>
        <w:rPr>
          <w:b w:val="0"/>
          <w:bCs w:val="0"/>
        </w:rPr>
      </w:pPr>
      <w:bookmarkStart w:name="第九节 公司治理" w:id="17"/>
      <w:bookmarkEnd w:id="17"/>
      <w:r>
        <w:rPr>
          <w:b w:val="0"/>
          <w:bCs w:val="0"/>
        </w:rPr>
      </w:r>
      <w:bookmarkStart w:name="_bookmark8" w:id="18"/>
      <w:bookmarkEnd w:id="1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32"/>
          <w:szCs w:val="32"/>
        </w:rPr>
      </w:pPr>
    </w:p>
    <w:p>
      <w:pPr>
        <w:spacing w:line="350" w:lineRule="auto" w:before="215"/>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一、公司治理的基本状况</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报告期内，公司严格按照《公司法》、《证券法》、《上市公司治理准则》、《深圳证</w:t>
      </w:r>
    </w:p>
    <w:p>
      <w:pPr>
        <w:pStyle w:val="BodyText"/>
        <w:spacing w:line="350" w:lineRule="auto"/>
        <w:ind w:right="1170"/>
        <w:jc w:val="both"/>
      </w:pPr>
      <w:r>
        <w:rPr/>
        <w:t>券交易所中小板上市公司规范运作指引》等相关法律、法规的要求，建立健全公司法人治理 结构及内部控制体系，持续深入开展公司治理活动，以进一步规范公司运作，提高公司治理 水平，充分维护公司及投资者的利益。</w:t>
      </w:r>
    </w:p>
    <w:p>
      <w:pPr>
        <w:pStyle w:val="BodyText"/>
        <w:spacing w:line="350" w:lineRule="auto"/>
        <w:ind w:left="154" w:right="1152" w:firstLine="480"/>
        <w:jc w:val="left"/>
      </w:pPr>
      <w:r>
        <w:rPr/>
        <w:t>报告期内，公司治理情况符合中国证监会、深圳证券交易所发布的有关上市公司治理的 规范性文件要求。</w:t>
      </w:r>
    </w:p>
    <w:p>
      <w:pPr>
        <w:pStyle w:val="BodyText"/>
        <w:spacing w:line="352" w:lineRule="auto" w:before="35"/>
        <w:ind w:left="154" w:right="1152" w:firstLine="480"/>
        <w:jc w:val="left"/>
      </w:pPr>
      <w:r>
        <w:rPr/>
        <w:t>公司治理的实际状况与中国证监会发布的有关上市公司治理的规范性文件不存在重大差 异。</w:t>
      </w:r>
    </w:p>
    <w:p>
      <w:pPr>
        <w:spacing w:line="350" w:lineRule="auto" w:before="32"/>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b/>
          <w:bCs/>
          <w:w w:val="99"/>
          <w:sz w:val="24"/>
          <w:szCs w:val="24"/>
        </w:rPr>
        <w:t> </w:t>
      </w:r>
      <w:r>
        <w:rPr>
          <w:rFonts w:ascii="宋体" w:hAnsi="宋体" w:cs="宋体" w:eastAsia="宋体" w:hint="default"/>
          <w:sz w:val="24"/>
          <w:szCs w:val="24"/>
        </w:rPr>
        <w:t>公司不存在控股股东，公司在业务、资产、人员、机构、财务等方面与第一大股东之间</w:t>
      </w:r>
    </w:p>
    <w:p>
      <w:pPr>
        <w:pStyle w:val="BodyText"/>
        <w:spacing w:line="350" w:lineRule="auto"/>
        <w:ind w:right="1153"/>
        <w:jc w:val="left"/>
      </w:pPr>
      <w:r>
        <w:rPr/>
        <w:t>相互独立，具有独立完整的业务及面向市场自主经营的能力，具有完整的供应、生产和销售 系统。</w:t>
      </w:r>
    </w:p>
    <w:p>
      <w:pPr>
        <w:pStyle w:val="Heading2"/>
        <w:spacing w:line="240" w:lineRule="auto" w:before="35"/>
        <w:ind w:right="1153"/>
        <w:jc w:val="left"/>
        <w:rPr>
          <w:b w:val="0"/>
          <w:bCs w:val="0"/>
        </w:rPr>
      </w:pPr>
      <w:r>
        <w:rPr>
          <w:rFonts w:ascii="Times New Roman" w:hAnsi="Times New Roman" w:cs="Times New Roman" w:eastAsia="Times New Roman" w:hint="default"/>
        </w:rPr>
        <w:t>1</w:t>
      </w:r>
      <w:r>
        <w:rPr/>
        <w:t>、业务独立</w:t>
      </w:r>
      <w:r>
        <w:rPr>
          <w:b w:val="0"/>
          <w:bCs w:val="0"/>
        </w:rPr>
      </w:r>
    </w:p>
    <w:p>
      <w:pPr>
        <w:pStyle w:val="BodyText"/>
        <w:spacing w:line="350" w:lineRule="auto" w:before="128"/>
        <w:ind w:right="1132" w:firstLine="480"/>
        <w:jc w:val="both"/>
      </w:pPr>
      <w:r>
        <w:rPr>
          <w:spacing w:val="-3"/>
        </w:rPr>
        <w:t>（</w:t>
      </w:r>
      <w:r>
        <w:rPr>
          <w:rFonts w:ascii="宋体" w:hAnsi="宋体" w:cs="宋体" w:eastAsia="宋体" w:hint="default"/>
          <w:spacing w:val="-3"/>
        </w:rPr>
        <w:t>1</w:t>
      </w:r>
      <w:r>
        <w:rPr>
          <w:spacing w:val="-3"/>
        </w:rPr>
        <w:t>）公司与第一大股东之间不存在同业竞争。公司第一大股东承诺：在持有辉煌科技股</w:t>
      </w:r>
      <w:r>
        <w:rPr/>
        <w:t> 权期间或担任辉煌科技董事、监事、高级管理人员或核心技术人员期间及法定期限内，不经 营或投资于任何与辉煌科技主营业务构成同业竞争的企业。第一大股东现除持有本公司股份 外，未拥有其他经营性资产，亦未从事其他经营业务。</w:t>
      </w:r>
    </w:p>
    <w:p>
      <w:pPr>
        <w:pStyle w:val="BodyText"/>
        <w:spacing w:line="350" w:lineRule="auto" w:before="35"/>
        <w:ind w:right="1131" w:firstLine="480"/>
        <w:jc w:val="both"/>
      </w:pPr>
      <w:r>
        <w:rPr>
          <w:spacing w:val="-3"/>
        </w:rPr>
        <w:t>（</w:t>
      </w:r>
      <w:r>
        <w:rPr>
          <w:rFonts w:ascii="宋体" w:hAnsi="宋体" w:cs="宋体" w:eastAsia="宋体" w:hint="default"/>
          <w:spacing w:val="-3"/>
        </w:rPr>
        <w:t>2</w:t>
      </w:r>
      <w:r>
        <w:rPr>
          <w:spacing w:val="-3"/>
        </w:rPr>
        <w:t>）公司拥有独立完整的研发、供应、生产和销售业务体系，具有直接面向市场独立经</w:t>
      </w:r>
      <w:r>
        <w:rPr/>
        <w:t> 营的能力。</w:t>
      </w:r>
    </w:p>
    <w:p>
      <w:pPr>
        <w:pStyle w:val="Heading2"/>
        <w:spacing w:line="240" w:lineRule="auto" w:before="36"/>
        <w:ind w:right="1153"/>
        <w:jc w:val="left"/>
        <w:rPr>
          <w:b w:val="0"/>
          <w:bCs w:val="0"/>
        </w:rPr>
      </w:pPr>
      <w:r>
        <w:rPr>
          <w:rFonts w:ascii="Times New Roman" w:hAnsi="Times New Roman" w:cs="Times New Roman" w:eastAsia="Times New Roman" w:hint="default"/>
        </w:rPr>
        <w:t>2</w:t>
      </w:r>
      <w:r>
        <w:rPr/>
        <w:t>、人员独立</w:t>
      </w:r>
      <w:r>
        <w:rPr>
          <w:b w:val="0"/>
          <w:bCs w:val="0"/>
        </w:rPr>
      </w:r>
    </w:p>
    <w:p>
      <w:pPr>
        <w:pStyle w:val="BodyText"/>
        <w:spacing w:line="350" w:lineRule="auto" w:before="127"/>
        <w:ind w:right="1131" w:firstLine="480"/>
        <w:jc w:val="both"/>
      </w:pPr>
      <w:r>
        <w:rPr>
          <w:spacing w:val="-3"/>
        </w:rPr>
        <w:t>（</w:t>
      </w:r>
      <w:r>
        <w:rPr>
          <w:rFonts w:ascii="宋体" w:hAnsi="宋体" w:cs="宋体" w:eastAsia="宋体" w:hint="default"/>
          <w:spacing w:val="-3"/>
        </w:rPr>
        <w:t>1</w:t>
      </w:r>
      <w:r>
        <w:rPr>
          <w:spacing w:val="-3"/>
        </w:rPr>
        <w:t>）公司董事、监事、高级管理人员均依合法程序选举或聘任，不存在第一大股东超越</w:t>
      </w:r>
      <w:r>
        <w:rPr/>
        <w:t> 本公司董事会和股东大会作出人事任免决定的情况。</w:t>
      </w:r>
    </w:p>
    <w:p>
      <w:pPr>
        <w:pStyle w:val="BodyText"/>
        <w:spacing w:line="350" w:lineRule="auto"/>
        <w:ind w:right="1131" w:firstLine="480"/>
        <w:jc w:val="both"/>
      </w:pPr>
      <w:r>
        <w:rPr>
          <w:spacing w:val="-3"/>
        </w:rPr>
        <w:t>（</w:t>
      </w:r>
      <w:r>
        <w:rPr>
          <w:rFonts w:ascii="宋体" w:hAnsi="宋体" w:cs="宋体" w:eastAsia="宋体" w:hint="default"/>
          <w:spacing w:val="-3"/>
        </w:rPr>
        <w:t>2</w:t>
      </w:r>
      <w:r>
        <w:rPr>
          <w:spacing w:val="-3"/>
        </w:rPr>
        <w:t>）公司总经理、副总经理、财务负责人、董事会秘书等高级管理人员均在本公司工作</w:t>
      </w:r>
      <w:r>
        <w:rPr/>
        <w:t> 并领取报酬。</w:t>
      </w:r>
    </w:p>
    <w:p>
      <w:pPr>
        <w:pStyle w:val="BodyText"/>
        <w:spacing w:line="240" w:lineRule="auto" w:before="35"/>
        <w:ind w:left="633" w:right="1153"/>
        <w:jc w:val="left"/>
      </w:pPr>
      <w:r>
        <w:rPr/>
        <w:t>（</w:t>
      </w:r>
      <w:r>
        <w:rPr>
          <w:rFonts w:ascii="宋体" w:hAnsi="宋体" w:cs="宋体" w:eastAsia="宋体" w:hint="default"/>
        </w:rPr>
        <w:t>3</w:t>
      </w:r>
      <w:r>
        <w:rPr/>
        <w:t>）公司拥有独立完整的人事和劳资管理体系，完全独立于各股东。</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31" w:lineRule="auto" w:before="199"/>
        <w:ind w:left="634" w:right="1152" w:firstLine="2"/>
        <w:jc w:val="left"/>
      </w:pPr>
      <w:r>
        <w:rPr>
          <w:rFonts w:ascii="Times New Roman" w:hAnsi="Times New Roman" w:cs="Times New Roman" w:eastAsia="Times New Roman" w:hint="default"/>
          <w:b/>
          <w:bCs/>
        </w:rPr>
        <w:t>3</w:t>
      </w:r>
      <w:r>
        <w:rPr>
          <w:rFonts w:ascii="宋体" w:hAnsi="宋体" w:cs="宋体" w:eastAsia="宋体" w:hint="default"/>
          <w:b/>
          <w:bCs/>
        </w:rPr>
        <w:t>、资产独立</w:t>
      </w:r>
      <w:r>
        <w:rPr>
          <w:rFonts w:ascii="宋体" w:hAnsi="宋体" w:cs="宋体" w:eastAsia="宋体" w:hint="default"/>
          <w:b/>
          <w:bCs/>
          <w:w w:val="99"/>
        </w:rPr>
        <w:t> </w:t>
      </w:r>
      <w:r>
        <w:rPr/>
        <w:t>公司业务和生产经营必需的土地使用权、房产、机器设备、商标、专利和专有技术及其</w:t>
      </w:r>
    </w:p>
    <w:p>
      <w:pPr>
        <w:pStyle w:val="BodyText"/>
        <w:spacing w:line="350" w:lineRule="auto" w:before="55"/>
        <w:ind w:left="154" w:right="1152"/>
        <w:jc w:val="left"/>
      </w:pPr>
      <w:r>
        <w:rPr/>
        <w:t>他资产的权属完全由公司独立享有，不存在与第一大股东共用的情况，公司对所有资产拥有 完全的控制和支配权。</w:t>
      </w:r>
    </w:p>
    <w:p>
      <w:pPr>
        <w:pStyle w:val="BodyText"/>
        <w:spacing w:line="333" w:lineRule="auto" w:before="35"/>
        <w:ind w:left="633" w:right="1153" w:firstLine="2"/>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w w:val="99"/>
        </w:rPr>
        <w:t> </w:t>
      </w:r>
      <w:r>
        <w:rPr/>
        <w:t>公司设有健全的组织结构体系，股东大会、董事会、监事会及董事会下设专业委员会等</w:t>
      </w:r>
    </w:p>
    <w:p>
      <w:pPr>
        <w:pStyle w:val="BodyText"/>
        <w:spacing w:line="350" w:lineRule="auto" w:before="52"/>
        <w:ind w:right="1153"/>
        <w:jc w:val="left"/>
      </w:pPr>
      <w:r>
        <w:rPr/>
        <w:t>决策监督机构独立运作，不存在股东及其他任何单位或个人干预公司机构设置及日常运作的 情形。</w:t>
      </w:r>
    </w:p>
    <w:p>
      <w:pPr>
        <w:pStyle w:val="BodyText"/>
        <w:spacing w:line="331" w:lineRule="auto"/>
        <w:ind w:left="633" w:right="1153" w:firstLine="2"/>
        <w:jc w:val="left"/>
      </w:pPr>
      <w:r>
        <w:rPr>
          <w:rFonts w:ascii="Times New Roman" w:hAnsi="Times New Roman" w:cs="Times New Roman" w:eastAsia="Times New Roman" w:hint="default"/>
          <w:b/>
          <w:bCs/>
        </w:rPr>
        <w:t>5</w:t>
      </w:r>
      <w:r>
        <w:rPr>
          <w:rFonts w:ascii="宋体" w:hAnsi="宋体" w:cs="宋体" w:eastAsia="宋体" w:hint="default"/>
          <w:b/>
          <w:bCs/>
        </w:rPr>
        <w:t>、财务独立</w:t>
      </w:r>
      <w:r>
        <w:rPr>
          <w:rFonts w:ascii="宋体" w:hAnsi="宋体" w:cs="宋体" w:eastAsia="宋体" w:hint="default"/>
          <w:b/>
          <w:bCs/>
          <w:w w:val="99"/>
        </w:rPr>
        <w:t> </w:t>
      </w:r>
      <w:r>
        <w:rPr/>
        <w:t>公司设有独立的财务部门、财务负责人和财务会计工作人员，有完整、独立的财务核算</w:t>
      </w:r>
    </w:p>
    <w:p>
      <w:pPr>
        <w:pStyle w:val="BodyText"/>
        <w:spacing w:line="352" w:lineRule="auto" w:before="54"/>
        <w:ind w:left="636" w:right="2593" w:hanging="483"/>
        <w:jc w:val="left"/>
        <w:rPr>
          <w:rFonts w:ascii="宋体" w:hAnsi="宋体" w:cs="宋体" w:eastAsia="宋体" w:hint="default"/>
        </w:rPr>
      </w:pPr>
      <w:r>
        <w:rPr/>
        <w:t>体系和财务管理制度，并独立开设银行账户、独立纳税、独立做出财务决策。 </w:t>
      </w:r>
      <w:r>
        <w:rPr>
          <w:rFonts w:ascii="宋体" w:hAnsi="宋体" w:cs="宋体" w:eastAsia="宋体" w:hint="default"/>
          <w:b/>
          <w:bCs/>
        </w:rPr>
        <w:t>三、同业竞争情况</w:t>
      </w:r>
      <w:r>
        <w:rPr>
          <w:rFonts w:ascii="宋体" w:hAnsi="宋体" w:cs="宋体" w:eastAsia="宋体" w:hint="default"/>
        </w:rPr>
      </w:r>
    </w:p>
    <w:p>
      <w:pPr>
        <w:pStyle w:val="BodyText"/>
        <w:spacing w:line="279" w:lineRule="exact" w:before="0"/>
        <w:ind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Heading2"/>
        <w:spacing w:line="240" w:lineRule="auto" w:before="146"/>
        <w:ind w:right="1153"/>
        <w:jc w:val="left"/>
        <w:rPr>
          <w:b w:val="0"/>
          <w:bCs w:val="0"/>
        </w:rPr>
      </w:pPr>
      <w:r>
        <w:rPr/>
        <w:t>四、报告期内召开的年度股东大会和临时股东大会的有关情况</w:t>
      </w:r>
      <w:r>
        <w:rPr>
          <w:b w:val="0"/>
          <w:bCs w:val="0"/>
        </w:rPr>
      </w:r>
    </w:p>
    <w:p>
      <w:pPr>
        <w:pStyle w:val="Heading2"/>
        <w:spacing w:line="240" w:lineRule="auto" w:before="145"/>
        <w:ind w:right="115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0"/>
        <w:ind w:left="0" w:right="201" w:firstLine="0"/>
        <w:jc w:val="right"/>
        <w:rPr>
          <w:rFonts w:ascii="宋体" w:hAnsi="宋体" w:cs="宋体" w:eastAsia="宋体" w:hint="default"/>
          <w:sz w:val="21"/>
          <w:szCs w:val="21"/>
        </w:rPr>
      </w:pPr>
      <w:r>
        <w:rPr/>
        <w:pict>
          <v:shape style="position:absolute;margin-left:56.459999pt;margin-top:-151.226334pt;width:525.35pt;height:170.0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418"/>
                    <w:gridCol w:w="991"/>
                    <w:gridCol w:w="1844"/>
                    <w:gridCol w:w="1844"/>
                    <w:gridCol w:w="3261"/>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75" w:right="68" w:hanging="105"/>
                          <w:jc w:val="left"/>
                          <w:rPr>
                            <w:rFonts w:ascii="宋体" w:hAnsi="宋体" w:cs="宋体" w:eastAsia="宋体" w:hint="default"/>
                            <w:sz w:val="21"/>
                            <w:szCs w:val="21"/>
                          </w:rPr>
                        </w:pPr>
                        <w:r>
                          <w:rPr>
                            <w:rFonts w:ascii="宋体" w:hAnsi="宋体" w:cs="宋体" w:eastAsia="宋体" w:hint="default"/>
                            <w:sz w:val="21"/>
                            <w:szCs w:val="21"/>
                          </w:rPr>
                          <w:t>投资者参 与比例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56" w:lineRule="auto"/>
                          <w:ind w:left="22"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年年度 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年度股东大会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22.83%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both"/>
                          <w:rPr>
                            <w:rFonts w:ascii="宋体" w:hAnsi="宋体" w:cs="宋体" w:eastAsia="宋体" w:hint="default"/>
                            <w:sz w:val="21"/>
                            <w:szCs w:val="21"/>
                          </w:rPr>
                        </w:pPr>
                        <w:r>
                          <w:rPr>
                            <w:rFonts w:ascii="宋体" w:hAnsi="宋体" w:cs="宋体" w:eastAsia="宋体" w:hint="default"/>
                            <w:sz w:val="21"/>
                            <w:szCs w:val="21"/>
                          </w:rPr>
                          <w:t>详见公司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日刊登于</w:t>
                        </w:r>
                      </w:p>
                      <w:p>
                        <w:pPr>
                          <w:pStyle w:val="TableParagraph"/>
                          <w:spacing w:line="266" w:lineRule="auto" w:before="20"/>
                          <w:ind w:left="22" w:right="23"/>
                          <w:jc w:val="both"/>
                          <w:rPr>
                            <w:rFonts w:ascii="宋体" w:hAnsi="宋体" w:cs="宋体" w:eastAsia="宋体" w:hint="default"/>
                            <w:sz w:val="21"/>
                            <w:szCs w:val="21"/>
                          </w:rPr>
                        </w:pPr>
                        <w:r>
                          <w:rPr>
                            <w:rFonts w:ascii="宋体" w:hAnsi="宋体" w:cs="宋体" w:eastAsia="宋体" w:hint="default"/>
                            <w:sz w:val="21"/>
                            <w:szCs w:val="21"/>
                          </w:rPr>
                          <w:t>《证券时报》、《中国证券报》及 巨潮资讯网上的《</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年年度股东 大会决议公告》（</w:t>
                        </w:r>
                        <w:r>
                          <w:rPr>
                            <w:rFonts w:ascii="Times New Roman" w:hAnsi="Times New Roman" w:cs="Times New Roman" w:eastAsia="Times New Roman" w:hint="default"/>
                            <w:sz w:val="21"/>
                            <w:szCs w:val="21"/>
                          </w:rPr>
                          <w:t>2015-024</w:t>
                        </w:r>
                        <w:r>
                          <w:rPr>
                            <w:rFonts w:ascii="宋体" w:hAnsi="宋体" w:cs="宋体" w:eastAsia="宋体" w:hint="default"/>
                            <w:sz w:val="21"/>
                            <w:szCs w:val="21"/>
                          </w:rPr>
                          <w:t>）</w:t>
                        </w:r>
                      </w:p>
                    </w:tc>
                  </w:tr>
                  <w:tr>
                    <w:trPr>
                      <w:trHeight w:val="1339"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64" w:lineRule="auto"/>
                          <w:ind w:left="22" w:right="21"/>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年第一 次临时股东 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临时股东大会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29.13%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both"/>
                          <w:rPr>
                            <w:rFonts w:ascii="宋体" w:hAnsi="宋体" w:cs="宋体" w:eastAsia="宋体" w:hint="default"/>
                            <w:sz w:val="21"/>
                            <w:szCs w:val="21"/>
                          </w:rPr>
                        </w:pPr>
                        <w:r>
                          <w:rPr>
                            <w:rFonts w:ascii="宋体" w:hAnsi="宋体" w:cs="宋体" w:eastAsia="宋体" w:hint="default"/>
                            <w:sz w:val="21"/>
                            <w:szCs w:val="21"/>
                          </w:rPr>
                          <w:t>详见公司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日刊登于</w:t>
                        </w:r>
                      </w:p>
                      <w:p>
                        <w:pPr>
                          <w:pStyle w:val="TableParagraph"/>
                          <w:spacing w:line="266" w:lineRule="auto" w:before="20"/>
                          <w:ind w:left="22" w:right="23"/>
                          <w:jc w:val="both"/>
                          <w:rPr>
                            <w:rFonts w:ascii="Times New Roman" w:hAnsi="Times New Roman" w:cs="Times New Roman" w:eastAsia="Times New Roman" w:hint="default"/>
                            <w:sz w:val="21"/>
                            <w:szCs w:val="21"/>
                          </w:rPr>
                        </w:pPr>
                        <w:r>
                          <w:rPr>
                            <w:rFonts w:ascii="宋体" w:hAnsi="宋体" w:cs="宋体" w:eastAsia="宋体" w:hint="default"/>
                            <w:sz w:val="21"/>
                            <w:szCs w:val="21"/>
                          </w:rPr>
                          <w:t>《证券时报》、《中国证券报》及 巨潮资讯网上的《</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年第一次临 时股东大会决议公告》（</w:t>
                        </w:r>
                        <w:r>
                          <w:rPr>
                            <w:rFonts w:ascii="Times New Roman" w:hAnsi="Times New Roman" w:cs="Times New Roman" w:eastAsia="Times New Roman" w:hint="default"/>
                            <w:sz w:val="21"/>
                            <w:szCs w:val="21"/>
                          </w:rPr>
                          <w:t>2015-070</w:t>
                        </w:r>
                      </w:p>
                    </w:tc>
                  </w:tr>
                </w:tbl>
                <w:p>
                  <w:pPr/>
                </w:p>
              </w:txbxContent>
            </v:textbox>
            <w10:wrap type="none"/>
          </v:shape>
        </w:pict>
      </w:r>
      <w:r>
        <w:rPr>
          <w:rFonts w:ascii="宋体" w:hAnsi="宋体" w:cs="宋体" w:eastAsia="宋体" w:hint="default"/>
          <w:sz w:val="21"/>
          <w:szCs w:val="21"/>
        </w:rPr>
        <w:t>）</w:t>
      </w:r>
    </w:p>
    <w:p>
      <w:pPr>
        <w:spacing w:line="240" w:lineRule="auto" w:before="6"/>
        <w:rPr>
          <w:rFonts w:ascii="宋体" w:hAnsi="宋体" w:cs="宋体" w:eastAsia="宋体" w:hint="default"/>
          <w:sz w:val="14"/>
          <w:szCs w:val="14"/>
        </w:rPr>
      </w:pPr>
    </w:p>
    <w:p>
      <w:pPr>
        <w:pStyle w:val="Heading2"/>
        <w:spacing w:line="240" w:lineRule="auto" w:before="0"/>
        <w:ind w:right="115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352" w:lineRule="auto" w:before="127"/>
        <w:ind w:left="636" w:right="4753" w:hanging="3"/>
        <w:jc w:val="left"/>
        <w:rPr>
          <w:rFonts w:ascii="宋体" w:hAnsi="宋体" w:cs="宋体" w:eastAsia="宋体" w:hint="default"/>
          <w:sz w:val="24"/>
          <w:szCs w:val="24"/>
        </w:rPr>
      </w:pPr>
      <w:r>
        <w:rPr/>
        <w:pict>
          <v:shape style="position:absolute;margin-left:56.459999pt;margin-top:70.945625pt;width:496.95pt;height:76.4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4"/>
                    <w:gridCol w:w="1325"/>
                    <w:gridCol w:w="1324"/>
                    <w:gridCol w:w="1324"/>
                    <w:gridCol w:w="1325"/>
                    <w:gridCol w:w="1324"/>
                    <w:gridCol w:w="1679"/>
                  </w:tblGrid>
                  <w:tr>
                    <w:trPr>
                      <w:trHeight w:val="402" w:hRule="exact"/>
                    </w:trPr>
                    <w:tc>
                      <w:tcPr>
                        <w:tcW w:w="992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7" w:right="25"/>
                          <w:jc w:val="left"/>
                          <w:rPr>
                            <w:rFonts w:ascii="宋体" w:hAnsi="宋体" w:cs="宋体" w:eastAsia="宋体" w:hint="default"/>
                            <w:sz w:val="21"/>
                            <w:szCs w:val="21"/>
                          </w:rPr>
                        </w:pPr>
                        <w:r>
                          <w:rPr>
                            <w:rFonts w:ascii="宋体" w:hAnsi="宋体" w:cs="宋体" w:eastAsia="宋体" w:hint="default"/>
                            <w:sz w:val="21"/>
                            <w:szCs w:val="21"/>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41" w:right="25" w:hanging="316"/>
                          <w:jc w:val="left"/>
                          <w:rPr>
                            <w:rFonts w:ascii="宋体" w:hAnsi="宋体" w:cs="宋体" w:eastAsia="宋体" w:hint="default"/>
                            <w:sz w:val="21"/>
                            <w:szCs w:val="21"/>
                          </w:rPr>
                        </w:pPr>
                        <w:r>
                          <w:rPr>
                            <w:rFonts w:ascii="宋体" w:hAnsi="宋体" w:cs="宋体" w:eastAsia="宋体" w:hint="default"/>
                            <w:sz w:val="21"/>
                            <w:szCs w:val="21"/>
                          </w:rPr>
                          <w:t>以通讯方式参 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03" w:right="98" w:hanging="106"/>
                          <w:jc w:val="left"/>
                          <w:rPr>
                            <w:rFonts w:ascii="宋体" w:hAnsi="宋体" w:cs="宋体" w:eastAsia="宋体" w:hint="default"/>
                            <w:sz w:val="21"/>
                            <w:szCs w:val="21"/>
                          </w:rPr>
                        </w:pPr>
                        <w:r>
                          <w:rPr>
                            <w:rFonts w:ascii="宋体" w:hAnsi="宋体" w:cs="宋体" w:eastAsia="宋体" w:hint="default"/>
                            <w:sz w:val="21"/>
                            <w:szCs w:val="21"/>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唐涛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p>
              </w:txbxContent>
            </v:textbox>
            <w10:wrap type="none"/>
          </v:shape>
        </w:pict>
      </w:r>
      <w:r>
        <w:rPr>
          <w:rFonts w:ascii="宋体" w:hAnsi="宋体" w:cs="宋体" w:eastAsia="宋体" w:hint="default"/>
          <w:sz w:val="24"/>
          <w:szCs w:val="24"/>
        </w:rPr>
        <w:t>□ 适用 √ 不适用 </w:t>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、独立董事出席董事会及股东大会的情况</w:t>
      </w:r>
      <w:r>
        <w:rPr>
          <w:rFonts w:ascii="宋体" w:hAnsi="宋体" w:cs="宋体" w:eastAsia="宋体" w:hint="default"/>
          <w:sz w:val="24"/>
          <w:szCs w:val="24"/>
        </w:rPr>
      </w:r>
    </w:p>
    <w:p>
      <w:pPr>
        <w:spacing w:after="0" w:line="352"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679"/>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谭宪才</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蒋承</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8"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9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w:t>
            </w:r>
          </w:p>
        </w:tc>
      </w:tr>
    </w:tbl>
    <w:p>
      <w:pPr>
        <w:spacing w:line="240" w:lineRule="auto" w:before="10"/>
        <w:rPr>
          <w:rFonts w:ascii="宋体" w:hAnsi="宋体" w:cs="宋体" w:eastAsia="宋体" w:hint="default"/>
          <w:b/>
          <w:bCs/>
          <w:sz w:val="4"/>
          <w:szCs w:val="4"/>
        </w:rPr>
      </w:pPr>
    </w:p>
    <w:p>
      <w:pPr>
        <w:spacing w:line="338" w:lineRule="auto" w:before="26"/>
        <w:ind w:left="633" w:right="523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、独立董事对公司有关事项提出异议的情况</w:t>
      </w:r>
      <w:r>
        <w:rPr>
          <w:rFonts w:ascii="宋体" w:hAnsi="宋体" w:cs="宋体" w:eastAsia="宋体" w:hint="default"/>
          <w:b/>
          <w:bCs/>
          <w:w w:val="99"/>
          <w:sz w:val="24"/>
          <w:szCs w:val="24"/>
        </w:rPr>
        <w:t> </w:t>
      </w:r>
      <w:r>
        <w:rPr>
          <w:rFonts w:ascii="宋体" w:hAnsi="宋体" w:cs="宋体" w:eastAsia="宋体" w:hint="default"/>
          <w:sz w:val="24"/>
          <w:szCs w:val="24"/>
        </w:rPr>
        <w:t>报告期内独立董事对公司有关事项未提出异议。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、独立董事履行职责的其他说明</w:t>
      </w:r>
      <w:r>
        <w:rPr>
          <w:rFonts w:ascii="宋体" w:hAnsi="宋体" w:cs="宋体" w:eastAsia="宋体" w:hint="default"/>
          <w:b/>
          <w:bCs/>
          <w:w w:val="99"/>
          <w:sz w:val="24"/>
          <w:szCs w:val="24"/>
        </w:rPr>
        <w:t> </w:t>
      </w:r>
      <w:r>
        <w:rPr>
          <w:rFonts w:ascii="宋体" w:hAnsi="宋体" w:cs="宋体" w:eastAsia="宋体" w:hint="default"/>
          <w:b/>
          <w:bCs/>
          <w:sz w:val="24"/>
          <w:szCs w:val="24"/>
        </w:rPr>
        <w:t>独立董事对公司有关建议是否被采纳</w:t>
      </w:r>
      <w:r>
        <w:rPr>
          <w:rFonts w:ascii="宋体" w:hAnsi="宋体" w:cs="宋体" w:eastAsia="宋体" w:hint="default"/>
          <w:sz w:val="24"/>
          <w:szCs w:val="24"/>
        </w:rPr>
      </w:r>
    </w:p>
    <w:p>
      <w:pPr>
        <w:pStyle w:val="BodyText"/>
        <w:spacing w:line="350" w:lineRule="auto" w:before="48"/>
        <w:ind w:left="634" w:right="1152"/>
        <w:jc w:val="left"/>
      </w:pPr>
      <w:r>
        <w:rPr/>
        <w:t>√ 是 □ 否 报告期内，公司独立董事恪尽职守、勤勉尽责，严格按照《在上市公司建立独立董事制</w:t>
      </w:r>
    </w:p>
    <w:p>
      <w:pPr>
        <w:pStyle w:val="BodyText"/>
        <w:spacing w:line="350" w:lineRule="auto" w:before="35"/>
        <w:ind w:left="154" w:right="1169"/>
        <w:jc w:val="both"/>
      </w:pPr>
      <w:r>
        <w:rPr/>
        <w:t>度的指导意见》、《上市公司治理准则》、《公司章程》等相关制度的规定开展工作，定期 了解公司经营情况，对公司的重大决策及重大经营活动进行有效监督并提供专业性意见，对 公司的相关重大事项进行事先审核并发表了独立意见，为完善公司监督机制，维护公司和全 体股东的合法权益发挥了应有的作用。</w:t>
      </w:r>
    </w:p>
    <w:p>
      <w:pPr>
        <w:spacing w:line="350" w:lineRule="auto" w:before="36"/>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w w:val="99"/>
          <w:sz w:val="24"/>
          <w:szCs w:val="24"/>
        </w:rPr>
        <w:t> </w:t>
      </w:r>
      <w:r>
        <w:rPr>
          <w:rFonts w:ascii="宋体" w:hAnsi="宋体" w:cs="宋体" w:eastAsia="宋体" w:hint="default"/>
          <w:sz w:val="24"/>
          <w:szCs w:val="24"/>
        </w:rPr>
        <w:t>公司董事会下设审计委员会、薪酬与考核委员会、提名委员会及战略决策委员会。报告</w:t>
      </w:r>
    </w:p>
    <w:p>
      <w:pPr>
        <w:pStyle w:val="BodyText"/>
        <w:spacing w:line="352" w:lineRule="auto" w:before="35"/>
        <w:ind w:left="154" w:right="1130"/>
        <w:jc w:val="both"/>
      </w:pPr>
      <w:r>
        <w:rPr>
          <w:spacing w:val="-3"/>
        </w:rPr>
        <w:t>期内，公司董事会各专门委员会充分发挥专业性作用，科学决策，审慎监督，为公司 </w:t>
      </w:r>
      <w:r>
        <w:rPr>
          <w:rFonts w:ascii="宋体" w:hAnsi="宋体" w:cs="宋体" w:eastAsia="宋体" w:hint="default"/>
        </w:rPr>
        <w:t>2015</w:t>
      </w:r>
      <w:r>
        <w:rPr>
          <w:rFonts w:ascii="宋体" w:hAnsi="宋体" w:cs="宋体" w:eastAsia="宋体" w:hint="default"/>
          <w:spacing w:val="-91"/>
        </w:rPr>
        <w:t> </w:t>
      </w:r>
      <w:r>
        <w:rPr/>
        <w:t>年 度的经营管理、组织建设做了大量的工作，有效提升了公司管理水平。</w:t>
      </w:r>
    </w:p>
    <w:p>
      <w:pPr>
        <w:pStyle w:val="Heading2"/>
        <w:spacing w:line="240" w:lineRule="auto" w:before="32"/>
        <w:ind w:right="1153"/>
        <w:jc w:val="left"/>
        <w:rPr>
          <w:b w:val="0"/>
          <w:bCs w:val="0"/>
        </w:rPr>
      </w:pPr>
      <w:r>
        <w:rPr>
          <w:rFonts w:ascii="Times New Roman" w:hAnsi="Times New Roman" w:cs="Times New Roman" w:eastAsia="Times New Roman" w:hint="default"/>
        </w:rPr>
        <w:t>1</w:t>
      </w:r>
      <w:r>
        <w:rPr/>
        <w:t>、董事会审计委员会的履职情况</w:t>
      </w:r>
      <w:r>
        <w:rPr>
          <w:b w:val="0"/>
          <w:bCs w:val="0"/>
        </w:rPr>
      </w:r>
    </w:p>
    <w:p>
      <w:pPr>
        <w:pStyle w:val="BodyText"/>
        <w:spacing w:line="352" w:lineRule="auto" w:before="127"/>
        <w:ind w:left="154" w:right="1152" w:firstLine="480"/>
        <w:jc w:val="left"/>
      </w:pPr>
      <w:r>
        <w:rPr/>
        <w:t>报告期内，董事会审计委员会共召开会议</w:t>
      </w:r>
      <w:r>
        <w:rPr>
          <w:spacing w:val="-60"/>
        </w:rPr>
        <w:t> </w:t>
      </w:r>
      <w:r>
        <w:rPr>
          <w:rFonts w:ascii="宋体" w:hAnsi="宋体" w:cs="宋体" w:eastAsia="宋体" w:hint="default"/>
        </w:rPr>
        <w:t>4</w:t>
      </w:r>
      <w:r>
        <w:rPr>
          <w:rFonts w:ascii="宋体" w:hAnsi="宋体" w:cs="宋体" w:eastAsia="宋体" w:hint="default"/>
          <w:spacing w:val="-60"/>
        </w:rPr>
        <w:t> </w:t>
      </w:r>
      <w:r>
        <w:rPr/>
        <w:t>次，重点对公司财务报告、募集资金使用情 况、内部审计部门的工作计划及总结等事项进行审议，并形成相关的内部审计报告。</w:t>
      </w:r>
    </w:p>
    <w:p>
      <w:pPr>
        <w:pStyle w:val="Heading2"/>
        <w:spacing w:line="240" w:lineRule="auto" w:before="32"/>
        <w:ind w:right="1153"/>
        <w:jc w:val="left"/>
        <w:rPr>
          <w:b w:val="0"/>
          <w:bCs w:val="0"/>
        </w:rPr>
      </w:pPr>
      <w:r>
        <w:rPr>
          <w:rFonts w:ascii="Times New Roman" w:hAnsi="Times New Roman" w:cs="Times New Roman" w:eastAsia="Times New Roman" w:hint="default"/>
        </w:rPr>
        <w:t>2</w:t>
      </w:r>
      <w:r>
        <w:rPr/>
        <w:t>、董事会薪酬与考核委员会履职情况</w:t>
      </w:r>
      <w:r>
        <w:rPr>
          <w:b w:val="0"/>
          <w:bCs w:val="0"/>
        </w:rPr>
      </w:r>
    </w:p>
    <w:p>
      <w:pPr>
        <w:pStyle w:val="BodyText"/>
        <w:spacing w:line="352" w:lineRule="auto" w:before="127"/>
        <w:ind w:right="1132" w:firstLine="480"/>
        <w:jc w:val="both"/>
      </w:pPr>
      <w:r>
        <w:rPr/>
        <w:t>报告期内，公司薪酬与考核委员会共召开</w:t>
      </w:r>
      <w:r>
        <w:rPr>
          <w:spacing w:val="-66"/>
        </w:rPr>
        <w:t> </w:t>
      </w:r>
      <w:r>
        <w:rPr>
          <w:rFonts w:ascii="宋体" w:hAnsi="宋体" w:cs="宋体" w:eastAsia="宋体" w:hint="default"/>
        </w:rPr>
        <w:t>2</w:t>
      </w:r>
      <w:r>
        <w:rPr>
          <w:rFonts w:ascii="宋体" w:hAnsi="宋体" w:cs="宋体" w:eastAsia="宋体" w:hint="default"/>
          <w:spacing w:val="-66"/>
        </w:rPr>
        <w:t> </w:t>
      </w:r>
      <w:r>
        <w:rPr>
          <w:spacing w:val="-3"/>
        </w:rPr>
        <w:t>次会议，讨论审议了公司</w:t>
      </w:r>
      <w:r>
        <w:rPr>
          <w:spacing w:val="-66"/>
        </w:rPr>
        <w:t> </w:t>
      </w:r>
      <w:r>
        <w:rPr>
          <w:rFonts w:ascii="宋体" w:hAnsi="宋体" w:cs="宋体" w:eastAsia="宋体" w:hint="default"/>
        </w:rPr>
        <w:t>2014</w:t>
      </w:r>
      <w:r>
        <w:rPr>
          <w:rFonts w:ascii="宋体" w:hAnsi="宋体" w:cs="宋体" w:eastAsia="宋体" w:hint="default"/>
          <w:spacing w:val="-66"/>
        </w:rPr>
        <w:t> </w:t>
      </w:r>
      <w:r>
        <w:rPr>
          <w:spacing w:val="-5"/>
        </w:rPr>
        <w:t>年度董事、监</w:t>
      </w:r>
      <w:r>
        <w:rPr/>
        <w:t> 事及高级管理人员薪酬情况及公司员工持股计划相关的事项，形成了相关的决议并提交公司 董事会审议。</w:t>
      </w:r>
    </w:p>
    <w:p>
      <w:pPr>
        <w:pStyle w:val="Heading2"/>
        <w:spacing w:line="240" w:lineRule="auto" w:before="32"/>
        <w:ind w:right="1153"/>
        <w:jc w:val="left"/>
        <w:rPr>
          <w:b w:val="0"/>
          <w:bCs w:val="0"/>
        </w:rPr>
      </w:pPr>
      <w:r>
        <w:rPr>
          <w:rFonts w:ascii="Times New Roman" w:hAnsi="Times New Roman" w:cs="Times New Roman" w:eastAsia="Times New Roman" w:hint="default"/>
        </w:rPr>
        <w:t>3</w:t>
      </w:r>
      <w:r>
        <w:rPr/>
        <w:t>、董事会提名委员会履职情况</w:t>
      </w:r>
      <w:r>
        <w:rPr>
          <w:b w:val="0"/>
          <w:bCs w:val="0"/>
        </w:rPr>
      </w:r>
    </w:p>
    <w:p>
      <w:pPr>
        <w:pStyle w:val="BodyText"/>
        <w:spacing w:line="350" w:lineRule="auto" w:before="128"/>
        <w:ind w:left="154" w:right="1152" w:firstLine="480"/>
        <w:jc w:val="left"/>
      </w:pPr>
      <w:r>
        <w:rPr/>
        <w:t>报告期内，公司董事会提名委员会共召开</w:t>
      </w:r>
      <w:r>
        <w:rPr>
          <w:spacing w:val="-60"/>
        </w:rPr>
        <w:t> </w:t>
      </w:r>
      <w:r>
        <w:rPr>
          <w:rFonts w:ascii="宋体" w:hAnsi="宋体" w:cs="宋体" w:eastAsia="宋体" w:hint="default"/>
        </w:rPr>
        <w:t>2</w:t>
      </w:r>
      <w:r>
        <w:rPr>
          <w:rFonts w:ascii="宋体" w:hAnsi="宋体" w:cs="宋体" w:eastAsia="宋体" w:hint="default"/>
          <w:spacing w:val="-60"/>
        </w:rPr>
        <w:t> </w:t>
      </w:r>
      <w:r>
        <w:rPr/>
        <w:t>次会议，对公司参股子公司赛弗科技、七彩 通达的董事候选人进行提名，形成决议并将候选人材料提交给参股子公司。</w:t>
      </w:r>
    </w:p>
    <w:p>
      <w:pPr>
        <w:pStyle w:val="Heading2"/>
        <w:spacing w:line="240" w:lineRule="auto" w:before="35"/>
        <w:ind w:right="1153"/>
        <w:jc w:val="left"/>
        <w:rPr>
          <w:b w:val="0"/>
          <w:bCs w:val="0"/>
        </w:rPr>
      </w:pPr>
      <w:r>
        <w:rPr>
          <w:rFonts w:ascii="Times New Roman" w:hAnsi="Times New Roman" w:cs="Times New Roman" w:eastAsia="Times New Roman" w:hint="default"/>
        </w:rPr>
        <w:t>4</w:t>
      </w:r>
      <w:r>
        <w:rPr/>
        <w:t>、董事会战略决策委员会履职工作情况</w:t>
      </w:r>
      <w:r>
        <w:rPr>
          <w:b w:val="0"/>
          <w:bCs w:val="0"/>
        </w:rPr>
      </w:r>
    </w:p>
    <w:p>
      <w:pPr>
        <w:pStyle w:val="BodyText"/>
        <w:spacing w:line="350" w:lineRule="auto" w:before="128"/>
        <w:ind w:right="1153" w:firstLine="480"/>
        <w:jc w:val="left"/>
      </w:pPr>
      <w:r>
        <w:rPr/>
        <w:t>报告期内，公司董事会战略决策委员会共召开</w:t>
      </w:r>
      <w:r>
        <w:rPr>
          <w:spacing w:val="-60"/>
        </w:rPr>
        <w:t> </w:t>
      </w:r>
      <w:r>
        <w:rPr>
          <w:rFonts w:ascii="宋体" w:hAnsi="宋体" w:cs="宋体" w:eastAsia="宋体" w:hint="default"/>
        </w:rPr>
        <w:t>4</w:t>
      </w:r>
      <w:r>
        <w:rPr>
          <w:rFonts w:ascii="宋体" w:hAnsi="宋体" w:cs="宋体" w:eastAsia="宋体" w:hint="default"/>
          <w:spacing w:val="-60"/>
        </w:rPr>
        <w:t> </w:t>
      </w:r>
      <w:r>
        <w:rPr/>
        <w:t>次会议，根据公司所处的行业和市场形 势及时进行了战略规划研究，并根据公司实际情况对发展战略的实施提出合理建议，期间审</w:t>
      </w:r>
    </w:p>
    <w:p>
      <w:pPr>
        <w:spacing w:after="0" w:line="35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352" w:lineRule="auto" w:before="199"/>
        <w:ind w:left="733" w:right="4273" w:hanging="480"/>
        <w:jc w:val="left"/>
        <w:rPr>
          <w:rFonts w:ascii="宋体" w:hAnsi="宋体" w:cs="宋体" w:eastAsia="宋体" w:hint="default"/>
          <w:sz w:val="24"/>
          <w:szCs w:val="24"/>
        </w:rPr>
      </w:pPr>
      <w:r>
        <w:rPr>
          <w:rFonts w:ascii="宋体" w:hAnsi="宋体" w:cs="宋体" w:eastAsia="宋体" w:hint="default"/>
          <w:sz w:val="24"/>
          <w:szCs w:val="24"/>
        </w:rPr>
        <w:t>议通过了对赛弗科技、飞天联合、七彩通达投资的相关事项。 </w:t>
      </w:r>
      <w:r>
        <w:rPr>
          <w:rFonts w:ascii="宋体" w:hAnsi="宋体" w:cs="宋体" w:eastAsia="宋体" w:hint="default"/>
          <w:b/>
          <w:bCs/>
          <w:sz w:val="24"/>
          <w:szCs w:val="24"/>
        </w:rPr>
        <w:t>七、监事会工作情况</w:t>
      </w:r>
      <w:r>
        <w:rPr>
          <w:rFonts w:ascii="宋体" w:hAnsi="宋体" w:cs="宋体" w:eastAsia="宋体" w:hint="default"/>
          <w:b/>
          <w:bCs/>
          <w:w w:val="99"/>
          <w:sz w:val="24"/>
          <w:szCs w:val="24"/>
        </w:rPr>
        <w:t> </w:t>
      </w:r>
      <w:r>
        <w:rPr>
          <w:rFonts w:ascii="宋体" w:hAnsi="宋体" w:cs="宋体" w:eastAsia="宋体" w:hint="default"/>
          <w:sz w:val="24"/>
          <w:szCs w:val="24"/>
        </w:rPr>
        <w:t>监事会对报告期内的监督事项无异议。 </w:t>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BodyText"/>
        <w:spacing w:line="350" w:lineRule="auto" w:before="32"/>
        <w:ind w:left="253" w:right="953" w:firstLine="480"/>
        <w:jc w:val="left"/>
      </w:pPr>
      <w:r>
        <w:rPr/>
        <w:t>根据公司《薪酬体系管理规定》、《高级管理人员薪酬管理规定》，公司对高级管理人 员的考评实行基本薪酬与工作绩效挂钩的激励与约束机制。年末根据公司年度经营目标完成 情况以及高级管理人员的工作业绩，由董事会薪酬与考核委员会对高级管理人员进行年度绩 </w:t>
      </w:r>
      <w:r>
        <w:rPr>
          <w:spacing w:val="-3"/>
        </w:rPr>
        <w:t>效考核，并监督薪酬制度执行情况。公司则根据绩效考核结果兑现其绩效年薪，并进行奖惩。</w:t>
      </w:r>
      <w:r>
        <w:rPr>
          <w:spacing w:val="-81"/>
        </w:rPr>
        <w:t> </w:t>
      </w:r>
      <w:r>
        <w:rPr>
          <w:spacing w:val="-81"/>
        </w:rPr>
      </w:r>
      <w:r>
        <w:rPr/>
        <w:t>公司董事会薪酬与考核委员会根据实际情况对公司高级管理人员进行考核后，一致认为：公 司</w:t>
      </w:r>
      <w:r>
        <w:rPr>
          <w:spacing w:val="-53"/>
        </w:rPr>
        <w:t> </w:t>
      </w:r>
      <w:r>
        <w:rPr>
          <w:rFonts w:ascii="宋体" w:hAnsi="宋体" w:cs="宋体" w:eastAsia="宋体" w:hint="default"/>
        </w:rPr>
        <w:t>2015</w:t>
      </w:r>
      <w:r>
        <w:rPr>
          <w:rFonts w:ascii="宋体" w:hAnsi="宋体" w:cs="宋体" w:eastAsia="宋体" w:hint="default"/>
          <w:spacing w:val="-53"/>
        </w:rPr>
        <w:t> </w:t>
      </w:r>
      <w:r>
        <w:rPr>
          <w:spacing w:val="-3"/>
        </w:rPr>
        <w:t>年度高级管理人员薪酬方案严格执行公司薪酬考核制度，薪酬方案合理，薪酬发放的</w:t>
      </w:r>
      <w:r>
        <w:rPr>
          <w:spacing w:val="-106"/>
        </w:rPr>
        <w:t> </w:t>
      </w:r>
      <w:r>
        <w:rPr>
          <w:spacing w:val="-106"/>
        </w:rPr>
      </w:r>
      <w:r>
        <w:rPr/>
        <w:t>程序符合有关法律、法规及公司制度的规定。</w:t>
      </w:r>
    </w:p>
    <w:p>
      <w:pPr>
        <w:pStyle w:val="Heading2"/>
        <w:spacing w:line="240" w:lineRule="auto" w:before="36"/>
        <w:ind w:left="736" w:right="7632"/>
        <w:jc w:val="left"/>
        <w:rPr>
          <w:b w:val="0"/>
          <w:bCs w:val="0"/>
        </w:rPr>
      </w:pPr>
      <w:r>
        <w:rPr/>
        <w:t>九、内部控制评价报告</w:t>
      </w:r>
      <w:r>
        <w:rPr>
          <w:b w:val="0"/>
          <w:bCs w:val="0"/>
        </w:rPr>
      </w:r>
    </w:p>
    <w:p>
      <w:pPr>
        <w:pStyle w:val="Heading2"/>
        <w:spacing w:line="240" w:lineRule="auto" w:before="145"/>
        <w:ind w:left="736" w:right="95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pStyle w:val="BodyText"/>
        <w:spacing w:line="240" w:lineRule="auto" w:before="127"/>
        <w:ind w:left="733" w:right="7632"/>
        <w:jc w:val="left"/>
      </w:pPr>
      <w:r>
        <w:rPr/>
        <w:t>□ 是 √ 否</w:t>
      </w:r>
    </w:p>
    <w:p>
      <w:pPr>
        <w:pStyle w:val="Heading2"/>
        <w:spacing w:line="240" w:lineRule="auto" w:before="146"/>
        <w:ind w:left="736" w:right="7632"/>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3"/>
          <w:szCs w:val="3"/>
        </w:rPr>
      </w:pPr>
    </w:p>
    <w:tbl>
      <w:tblPr>
        <w:tblW w:w="0" w:type="auto"/>
        <w:jc w:val="left"/>
        <w:tblInd w:w="112" w:type="dxa"/>
        <w:tblLayout w:type="fixed"/>
        <w:tblCellMar>
          <w:top w:w="0" w:type="dxa"/>
          <w:left w:w="0" w:type="dxa"/>
          <w:bottom w:w="0" w:type="dxa"/>
          <w:right w:w="0" w:type="dxa"/>
        </w:tblCellMar>
        <w:tblLook w:val="01E0"/>
      </w:tblPr>
      <w:tblGrid>
        <w:gridCol w:w="1131"/>
        <w:gridCol w:w="2550"/>
        <w:gridCol w:w="2974"/>
        <w:gridCol w:w="3142"/>
      </w:tblGrid>
      <w:tr>
        <w:trPr>
          <w:trHeight w:val="402" w:hRule="exact"/>
        </w:trPr>
        <w:tc>
          <w:tcPr>
            <w:tcW w:w="36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11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61" w:hRule="exact"/>
        </w:trPr>
        <w:tc>
          <w:tcPr>
            <w:tcW w:w="36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116" w:type="dxa"/>
            <w:gridSpan w:val="2"/>
            <w:vMerge w:val="restart"/>
            <w:tcBorders>
              <w:top w:val="single" w:sz="4" w:space="0" w:color="000000"/>
              <w:left w:val="single" w:sz="9" w:space="0" w:color="D2D2D2"/>
              <w:right w:val="single" w:sz="4" w:space="0" w:color="000000"/>
            </w:tcBorders>
          </w:tcPr>
          <w:p>
            <w:pPr>
              <w:pStyle w:val="TableParagraph"/>
              <w:spacing w:line="259" w:lineRule="auto" w:before="26"/>
              <w:ind w:left="23" w:right="25" w:firstLine="31"/>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年度内部控制评价报告》刊登 </w:t>
            </w:r>
            <w:r>
              <w:rPr>
                <w:rFonts w:ascii="宋体" w:hAnsi="宋体" w:cs="宋体" w:eastAsia="宋体" w:hint="default"/>
                <w:spacing w:val="-1"/>
                <w:sz w:val="21"/>
                <w:szCs w:val="21"/>
              </w:rPr>
              <w:t>于公司指定信息披露媒体巨潮资讯网（</w:t>
            </w:r>
            <w:r>
              <w:rPr>
                <w:rFonts w:ascii="Times New Roman" w:hAnsi="Times New Roman" w:cs="Times New Roman" w:eastAsia="Times New Roman" w:hint="default"/>
                <w:spacing w:val="-1"/>
                <w:sz w:val="21"/>
                <w:szCs w:val="21"/>
              </w:rPr>
              <w:t>http://www.cninfo.com.cn)</w:t>
            </w:r>
            <w:r>
              <w:rPr>
                <w:rFonts w:ascii="宋体" w:hAnsi="宋体" w:cs="宋体" w:eastAsia="宋体" w:hint="default"/>
                <w:spacing w:val="-1"/>
                <w:sz w:val="21"/>
                <w:szCs w:val="21"/>
              </w:rPr>
              <w:t>。</w:t>
            </w:r>
          </w:p>
        </w:tc>
      </w:tr>
      <w:tr>
        <w:trPr>
          <w:trHeight w:val="392" w:hRule="exact"/>
        </w:trPr>
        <w:tc>
          <w:tcPr>
            <w:tcW w:w="36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116" w:type="dxa"/>
            <w:gridSpan w:val="2"/>
            <w:vMerge/>
            <w:tcBorders>
              <w:left w:val="single" w:sz="9" w:space="0" w:color="D2D2D2"/>
              <w:right w:val="single" w:sz="4" w:space="0" w:color="000000"/>
            </w:tcBorders>
          </w:tcPr>
          <w:p>
            <w:pPr/>
          </w:p>
        </w:tc>
      </w:tr>
      <w:tr>
        <w:trPr>
          <w:trHeight w:val="161" w:hRule="exact"/>
        </w:trPr>
        <w:tc>
          <w:tcPr>
            <w:tcW w:w="36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116" w:type="dxa"/>
            <w:gridSpan w:val="2"/>
            <w:vMerge/>
            <w:tcBorders>
              <w:left w:val="single" w:sz="9" w:space="0" w:color="D2D2D2"/>
              <w:bottom w:val="single" w:sz="4" w:space="0" w:color="000000"/>
              <w:right w:val="single" w:sz="4" w:space="0" w:color="000000"/>
            </w:tcBorders>
          </w:tcPr>
          <w:p>
            <w:pPr/>
          </w:p>
        </w:tc>
      </w:tr>
      <w:tr>
        <w:trPr>
          <w:trHeight w:val="714" w:hRule="exact"/>
        </w:trPr>
        <w:tc>
          <w:tcPr>
            <w:tcW w:w="36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76"/>
              <w:jc w:val="left"/>
              <w:rPr>
                <w:rFonts w:ascii="宋体" w:hAnsi="宋体" w:cs="宋体" w:eastAsia="宋体" w:hint="default"/>
                <w:sz w:val="21"/>
                <w:szCs w:val="21"/>
              </w:rPr>
            </w:pPr>
            <w:r>
              <w:rPr>
                <w:rFonts w:ascii="宋体" w:hAnsi="宋体" w:cs="宋体" w:eastAsia="宋体" w:hint="default"/>
                <w:sz w:val="21"/>
                <w:szCs w:val="21"/>
              </w:rPr>
              <w:t>纳入评价范围单位资产总额占公司合并 财务报表资产总额的比例</w:t>
            </w:r>
          </w:p>
        </w:tc>
        <w:tc>
          <w:tcPr>
            <w:tcW w:w="611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96.19%</w:t>
            </w:r>
          </w:p>
        </w:tc>
      </w:tr>
      <w:tr>
        <w:trPr>
          <w:trHeight w:val="714" w:hRule="exact"/>
        </w:trPr>
        <w:tc>
          <w:tcPr>
            <w:tcW w:w="36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76"/>
              <w:jc w:val="left"/>
              <w:rPr>
                <w:rFonts w:ascii="宋体" w:hAnsi="宋体" w:cs="宋体" w:eastAsia="宋体" w:hint="default"/>
                <w:sz w:val="21"/>
                <w:szCs w:val="21"/>
              </w:rPr>
            </w:pPr>
            <w:r>
              <w:rPr>
                <w:rFonts w:ascii="宋体" w:hAnsi="宋体" w:cs="宋体" w:eastAsia="宋体" w:hint="default"/>
                <w:sz w:val="21"/>
                <w:szCs w:val="21"/>
              </w:rPr>
              <w:t>纳入评价范围单位营业收入占公司合并 财务报表营业收入的比例</w:t>
            </w:r>
          </w:p>
        </w:tc>
        <w:tc>
          <w:tcPr>
            <w:tcW w:w="611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74.59%</w:t>
            </w:r>
          </w:p>
        </w:tc>
      </w:tr>
      <w:tr>
        <w:trPr>
          <w:trHeight w:val="397" w:hRule="exact"/>
        </w:trPr>
        <w:tc>
          <w:tcPr>
            <w:tcW w:w="97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07" w:hRule="exact"/>
        </w:trPr>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40" w:right="0"/>
              <w:jc w:val="left"/>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1609" w:hRule="exact"/>
        </w:trPr>
        <w:tc>
          <w:tcPr>
            <w:tcW w:w="1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5524" w:type="dxa"/>
            <w:gridSpan w:val="2"/>
            <w:vMerge w:val="restart"/>
            <w:tcBorders>
              <w:top w:val="single" w:sz="4" w:space="0" w:color="000000"/>
              <w:left w:val="single" w:sz="9" w:space="0" w:color="D2D2D2"/>
              <w:right w:val="single" w:sz="4" w:space="0" w:color="000000"/>
            </w:tcBorders>
          </w:tcPr>
          <w:p>
            <w:pPr>
              <w:pStyle w:val="TableParagraph"/>
              <w:spacing w:line="314" w:lineRule="auto" w:before="42"/>
              <w:ind w:left="376" w:right="20" w:hanging="327"/>
              <w:jc w:val="both"/>
              <w:rPr>
                <w:rFonts w:ascii="宋体" w:hAnsi="宋体" w:cs="宋体" w:eastAsia="宋体" w:hint="default"/>
                <w:sz w:val="21"/>
                <w:szCs w:val="21"/>
              </w:rPr>
            </w:pPr>
            <w:r>
              <w:rPr>
                <w:rFonts w:ascii="宋体" w:hAnsi="宋体" w:cs="宋体" w:eastAsia="宋体" w:hint="default"/>
                <w:color w:val="333333"/>
                <w:sz w:val="21"/>
                <w:szCs w:val="21"/>
              </w:rPr>
              <w:t>①</w:t>
            </w:r>
            <w:r>
              <w:rPr>
                <w:rFonts w:ascii="宋体" w:hAnsi="宋体" w:cs="宋体" w:eastAsia="宋体" w:hint="default"/>
                <w:color w:val="333333"/>
                <w:spacing w:val="45"/>
                <w:sz w:val="21"/>
                <w:szCs w:val="21"/>
              </w:rPr>
              <w:t> </w:t>
            </w:r>
            <w:r>
              <w:rPr>
                <w:rFonts w:ascii="宋体" w:hAnsi="宋体" w:cs="宋体" w:eastAsia="宋体" w:hint="default"/>
                <w:sz w:val="21"/>
                <w:szCs w:val="21"/>
              </w:rPr>
              <w:t>如公司具备以下特征之一的缺陷，应定义为重大缺陷：</w:t>
            </w:r>
            <w:r>
              <w:rPr>
                <w:rFonts w:ascii="宋体" w:hAnsi="宋体" w:cs="宋体" w:eastAsia="宋体" w:hint="default"/>
                <w:sz w:val="21"/>
                <w:szCs w:val="21"/>
              </w:rPr>
              <w:t> </w:t>
            </w:r>
            <w:r>
              <w:rPr>
                <w:rFonts w:ascii="宋体" w:hAnsi="宋体" w:cs="宋体" w:eastAsia="宋体" w:hint="default"/>
                <w:sz w:val="21"/>
                <w:szCs w:val="21"/>
              </w:rPr>
              <w:t>a.</w:t>
            </w:r>
            <w:r>
              <w:rPr>
                <w:rFonts w:ascii="宋体" w:hAnsi="宋体" w:cs="宋体" w:eastAsia="宋体" w:hint="default"/>
                <w:sz w:val="21"/>
                <w:szCs w:val="21"/>
              </w:rPr>
              <w:t>上市公司组织架构设置严重缺失；</w:t>
            </w:r>
            <w:r>
              <w:rPr>
                <w:rFonts w:ascii="宋体" w:hAnsi="宋体" w:cs="宋体" w:eastAsia="宋体" w:hint="default"/>
                <w:sz w:val="21"/>
                <w:szCs w:val="21"/>
              </w:rPr>
              <w:t>b.</w:t>
            </w:r>
            <w:r>
              <w:rPr>
                <w:rFonts w:ascii="宋体" w:hAnsi="宋体" w:cs="宋体" w:eastAsia="宋体" w:hint="default"/>
                <w:sz w:val="21"/>
                <w:szCs w:val="21"/>
              </w:rPr>
              <w:t>公司董事、监事 和高级管理人员滥用职权、发生重大舞弊行为；</w:t>
            </w:r>
            <w:r>
              <w:rPr>
                <w:rFonts w:ascii="宋体" w:hAnsi="宋体" w:cs="宋体" w:eastAsia="宋体" w:hint="default"/>
                <w:sz w:val="21"/>
                <w:szCs w:val="21"/>
              </w:rPr>
              <w:t>c.</w:t>
            </w:r>
            <w:r>
              <w:rPr>
                <w:rFonts w:ascii="宋体" w:hAnsi="宋体" w:cs="宋体" w:eastAsia="宋体" w:hint="default"/>
                <w:sz w:val="21"/>
                <w:szCs w:val="21"/>
              </w:rPr>
              <w:t>公司 因发现以前年度存在重大会计差错，更正已披露的财务 报告；</w:t>
            </w:r>
            <w:r>
              <w:rPr>
                <w:rFonts w:ascii="宋体" w:hAnsi="宋体" w:cs="宋体" w:eastAsia="宋体" w:hint="default"/>
                <w:sz w:val="21"/>
                <w:szCs w:val="21"/>
              </w:rPr>
              <w:t>d.</w:t>
            </w:r>
            <w:r>
              <w:rPr>
                <w:rFonts w:ascii="宋体" w:hAnsi="宋体" w:cs="宋体" w:eastAsia="宋体" w:hint="default"/>
                <w:sz w:val="21"/>
                <w:szCs w:val="21"/>
              </w:rPr>
              <w:t>外部审计发现当期财务报表存在重大错报，而 内控在运行过程中未能发现该错报；</w:t>
            </w:r>
            <w:r>
              <w:rPr>
                <w:rFonts w:ascii="宋体" w:hAnsi="宋体" w:cs="宋体" w:eastAsia="宋体" w:hint="default"/>
                <w:sz w:val="21"/>
                <w:szCs w:val="21"/>
              </w:rPr>
              <w:t>e.</w:t>
            </w:r>
            <w:r>
              <w:rPr>
                <w:rFonts w:ascii="宋体" w:hAnsi="宋体" w:cs="宋体" w:eastAsia="宋体" w:hint="default"/>
                <w:sz w:val="21"/>
                <w:szCs w:val="21"/>
              </w:rPr>
              <w:t>公司运营管理上 存在严重违反法律法规的行为。</w:t>
            </w:r>
            <w:r>
              <w:rPr>
                <w:rFonts w:ascii="宋体" w:hAnsi="宋体" w:cs="宋体" w:eastAsia="宋体" w:hint="default"/>
                <w:color w:val="333333"/>
                <w:sz w:val="21"/>
                <w:szCs w:val="21"/>
              </w:rPr>
              <w:t>②</w:t>
            </w:r>
            <w:r>
              <w:rPr>
                <w:rFonts w:ascii="宋体" w:hAnsi="宋体" w:cs="宋体" w:eastAsia="宋体" w:hint="default"/>
                <w:sz w:val="21"/>
                <w:szCs w:val="21"/>
              </w:rPr>
              <w:t>如公司具备以下特征</w:t>
            </w:r>
            <w:r>
              <w:rPr>
                <w:rFonts w:ascii="宋体" w:hAnsi="宋体" w:cs="宋体" w:eastAsia="宋体" w:hint="default"/>
                <w:sz w:val="21"/>
                <w:szCs w:val="21"/>
              </w:rPr>
              <w:t> 之一的缺陷，应定义为重要缺陷：</w:t>
            </w:r>
            <w:r>
              <w:rPr>
                <w:rFonts w:ascii="宋体" w:hAnsi="宋体" w:cs="宋体" w:eastAsia="宋体" w:hint="default"/>
                <w:spacing w:val="-36"/>
                <w:sz w:val="21"/>
                <w:szCs w:val="21"/>
              </w:rPr>
              <w:t> </w:t>
            </w:r>
            <w:r>
              <w:rPr>
                <w:rFonts w:ascii="宋体" w:hAnsi="宋体" w:cs="宋体" w:eastAsia="宋体" w:hint="default"/>
                <w:sz w:val="21"/>
                <w:szCs w:val="21"/>
              </w:rPr>
              <w:t>a.</w:t>
            </w:r>
            <w:r>
              <w:rPr>
                <w:rFonts w:ascii="宋体" w:hAnsi="宋体" w:cs="宋体" w:eastAsia="宋体" w:hint="default"/>
                <w:sz w:val="21"/>
                <w:szCs w:val="21"/>
              </w:rPr>
              <w:t>未依照公认会计准 则选择和应用会计政策；</w:t>
            </w:r>
            <w:r>
              <w:rPr>
                <w:rFonts w:ascii="宋体" w:hAnsi="宋体" w:cs="宋体" w:eastAsia="宋体" w:hint="default"/>
                <w:sz w:val="21"/>
                <w:szCs w:val="21"/>
              </w:rPr>
              <w:t>b.</w:t>
            </w:r>
            <w:r>
              <w:rPr>
                <w:rFonts w:ascii="宋体" w:hAnsi="宋体" w:cs="宋体" w:eastAsia="宋体" w:hint="default"/>
                <w:sz w:val="21"/>
                <w:szCs w:val="21"/>
              </w:rPr>
              <w:t>未建立反舞弊程序和控制措 施；</w:t>
            </w:r>
            <w:r>
              <w:rPr>
                <w:rFonts w:ascii="宋体" w:hAnsi="宋体" w:cs="宋体" w:eastAsia="宋体" w:hint="default"/>
                <w:sz w:val="21"/>
                <w:szCs w:val="21"/>
              </w:rPr>
              <w:t>c.</w:t>
            </w:r>
            <w:r>
              <w:rPr>
                <w:rFonts w:ascii="宋体" w:hAnsi="宋体" w:cs="宋体" w:eastAsia="宋体" w:hint="default"/>
                <w:sz w:val="21"/>
                <w:szCs w:val="21"/>
              </w:rPr>
              <w:t>对于非常规和特殊交易的账务处理没有建立相应</w:t>
            </w:r>
          </w:p>
        </w:tc>
        <w:tc>
          <w:tcPr>
            <w:tcW w:w="3142" w:type="dxa"/>
            <w:vMerge w:val="restart"/>
            <w:tcBorders>
              <w:top w:val="single" w:sz="4" w:space="0" w:color="000000"/>
              <w:left w:val="single" w:sz="4" w:space="0" w:color="000000"/>
              <w:right w:val="single" w:sz="4" w:space="0" w:color="000000"/>
            </w:tcBorders>
          </w:tcPr>
          <w:p>
            <w:pPr>
              <w:pStyle w:val="TableParagraph"/>
              <w:spacing w:line="314" w:lineRule="auto" w:before="42"/>
              <w:ind w:left="22" w:right="20"/>
              <w:jc w:val="both"/>
              <w:rPr>
                <w:rFonts w:ascii="宋体" w:hAnsi="宋体" w:cs="宋体" w:eastAsia="宋体" w:hint="default"/>
                <w:sz w:val="21"/>
                <w:szCs w:val="21"/>
              </w:rPr>
            </w:pPr>
            <w:r>
              <w:rPr>
                <w:rFonts w:ascii="宋体" w:hAnsi="宋体" w:cs="宋体" w:eastAsia="宋体" w:hint="default"/>
                <w:spacing w:val="9"/>
                <w:sz w:val="21"/>
                <w:szCs w:val="21"/>
              </w:rPr>
              <w:t>①如公司具备以下特征之一的缺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陷，应定义为重大缺陷：</w:t>
            </w:r>
            <w:r>
              <w:rPr>
                <w:rFonts w:ascii="宋体" w:hAnsi="宋体" w:cs="宋体" w:eastAsia="宋体" w:hint="default"/>
                <w:spacing w:val="-5"/>
                <w:sz w:val="21"/>
                <w:szCs w:val="21"/>
              </w:rPr>
              <w:t>a.</w:t>
            </w:r>
            <w:r>
              <w:rPr>
                <w:rFonts w:ascii="宋体" w:hAnsi="宋体" w:cs="宋体" w:eastAsia="宋体" w:hint="default"/>
                <w:spacing w:val="-5"/>
                <w:sz w:val="21"/>
                <w:szCs w:val="21"/>
              </w:rPr>
              <w:t>公司缺</w:t>
            </w:r>
            <w:r>
              <w:rPr>
                <w:rFonts w:ascii="宋体" w:hAnsi="宋体" w:cs="宋体" w:eastAsia="宋体" w:hint="default"/>
                <w:spacing w:val="-92"/>
                <w:sz w:val="21"/>
                <w:szCs w:val="21"/>
              </w:rPr>
              <w:t> </w:t>
            </w:r>
            <w:r>
              <w:rPr>
                <w:rFonts w:ascii="宋体" w:hAnsi="宋体" w:cs="宋体" w:eastAsia="宋体" w:hint="default"/>
                <w:spacing w:val="-5"/>
                <w:sz w:val="21"/>
                <w:szCs w:val="21"/>
              </w:rPr>
              <w:t>乏民主决策程序；</w:t>
            </w:r>
            <w:r>
              <w:rPr>
                <w:rFonts w:ascii="宋体" w:hAnsi="宋体" w:cs="宋体" w:eastAsia="宋体" w:hint="default"/>
                <w:spacing w:val="-5"/>
                <w:sz w:val="21"/>
                <w:szCs w:val="21"/>
              </w:rPr>
              <w:t>b.</w:t>
            </w:r>
            <w:r>
              <w:rPr>
                <w:rFonts w:ascii="宋体" w:hAnsi="宋体" w:cs="宋体" w:eastAsia="宋体" w:hint="default"/>
                <w:spacing w:val="-5"/>
                <w:sz w:val="21"/>
                <w:szCs w:val="21"/>
              </w:rPr>
              <w:t>公司决策程序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5"/>
                <w:sz w:val="21"/>
                <w:szCs w:val="21"/>
              </w:rPr>
              <w:t>导致重大失误；</w:t>
            </w:r>
            <w:r>
              <w:rPr>
                <w:rFonts w:ascii="宋体" w:hAnsi="宋体" w:cs="宋体" w:eastAsia="宋体" w:hint="default"/>
                <w:spacing w:val="-5"/>
                <w:sz w:val="21"/>
                <w:szCs w:val="21"/>
              </w:rPr>
              <w:t>c.</w:t>
            </w:r>
            <w:r>
              <w:rPr>
                <w:rFonts w:ascii="宋体" w:hAnsi="宋体" w:cs="宋体" w:eastAsia="宋体" w:hint="default"/>
                <w:spacing w:val="-5"/>
                <w:sz w:val="21"/>
                <w:szCs w:val="21"/>
              </w:rPr>
              <w:t>公司高级管理人</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9"/>
                <w:sz w:val="21"/>
                <w:szCs w:val="21"/>
              </w:rPr>
              <w:t>员和高级技术人员流失严重；</w:t>
            </w:r>
            <w:r>
              <w:rPr>
                <w:rFonts w:ascii="宋体" w:hAnsi="宋体" w:cs="宋体" w:eastAsia="宋体" w:hint="default"/>
                <w:spacing w:val="9"/>
                <w:sz w:val="21"/>
                <w:szCs w:val="21"/>
              </w:rPr>
              <w:t>d.</w:t>
            </w:r>
            <w:r>
              <w:rPr>
                <w:rFonts w:ascii="宋体" w:hAnsi="宋体" w:cs="宋体" w:eastAsia="宋体" w:hint="default"/>
                <w:spacing w:val="-103"/>
                <w:sz w:val="21"/>
                <w:szCs w:val="21"/>
              </w:rPr>
              <w:t> </w:t>
            </w:r>
            <w:r>
              <w:rPr>
                <w:rFonts w:ascii="宋体" w:hAnsi="宋体" w:cs="宋体" w:eastAsia="宋体" w:hint="default"/>
                <w:spacing w:val="-5"/>
                <w:sz w:val="21"/>
                <w:szCs w:val="21"/>
              </w:rPr>
              <w:t>媒体频现负面新闻，涉及面广且负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5"/>
                <w:sz w:val="21"/>
                <w:szCs w:val="21"/>
              </w:rPr>
              <w:t>面影响一直未能消除；</w:t>
            </w:r>
            <w:r>
              <w:rPr>
                <w:rFonts w:ascii="宋体" w:hAnsi="宋体" w:cs="宋体" w:eastAsia="宋体" w:hint="default"/>
                <w:spacing w:val="-5"/>
                <w:sz w:val="21"/>
                <w:szCs w:val="21"/>
              </w:rPr>
              <w:t>e.</w:t>
            </w:r>
            <w:r>
              <w:rPr>
                <w:rFonts w:ascii="宋体" w:hAnsi="宋体" w:cs="宋体" w:eastAsia="宋体" w:hint="default"/>
                <w:spacing w:val="-5"/>
                <w:sz w:val="21"/>
                <w:szCs w:val="21"/>
              </w:rPr>
              <w:t>公司重要</w:t>
            </w:r>
            <w:r>
              <w:rPr>
                <w:rFonts w:ascii="宋体" w:hAnsi="宋体" w:cs="宋体" w:eastAsia="宋体" w:hint="default"/>
                <w:spacing w:val="-90"/>
                <w:sz w:val="21"/>
                <w:szCs w:val="21"/>
              </w:rPr>
              <w:t> </w:t>
            </w:r>
            <w:r>
              <w:rPr>
                <w:rFonts w:ascii="宋体" w:hAnsi="宋体" w:cs="宋体" w:eastAsia="宋体" w:hint="default"/>
                <w:spacing w:val="9"/>
                <w:sz w:val="21"/>
                <w:szCs w:val="21"/>
              </w:rPr>
              <w:t>业务缺乏制度控制或制度体系失</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效；</w:t>
            </w:r>
            <w:r>
              <w:rPr>
                <w:rFonts w:ascii="宋体" w:hAnsi="宋体" w:cs="宋体" w:eastAsia="宋体" w:hint="default"/>
                <w:spacing w:val="-5"/>
                <w:sz w:val="21"/>
                <w:szCs w:val="21"/>
              </w:rPr>
              <w:t>f.</w:t>
            </w:r>
            <w:r>
              <w:rPr>
                <w:rFonts w:ascii="宋体" w:hAnsi="宋体" w:cs="宋体" w:eastAsia="宋体" w:hint="default"/>
                <w:spacing w:val="-5"/>
                <w:sz w:val="21"/>
                <w:szCs w:val="21"/>
              </w:rPr>
              <w:t>公司内部控制重大或重要缺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陷未得到整改；</w:t>
            </w:r>
            <w:r>
              <w:rPr>
                <w:rFonts w:ascii="宋体" w:hAnsi="宋体" w:cs="宋体" w:eastAsia="宋体" w:hint="default"/>
                <w:spacing w:val="-5"/>
                <w:sz w:val="21"/>
                <w:szCs w:val="21"/>
              </w:rPr>
              <w:t>g.</w:t>
            </w:r>
            <w:r>
              <w:rPr>
                <w:rFonts w:ascii="宋体" w:hAnsi="宋体" w:cs="宋体" w:eastAsia="宋体" w:hint="default"/>
                <w:spacing w:val="-5"/>
                <w:sz w:val="21"/>
                <w:szCs w:val="21"/>
              </w:rPr>
              <w:t>公司遭受证监会</w:t>
            </w:r>
          </w:p>
        </w:tc>
      </w:tr>
      <w:tr>
        <w:trPr>
          <w:trHeight w:val="392" w:hRule="exact"/>
        </w:trPr>
        <w:tc>
          <w:tcPr>
            <w:tcW w:w="11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定性标准</w:t>
            </w:r>
          </w:p>
        </w:tc>
        <w:tc>
          <w:tcPr>
            <w:tcW w:w="5524" w:type="dxa"/>
            <w:gridSpan w:val="2"/>
            <w:vMerge/>
            <w:tcBorders>
              <w:left w:val="single" w:sz="9" w:space="0" w:color="D2D2D2"/>
              <w:right w:val="single" w:sz="4" w:space="0" w:color="000000"/>
            </w:tcBorders>
          </w:tcPr>
          <w:p>
            <w:pPr/>
          </w:p>
        </w:tc>
        <w:tc>
          <w:tcPr>
            <w:tcW w:w="3142" w:type="dxa"/>
            <w:vMerge/>
            <w:tcBorders>
              <w:left w:val="single" w:sz="4" w:space="0" w:color="000000"/>
              <w:right w:val="single" w:sz="4" w:space="0" w:color="000000"/>
            </w:tcBorders>
          </w:tcPr>
          <w:p>
            <w:pPr/>
          </w:p>
        </w:tc>
      </w:tr>
      <w:tr>
        <w:trPr>
          <w:trHeight w:val="1610" w:hRule="exact"/>
        </w:trPr>
        <w:tc>
          <w:tcPr>
            <w:tcW w:w="1131" w:type="dxa"/>
            <w:tcBorders>
              <w:top w:val="nil" w:sz="6" w:space="0" w:color="auto"/>
              <w:left w:val="single" w:sz="4" w:space="0" w:color="000000"/>
              <w:bottom w:val="single" w:sz="4" w:space="0" w:color="000000"/>
              <w:right w:val="single" w:sz="4" w:space="0" w:color="000000"/>
            </w:tcBorders>
            <w:shd w:val="clear" w:color="auto" w:fill="D2D2D2"/>
          </w:tcPr>
          <w:p>
            <w:pPr/>
          </w:p>
        </w:tc>
        <w:tc>
          <w:tcPr>
            <w:tcW w:w="5524" w:type="dxa"/>
            <w:gridSpan w:val="2"/>
            <w:vMerge/>
            <w:tcBorders>
              <w:left w:val="single" w:sz="9" w:space="0" w:color="D2D2D2"/>
              <w:bottom w:val="single" w:sz="4" w:space="0" w:color="000000"/>
              <w:right w:val="single" w:sz="4" w:space="0" w:color="000000"/>
            </w:tcBorders>
          </w:tcPr>
          <w:p>
            <w:pPr/>
          </w:p>
        </w:tc>
        <w:tc>
          <w:tcPr>
            <w:tcW w:w="314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880" w:right="0"/>
        </w:sectPr>
      </w:pPr>
    </w:p>
    <w:p>
      <w:pPr>
        <w:spacing w:line="240" w:lineRule="auto" w:before="6"/>
        <w:rPr>
          <w:rFonts w:ascii="宋体" w:hAnsi="宋体" w:cs="宋体" w:eastAsia="宋体" w:hint="default"/>
          <w:b/>
          <w:bCs/>
          <w:sz w:val="28"/>
          <w:szCs w:val="28"/>
        </w:rPr>
      </w:pPr>
      <w:r>
        <w:rPr/>
        <w:pict>
          <v:shape style="position:absolute;margin-left:375.921509pt;margin-top:126.47998pt;width:163.550pt;height:18.05pt;mso-position-horizontal-relative:page;mso-position-vertical-relative:page;z-index:-767224" type="#_x0000_t202" filled="false" stroked="false">
            <v:textbox inset="0,0,0,0">
              <w:txbxContent>
                <w:p>
                  <w:pPr>
                    <w:spacing w:before="43"/>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tbl>
      <w:tblPr>
        <w:tblW w:w="0" w:type="auto"/>
        <w:jc w:val="left"/>
        <w:tblInd w:w="112" w:type="dxa"/>
        <w:tblLayout w:type="fixed"/>
        <w:tblCellMar>
          <w:top w:w="0" w:type="dxa"/>
          <w:left w:w="0" w:type="dxa"/>
          <w:bottom w:w="0" w:type="dxa"/>
          <w:right w:w="0" w:type="dxa"/>
        </w:tblCellMar>
        <w:tblLook w:val="01E0"/>
      </w:tblPr>
      <w:tblGrid>
        <w:gridCol w:w="1130"/>
        <w:gridCol w:w="5525"/>
        <w:gridCol w:w="3142"/>
      </w:tblGrid>
      <w:tr>
        <w:trPr>
          <w:trHeight w:val="1450" w:hRule="exact"/>
        </w:trPr>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83" w:right="54" w:firstLine="33"/>
              <w:jc w:val="both"/>
              <w:rPr>
                <w:rFonts w:ascii="宋体" w:hAnsi="宋体" w:cs="宋体" w:eastAsia="宋体" w:hint="default"/>
                <w:sz w:val="21"/>
                <w:szCs w:val="21"/>
              </w:rPr>
            </w:pPr>
            <w:r>
              <w:rPr>
                <w:rFonts w:ascii="宋体" w:hAnsi="宋体" w:cs="宋体" w:eastAsia="宋体" w:hint="default"/>
                <w:sz w:val="21"/>
                <w:szCs w:val="21"/>
              </w:rPr>
              <w:t>的控制机制或没有实施且没有相应的补偿措施；</w:t>
            </w:r>
            <w:r>
              <w:rPr>
                <w:rFonts w:ascii="宋体" w:hAnsi="宋体" w:cs="宋体" w:eastAsia="宋体" w:hint="default"/>
                <w:sz w:val="21"/>
                <w:szCs w:val="21"/>
              </w:rPr>
              <w:t>d.</w:t>
            </w:r>
            <w:r>
              <w:rPr>
                <w:rFonts w:ascii="宋体" w:hAnsi="宋体" w:cs="宋体" w:eastAsia="宋体" w:hint="default"/>
                <w:sz w:val="21"/>
                <w:szCs w:val="21"/>
              </w:rPr>
              <w:t>对于 财务报告过程的控制存在一项或多项缺陷且不能合理保 证编制的财务报表达到真实、准确的目标。</w:t>
            </w:r>
            <w:r>
              <w:rPr>
                <w:rFonts w:ascii="宋体" w:hAnsi="宋体" w:cs="宋体" w:eastAsia="宋体" w:hint="default"/>
                <w:color w:val="333333"/>
                <w:sz w:val="21"/>
                <w:szCs w:val="21"/>
              </w:rPr>
              <w:t>③</w:t>
            </w:r>
            <w:r>
              <w:rPr>
                <w:rFonts w:ascii="宋体" w:hAnsi="宋体" w:cs="宋体" w:eastAsia="宋体" w:hint="default"/>
                <w:sz w:val="21"/>
                <w:szCs w:val="21"/>
              </w:rPr>
              <w:t>除上述重</w:t>
            </w:r>
            <w:r>
              <w:rPr>
                <w:rFonts w:ascii="宋体" w:hAnsi="宋体" w:cs="宋体" w:eastAsia="宋体" w:hint="default"/>
                <w:sz w:val="21"/>
                <w:szCs w:val="21"/>
              </w:rPr>
              <w:t> 大缺陷、重要缺陷之外的其他控制缺陷定义为一般缺陷</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2" w:right="21"/>
              <w:jc w:val="both"/>
              <w:rPr>
                <w:rFonts w:ascii="宋体" w:hAnsi="宋体" w:cs="宋体" w:eastAsia="宋体" w:hint="default"/>
                <w:sz w:val="21"/>
                <w:szCs w:val="21"/>
              </w:rPr>
            </w:pPr>
            <w:r>
              <w:rPr>
                <w:rFonts w:ascii="宋体" w:hAnsi="宋体" w:cs="宋体" w:eastAsia="宋体" w:hint="default"/>
                <w:spacing w:val="-5"/>
                <w:sz w:val="21"/>
                <w:szCs w:val="21"/>
              </w:rPr>
              <w:t>处罚或证券交易所警告。②其他情</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9"/>
                <w:sz w:val="21"/>
                <w:szCs w:val="21"/>
              </w:rPr>
              <w:t>形按照影响程度分别确定重要缺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陷或一般缺陷。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360" w:lineRule="exact"/>
              <w:ind w:right="-51"/>
              <w:jc w:val="left"/>
              <w:rPr>
                <w:rFonts w:ascii="宋体" w:hAnsi="宋体" w:cs="宋体" w:eastAsia="宋体" w:hint="default"/>
                <w:sz w:val="20"/>
                <w:szCs w:val="20"/>
              </w:rPr>
            </w:pPr>
            <w:r>
              <w:rPr>
                <w:rFonts w:ascii="宋体" w:hAnsi="宋体" w:cs="宋体" w:eastAsia="宋体" w:hint="default"/>
                <w:position w:val="-6"/>
                <w:sz w:val="20"/>
                <w:szCs w:val="20"/>
              </w:rPr>
              <w:pict>
                <v:group style="width:156.65pt;height:18.05pt;mso-position-horizontal-relative:char;mso-position-vertical-relative:line" coordorigin="0,0" coordsize="3133,361">
                  <v:group style="position:absolute;left:0;top:0;width:3133;height:361" coordorigin="0,0" coordsize="3133,361">
                    <v:shape style="position:absolute;left:0;top:0;width:3133;height:361" coordorigin="0,0" coordsize="3133,361" path="m0,360l3132,360,3132,0,0,0,0,360xe" filled="true" fillcolor="#ffffff" stroked="false">
                      <v:path arrowok="t"/>
                      <v:fill type="solid"/>
                    </v:shape>
                  </v:group>
                </v:group>
              </w:pict>
            </w:r>
            <w:r>
              <w:rPr>
                <w:rFonts w:ascii="宋体" w:hAnsi="宋体" w:cs="宋体" w:eastAsia="宋体" w:hint="default"/>
                <w:position w:val="-6"/>
                <w:sz w:val="20"/>
                <w:szCs w:val="20"/>
              </w:rPr>
            </w:r>
          </w:p>
        </w:tc>
      </w:tr>
      <w:tr>
        <w:trPr>
          <w:trHeight w:val="2531" w:hRule="exact"/>
        </w:trPr>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55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23" w:right="19"/>
              <w:jc w:val="left"/>
              <w:rPr>
                <w:rFonts w:ascii="宋体" w:hAnsi="宋体" w:cs="宋体" w:eastAsia="宋体" w:hint="default"/>
                <w:sz w:val="21"/>
                <w:szCs w:val="21"/>
              </w:rPr>
            </w:pPr>
            <w:r>
              <w:rPr>
                <w:rFonts w:ascii="宋体" w:hAnsi="宋体" w:cs="宋体" w:eastAsia="宋体" w:hint="default"/>
                <w:spacing w:val="-2"/>
                <w:sz w:val="21"/>
                <w:szCs w:val="21"/>
              </w:rPr>
              <w:t>①一般缺陷：失控金额＜资产总额的</w:t>
            </w:r>
            <w:r>
              <w:rPr>
                <w:rFonts w:ascii="宋体" w:hAnsi="宋体" w:cs="宋体" w:eastAsia="宋体" w:hint="default"/>
                <w:spacing w:val="-46"/>
                <w:sz w:val="21"/>
                <w:szCs w:val="21"/>
              </w:rPr>
              <w:t> </w:t>
            </w:r>
            <w:r>
              <w:rPr>
                <w:rFonts w:ascii="宋体" w:hAnsi="宋体" w:cs="宋体" w:eastAsia="宋体" w:hint="default"/>
                <w:spacing w:val="-2"/>
                <w:sz w:val="21"/>
                <w:szCs w:val="21"/>
              </w:rPr>
              <w:t>0.1%</w:t>
            </w:r>
            <w:r>
              <w:rPr>
                <w:rFonts w:ascii="宋体" w:hAnsi="宋体" w:cs="宋体" w:eastAsia="宋体" w:hint="default"/>
                <w:spacing w:val="-2"/>
                <w:sz w:val="21"/>
                <w:szCs w:val="21"/>
              </w:rPr>
              <w:t>；失控金额＜主营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业务收入总额的</w:t>
            </w:r>
            <w:r>
              <w:rPr>
                <w:rFonts w:ascii="宋体" w:hAnsi="宋体" w:cs="宋体" w:eastAsia="宋体" w:hint="default"/>
                <w:spacing w:val="-47"/>
                <w:sz w:val="21"/>
                <w:szCs w:val="21"/>
              </w:rPr>
              <w:t> </w:t>
            </w:r>
            <w:r>
              <w:rPr>
                <w:rFonts w:ascii="宋体" w:hAnsi="宋体" w:cs="宋体" w:eastAsia="宋体" w:hint="default"/>
                <w:spacing w:val="-4"/>
                <w:sz w:val="21"/>
                <w:szCs w:val="21"/>
              </w:rPr>
              <w:t>0.1%</w:t>
            </w:r>
            <w:r>
              <w:rPr>
                <w:rFonts w:ascii="宋体" w:hAnsi="宋体" w:cs="宋体" w:eastAsia="宋体" w:hint="default"/>
                <w:spacing w:val="-4"/>
                <w:sz w:val="21"/>
                <w:szCs w:val="21"/>
              </w:rPr>
              <w:t>；失控金额＜净利润总额的</w:t>
            </w:r>
            <w:r>
              <w:rPr>
                <w:rFonts w:ascii="宋体" w:hAnsi="宋体" w:cs="宋体" w:eastAsia="宋体" w:hint="default"/>
                <w:spacing w:val="-46"/>
                <w:sz w:val="21"/>
                <w:szCs w:val="21"/>
              </w:rPr>
              <w:t> </w:t>
            </w:r>
            <w:r>
              <w:rPr>
                <w:rFonts w:ascii="宋体" w:hAnsi="宋体" w:cs="宋体" w:eastAsia="宋体" w:hint="default"/>
                <w:spacing w:val="-9"/>
                <w:sz w:val="21"/>
                <w:szCs w:val="21"/>
              </w:rPr>
              <w:t>2%</w:t>
            </w:r>
            <w:r>
              <w:rPr>
                <w:rFonts w:ascii="宋体" w:hAnsi="宋体" w:cs="宋体" w:eastAsia="宋体" w:hint="default"/>
                <w:spacing w:val="-9"/>
                <w:sz w:val="21"/>
                <w:szCs w:val="21"/>
              </w:rPr>
              <w:t>。</w:t>
            </w:r>
            <w:r>
              <w:rPr>
                <w:rFonts w:ascii="宋体" w:hAnsi="宋体" w:cs="宋体" w:eastAsia="宋体" w:hint="default"/>
                <w:color w:val="333333"/>
                <w:spacing w:val="-9"/>
                <w:sz w:val="21"/>
                <w:szCs w:val="21"/>
              </w:rPr>
              <w:t>②</w:t>
            </w:r>
            <w:r>
              <w:rPr>
                <w:rFonts w:ascii="宋体" w:hAnsi="宋体" w:cs="宋体" w:eastAsia="宋体" w:hint="default"/>
                <w:spacing w:val="-9"/>
                <w:sz w:val="21"/>
                <w:szCs w:val="21"/>
              </w:rPr>
              <w:t>重要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缺陷：资产总额的</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z w:val="21"/>
                <w:szCs w:val="21"/>
              </w:rPr>
              <w:t>≤失控金额＜资产总额的</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z w:val="21"/>
                <w:szCs w:val="21"/>
              </w:rPr>
              <w:t>；主营 业务收入总额的</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z w:val="21"/>
                <w:szCs w:val="21"/>
              </w:rPr>
              <w:t>≤失控金额＜主营业务收入总额的 </w:t>
            </w:r>
            <w:r>
              <w:rPr>
                <w:rFonts w:ascii="宋体" w:hAnsi="宋体" w:cs="宋体" w:eastAsia="宋体" w:hint="default"/>
                <w:spacing w:val="-5"/>
                <w:sz w:val="21"/>
                <w:szCs w:val="21"/>
              </w:rPr>
              <w:t>0.5%</w:t>
            </w:r>
            <w:r>
              <w:rPr>
                <w:rFonts w:ascii="宋体" w:hAnsi="宋体" w:cs="宋体" w:eastAsia="宋体" w:hint="default"/>
                <w:spacing w:val="-5"/>
                <w:sz w:val="21"/>
                <w:szCs w:val="21"/>
              </w:rPr>
              <w:t>；净利润总额的</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≤失控金额＜净利润总额的</w:t>
            </w:r>
            <w:r>
              <w:rPr>
                <w:rFonts w:ascii="宋体" w:hAnsi="宋体" w:cs="宋体" w:eastAsia="宋体" w:hint="default"/>
                <w:spacing w:val="-51"/>
                <w:sz w:val="21"/>
                <w:szCs w:val="21"/>
              </w:rPr>
              <w:t> </w:t>
            </w:r>
            <w:r>
              <w:rPr>
                <w:rFonts w:ascii="宋体" w:hAnsi="宋体" w:cs="宋体" w:eastAsia="宋体" w:hint="default"/>
                <w:spacing w:val="-10"/>
                <w:sz w:val="21"/>
                <w:szCs w:val="21"/>
              </w:rPr>
              <w:t>4%</w:t>
            </w:r>
            <w:r>
              <w:rPr>
                <w:rFonts w:ascii="宋体" w:hAnsi="宋体" w:cs="宋体" w:eastAsia="宋体" w:hint="default"/>
                <w:spacing w:val="-10"/>
                <w:sz w:val="21"/>
                <w:szCs w:val="21"/>
              </w:rPr>
              <w:t>。</w:t>
            </w:r>
            <w:r>
              <w:rPr>
                <w:rFonts w:ascii="宋体" w:hAnsi="宋体" w:cs="宋体" w:eastAsia="宋体" w:hint="default"/>
                <w:color w:val="333333"/>
                <w:spacing w:val="-10"/>
                <w:sz w:val="21"/>
                <w:szCs w:val="21"/>
              </w:rPr>
              <w:t>③</w:t>
            </w:r>
            <w:r>
              <w:rPr>
                <w:rFonts w:ascii="宋体" w:hAnsi="宋体" w:cs="宋体" w:eastAsia="宋体" w:hint="default"/>
                <w:spacing w:val="-10"/>
                <w:sz w:val="21"/>
                <w:szCs w:val="21"/>
              </w:rPr>
              <w:t>重</w:t>
            </w:r>
            <w:r>
              <w:rPr>
                <w:rFonts w:ascii="宋体" w:hAnsi="宋体" w:cs="宋体" w:eastAsia="宋体" w:hint="default"/>
                <w:sz w:val="21"/>
                <w:szCs w:val="21"/>
              </w:rPr>
              <w:t> </w:t>
            </w:r>
            <w:r>
              <w:rPr>
                <w:rFonts w:ascii="宋体" w:hAnsi="宋体" w:cs="宋体" w:eastAsia="宋体" w:hint="default"/>
                <w:spacing w:val="-2"/>
                <w:sz w:val="21"/>
                <w:szCs w:val="21"/>
              </w:rPr>
              <w:t>大缺陷：失控金额≥资产总额的</w:t>
            </w:r>
            <w:r>
              <w:rPr>
                <w:rFonts w:ascii="宋体" w:hAnsi="宋体" w:cs="宋体" w:eastAsia="宋体" w:hint="default"/>
                <w:spacing w:val="-45"/>
                <w:sz w:val="21"/>
                <w:szCs w:val="21"/>
              </w:rPr>
              <w:t> </w:t>
            </w:r>
            <w:r>
              <w:rPr>
                <w:rFonts w:ascii="宋体" w:hAnsi="宋体" w:cs="宋体" w:eastAsia="宋体" w:hint="default"/>
                <w:spacing w:val="-2"/>
                <w:sz w:val="21"/>
                <w:szCs w:val="21"/>
              </w:rPr>
              <w:t>0.5%</w:t>
            </w:r>
            <w:r>
              <w:rPr>
                <w:rFonts w:ascii="宋体" w:hAnsi="宋体" w:cs="宋体" w:eastAsia="宋体" w:hint="default"/>
                <w:spacing w:val="-2"/>
                <w:sz w:val="21"/>
                <w:szCs w:val="21"/>
              </w:rPr>
              <w:t>；失控金额≥主营业务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收入总额的</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z w:val="21"/>
                <w:szCs w:val="21"/>
              </w:rPr>
              <w:t>；失控金额≥净利润总额的</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314" w:lineRule="auto"/>
              <w:ind w:left="22" w:right="17"/>
              <w:jc w:val="both"/>
              <w:rPr>
                <w:rFonts w:ascii="宋体" w:hAnsi="宋体" w:cs="宋体" w:eastAsia="宋体" w:hint="default"/>
                <w:sz w:val="21"/>
                <w:szCs w:val="21"/>
              </w:rPr>
            </w:pPr>
            <w:r>
              <w:rPr>
                <w:rFonts w:ascii="宋体" w:hAnsi="宋体" w:cs="宋体" w:eastAsia="宋体" w:hint="default"/>
                <w:spacing w:val="-5"/>
                <w:sz w:val="21"/>
                <w:szCs w:val="21"/>
              </w:rPr>
              <w:t>①一般缺陷：直接财产损失的绝对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金额＜净利润总额的</w:t>
            </w:r>
            <w:r>
              <w:rPr>
                <w:rFonts w:ascii="宋体" w:hAnsi="宋体" w:cs="宋体" w:eastAsia="宋体" w:hint="default"/>
                <w:spacing w:val="9"/>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color w:val="333333"/>
                <w:spacing w:val="2"/>
                <w:sz w:val="21"/>
                <w:szCs w:val="21"/>
              </w:rPr>
              <w:t>②</w:t>
            </w:r>
            <w:r>
              <w:rPr>
                <w:rFonts w:ascii="宋体" w:hAnsi="宋体" w:cs="宋体" w:eastAsia="宋体" w:hint="default"/>
                <w:spacing w:val="2"/>
                <w:sz w:val="21"/>
                <w:szCs w:val="21"/>
              </w:rPr>
              <w:t>重要</w:t>
            </w:r>
            <w:r>
              <w:rPr>
                <w:rFonts w:ascii="宋体" w:hAnsi="宋体" w:cs="宋体" w:eastAsia="宋体" w:hint="default"/>
                <w:spacing w:val="3"/>
                <w:sz w:val="21"/>
                <w:szCs w:val="21"/>
              </w:rPr>
              <w:t> </w:t>
            </w:r>
            <w:r>
              <w:rPr>
                <w:rFonts w:ascii="宋体" w:hAnsi="宋体" w:cs="宋体" w:eastAsia="宋体" w:hint="default"/>
                <w:spacing w:val="2"/>
                <w:sz w:val="21"/>
                <w:szCs w:val="21"/>
              </w:rPr>
              <w:t>缺陷：净利润总额的</w:t>
            </w:r>
            <w:r>
              <w:rPr>
                <w:rFonts w:ascii="宋体" w:hAnsi="宋体" w:cs="宋体" w:eastAsia="宋体" w:hint="default"/>
                <w:spacing w:val="9"/>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≤直接财</w:t>
            </w:r>
            <w:r>
              <w:rPr>
                <w:rFonts w:ascii="宋体" w:hAnsi="宋体" w:cs="宋体" w:eastAsia="宋体" w:hint="default"/>
                <w:spacing w:val="3"/>
                <w:sz w:val="21"/>
                <w:szCs w:val="21"/>
              </w:rPr>
              <w:t> </w:t>
            </w:r>
            <w:r>
              <w:rPr>
                <w:rFonts w:ascii="宋体" w:hAnsi="宋体" w:cs="宋体" w:eastAsia="宋体" w:hint="default"/>
                <w:spacing w:val="-5"/>
                <w:sz w:val="21"/>
                <w:szCs w:val="21"/>
              </w:rPr>
              <w:t>产损失的绝对金额＜净利润；</w:t>
            </w:r>
            <w:r>
              <w:rPr>
                <w:rFonts w:ascii="宋体" w:hAnsi="宋体" w:cs="宋体" w:eastAsia="宋体" w:hint="default"/>
                <w:color w:val="333333"/>
                <w:spacing w:val="-5"/>
                <w:sz w:val="21"/>
                <w:szCs w:val="21"/>
              </w:rPr>
              <w:t>③</w:t>
            </w:r>
            <w:r>
              <w:rPr>
                <w:rFonts w:ascii="宋体" w:hAnsi="宋体" w:cs="宋体" w:eastAsia="宋体" w:hint="default"/>
                <w:spacing w:val="-5"/>
                <w:sz w:val="21"/>
                <w:szCs w:val="21"/>
              </w:rPr>
              <w:t>重</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5"/>
                <w:sz w:val="21"/>
                <w:szCs w:val="21"/>
              </w:rPr>
              <w:t>大缺陷：直接财产损失的绝对金额</w:t>
            </w:r>
          </w:p>
          <w:p>
            <w:pPr>
              <w:pStyle w:val="TableParagraph"/>
              <w:spacing w:line="240" w:lineRule="auto" w:before="20"/>
              <w:ind w:left="22" w:right="0"/>
              <w:jc w:val="both"/>
              <w:rPr>
                <w:rFonts w:ascii="宋体" w:hAnsi="宋体" w:cs="宋体" w:eastAsia="宋体" w:hint="default"/>
                <w:sz w:val="21"/>
                <w:szCs w:val="21"/>
              </w:rPr>
            </w:pPr>
            <w:r>
              <w:rPr>
                <w:rFonts w:ascii="宋体" w:hAnsi="宋体" w:cs="宋体" w:eastAsia="宋体" w:hint="default"/>
                <w:sz w:val="21"/>
                <w:szCs w:val="21"/>
              </w:rPr>
              <w:t>≥净利润总额的</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r>
      <w:tr>
        <w:trPr>
          <w:trHeight w:val="1026" w:hRule="exact"/>
        </w:trPr>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34" w:right="33"/>
              <w:jc w:val="center"/>
              <w:rPr>
                <w:rFonts w:ascii="宋体" w:hAnsi="宋体" w:cs="宋体" w:eastAsia="宋体" w:hint="default"/>
                <w:sz w:val="21"/>
                <w:szCs w:val="21"/>
              </w:rPr>
            </w:pPr>
            <w:r>
              <w:rPr>
                <w:rFonts w:ascii="宋体" w:hAnsi="宋体" w:cs="宋体" w:eastAsia="宋体" w:hint="default"/>
                <w:sz w:val="21"/>
                <w:szCs w:val="21"/>
              </w:rPr>
              <w:t>财务报告重 大缺陷数量</w:t>
            </w:r>
          </w:p>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（个）</w:t>
            </w:r>
          </w:p>
        </w:tc>
        <w:tc>
          <w:tcPr>
            <w:tcW w:w="86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w:t>
            </w:r>
          </w:p>
        </w:tc>
      </w:tr>
      <w:tr>
        <w:trPr>
          <w:trHeight w:val="1026" w:hRule="exact"/>
        </w:trPr>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4" w:right="33"/>
              <w:jc w:val="both"/>
              <w:rPr>
                <w:rFonts w:ascii="宋体" w:hAnsi="宋体" w:cs="宋体" w:eastAsia="宋体" w:hint="default"/>
                <w:sz w:val="21"/>
                <w:szCs w:val="21"/>
              </w:rPr>
            </w:pPr>
            <w:r>
              <w:rPr>
                <w:rFonts w:ascii="宋体" w:hAnsi="宋体" w:cs="宋体" w:eastAsia="宋体" w:hint="default"/>
                <w:sz w:val="21"/>
                <w:szCs w:val="21"/>
              </w:rPr>
              <w:t>非财务报告 重大缺陷数 量（个）</w:t>
            </w:r>
          </w:p>
        </w:tc>
        <w:tc>
          <w:tcPr>
            <w:tcW w:w="86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w:t>
            </w:r>
          </w:p>
        </w:tc>
      </w:tr>
      <w:tr>
        <w:trPr>
          <w:trHeight w:val="1026" w:hRule="exact"/>
        </w:trPr>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34" w:right="33"/>
              <w:jc w:val="center"/>
              <w:rPr>
                <w:rFonts w:ascii="宋体" w:hAnsi="宋体" w:cs="宋体" w:eastAsia="宋体" w:hint="default"/>
                <w:sz w:val="21"/>
                <w:szCs w:val="21"/>
              </w:rPr>
            </w:pPr>
            <w:r>
              <w:rPr>
                <w:rFonts w:ascii="宋体" w:hAnsi="宋体" w:cs="宋体" w:eastAsia="宋体" w:hint="default"/>
                <w:sz w:val="21"/>
                <w:szCs w:val="21"/>
              </w:rPr>
              <w:t>财务报告重 要缺陷数量</w:t>
            </w:r>
          </w:p>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（个）</w:t>
            </w:r>
          </w:p>
        </w:tc>
        <w:tc>
          <w:tcPr>
            <w:tcW w:w="86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w:t>
            </w:r>
          </w:p>
        </w:tc>
      </w:tr>
      <w:tr>
        <w:trPr>
          <w:trHeight w:val="1026" w:hRule="exact"/>
        </w:trPr>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4" w:right="33"/>
              <w:jc w:val="both"/>
              <w:rPr>
                <w:rFonts w:ascii="宋体" w:hAnsi="宋体" w:cs="宋体" w:eastAsia="宋体" w:hint="default"/>
                <w:sz w:val="21"/>
                <w:szCs w:val="21"/>
              </w:rPr>
            </w:pPr>
            <w:r>
              <w:rPr>
                <w:rFonts w:ascii="宋体" w:hAnsi="宋体" w:cs="宋体" w:eastAsia="宋体" w:hint="default"/>
                <w:sz w:val="21"/>
                <w:szCs w:val="21"/>
              </w:rPr>
              <w:t>非财务报告 重要缺陷数 量（个）</w:t>
            </w:r>
          </w:p>
        </w:tc>
        <w:tc>
          <w:tcPr>
            <w:tcW w:w="86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w:t>
            </w:r>
          </w:p>
        </w:tc>
      </w:tr>
    </w:tbl>
    <w:p>
      <w:pPr>
        <w:spacing w:line="240" w:lineRule="auto" w:before="10"/>
        <w:rPr>
          <w:rFonts w:ascii="宋体" w:hAnsi="宋体" w:cs="宋体" w:eastAsia="宋体" w:hint="default"/>
          <w:b/>
          <w:bCs/>
          <w:sz w:val="4"/>
          <w:szCs w:val="4"/>
        </w:rPr>
      </w:pPr>
    </w:p>
    <w:p>
      <w:pPr>
        <w:pStyle w:val="Heading2"/>
        <w:spacing w:line="240" w:lineRule="auto"/>
        <w:ind w:left="736" w:right="95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4"/>
          <w:szCs w:val="4"/>
        </w:rPr>
      </w:pPr>
    </w:p>
    <w:tbl>
      <w:tblPr>
        <w:tblW w:w="0" w:type="auto"/>
        <w:jc w:val="left"/>
        <w:tblInd w:w="249" w:type="dxa"/>
        <w:tblLayout w:type="fixed"/>
        <w:tblCellMar>
          <w:top w:w="0" w:type="dxa"/>
          <w:left w:w="0" w:type="dxa"/>
          <w:bottom w:w="0" w:type="dxa"/>
          <w:right w:w="0" w:type="dxa"/>
        </w:tblCellMar>
        <w:tblLook w:val="01E0"/>
      </w:tblPr>
      <w:tblGrid>
        <w:gridCol w:w="3402"/>
        <w:gridCol w:w="6166"/>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2" w:firstLine="421"/>
              <w:jc w:val="left"/>
              <w:rPr>
                <w:rFonts w:ascii="宋体" w:hAnsi="宋体" w:cs="宋体" w:eastAsia="宋体" w:hint="default"/>
                <w:sz w:val="21"/>
                <w:szCs w:val="21"/>
              </w:rPr>
            </w:pPr>
            <w:r>
              <w:rPr>
                <w:rFonts w:ascii="宋体" w:hAnsi="宋体" w:cs="宋体" w:eastAsia="宋体" w:hint="default"/>
                <w:sz w:val="21"/>
                <w:szCs w:val="21"/>
              </w:rPr>
              <w:t>辉煌科技于</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日按照《企业内部控制基本规范》和相关规定在所有重大方面保持了有 效的财务报告内部控制。</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内控审计报告披露情况</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披露</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内部控制审计报告全文披露日期</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内部控制审计报告全文披露索引</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159" w:right="22" w:hanging="137"/>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pacing w:val="-7"/>
                <w:sz w:val="21"/>
                <w:szCs w:val="21"/>
              </w:rPr>
              <w:t>年度内部控制审计报告》刊登于</w:t>
            </w:r>
            <w:r>
              <w:rPr>
                <w:rFonts w:ascii="宋体" w:hAnsi="宋体" w:cs="宋体" w:eastAsia="宋体" w:hint="default"/>
                <w:sz w:val="21"/>
                <w:szCs w:val="21"/>
              </w:rPr>
              <w:t> 公司指定信息披露媒体巨潮资讯网（</w:t>
            </w:r>
            <w:r>
              <w:rPr>
                <w:rFonts w:ascii="Times New Roman" w:hAnsi="Times New Roman" w:cs="Times New Roman" w:eastAsia="Times New Roman" w:hint="default"/>
                <w:sz w:val="21"/>
                <w:szCs w:val="21"/>
              </w:rPr>
              <w:t>http://www.cninfo.com.cn)</w:t>
            </w:r>
            <w:r>
              <w:rPr>
                <w:rFonts w:ascii="宋体" w:hAnsi="宋体" w:cs="宋体" w:eastAsia="宋体" w:hint="default"/>
                <w:sz w:val="21"/>
                <w:szCs w:val="21"/>
              </w:rPr>
              <w:t>。</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内控审计报告意见类型</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非财务报告是否存在重大缺陷</w:t>
            </w:r>
          </w:p>
        </w:tc>
        <w:tc>
          <w:tcPr>
            <w:tcW w:w="6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0"/>
        <w:rPr>
          <w:rFonts w:ascii="宋体" w:hAnsi="宋体" w:cs="宋体" w:eastAsia="宋体" w:hint="default"/>
          <w:b/>
          <w:bCs/>
          <w:sz w:val="4"/>
          <w:szCs w:val="4"/>
        </w:rPr>
      </w:pPr>
    </w:p>
    <w:p>
      <w:pPr>
        <w:pStyle w:val="Heading2"/>
        <w:spacing w:line="240" w:lineRule="auto"/>
        <w:ind w:left="736" w:right="953"/>
        <w:jc w:val="left"/>
        <w:rPr>
          <w:b w:val="0"/>
          <w:bCs w:val="0"/>
        </w:rPr>
      </w:pPr>
      <w:r>
        <w:rPr/>
        <w:t>会计师事务所是否出具非标准意见的内部控制审计报告</w:t>
      </w:r>
      <w:r>
        <w:rPr>
          <w:b w:val="0"/>
          <w:bCs w:val="0"/>
        </w:rPr>
      </w:r>
    </w:p>
    <w:p>
      <w:pPr>
        <w:pStyle w:val="Heading2"/>
        <w:spacing w:line="350" w:lineRule="auto" w:before="146"/>
        <w:ind w:left="736" w:right="2053" w:hanging="3"/>
        <w:jc w:val="left"/>
        <w:rPr>
          <w:b w:val="0"/>
          <w:bCs w:val="0"/>
        </w:rPr>
      </w:pPr>
      <w:r>
        <w:rPr>
          <w:rFonts w:ascii="宋体" w:hAnsi="宋体" w:cs="宋体" w:eastAsia="宋体" w:hint="default"/>
          <w:b w:val="0"/>
          <w:bCs w:val="0"/>
        </w:rPr>
        <w:t>□ 是 √ 否 </w:t>
      </w:r>
      <w:r>
        <w:rPr>
          <w:w w:val="95"/>
        </w:rPr>
        <w:t>会计师事务所出具的内部控制审计报告与董事会的自我评价报告意见是否一致</w:t>
      </w:r>
      <w:r>
        <w:rPr>
          <w:b w:val="0"/>
          <w:bCs w:val="0"/>
        </w:rPr>
      </w:r>
    </w:p>
    <w:p>
      <w:pPr>
        <w:pStyle w:val="BodyText"/>
        <w:spacing w:line="240" w:lineRule="auto"/>
        <w:ind w:left="733" w:right="7632"/>
        <w:jc w:val="left"/>
      </w:pPr>
      <w:r>
        <w:rPr/>
        <w:t>√ 是 □ 否</w:t>
      </w:r>
    </w:p>
    <w:p>
      <w:pPr>
        <w:spacing w:after="0" w:line="240" w:lineRule="auto"/>
        <w:jc w:val="left"/>
        <w:sectPr>
          <w:pgSz w:w="11910" w:h="16840"/>
          <w:pgMar w:header="747" w:footer="979" w:top="1060" w:bottom="1160" w:left="8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63"/>
        <w:jc w:val="center"/>
        <w:rPr>
          <w:b w:val="0"/>
          <w:bCs w:val="0"/>
        </w:rPr>
      </w:pPr>
      <w:bookmarkStart w:name="第十节 财务报告" w:id="19"/>
      <w:bookmarkEnd w:id="19"/>
      <w:r>
        <w:rPr>
          <w:b w:val="0"/>
          <w:bCs w:val="0"/>
        </w:rPr>
      </w:r>
      <w:bookmarkStart w:name="_bookmark9" w:id="20"/>
      <w:bookmarkEnd w:id="20"/>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Heading2"/>
        <w:spacing w:line="240" w:lineRule="auto"/>
        <w:ind w:right="1153"/>
        <w:jc w:val="left"/>
        <w:rPr>
          <w:b w:val="0"/>
          <w:bCs w:val="0"/>
        </w:rPr>
      </w:pPr>
      <w:r>
        <w:rPr/>
        <w:t>一、审计报告</w:t>
      </w:r>
      <w:r>
        <w:rPr>
          <w:b w:val="0"/>
          <w:bCs w:val="0"/>
        </w:rPr>
      </w:r>
    </w:p>
    <w:p>
      <w:pPr>
        <w:spacing w:line="240" w:lineRule="auto" w:before="6"/>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大华审字</w:t>
            </w:r>
            <w:r>
              <w:rPr>
                <w:rFonts w:ascii="宋体" w:hAnsi="宋体" w:cs="宋体" w:eastAsia="宋体" w:hint="default"/>
                <w:sz w:val="21"/>
                <w:szCs w:val="21"/>
              </w:rPr>
              <w:t>[2016]001156</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董超、谭丽娟</w:t>
            </w:r>
          </w:p>
        </w:tc>
      </w:tr>
    </w:tbl>
    <w:p>
      <w:pPr>
        <w:spacing w:line="240" w:lineRule="auto" w:before="10"/>
        <w:rPr>
          <w:rFonts w:ascii="宋体" w:hAnsi="宋体" w:cs="宋体" w:eastAsia="宋体" w:hint="default"/>
          <w:b/>
          <w:bCs/>
          <w:sz w:val="4"/>
          <w:szCs w:val="4"/>
        </w:rPr>
      </w:pPr>
    </w:p>
    <w:p>
      <w:pPr>
        <w:pStyle w:val="Heading2"/>
        <w:spacing w:line="240" w:lineRule="auto"/>
        <w:ind w:left="2786" w:right="3295"/>
        <w:jc w:val="center"/>
        <w:rPr>
          <w:b w:val="0"/>
          <w:bCs w:val="0"/>
        </w:rPr>
      </w:pPr>
      <w:r>
        <w:rPr/>
        <w:t>审计报告正文</w:t>
      </w:r>
      <w:r>
        <w:rPr>
          <w:b w:val="0"/>
          <w:bCs w:val="0"/>
        </w:rPr>
      </w:r>
    </w:p>
    <w:p>
      <w:pPr>
        <w:pStyle w:val="Heading2"/>
        <w:spacing w:line="240" w:lineRule="auto" w:before="145"/>
        <w:ind w:left="153" w:right="1153"/>
        <w:jc w:val="left"/>
        <w:rPr>
          <w:b w:val="0"/>
          <w:bCs w:val="0"/>
        </w:rPr>
      </w:pPr>
      <w:r>
        <w:rPr/>
        <w:t>河南辉煌科技股份有限公司全体股东：</w:t>
      </w:r>
      <w:r>
        <w:rPr>
          <w:b w:val="0"/>
          <w:bCs w:val="0"/>
        </w:rPr>
      </w:r>
    </w:p>
    <w:p>
      <w:pPr>
        <w:spacing w:line="240" w:lineRule="auto" w:before="3"/>
        <w:rPr>
          <w:rFonts w:ascii="宋体" w:hAnsi="宋体" w:cs="宋体" w:eastAsia="宋体" w:hint="default"/>
          <w:b/>
          <w:bCs/>
          <w:sz w:val="9"/>
          <w:szCs w:val="9"/>
        </w:rPr>
      </w:pPr>
    </w:p>
    <w:p>
      <w:pPr>
        <w:pStyle w:val="BodyText"/>
        <w:spacing w:line="350" w:lineRule="auto" w:before="26"/>
        <w:ind w:right="1130" w:firstLine="480"/>
        <w:jc w:val="both"/>
      </w:pPr>
      <w:r>
        <w:rPr/>
        <w:t>我们审计了后附的河南辉煌科技股份有限公司</w:t>
      </w:r>
      <w:r>
        <w:rPr>
          <w:spacing w:val="11"/>
        </w:rPr>
        <w:t> </w:t>
      </w:r>
      <w:r>
        <w:rPr>
          <w:rFonts w:ascii="宋体" w:hAnsi="宋体" w:cs="宋体" w:eastAsia="宋体" w:hint="default"/>
          <w:spacing w:val="-5"/>
        </w:rPr>
        <w:t>(</w:t>
      </w:r>
      <w:r>
        <w:rPr>
          <w:spacing w:val="-5"/>
        </w:rPr>
        <w:t>以下简称“辉煌科技”)财务报表，包括</w:t>
      </w:r>
      <w:r>
        <w:rPr/>
        <w:t> </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日的合并及母公司资产负债表，</w:t>
      </w:r>
      <w:r>
        <w:rPr>
          <w:rFonts w:ascii="宋体" w:hAnsi="宋体" w:cs="宋体" w:eastAsia="宋体" w:hint="default"/>
        </w:rPr>
        <w:t>2015</w:t>
      </w:r>
      <w:r>
        <w:rPr/>
        <w:t>年度的合并及母公司利润表、合并及母公 司现金流量表、合并及母公司股东权益变动表，以及财务报表附注。</w:t>
      </w:r>
    </w:p>
    <w:p>
      <w:pPr>
        <w:spacing w:line="350" w:lineRule="auto" w:before="36"/>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编制和公允列报财务报表是辉煌科技管理层的责任，这种责任包括：（</w:t>
      </w:r>
      <w:r>
        <w:rPr>
          <w:rFonts w:ascii="宋体" w:hAnsi="宋体" w:cs="宋体" w:eastAsia="宋体" w:hint="default"/>
          <w:spacing w:val="-3"/>
          <w:sz w:val="24"/>
          <w:szCs w:val="24"/>
        </w:rPr>
        <w:t>1</w:t>
      </w:r>
      <w:r>
        <w:rPr>
          <w:rFonts w:ascii="宋体" w:hAnsi="宋体" w:cs="宋体" w:eastAsia="宋体" w:hint="default"/>
          <w:spacing w:val="-3"/>
          <w:sz w:val="24"/>
          <w:szCs w:val="24"/>
        </w:rPr>
        <w:t>）按照企业会计</w:t>
      </w:r>
    </w:p>
    <w:p>
      <w:pPr>
        <w:pStyle w:val="BodyText"/>
        <w:spacing w:line="352" w:lineRule="auto" w:before="35"/>
        <w:ind w:right="1033"/>
        <w:jc w:val="left"/>
      </w:pPr>
      <w:r>
        <w:rPr/>
        <w:t>准则的规定编制财务报表，并使其实现公允反映；（</w:t>
      </w:r>
      <w:r>
        <w:rPr>
          <w:rFonts w:ascii="宋体" w:hAnsi="宋体" w:cs="宋体" w:eastAsia="宋体" w:hint="default"/>
        </w:rPr>
        <w:t>2</w:t>
      </w:r>
      <w:r>
        <w:rPr/>
        <w:t>）设计、执行和维护必要的内部控制， 以使财务报表不存在由于舞弊或错误导致的重大错报。</w:t>
      </w:r>
    </w:p>
    <w:p>
      <w:pPr>
        <w:spacing w:line="350" w:lineRule="auto" w:before="32"/>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50" w:lineRule="auto"/>
        <w:ind w:right="995"/>
        <w:jc w:val="left"/>
      </w:pPr>
      <w:r>
        <w:rPr>
          <w:spacing w:val="-2"/>
        </w:rPr>
        <w:t>计师审计准则的规定执行了审计工作。中国注册会计师审计准则要求我们遵守职业道德守则，</w:t>
      </w:r>
      <w:r>
        <w:rPr/>
        <w:t> 计划和执行审计工作以对财务报表是否不存在重大错报获取合理保证。</w:t>
      </w:r>
    </w:p>
    <w:p>
      <w:pPr>
        <w:pStyle w:val="BodyText"/>
        <w:spacing w:line="352" w:lineRule="auto" w:before="35"/>
        <w:ind w:right="995"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w:t>
      </w:r>
      <w:r>
        <w:rPr>
          <w:spacing w:val="-2"/>
        </w:rPr>
        <w:t>当的审计程序。审计工作还包括评价管理层选用会计政策的恰当性和作出会计估计的合理性，</w:t>
      </w:r>
      <w:r>
        <w:rPr/>
        <w:t> 以及评价财务报表的总体列报。</w:t>
      </w:r>
    </w:p>
    <w:p>
      <w:pPr>
        <w:pStyle w:val="BodyText"/>
        <w:spacing w:line="240" w:lineRule="auto" w:before="32"/>
        <w:ind w:left="633" w:right="1153"/>
        <w:jc w:val="left"/>
      </w:pPr>
      <w:r>
        <w:rPr/>
        <w:t>我们相信，我们获取的审计证据是充分、适当的，为发表审计意见提供了基础。</w:t>
      </w:r>
    </w:p>
    <w:p>
      <w:pPr>
        <w:pStyle w:val="BodyText"/>
        <w:spacing w:line="352" w:lineRule="auto" w:before="146"/>
        <w:ind w:left="633" w:right="1153"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我们认为，辉煌科技的财务报表在所有重大方面按照企业会计准则的规定编制，公允反</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53"/>
        <w:jc w:val="left"/>
      </w:pPr>
      <w:r>
        <w:rPr/>
        <w:t>映了辉煌科技</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2015</w:t>
      </w:r>
      <w:r>
        <w:rPr/>
        <w:t>年度的合并及母公司经营成 果和现金流量。</w:t>
      </w:r>
    </w:p>
    <w:p>
      <w:pPr>
        <w:spacing w:line="352" w:lineRule="auto" w:before="36"/>
        <w:ind w:left="633" w:right="6193" w:firstLine="2"/>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t>财务附注中报表的单位为：人民币元 </w:t>
      </w:r>
      <w:r>
        <w:rPr>
          <w:rFonts w:ascii="宋体" w:hAnsi="宋体" w:cs="宋体" w:eastAsia="宋体" w:hint="default"/>
          <w:b/>
          <w:bCs/>
          <w:sz w:val="24"/>
          <w:szCs w:val="24"/>
        </w:rPr>
        <w:t>1</w:t>
      </w: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编制单位：河南辉煌科技股份有限公司</w:t>
      </w:r>
    </w:p>
    <w:p>
      <w:pPr>
        <w:spacing w:line="245" w:lineRule="exact" w:before="0"/>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0"/>
        <w:rPr>
          <w:rFonts w:ascii="宋体" w:hAnsi="宋体" w:cs="宋体" w:eastAsia="宋体" w:hint="default"/>
          <w:sz w:val="7"/>
          <w:szCs w:val="7"/>
        </w:rPr>
      </w:pPr>
    </w:p>
    <w:tbl>
      <w:tblPr>
        <w:tblW w:w="0" w:type="auto"/>
        <w:jc w:val="left"/>
        <w:tblInd w:w="195" w:type="dxa"/>
        <w:tblLayout w:type="fixed"/>
        <w:tblCellMar>
          <w:top w:w="0" w:type="dxa"/>
          <w:left w:w="0" w:type="dxa"/>
          <w:bottom w:w="0" w:type="dxa"/>
          <w:right w:w="0" w:type="dxa"/>
        </w:tblCellMar>
        <w:tblLook w:val="01E0"/>
      </w:tblPr>
      <w:tblGrid>
        <w:gridCol w:w="5148"/>
        <w:gridCol w:w="2277"/>
        <w:gridCol w:w="2134"/>
      </w:tblGrid>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1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819,070,867.20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841,165,681.50</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29,787,277.43</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16,620,123.63</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476,050,907.59</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457,857,558.72</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14,297,707.14</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22,069,101.93</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8,205,798.65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47,709,888.88</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219,703,790.08</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180,134,125.77</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5,303,599.72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5,907,030.77</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1,572,419,947.81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1,571,463,511.20</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50,000,000.00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5,000,000.00</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5" w:type="dxa"/>
        <w:tblLayout w:type="fixed"/>
        <w:tblCellMar>
          <w:top w:w="0" w:type="dxa"/>
          <w:left w:w="0" w:type="dxa"/>
          <w:bottom w:w="0" w:type="dxa"/>
          <w:right w:w="0" w:type="dxa"/>
        </w:tblCellMar>
        <w:tblLook w:val="01E0"/>
      </w:tblPr>
      <w:tblGrid>
        <w:gridCol w:w="5148"/>
        <w:gridCol w:w="2277"/>
        <w:gridCol w:w="2134"/>
      </w:tblGrid>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132,485,818.96</w:t>
            </w: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69,548,594.47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88,851,520.22</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131,667,066.31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68,251,364.47</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8,416.02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90,535.73</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56,024,220.35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54,859,990.29</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95,214,951.25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107,863,014.60</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34,722,946.19</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30,591,370.28</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890,157.99</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688,075.74</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570,562,171.54</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356,195,871.33</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2,142,982,119.35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1,927,659,382.53</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50,000,000.00</w:t>
            </w: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4,705,611.49</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2,000,000.00</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216,683,033.97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194,145,399.63</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73,126,268.07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68,595,440.40</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20,491,147.51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13,028,901.38</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15,120,363.01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18,824,695.12</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18,562,500.00</w:t>
            </w: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3,000,387.37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4,745,348.61</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5" w:type="dxa"/>
        <w:tblLayout w:type="fixed"/>
        <w:tblCellMar>
          <w:top w:w="0" w:type="dxa"/>
          <w:left w:w="0" w:type="dxa"/>
          <w:bottom w:w="0" w:type="dxa"/>
          <w:right w:w="0" w:type="dxa"/>
        </w:tblCellMar>
        <w:tblLook w:val="01E0"/>
      </w:tblPr>
      <w:tblGrid>
        <w:gridCol w:w="5148"/>
        <w:gridCol w:w="2277"/>
        <w:gridCol w:w="2134"/>
      </w:tblGrid>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27,000,000.00</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401,689,311.42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328,339,785.14</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20,000,000.00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187,000,000.00</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248,284,920.55</w:t>
            </w: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10,500,000.00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12,500,000.00</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10,981,735.71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11,917,549.98</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289,766,656.26</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211,417,549.98</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691,455,967.68</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539,757,335.12</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376,656,420.00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376,656,420.00</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635,546,386.52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635,546,386.52</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53,869,052.71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49,756,320.28</w:t>
            </w: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277" w:type="dxa"/>
            <w:tcBorders>
              <w:top w:val="single" w:sz="4" w:space="0" w:color="000000"/>
              <w:left w:val="single" w:sz="13" w:space="0" w:color="D2D2D2"/>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385,454,292.44</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325,942,920.61</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5171"/>
        <w:gridCol w:w="2265"/>
        <w:gridCol w:w="2134"/>
      </w:tblGrid>
      <w:tr>
        <w:trPr>
          <w:trHeight w:val="402" w:hRule="exact"/>
        </w:trPr>
        <w:tc>
          <w:tcPr>
            <w:tcW w:w="5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1,451,526,151.67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1,387,902,047.41</w:t>
            </w:r>
          </w:p>
        </w:tc>
      </w:tr>
      <w:tr>
        <w:trPr>
          <w:trHeight w:val="402" w:hRule="exact"/>
        </w:trPr>
        <w:tc>
          <w:tcPr>
            <w:tcW w:w="5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265"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1,451,526,151.67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1,387,902,047.41</w:t>
            </w:r>
          </w:p>
        </w:tc>
      </w:tr>
      <w:tr>
        <w:trPr>
          <w:trHeight w:val="402" w:hRule="exact"/>
        </w:trPr>
        <w:tc>
          <w:tcPr>
            <w:tcW w:w="5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2,142,982,119.35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1,927,659,382.53</w:t>
            </w:r>
          </w:p>
        </w:tc>
      </w:tr>
    </w:tbl>
    <w:p>
      <w:pPr>
        <w:spacing w:line="240" w:lineRule="auto" w:before="10"/>
        <w:rPr>
          <w:rFonts w:ascii="Times New Roman" w:hAnsi="Times New Roman" w:cs="Times New Roman" w:eastAsia="Times New Roman" w:hint="default"/>
          <w:sz w:val="21"/>
          <w:szCs w:val="21"/>
        </w:rPr>
      </w:pPr>
    </w:p>
    <w:p>
      <w:pPr>
        <w:tabs>
          <w:tab w:pos="3304" w:val="left" w:leader="none"/>
          <w:tab w:pos="7189" w:val="left" w:leader="none"/>
        </w:tabs>
        <w:spacing w:before="35"/>
        <w:ind w:left="154" w:right="1153" w:firstLine="0"/>
        <w:jc w:val="left"/>
        <w:rPr>
          <w:rFonts w:ascii="宋体" w:hAnsi="宋体" w:cs="宋体" w:eastAsia="宋体" w:hint="default"/>
          <w:sz w:val="21"/>
          <w:szCs w:val="21"/>
        </w:rPr>
      </w:pPr>
      <w:r>
        <w:rPr>
          <w:rFonts w:ascii="宋体" w:hAnsi="宋体" w:cs="宋体" w:eastAsia="宋体" w:hint="default"/>
          <w:sz w:val="21"/>
          <w:szCs w:val="21"/>
        </w:rPr>
        <w:t>法定代表人：李海鹰</w:t>
        <w:tab/>
      </w:r>
      <w:r>
        <w:rPr>
          <w:rFonts w:ascii="宋体" w:hAnsi="宋体" w:cs="宋体" w:eastAsia="宋体" w:hint="default"/>
          <w:spacing w:val="-1"/>
          <w:sz w:val="21"/>
          <w:szCs w:val="21"/>
        </w:rPr>
        <w:t>主管会计工作负责人：侯菊艳</w:t>
        <w:tab/>
        <w:t>会计机构负责人：侯菊艳</w:t>
      </w:r>
    </w:p>
    <w:p>
      <w:pPr>
        <w:spacing w:line="240" w:lineRule="auto" w:before="1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747" w:footer="979" w:top="1060" w:bottom="1160" w:left="980" w:right="0"/>
        </w:sectPr>
      </w:pPr>
    </w:p>
    <w:p>
      <w:pPr>
        <w:pStyle w:val="Heading2"/>
        <w:spacing w:line="240" w:lineRule="auto"/>
        <w:ind w:right="0"/>
        <w:jc w:val="left"/>
        <w:rPr>
          <w:b w:val="0"/>
          <w:bCs w:val="0"/>
        </w:rPr>
      </w:pPr>
      <w:r>
        <w:rPr>
          <w:rFonts w:ascii="宋体" w:hAnsi="宋体" w:cs="宋体" w:eastAsia="宋体" w:hint="default"/>
          <w:w w:val="95"/>
        </w:rPr>
        <w:t>2</w:t>
      </w:r>
      <w:r>
        <w:rPr>
          <w:w w:val="95"/>
        </w:rPr>
        <w:t>、母公司资产负债表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636"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925" w:space="5392"/>
            <w:col w:w="2613"/>
          </w:cols>
        </w:sectPr>
      </w:pPr>
    </w:p>
    <w:p>
      <w:pPr>
        <w:spacing w:line="240" w:lineRule="auto" w:before="0"/>
        <w:rPr>
          <w:rFonts w:ascii="宋体" w:hAnsi="宋体" w:cs="宋体" w:eastAsia="宋体" w:hint="default"/>
          <w:sz w:val="7"/>
          <w:szCs w:val="7"/>
        </w:rPr>
      </w:pPr>
    </w:p>
    <w:tbl>
      <w:tblPr>
        <w:tblW w:w="0" w:type="auto"/>
        <w:jc w:val="left"/>
        <w:tblInd w:w="195" w:type="dxa"/>
        <w:tblLayout w:type="fixed"/>
        <w:tblCellMar>
          <w:top w:w="0" w:type="dxa"/>
          <w:left w:w="0" w:type="dxa"/>
          <w:bottom w:w="0" w:type="dxa"/>
          <w:right w:w="0" w:type="dxa"/>
        </w:tblCellMar>
        <w:tblLook w:val="01E0"/>
      </w:tblPr>
      <w:tblGrid>
        <w:gridCol w:w="5283"/>
        <w:gridCol w:w="2202"/>
        <w:gridCol w:w="2074"/>
      </w:tblGrid>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1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2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747,978,971.72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772,378,220.47</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26,785,898.43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16,590,123.63</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347,644,463.57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340,931,265.12</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10,607,403.94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17,009,209.03</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908,333.33</w:t>
            </w: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43,255,720.05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42,354,174.59</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146,957,351.26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108,581,428.67</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194,650.60</w:t>
            </w: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1,324,332,792.90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1,297,844,421.51</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2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50,000,000.00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5,000,000.00</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453,607,018.96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332,498,257.83</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67,860,480.95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86,708,513.80</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92,287,199.81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66,059,449.73</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8,416.02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90,535.73</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5" w:type="dxa"/>
        <w:tblLayout w:type="fixed"/>
        <w:tblCellMar>
          <w:top w:w="0" w:type="dxa"/>
          <w:left w:w="0" w:type="dxa"/>
          <w:bottom w:w="0" w:type="dxa"/>
          <w:right w:w="0" w:type="dxa"/>
        </w:tblCellMar>
        <w:tblLook w:val="01E0"/>
      </w:tblPr>
      <w:tblGrid>
        <w:gridCol w:w="5283"/>
        <w:gridCol w:w="2202"/>
        <w:gridCol w:w="2074"/>
      </w:tblGrid>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44,509,084.67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43,184,741.14</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28,485,704.75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25,873,521.77</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137,157.99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638,075.74</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736,895,063.15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560,053,095.74</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2,061,227,856.05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1,857,897,517.25</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2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50,000,000.00</w:t>
            </w: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4,705,611.49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2,000,000.00</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220,526,412.73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178,971,194.76</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68,312,242.70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57,679,135.25</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12,673,699.88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5,917,567.47</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4,379,281.63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11,408,034.33</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18,562,500.00</w:t>
            </w: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1,503,650.98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2,533,866.76</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27,000,000.00</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380,663,399.41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285,509,798.57</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2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20,000,000.00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187,000,000.00</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248,284,920.55</w:t>
            </w: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5" w:type="dxa"/>
        <w:tblLayout w:type="fixed"/>
        <w:tblCellMar>
          <w:top w:w="0" w:type="dxa"/>
          <w:left w:w="0" w:type="dxa"/>
          <w:bottom w:w="0" w:type="dxa"/>
          <w:right w:w="0" w:type="dxa"/>
        </w:tblCellMar>
        <w:tblLook w:val="01E0"/>
      </w:tblPr>
      <w:tblGrid>
        <w:gridCol w:w="5283"/>
        <w:gridCol w:w="2202"/>
        <w:gridCol w:w="2074"/>
      </w:tblGrid>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10,500,000.00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12,500,000.00</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10,981,735.71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11,917,549.98</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289,766,656.26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211,417,549.98</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670,430,055.67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496,927,348.55</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2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376,656,420.00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376,656,420.00</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732,553,858.88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732,553,858.88</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202" w:type="dxa"/>
            <w:tcBorders>
              <w:top w:val="single" w:sz="4" w:space="0" w:color="000000"/>
              <w:left w:val="single" w:sz="13" w:space="0" w:color="D2D2D2"/>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53,869,052.71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49,756,320.28</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227,718,468.79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202,003,569.54</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1,390,797,800.38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1,360,970,168.70</w:t>
            </w:r>
          </w:p>
        </w:tc>
      </w:tr>
      <w:tr>
        <w:trPr>
          <w:trHeight w:val="402" w:hRule="exact"/>
        </w:trPr>
        <w:tc>
          <w:tcPr>
            <w:tcW w:w="5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2,061,227,856.05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1,857,897,517.25</w:t>
            </w:r>
          </w:p>
        </w:tc>
      </w:tr>
    </w:tbl>
    <w:p>
      <w:pPr>
        <w:spacing w:line="240" w:lineRule="auto" w:before="5"/>
        <w:rPr>
          <w:rFonts w:ascii="Times New Roman" w:hAnsi="Times New Roman" w:cs="Times New Roman" w:eastAsia="Times New Roman" w:hint="default"/>
          <w:sz w:val="5"/>
          <w:szCs w:val="5"/>
        </w:rPr>
      </w:pPr>
    </w:p>
    <w:p>
      <w:pPr>
        <w:spacing w:after="0" w:line="240" w:lineRule="auto"/>
        <w:rPr>
          <w:rFonts w:ascii="Times New Roman" w:hAnsi="Times New Roman" w:cs="Times New Roman" w:eastAsia="Times New Roman" w:hint="default"/>
          <w:sz w:val="5"/>
          <w:szCs w:val="5"/>
        </w:rPr>
        <w:sectPr>
          <w:pgSz w:w="11910" w:h="16840"/>
          <w:pgMar w:header="747" w:footer="979" w:top="1060" w:bottom="1160" w:left="980" w:right="0"/>
        </w:sectPr>
      </w:pPr>
    </w:p>
    <w:p>
      <w:pPr>
        <w:pStyle w:val="Heading2"/>
        <w:spacing w:line="240" w:lineRule="auto"/>
        <w:ind w:right="0"/>
        <w:jc w:val="left"/>
        <w:rPr>
          <w:b w:val="0"/>
          <w:bCs w:val="0"/>
        </w:rPr>
      </w:pPr>
      <w:r>
        <w:rPr>
          <w:rFonts w:ascii="宋体" w:hAnsi="宋体" w:cs="宋体" w:eastAsia="宋体" w:hint="default"/>
          <w:w w:val="95"/>
        </w:rPr>
        <w:t>3</w:t>
      </w:r>
      <w:r>
        <w:rPr>
          <w:w w:val="95"/>
        </w:rPr>
        <w:t>、合并利润表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636"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202" w:space="5935"/>
            <w:col w:w="2793"/>
          </w:cols>
        </w:sectPr>
      </w:pPr>
    </w:p>
    <w:p>
      <w:pPr>
        <w:spacing w:line="240" w:lineRule="auto" w:before="13"/>
        <w:rPr>
          <w:rFonts w:ascii="宋体" w:hAnsi="宋体" w:cs="宋体" w:eastAsia="宋体" w:hint="default"/>
          <w:sz w:val="6"/>
          <w:szCs w:val="6"/>
        </w:rPr>
      </w:pPr>
    </w:p>
    <w:tbl>
      <w:tblPr>
        <w:tblW w:w="0" w:type="auto"/>
        <w:jc w:val="left"/>
        <w:tblInd w:w="195" w:type="dxa"/>
        <w:tblLayout w:type="fixed"/>
        <w:tblCellMar>
          <w:top w:w="0" w:type="dxa"/>
          <w:left w:w="0" w:type="dxa"/>
          <w:bottom w:w="0" w:type="dxa"/>
          <w:right w:w="0" w:type="dxa"/>
        </w:tblCellMar>
        <w:tblLook w:val="01E0"/>
      </w:tblPr>
      <w:tblGrid>
        <w:gridCol w:w="5793"/>
        <w:gridCol w:w="1857"/>
        <w:gridCol w:w="1907"/>
      </w:tblGrid>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8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343" w:right="0"/>
              <w:jc w:val="left"/>
              <w:rPr>
                <w:rFonts w:ascii="宋体" w:hAnsi="宋体" w:cs="宋体" w:eastAsia="宋体" w:hint="default"/>
                <w:sz w:val="21"/>
                <w:szCs w:val="21"/>
              </w:rPr>
            </w:pPr>
            <w:r>
              <w:rPr>
                <w:rFonts w:ascii="宋体"/>
                <w:sz w:val="21"/>
              </w:rPr>
              <w:t>566,026,914.58</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5" w:right="0"/>
              <w:jc w:val="left"/>
              <w:rPr>
                <w:rFonts w:ascii="宋体" w:hAnsi="宋体" w:cs="宋体" w:eastAsia="宋体" w:hint="default"/>
                <w:sz w:val="21"/>
                <w:szCs w:val="21"/>
              </w:rPr>
            </w:pPr>
            <w:r>
              <w:rPr>
                <w:rFonts w:ascii="宋体"/>
                <w:sz w:val="21"/>
              </w:rPr>
              <w:t>525,623,757.30</w:t>
            </w: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343" w:right="0"/>
              <w:jc w:val="left"/>
              <w:rPr>
                <w:rFonts w:ascii="宋体" w:hAnsi="宋体" w:cs="宋体" w:eastAsia="宋体" w:hint="default"/>
                <w:sz w:val="21"/>
                <w:szCs w:val="21"/>
              </w:rPr>
            </w:pPr>
            <w:r>
              <w:rPr>
                <w:rFonts w:ascii="宋体"/>
                <w:sz w:val="21"/>
              </w:rPr>
              <w:t>566,026,914.58</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5" w:right="0"/>
              <w:jc w:val="left"/>
              <w:rPr>
                <w:rFonts w:ascii="宋体" w:hAnsi="宋体" w:cs="宋体" w:eastAsia="宋体" w:hint="default"/>
                <w:sz w:val="21"/>
                <w:szCs w:val="21"/>
              </w:rPr>
            </w:pPr>
            <w:r>
              <w:rPr>
                <w:rFonts w:ascii="宋体"/>
                <w:sz w:val="21"/>
              </w:rPr>
              <w:t>525,623,757.30</w:t>
            </w: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57" w:type="dxa"/>
            <w:tcBorders>
              <w:top w:val="single" w:sz="4" w:space="0" w:color="000000"/>
              <w:left w:val="single" w:sz="13" w:space="0" w:color="D2D2D2"/>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857" w:type="dxa"/>
            <w:tcBorders>
              <w:top w:val="single" w:sz="4" w:space="0" w:color="000000"/>
              <w:left w:val="single" w:sz="13" w:space="0" w:color="D2D2D2"/>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857" w:type="dxa"/>
            <w:tcBorders>
              <w:top w:val="single" w:sz="4" w:space="0" w:color="000000"/>
              <w:left w:val="single" w:sz="13" w:space="0" w:color="D2D2D2"/>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343" w:right="0"/>
              <w:jc w:val="left"/>
              <w:rPr>
                <w:rFonts w:ascii="宋体" w:hAnsi="宋体" w:cs="宋体" w:eastAsia="宋体" w:hint="default"/>
                <w:sz w:val="21"/>
                <w:szCs w:val="21"/>
              </w:rPr>
            </w:pPr>
            <w:r>
              <w:rPr>
                <w:rFonts w:ascii="宋体"/>
                <w:sz w:val="21"/>
              </w:rPr>
              <w:t>484,549,050.11</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5" w:right="0"/>
              <w:jc w:val="left"/>
              <w:rPr>
                <w:rFonts w:ascii="宋体" w:hAnsi="宋体" w:cs="宋体" w:eastAsia="宋体" w:hint="default"/>
                <w:sz w:val="21"/>
                <w:szCs w:val="21"/>
              </w:rPr>
            </w:pPr>
            <w:r>
              <w:rPr>
                <w:rFonts w:ascii="宋体"/>
                <w:sz w:val="21"/>
              </w:rPr>
              <w:t>434,589,134.34</w:t>
            </w: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343" w:right="0"/>
              <w:jc w:val="left"/>
              <w:rPr>
                <w:rFonts w:ascii="宋体" w:hAnsi="宋体" w:cs="宋体" w:eastAsia="宋体" w:hint="default"/>
                <w:sz w:val="21"/>
                <w:szCs w:val="21"/>
              </w:rPr>
            </w:pPr>
            <w:r>
              <w:rPr>
                <w:rFonts w:ascii="宋体"/>
                <w:sz w:val="21"/>
              </w:rPr>
              <w:t>293,203,316.44</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5" w:right="0"/>
              <w:jc w:val="left"/>
              <w:rPr>
                <w:rFonts w:ascii="宋体" w:hAnsi="宋体" w:cs="宋体" w:eastAsia="宋体" w:hint="default"/>
                <w:sz w:val="21"/>
                <w:szCs w:val="21"/>
              </w:rPr>
            </w:pPr>
            <w:r>
              <w:rPr>
                <w:rFonts w:ascii="宋体"/>
                <w:sz w:val="21"/>
              </w:rPr>
              <w:t>281,674,706.60</w:t>
            </w: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57" w:type="dxa"/>
            <w:tcBorders>
              <w:top w:val="single" w:sz="4" w:space="0" w:color="000000"/>
              <w:left w:val="single" w:sz="13" w:space="0" w:color="D2D2D2"/>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857" w:type="dxa"/>
            <w:tcBorders>
              <w:top w:val="single" w:sz="4" w:space="0" w:color="000000"/>
              <w:left w:val="single" w:sz="13" w:space="0" w:color="D2D2D2"/>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6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857" w:type="dxa"/>
            <w:tcBorders>
              <w:top w:val="single" w:sz="4" w:space="0" w:color="000000"/>
              <w:left w:val="single" w:sz="13" w:space="0" w:color="D2D2D2"/>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857" w:type="dxa"/>
            <w:tcBorders>
              <w:top w:val="single" w:sz="4" w:space="0" w:color="000000"/>
              <w:left w:val="single" w:sz="13" w:space="0" w:color="D2D2D2"/>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857" w:type="dxa"/>
            <w:tcBorders>
              <w:top w:val="single" w:sz="4" w:space="0" w:color="000000"/>
              <w:left w:val="single" w:sz="13" w:space="0" w:color="D2D2D2"/>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5816"/>
        <w:gridCol w:w="1846"/>
        <w:gridCol w:w="1907"/>
      </w:tblGrid>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5,367,536.49</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5,972,692.55</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28,123,121.31</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25,328,419.65</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108,026,374.58</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102,911,802.44</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13,503,527.42</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-644,125.29</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36,524,178.27</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19,345,638.39</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-2,000,109.65</w:t>
            </w: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79,278,750.42</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91,034,622.96</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8,812,031.73</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24,521,577.30</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5,396.74</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56,450.50</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5,193.93</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3,399.72</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88,085,385.41</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115,499,749.76</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13,161,588.55</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15,182,650.65</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74,923,796.86</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100,317,099.11</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74,923,796.86</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99,007,810.67</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1,309,288.44</w:t>
            </w: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归属母公司所有者的其他综合收益的税后净额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重新计量设定受益计划净负债或净资产的变动</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firstLine="105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权益法下在被投资单位不能重分类进损益的其他 综合收益中享有的份额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12" w:firstLine="105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权益法下在被投资单位以后将重分类进损益的其 他综合收益中享有的份额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持有至到期投资重分类为可供出售金融资产损益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5" w:type="dxa"/>
        <w:tblLayout w:type="fixed"/>
        <w:tblCellMar>
          <w:top w:w="0" w:type="dxa"/>
          <w:left w:w="0" w:type="dxa"/>
          <w:bottom w:w="0" w:type="dxa"/>
          <w:right w:w="0" w:type="dxa"/>
        </w:tblCellMar>
        <w:tblLook w:val="01E0"/>
      </w:tblPr>
      <w:tblGrid>
        <w:gridCol w:w="5793"/>
        <w:gridCol w:w="1857"/>
        <w:gridCol w:w="1907"/>
      </w:tblGrid>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归属于少数股东的其他综合收益的税后净额</w:t>
            </w:r>
          </w:p>
        </w:tc>
        <w:tc>
          <w:tcPr>
            <w:tcW w:w="1857" w:type="dxa"/>
            <w:tcBorders>
              <w:top w:val="single" w:sz="4" w:space="0" w:color="000000"/>
              <w:left w:val="single" w:sz="13" w:space="0" w:color="D2D2D2"/>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8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74,923,796.86</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100,317,099.11</w:t>
            </w: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8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74,923,796.86</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99,007,810.67</w:t>
            </w: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857" w:type="dxa"/>
            <w:tcBorders>
              <w:top w:val="single" w:sz="4" w:space="0" w:color="000000"/>
              <w:left w:val="single" w:sz="13" w:space="0" w:color="D2D2D2"/>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1,309,288.44</w:t>
            </w: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8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8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0.1989</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0.2629</w:t>
            </w:r>
          </w:p>
        </w:tc>
      </w:tr>
      <w:tr>
        <w:trPr>
          <w:trHeight w:val="402" w:hRule="exact"/>
        </w:trPr>
        <w:tc>
          <w:tcPr>
            <w:tcW w:w="5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8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0.1989</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0.2629</w:t>
            </w:r>
          </w:p>
        </w:tc>
      </w:tr>
    </w:tbl>
    <w:p>
      <w:pPr>
        <w:spacing w:line="240" w:lineRule="auto" w:before="10"/>
        <w:rPr>
          <w:rFonts w:ascii="Times New Roman" w:hAnsi="Times New Roman" w:cs="Times New Roman" w:eastAsia="Times New Roman" w:hint="default"/>
          <w:sz w:val="21"/>
          <w:szCs w:val="21"/>
        </w:rPr>
      </w:pPr>
    </w:p>
    <w:p>
      <w:pPr>
        <w:tabs>
          <w:tab w:pos="3304" w:val="left" w:leader="none"/>
          <w:tab w:pos="7189" w:val="left" w:leader="none"/>
        </w:tabs>
        <w:spacing w:before="35"/>
        <w:ind w:left="154" w:right="1153" w:firstLine="0"/>
        <w:jc w:val="left"/>
        <w:rPr>
          <w:rFonts w:ascii="宋体" w:hAnsi="宋体" w:cs="宋体" w:eastAsia="宋体" w:hint="default"/>
          <w:sz w:val="21"/>
          <w:szCs w:val="21"/>
        </w:rPr>
      </w:pPr>
      <w:r>
        <w:rPr>
          <w:rFonts w:ascii="宋体" w:hAnsi="宋体" w:cs="宋体" w:eastAsia="宋体" w:hint="default"/>
          <w:sz w:val="21"/>
          <w:szCs w:val="21"/>
        </w:rPr>
        <w:t>法定代表人：李海鹰</w:t>
        <w:tab/>
      </w:r>
      <w:r>
        <w:rPr>
          <w:rFonts w:ascii="宋体" w:hAnsi="宋体" w:cs="宋体" w:eastAsia="宋体" w:hint="default"/>
          <w:spacing w:val="-1"/>
          <w:sz w:val="21"/>
          <w:szCs w:val="21"/>
        </w:rPr>
        <w:t>主管会计工作负责人：侯菊艳</w:t>
        <w:tab/>
        <w:t>会计机构负责人：侯菊艳</w:t>
      </w:r>
    </w:p>
    <w:p>
      <w:pPr>
        <w:spacing w:line="240" w:lineRule="auto" w:before="1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747" w:footer="979" w:top="1060" w:bottom="1160" w:left="980" w:right="0"/>
        </w:sectPr>
      </w:pPr>
    </w:p>
    <w:p>
      <w:pPr>
        <w:pStyle w:val="Heading2"/>
        <w:spacing w:line="240" w:lineRule="auto"/>
        <w:ind w:right="0"/>
        <w:jc w:val="left"/>
        <w:rPr>
          <w:b w:val="0"/>
          <w:bCs w:val="0"/>
        </w:rPr>
      </w:pPr>
      <w:r>
        <w:rPr>
          <w:rFonts w:ascii="宋体" w:hAnsi="宋体" w:cs="宋体" w:eastAsia="宋体" w:hint="default"/>
          <w:w w:val="95"/>
        </w:rPr>
        <w:t>4</w:t>
      </w:r>
      <w:r>
        <w:rPr>
          <w:w w:val="95"/>
        </w:rPr>
        <w:t>、母公司利润表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636"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443" w:space="5558"/>
            <w:col w:w="2929"/>
          </w:cols>
        </w:sectPr>
      </w:pPr>
    </w:p>
    <w:p>
      <w:pPr>
        <w:spacing w:line="240" w:lineRule="auto" w:before="0"/>
        <w:rPr>
          <w:rFonts w:ascii="宋体" w:hAnsi="宋体" w:cs="宋体" w:eastAsia="宋体" w:hint="default"/>
          <w:sz w:val="7"/>
          <w:szCs w:val="7"/>
        </w:rPr>
      </w:pPr>
    </w:p>
    <w:tbl>
      <w:tblPr>
        <w:tblW w:w="0" w:type="auto"/>
        <w:jc w:val="left"/>
        <w:tblInd w:w="195" w:type="dxa"/>
        <w:tblLayout w:type="fixed"/>
        <w:tblCellMar>
          <w:top w:w="0" w:type="dxa"/>
          <w:left w:w="0" w:type="dxa"/>
          <w:bottom w:w="0" w:type="dxa"/>
          <w:right w:w="0" w:type="dxa"/>
        </w:tblCellMar>
        <w:tblLook w:val="01E0"/>
      </w:tblPr>
      <w:tblGrid>
        <w:gridCol w:w="5763"/>
        <w:gridCol w:w="1962"/>
        <w:gridCol w:w="1834"/>
      </w:tblGrid>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422,186,720.03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366,919,241.38</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236,698,242.52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236,945,460.69</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3,745,976.29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3,830,030.42</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17,683,245.49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14,312,970.73</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66,964,559.76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67,475,454.39</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13,582,035.70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-664,190.35</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34,555,004.19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16,633,408.63</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-2,236,165.04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184,000,000.00</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46,721,491.04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212,386,106.87</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2,641,426.74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15,756,710.86</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4,674.08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53,412.39</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4,674.08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3,399.72</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49,358,243.70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228,089,405.34</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8,230,919.42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5,532,367.02</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41,127,324.28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222,557,038.32</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重新计量设定受益计划净负债或净资产的变动</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71" w:firstLine="105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权益法下在被投资单位不能重分类进损益的其他 综合收益中享有的份额</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95" w:type="dxa"/>
        <w:tblLayout w:type="fixed"/>
        <w:tblCellMar>
          <w:top w:w="0" w:type="dxa"/>
          <w:left w:w="0" w:type="dxa"/>
          <w:bottom w:w="0" w:type="dxa"/>
          <w:right w:w="0" w:type="dxa"/>
        </w:tblCellMar>
        <w:tblLook w:val="01E0"/>
      </w:tblPr>
      <w:tblGrid>
        <w:gridCol w:w="5763"/>
        <w:gridCol w:w="1962"/>
        <w:gridCol w:w="1834"/>
      </w:tblGrid>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71" w:firstLine="105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权益法下在被投资单位以后将重分类进损益的其 他综合收益中享有的份额</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持有至到期投资重分类为可供出售金融资产损益</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41,127,324.28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222,557,038.32</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0.1092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0.5909</w:t>
            </w:r>
          </w:p>
        </w:tc>
      </w:tr>
      <w:tr>
        <w:trPr>
          <w:trHeight w:val="402" w:hRule="exact"/>
        </w:trPr>
        <w:tc>
          <w:tcPr>
            <w:tcW w:w="5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0.1092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0.5909</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0"/>
        <w:jc w:val="left"/>
        <w:rPr>
          <w:b w:val="0"/>
          <w:bCs w:val="0"/>
        </w:rPr>
      </w:pPr>
      <w:r>
        <w:rPr>
          <w:rFonts w:ascii="宋体" w:hAnsi="宋体" w:cs="宋体" w:eastAsia="宋体" w:hint="default"/>
          <w:w w:val="95"/>
        </w:rPr>
        <w:t>5</w:t>
      </w:r>
      <w:r>
        <w:rPr>
          <w:w w:val="95"/>
        </w:rPr>
        <w:t>、合并现金流量表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636"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684" w:space="5633"/>
            <w:col w:w="2613"/>
          </w:cols>
        </w:sectPr>
      </w:pP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828"/>
        <w:gridCol w:w="1932"/>
        <w:gridCol w:w="1798"/>
      </w:tblGrid>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603,030,922.40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544,821,874.22</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2236"/>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236"/>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36" w:firstLine="42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处置以公允价值计量且其变动计入当期损益的金融资产净 增加额</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5,961,138.33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16,332,721.30</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17,493,197.36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22,312,824.21</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626,485,258.09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583,467,419.73</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pacing w:val="-1"/>
                <w:sz w:val="21"/>
              </w:rPr>
              <w:t>312,829,679.60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334,567,435.54</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236"/>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828"/>
        <w:gridCol w:w="1932"/>
        <w:gridCol w:w="1798"/>
      </w:tblGrid>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77,116,081.26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68,148,128.22</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73,124,888.37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73,683,785.62</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68,686,317.83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62,115,234.45</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531,756,967.06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538,514,583.83</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94,728,291.03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44,952,835.90</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65,000,000.00</w:t>
            </w: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236,055.39</w:t>
            </w: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65,236,055.39</w:t>
            </w: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61,330,278.99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22,921,804.42</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115,000,000.00</w:t>
            </w: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90,248,300.00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195,835,407.85</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266,578,578.99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218,757,212.27</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-201,342,523.60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-218,757,212.27</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347,700,000.00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375,000,000.00</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1,000,000.00</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347,700,000.00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376,000,000.00</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244,000,000.00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161,000,000.00</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17,755,591.89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76,633,699.56</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261,755,591.89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237,633,699.56</w:t>
            </w:r>
          </w:p>
        </w:tc>
      </w:tr>
      <w:tr>
        <w:trPr>
          <w:trHeight w:val="402" w:hRule="exact"/>
        </w:trPr>
        <w:tc>
          <w:tcPr>
            <w:tcW w:w="5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85,944,408.11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138,366,300.44</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839"/>
        <w:gridCol w:w="1932"/>
        <w:gridCol w:w="1798"/>
      </w:tblGrid>
      <w:tr>
        <w:trPr>
          <w:trHeight w:val="402" w:hRule="exact"/>
        </w:trPr>
        <w:tc>
          <w:tcPr>
            <w:tcW w:w="5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932" w:type="dxa"/>
            <w:tcBorders>
              <w:top w:val="single" w:sz="4" w:space="0" w:color="000000"/>
              <w:left w:val="single" w:sz="13" w:space="0" w:color="D2D2D2"/>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-20,669,824.46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-35,438,075.93</w:t>
            </w:r>
          </w:p>
        </w:tc>
      </w:tr>
      <w:tr>
        <w:trPr>
          <w:trHeight w:val="402" w:hRule="exact"/>
        </w:trPr>
        <w:tc>
          <w:tcPr>
            <w:tcW w:w="5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828,759,213.08</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864,197,289.01</w:t>
            </w:r>
          </w:p>
        </w:tc>
      </w:tr>
      <w:tr>
        <w:trPr>
          <w:trHeight w:val="402" w:hRule="exact"/>
        </w:trPr>
        <w:tc>
          <w:tcPr>
            <w:tcW w:w="5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808,089,388.62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828,759,213.08</w:t>
            </w:r>
          </w:p>
        </w:tc>
      </w:tr>
    </w:tbl>
    <w:p>
      <w:pPr>
        <w:spacing w:line="240" w:lineRule="auto" w:before="5"/>
        <w:rPr>
          <w:rFonts w:ascii="Times New Roman" w:hAnsi="Times New Roman" w:cs="Times New Roman" w:eastAsia="Times New Roman" w:hint="default"/>
          <w:sz w:val="5"/>
          <w:szCs w:val="5"/>
        </w:rPr>
      </w:pPr>
    </w:p>
    <w:p>
      <w:pPr>
        <w:spacing w:after="0" w:line="240" w:lineRule="auto"/>
        <w:rPr>
          <w:rFonts w:ascii="Times New Roman" w:hAnsi="Times New Roman" w:cs="Times New Roman" w:eastAsia="Times New Roman" w:hint="default"/>
          <w:sz w:val="5"/>
          <w:szCs w:val="5"/>
        </w:rPr>
        <w:sectPr>
          <w:pgSz w:w="11910" w:h="16840"/>
          <w:pgMar w:header="747" w:footer="979" w:top="1060" w:bottom="1160" w:left="980" w:right="0"/>
        </w:sectPr>
      </w:pPr>
    </w:p>
    <w:p>
      <w:pPr>
        <w:pStyle w:val="Heading2"/>
        <w:spacing w:line="240" w:lineRule="auto"/>
        <w:ind w:right="0"/>
        <w:jc w:val="left"/>
        <w:rPr>
          <w:b w:val="0"/>
          <w:bCs w:val="0"/>
        </w:rPr>
      </w:pPr>
      <w:r>
        <w:rPr>
          <w:rFonts w:ascii="宋体" w:hAnsi="宋体" w:cs="宋体" w:eastAsia="宋体" w:hint="default"/>
          <w:w w:val="95"/>
        </w:rPr>
        <w:t>6</w:t>
      </w:r>
      <w:r>
        <w:rPr>
          <w:w w:val="95"/>
        </w:rPr>
        <w:t>、母公司现金流量表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636"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925" w:space="5392"/>
            <w:col w:w="2613"/>
          </w:cols>
        </w:sectPr>
      </w:pP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813"/>
        <w:gridCol w:w="1962"/>
        <w:gridCol w:w="1782"/>
      </w:tblGrid>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462,265,100.37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395,639,612.92</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7,567,854.86</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14,834,055.86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19,778,632.40</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477,099,156.23</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422,986,100.18</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pacing w:val="-1"/>
                <w:sz w:val="21"/>
              </w:rPr>
              <w:t>240,544,223.06</w:t>
            </w:r>
            <w:r>
              <w:rPr>
                <w:rFonts w:ascii="宋体"/>
                <w:sz w:val="21"/>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251,359,595.18</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42,695,941.87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35,514,497.45</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54,797,894.89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44,279,135.17</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79,414,586.27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39,101,209.85</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417,452,646.09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370,254,437.65</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59,646,510.14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52,731,662.53</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1,907,625.00</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1,907,625.00</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23,318,949.30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21,449,991.24</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50,000,000.00</w:t>
            </w: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94,648,300.00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211,935,407.85</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167,967,249.30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233,385,399.09</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-167,967,249.30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-231,477,774.09</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62" w:type="dxa"/>
            <w:tcBorders>
              <w:top w:val="single" w:sz="4" w:space="0" w:color="000000"/>
              <w:left w:val="single" w:sz="13" w:space="0" w:color="D2D2D2"/>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347,700,000.00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375,000,000.00</w:t>
            </w:r>
          </w:p>
        </w:tc>
      </w:tr>
    </w:tbl>
    <w:p>
      <w:pPr>
        <w:spacing w:after="0" w:line="240" w:lineRule="auto"/>
        <w:jc w:val="righ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509" w:type="dxa"/>
        <w:tblLayout w:type="fixed"/>
        <w:tblCellMar>
          <w:top w:w="0" w:type="dxa"/>
          <w:left w:w="0" w:type="dxa"/>
          <w:bottom w:w="0" w:type="dxa"/>
          <w:right w:w="0" w:type="dxa"/>
        </w:tblCellMar>
        <w:tblLook w:val="01E0"/>
      </w:tblPr>
      <w:tblGrid>
        <w:gridCol w:w="5836"/>
        <w:gridCol w:w="1951"/>
        <w:gridCol w:w="1782"/>
      </w:tblGrid>
      <w:tr>
        <w:trPr>
          <w:trHeight w:val="402" w:hRule="exact"/>
        </w:trPr>
        <w:tc>
          <w:tcPr>
            <w:tcW w:w="5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1,000,000.00</w:t>
            </w:r>
          </w:p>
        </w:tc>
      </w:tr>
      <w:tr>
        <w:trPr>
          <w:trHeight w:val="402" w:hRule="exact"/>
        </w:trPr>
        <w:tc>
          <w:tcPr>
            <w:tcW w:w="5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347,700,000.00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376,000,000.00</w:t>
            </w:r>
          </w:p>
        </w:tc>
      </w:tr>
      <w:tr>
        <w:trPr>
          <w:trHeight w:val="402" w:hRule="exact"/>
        </w:trPr>
        <w:tc>
          <w:tcPr>
            <w:tcW w:w="5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244,000,000.00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161,000,000.00</w:t>
            </w:r>
          </w:p>
        </w:tc>
      </w:tr>
      <w:tr>
        <w:trPr>
          <w:trHeight w:val="402" w:hRule="exact"/>
        </w:trPr>
        <w:tc>
          <w:tcPr>
            <w:tcW w:w="5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17,755,591.89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76,633,699.56</w:t>
            </w:r>
          </w:p>
        </w:tc>
      </w:tr>
      <w:tr>
        <w:trPr>
          <w:trHeight w:val="402" w:hRule="exact"/>
        </w:trPr>
        <w:tc>
          <w:tcPr>
            <w:tcW w:w="5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261,755,591.89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237,633,699.56</w:t>
            </w:r>
          </w:p>
        </w:tc>
      </w:tr>
      <w:tr>
        <w:trPr>
          <w:trHeight w:val="402" w:hRule="exact"/>
        </w:trPr>
        <w:tc>
          <w:tcPr>
            <w:tcW w:w="5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85,944,408.11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138,366,300.44</w:t>
            </w:r>
          </w:p>
        </w:tc>
      </w:tr>
      <w:tr>
        <w:trPr>
          <w:trHeight w:val="402" w:hRule="exact"/>
        </w:trPr>
        <w:tc>
          <w:tcPr>
            <w:tcW w:w="5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95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-22,376,331.05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-40,379,811.12</w:t>
            </w:r>
          </w:p>
        </w:tc>
      </w:tr>
      <w:tr>
        <w:trPr>
          <w:trHeight w:val="402" w:hRule="exact"/>
        </w:trPr>
        <w:tc>
          <w:tcPr>
            <w:tcW w:w="5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764,543,293.61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804,923,104.73</w:t>
            </w:r>
          </w:p>
        </w:tc>
      </w:tr>
      <w:tr>
        <w:trPr>
          <w:trHeight w:val="402" w:hRule="exact"/>
        </w:trPr>
        <w:tc>
          <w:tcPr>
            <w:tcW w:w="5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742,166,962.56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764,543,293.61</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620" w:right="0"/>
        </w:sectPr>
      </w:pPr>
    </w:p>
    <w:p>
      <w:pPr>
        <w:spacing w:line="352" w:lineRule="auto" w:before="26"/>
        <w:ind w:left="993" w:right="0" w:firstLine="2"/>
        <w:jc w:val="left"/>
        <w:rPr>
          <w:rFonts w:ascii="宋体" w:hAnsi="宋体" w:cs="宋体" w:eastAsia="宋体" w:hint="default"/>
          <w:sz w:val="24"/>
          <w:szCs w:val="24"/>
        </w:rPr>
      </w:pPr>
      <w:r>
        <w:rPr>
          <w:rFonts w:ascii="宋体" w:hAnsi="宋体" w:cs="宋体" w:eastAsia="宋体" w:hint="default"/>
          <w:b/>
          <w:bCs/>
          <w:w w:val="95"/>
          <w:sz w:val="24"/>
          <w:szCs w:val="24"/>
        </w:rPr>
        <w:t>7</w:t>
      </w:r>
      <w:r>
        <w:rPr>
          <w:rFonts w:ascii="宋体" w:hAnsi="宋体" w:cs="宋体" w:eastAsia="宋体" w:hint="default"/>
          <w:b/>
          <w:bCs/>
          <w:w w:val="95"/>
          <w:sz w:val="24"/>
          <w:szCs w:val="24"/>
        </w:rPr>
        <w:t>、合并所有者权益变动表</w:t>
      </w:r>
      <w:r>
        <w:rPr>
          <w:rFonts w:ascii="宋体" w:hAnsi="宋体" w:cs="宋体" w:eastAsia="宋体" w:hint="default"/>
          <w:b/>
          <w:bCs/>
          <w:spacing w:val="11"/>
          <w:w w:val="95"/>
          <w:sz w:val="24"/>
          <w:szCs w:val="24"/>
        </w:rPr>
        <w:t> </w:t>
      </w:r>
      <w:r>
        <w:rPr>
          <w:rFonts w:ascii="宋体" w:hAnsi="宋体" w:cs="宋体" w:eastAsia="宋体" w:hint="default"/>
          <w:sz w:val="24"/>
          <w:szCs w:val="24"/>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0"/>
        <w:ind w:left="975" w:right="1111"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060" w:bottom="1160" w:left="620" w:right="0"/>
          <w:cols w:num="2" w:equalWidth="0">
            <w:col w:w="3766" w:space="4553"/>
            <w:col w:w="2971"/>
          </w:cols>
        </w:sectPr>
      </w:pPr>
    </w:p>
    <w:p>
      <w:pPr>
        <w:spacing w:line="240" w:lineRule="auto" w:before="0"/>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821"/>
        <w:gridCol w:w="827"/>
        <w:gridCol w:w="994"/>
        <w:gridCol w:w="708"/>
        <w:gridCol w:w="708"/>
        <w:gridCol w:w="568"/>
        <w:gridCol w:w="992"/>
        <w:gridCol w:w="851"/>
        <w:gridCol w:w="1134"/>
        <w:gridCol w:w="743"/>
        <w:gridCol w:w="1064"/>
      </w:tblGrid>
      <w:tr>
        <w:trPr>
          <w:trHeight w:val="402" w:hRule="exact"/>
        </w:trPr>
        <w:tc>
          <w:tcPr>
            <w:tcW w:w="1821" w:type="dxa"/>
            <w:vMerge w:val="restart"/>
            <w:tcBorders>
              <w:top w:val="single" w:sz="4" w:space="0" w:color="000000"/>
              <w:left w:val="single" w:sz="4" w:space="0" w:color="000000"/>
              <w:right w:val="single" w:sz="4" w:space="0" w:color="000000"/>
            </w:tcBorders>
            <w:shd w:val="clear" w:color="auto" w:fill="D2D2D2"/>
          </w:tcPr>
          <w:p>
            <w:pPr/>
          </w:p>
        </w:tc>
        <w:tc>
          <w:tcPr>
            <w:tcW w:w="858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397"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678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35"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0" w:hRule="exact"/>
        </w:trPr>
        <w:tc>
          <w:tcPr>
            <w:tcW w:w="1821"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27"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74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6"/>
              <w:ind w:left="51" w:right="49"/>
              <w:jc w:val="left"/>
              <w:rPr>
                <w:rFonts w:ascii="宋体" w:hAnsi="宋体" w:cs="宋体" w:eastAsia="宋体" w:hint="default"/>
                <w:sz w:val="21"/>
                <w:szCs w:val="21"/>
              </w:rPr>
            </w:pPr>
            <w:r>
              <w:rPr>
                <w:rFonts w:ascii="宋体" w:hAnsi="宋体" w:cs="宋体" w:eastAsia="宋体" w:hint="default"/>
                <w:sz w:val="21"/>
                <w:szCs w:val="21"/>
              </w:rPr>
              <w:t>少数股 东权益</w:t>
            </w: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6"/>
              <w:ind w:left="211" w:right="107" w:hanging="105"/>
              <w:jc w:val="left"/>
              <w:rPr>
                <w:rFonts w:ascii="宋体" w:hAnsi="宋体" w:cs="宋体" w:eastAsia="宋体" w:hint="default"/>
                <w:sz w:val="21"/>
                <w:szCs w:val="21"/>
              </w:rPr>
            </w:pPr>
            <w:r>
              <w:rPr>
                <w:rFonts w:ascii="宋体" w:hAnsi="宋体" w:cs="宋体" w:eastAsia="宋体" w:hint="default"/>
                <w:sz w:val="21"/>
                <w:szCs w:val="21"/>
              </w:rPr>
              <w:t>所有者权 益合计</w:t>
            </w:r>
          </w:p>
        </w:tc>
      </w:tr>
      <w:tr>
        <w:trPr>
          <w:trHeight w:val="154" w:hRule="exact"/>
        </w:trPr>
        <w:tc>
          <w:tcPr>
            <w:tcW w:w="1821" w:type="dxa"/>
            <w:vMerge/>
            <w:tcBorders>
              <w:left w:val="single" w:sz="4" w:space="0" w:color="000000"/>
              <w:bottom w:val="single" w:sz="4" w:space="0" w:color="FFFFFF"/>
              <w:right w:val="single" w:sz="4" w:space="0" w:color="000000"/>
            </w:tcBorders>
            <w:shd w:val="clear" w:color="auto" w:fill="D2D2D2"/>
          </w:tcPr>
          <w:p>
            <w:pPr/>
          </w:p>
        </w:tc>
        <w:tc>
          <w:tcPr>
            <w:tcW w:w="827" w:type="dxa"/>
            <w:vMerge/>
            <w:tcBorders>
              <w:left w:val="single" w:sz="4" w:space="0" w:color="000000"/>
              <w:bottom w:val="single" w:sz="4" w:space="0" w:color="FFFFFF"/>
              <w:right w:val="single" w:sz="4" w:space="0" w:color="000000"/>
            </w:tcBorders>
            <w:shd w:val="clear" w:color="auto" w:fill="D2D2D2"/>
          </w:tcPr>
          <w:p>
            <w:pPr/>
          </w:p>
        </w:tc>
        <w:tc>
          <w:tcPr>
            <w:tcW w:w="994" w:type="dxa"/>
            <w:vMerge/>
            <w:tcBorders>
              <w:left w:val="single" w:sz="4" w:space="0" w:color="000000"/>
              <w:bottom w:val="single" w:sz="4" w:space="0" w:color="FFFFFF"/>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37" w:right="33" w:hanging="105"/>
              <w:jc w:val="left"/>
              <w:rPr>
                <w:rFonts w:ascii="宋体" w:hAnsi="宋体" w:cs="宋体" w:eastAsia="宋体" w:hint="default"/>
                <w:sz w:val="21"/>
                <w:szCs w:val="21"/>
              </w:rPr>
            </w:pPr>
            <w:r>
              <w:rPr>
                <w:rFonts w:ascii="宋体" w:hAnsi="宋体" w:cs="宋体" w:eastAsia="宋体" w:hint="default"/>
                <w:sz w:val="21"/>
                <w:szCs w:val="21"/>
              </w:rPr>
              <w:t>减：库 存股</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3" w:right="32"/>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69" w:right="6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992"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05" w:right="105"/>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1134" w:type="dxa"/>
            <w:vMerge/>
            <w:tcBorders>
              <w:left w:val="single" w:sz="4" w:space="0" w:color="000000"/>
              <w:bottom w:val="nil" w:sz="6" w:space="0" w:color="auto"/>
              <w:right w:val="single" w:sz="4" w:space="0" w:color="000000"/>
            </w:tcBorders>
            <w:shd w:val="clear" w:color="auto" w:fill="D2D2D2"/>
          </w:tcPr>
          <w:p>
            <w:pPr/>
          </w:p>
        </w:tc>
        <w:tc>
          <w:tcPr>
            <w:tcW w:w="74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383" w:hRule="exact"/>
        </w:trPr>
        <w:tc>
          <w:tcPr>
            <w:tcW w:w="1821" w:type="dxa"/>
            <w:vMerge w:val="restart"/>
            <w:tcBorders>
              <w:top w:val="single" w:sz="4" w:space="0" w:color="FFFFFF"/>
              <w:left w:val="single" w:sz="4" w:space="0" w:color="000000"/>
              <w:right w:val="single" w:sz="4" w:space="0" w:color="000000"/>
            </w:tcBorders>
            <w:shd w:val="clear" w:color="auto" w:fill="D2D2D2"/>
          </w:tcPr>
          <w:p>
            <w:pPr/>
          </w:p>
        </w:tc>
        <w:tc>
          <w:tcPr>
            <w:tcW w:w="827"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23"/>
              <w:ind w:left="2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94"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23"/>
              <w:ind w:left="7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7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1"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18" w:space="0" w:color="FFFFFF"/>
              <w:right w:val="single" w:sz="4" w:space="0" w:color="000000"/>
            </w:tcBorders>
            <w:shd w:val="clear" w:color="auto" w:fill="D2D2D2"/>
          </w:tcPr>
          <w:p>
            <w:pPr>
              <w:pStyle w:val="TableParagraph"/>
              <w:spacing w:line="240" w:lineRule="auto" w:before="27"/>
              <w:ind w:left="3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43" w:type="dxa"/>
            <w:vMerge/>
            <w:tcBorders>
              <w:left w:val="single" w:sz="4" w:space="0" w:color="000000"/>
              <w:bottom w:val="single" w:sz="18" w:space="0" w:color="FFFFFF"/>
              <w:right w:val="single" w:sz="4" w:space="0" w:color="000000"/>
            </w:tcBorders>
            <w:shd w:val="clear" w:color="auto" w:fill="D2D2D2"/>
          </w:tcPr>
          <w:p>
            <w:pPr/>
          </w:p>
        </w:tc>
        <w:tc>
          <w:tcPr>
            <w:tcW w:w="1064" w:type="dxa"/>
            <w:vMerge/>
            <w:tcBorders>
              <w:left w:val="single" w:sz="4" w:space="0" w:color="000000"/>
              <w:bottom w:val="single" w:sz="18" w:space="0" w:color="FFFFFF"/>
              <w:right w:val="single" w:sz="4" w:space="0" w:color="000000"/>
            </w:tcBorders>
            <w:shd w:val="clear" w:color="auto" w:fill="D2D2D2"/>
          </w:tcPr>
          <w:p>
            <w:pPr/>
          </w:p>
        </w:tc>
      </w:tr>
      <w:tr>
        <w:trPr>
          <w:trHeight w:val="162" w:hRule="exact"/>
        </w:trPr>
        <w:tc>
          <w:tcPr>
            <w:tcW w:w="1821" w:type="dxa"/>
            <w:vMerge/>
            <w:tcBorders>
              <w:left w:val="single" w:sz="4" w:space="0" w:color="000000"/>
              <w:right w:val="single" w:sz="4" w:space="0" w:color="000000"/>
            </w:tcBorders>
            <w:shd w:val="clear" w:color="auto" w:fill="D2D2D2"/>
          </w:tcPr>
          <w:p>
            <w:pPr/>
          </w:p>
        </w:tc>
        <w:tc>
          <w:tcPr>
            <w:tcW w:w="827" w:type="dxa"/>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18" w:space="0" w:color="FFFFFF"/>
              <w:left w:val="single" w:sz="4" w:space="0" w:color="000000"/>
              <w:right w:val="single" w:sz="4" w:space="0" w:color="000000"/>
            </w:tcBorders>
            <w:shd w:val="clear" w:color="auto" w:fill="D2D2D2"/>
          </w:tcPr>
          <w:p>
            <w:pPr/>
          </w:p>
        </w:tc>
        <w:tc>
          <w:tcPr>
            <w:tcW w:w="743" w:type="dxa"/>
            <w:vMerge w:val="restart"/>
            <w:tcBorders>
              <w:top w:val="single" w:sz="18" w:space="0" w:color="FFFFFF"/>
              <w:left w:val="single" w:sz="4" w:space="0" w:color="000000"/>
              <w:right w:val="single" w:sz="4" w:space="0" w:color="000000"/>
            </w:tcBorders>
            <w:shd w:val="clear" w:color="auto" w:fill="D2D2D2"/>
          </w:tcPr>
          <w:p>
            <w:pPr/>
          </w:p>
        </w:tc>
        <w:tc>
          <w:tcPr>
            <w:tcW w:w="1064" w:type="dxa"/>
            <w:vMerge w:val="restart"/>
            <w:tcBorders>
              <w:top w:val="single" w:sz="18" w:space="0" w:color="FFFFFF"/>
              <w:left w:val="single" w:sz="4" w:space="0" w:color="000000"/>
              <w:right w:val="single" w:sz="4" w:space="0" w:color="000000"/>
            </w:tcBorders>
            <w:shd w:val="clear" w:color="auto" w:fill="D2D2D2"/>
          </w:tcPr>
          <w:p>
            <w:pPr/>
          </w:p>
        </w:tc>
      </w:tr>
      <w:tr>
        <w:trPr>
          <w:trHeight w:val="206"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827"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4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 w:type="dxa"/>
            <w:vMerge w:val="restart"/>
            <w:tcBorders>
              <w:top w:val="single" w:sz="4" w:space="0" w:color="000000"/>
              <w:left w:val="single" w:sz="10" w:space="0" w:color="D2D2D2"/>
              <w:right w:val="single" w:sz="4" w:space="0" w:color="000000"/>
            </w:tcBorders>
          </w:tcPr>
          <w:p>
            <w:pPr>
              <w:pStyle w:val="TableParagraph"/>
              <w:spacing w:line="240" w:lineRule="auto" w:before="26"/>
              <w:ind w:left="51" w:right="0"/>
              <w:jc w:val="left"/>
              <w:rPr>
                <w:rFonts w:ascii="宋体" w:hAnsi="宋体" w:cs="宋体" w:eastAsia="宋体" w:hint="default"/>
                <w:sz w:val="21"/>
                <w:szCs w:val="21"/>
              </w:rPr>
            </w:pPr>
            <w:r>
              <w:rPr>
                <w:rFonts w:ascii="宋体"/>
                <w:sz w:val="21"/>
              </w:rPr>
              <w:t>376,656</w:t>
            </w:r>
          </w:p>
          <w:p>
            <w:pPr>
              <w:pStyle w:val="TableParagraph"/>
              <w:spacing w:line="240" w:lineRule="auto" w:before="37"/>
              <w:ind w:left="51" w:right="0"/>
              <w:jc w:val="left"/>
              <w:rPr>
                <w:rFonts w:ascii="宋体" w:hAnsi="宋体" w:cs="宋体" w:eastAsia="宋体" w:hint="default"/>
                <w:sz w:val="21"/>
                <w:szCs w:val="21"/>
              </w:rPr>
            </w:pPr>
            <w:r>
              <w:rPr>
                <w:rFonts w:ascii="宋体"/>
                <w:sz w:val="21"/>
              </w:rPr>
              <w:t>,420.00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635,546,</w:t>
            </w:r>
          </w:p>
          <w:p>
            <w:pPr>
              <w:pStyle w:val="TableParagraph"/>
              <w:spacing w:line="240" w:lineRule="auto" w:before="37"/>
              <w:ind w:left="330" w:right="0"/>
              <w:jc w:val="left"/>
              <w:rPr>
                <w:rFonts w:ascii="宋体" w:hAnsi="宋体" w:cs="宋体" w:eastAsia="宋体" w:hint="default"/>
                <w:sz w:val="21"/>
                <w:szCs w:val="21"/>
              </w:rPr>
            </w:pPr>
            <w:r>
              <w:rPr>
                <w:rFonts w:ascii="宋体"/>
                <w:sz w:val="21"/>
              </w:rPr>
              <w:t>386.52</w:t>
            </w:r>
          </w:p>
        </w:tc>
        <w:tc>
          <w:tcPr>
            <w:tcW w:w="70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49,756,3</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20.28</w:t>
            </w:r>
          </w:p>
        </w:tc>
        <w:tc>
          <w:tcPr>
            <w:tcW w:w="851"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325,942,92</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0.61</w:t>
            </w:r>
          </w:p>
        </w:tc>
        <w:tc>
          <w:tcPr>
            <w:tcW w:w="74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26"/>
              <w:ind w:left="86" w:right="0"/>
              <w:jc w:val="left"/>
              <w:rPr>
                <w:rFonts w:ascii="宋体" w:hAnsi="宋体" w:cs="宋体" w:eastAsia="宋体" w:hint="default"/>
                <w:sz w:val="21"/>
                <w:szCs w:val="21"/>
              </w:rPr>
            </w:pPr>
            <w:r>
              <w:rPr>
                <w:rFonts w:ascii="宋体"/>
                <w:sz w:val="21"/>
              </w:rPr>
              <w:t>1,387,902</w:t>
            </w:r>
          </w:p>
          <w:p>
            <w:pPr>
              <w:pStyle w:val="TableParagraph"/>
              <w:spacing w:line="240" w:lineRule="auto" w:before="37"/>
              <w:ind w:left="296" w:right="0"/>
              <w:jc w:val="left"/>
              <w:rPr>
                <w:rFonts w:ascii="宋体" w:hAnsi="宋体" w:cs="宋体" w:eastAsia="宋体" w:hint="default"/>
                <w:sz w:val="21"/>
                <w:szCs w:val="21"/>
              </w:rPr>
            </w:pPr>
            <w:r>
              <w:rPr>
                <w:rFonts w:ascii="宋体"/>
                <w:sz w:val="21"/>
              </w:rPr>
              <w:t>,047.41</w:t>
            </w:r>
          </w:p>
        </w:tc>
      </w:tr>
      <w:tr>
        <w:trPr>
          <w:trHeight w:val="392" w:hRule="exact"/>
        </w:trPr>
        <w:tc>
          <w:tcPr>
            <w:tcW w:w="1821" w:type="dxa"/>
            <w:tcBorders>
              <w:top w:val="nil" w:sz="6" w:space="0" w:color="auto"/>
              <w:left w:val="single" w:sz="13" w:space="0" w:color="D2D2D2"/>
              <w:bottom w:val="nil" w:sz="6" w:space="0" w:color="auto"/>
              <w:right w:val="single" w:sz="13" w:space="0" w:color="D2D2D2"/>
            </w:tcBorders>
          </w:tcPr>
          <w:p>
            <w:pPr>
              <w:pStyle w:val="TableParagraph"/>
              <w:tabs>
                <w:tab w:pos="1788" w:val="left" w:leader="none"/>
              </w:tabs>
              <w:spacing w:line="240" w:lineRule="auto" w:before="26"/>
              <w:ind w:left="-1" w:right="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一、上年期末余额</w:t>
              <w:tab/>
            </w:r>
            <w:r>
              <w:rPr>
                <w:rFonts w:ascii="宋体" w:hAnsi="宋体" w:cs="宋体" w:eastAsia="宋体" w:hint="default"/>
                <w:sz w:val="21"/>
                <w:szCs w:val="21"/>
              </w:rPr>
            </w:r>
          </w:p>
        </w:tc>
        <w:tc>
          <w:tcPr>
            <w:tcW w:w="827" w:type="dxa"/>
            <w:vMerge/>
            <w:tcBorders>
              <w:left w:val="single" w:sz="10"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4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r>
      <w:tr>
        <w:trPr>
          <w:trHeight w:val="161" w:hRule="exact"/>
        </w:trPr>
        <w:tc>
          <w:tcPr>
            <w:tcW w:w="1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7" w:type="dxa"/>
            <w:vMerge/>
            <w:tcBorders>
              <w:left w:val="single" w:sz="10"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0"/>
              <w:jc w:val="righ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103"/>
                <w:sz w:val="21"/>
                <w:szCs w:val="21"/>
              </w:rPr>
              <w:t>：</w:t>
            </w:r>
            <w:r>
              <w:rPr>
                <w:rFonts w:ascii="宋体" w:hAnsi="宋体" w:cs="宋体" w:eastAsia="宋体" w:hint="default"/>
                <w:sz w:val="21"/>
                <w:szCs w:val="21"/>
              </w:rPr>
              <w:t>会计政策变更</w:t>
            </w:r>
          </w:p>
        </w:tc>
        <w:tc>
          <w:tcPr>
            <w:tcW w:w="827"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4"/>
              <w:jc w:val="right"/>
              <w:rPr>
                <w:rFonts w:ascii="宋体" w:hAnsi="宋体" w:cs="宋体" w:eastAsia="宋体" w:hint="default"/>
                <w:sz w:val="21"/>
                <w:szCs w:val="21"/>
              </w:rPr>
            </w:pPr>
            <w:r>
              <w:rPr>
                <w:rFonts w:ascii="宋体" w:hAnsi="宋体" w:cs="宋体" w:eastAsia="宋体" w:hint="default"/>
                <w:spacing w:val="-1"/>
                <w:sz w:val="21"/>
                <w:szCs w:val="21"/>
              </w:rPr>
              <w:t>前期差错更正</w:t>
            </w:r>
          </w:p>
        </w:tc>
        <w:tc>
          <w:tcPr>
            <w:tcW w:w="827"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4" w:firstLine="525"/>
              <w:jc w:val="left"/>
              <w:rPr>
                <w:rFonts w:ascii="宋体" w:hAnsi="宋体" w:cs="宋体" w:eastAsia="宋体" w:hint="default"/>
                <w:sz w:val="21"/>
                <w:szCs w:val="21"/>
              </w:rPr>
            </w:pPr>
            <w:r>
              <w:rPr>
                <w:rFonts w:ascii="宋体" w:hAnsi="宋体" w:cs="宋体" w:eastAsia="宋体" w:hint="default"/>
                <w:sz w:val="21"/>
                <w:szCs w:val="21"/>
              </w:rPr>
              <w:t>同一控制下企 业合并</w:t>
            </w:r>
          </w:p>
        </w:tc>
        <w:tc>
          <w:tcPr>
            <w:tcW w:w="827"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27"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 w:type="dxa"/>
            <w:vMerge w:val="restart"/>
            <w:tcBorders>
              <w:top w:val="single" w:sz="4" w:space="0" w:color="000000"/>
              <w:left w:val="single" w:sz="10" w:space="0" w:color="D2D2D2"/>
              <w:right w:val="single" w:sz="4" w:space="0" w:color="000000"/>
            </w:tcBorders>
          </w:tcPr>
          <w:p>
            <w:pPr>
              <w:pStyle w:val="TableParagraph"/>
              <w:spacing w:line="240" w:lineRule="auto" w:before="26"/>
              <w:ind w:left="51" w:right="0"/>
              <w:jc w:val="left"/>
              <w:rPr>
                <w:rFonts w:ascii="宋体" w:hAnsi="宋体" w:cs="宋体" w:eastAsia="宋体" w:hint="default"/>
                <w:sz w:val="21"/>
                <w:szCs w:val="21"/>
              </w:rPr>
            </w:pPr>
            <w:r>
              <w:rPr>
                <w:rFonts w:ascii="宋体"/>
                <w:sz w:val="21"/>
              </w:rPr>
              <w:t>376,656</w:t>
            </w:r>
          </w:p>
          <w:p>
            <w:pPr>
              <w:pStyle w:val="TableParagraph"/>
              <w:spacing w:line="240" w:lineRule="auto" w:before="37"/>
              <w:ind w:left="51" w:right="0"/>
              <w:jc w:val="left"/>
              <w:rPr>
                <w:rFonts w:ascii="宋体" w:hAnsi="宋体" w:cs="宋体" w:eastAsia="宋体" w:hint="default"/>
                <w:sz w:val="21"/>
                <w:szCs w:val="21"/>
              </w:rPr>
            </w:pPr>
            <w:r>
              <w:rPr>
                <w:rFonts w:ascii="宋体"/>
                <w:sz w:val="21"/>
              </w:rPr>
              <w:t>,420.00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635,546,</w:t>
            </w:r>
          </w:p>
          <w:p>
            <w:pPr>
              <w:pStyle w:val="TableParagraph"/>
              <w:spacing w:line="240" w:lineRule="auto" w:before="37"/>
              <w:ind w:left="330" w:right="0"/>
              <w:jc w:val="left"/>
              <w:rPr>
                <w:rFonts w:ascii="宋体" w:hAnsi="宋体" w:cs="宋体" w:eastAsia="宋体" w:hint="default"/>
                <w:sz w:val="21"/>
                <w:szCs w:val="21"/>
              </w:rPr>
            </w:pPr>
            <w:r>
              <w:rPr>
                <w:rFonts w:ascii="宋体"/>
                <w:sz w:val="21"/>
              </w:rPr>
              <w:t>386.52</w:t>
            </w:r>
          </w:p>
        </w:tc>
        <w:tc>
          <w:tcPr>
            <w:tcW w:w="70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49,756,3</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20.28</w:t>
            </w:r>
          </w:p>
        </w:tc>
        <w:tc>
          <w:tcPr>
            <w:tcW w:w="851"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325,942,92</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0.61</w:t>
            </w:r>
          </w:p>
        </w:tc>
        <w:tc>
          <w:tcPr>
            <w:tcW w:w="74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26"/>
              <w:ind w:left="86" w:right="0"/>
              <w:jc w:val="left"/>
              <w:rPr>
                <w:rFonts w:ascii="宋体" w:hAnsi="宋体" w:cs="宋体" w:eastAsia="宋体" w:hint="default"/>
                <w:sz w:val="21"/>
                <w:szCs w:val="21"/>
              </w:rPr>
            </w:pPr>
            <w:r>
              <w:rPr>
                <w:rFonts w:ascii="宋体"/>
                <w:sz w:val="21"/>
              </w:rPr>
              <w:t>1,387,902</w:t>
            </w:r>
          </w:p>
          <w:p>
            <w:pPr>
              <w:pStyle w:val="TableParagraph"/>
              <w:spacing w:line="240" w:lineRule="auto" w:before="37"/>
              <w:ind w:left="296" w:right="0"/>
              <w:jc w:val="left"/>
              <w:rPr>
                <w:rFonts w:ascii="宋体" w:hAnsi="宋体" w:cs="宋体" w:eastAsia="宋体" w:hint="default"/>
                <w:sz w:val="21"/>
                <w:szCs w:val="21"/>
              </w:rPr>
            </w:pPr>
            <w:r>
              <w:rPr>
                <w:rFonts w:ascii="宋体"/>
                <w:sz w:val="21"/>
              </w:rPr>
              <w:t>,047.41</w:t>
            </w:r>
          </w:p>
        </w:tc>
      </w:tr>
      <w:tr>
        <w:trPr>
          <w:trHeight w:val="392" w:hRule="exact"/>
        </w:trPr>
        <w:tc>
          <w:tcPr>
            <w:tcW w:w="1821" w:type="dxa"/>
            <w:tcBorders>
              <w:top w:val="nil" w:sz="6" w:space="0" w:color="auto"/>
              <w:left w:val="single" w:sz="13" w:space="0" w:color="D2D2D2"/>
              <w:bottom w:val="nil" w:sz="6" w:space="0" w:color="auto"/>
              <w:right w:val="single" w:sz="13" w:space="0" w:color="D2D2D2"/>
            </w:tcBorders>
          </w:tcPr>
          <w:p>
            <w:pPr>
              <w:pStyle w:val="TableParagraph"/>
              <w:tabs>
                <w:tab w:pos="1788" w:val="left" w:leader="none"/>
              </w:tabs>
              <w:spacing w:line="240" w:lineRule="auto" w:before="26"/>
              <w:ind w:left="-1" w:right="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二、本年期初余额</w:t>
              <w:tab/>
            </w:r>
            <w:r>
              <w:rPr>
                <w:rFonts w:ascii="宋体" w:hAnsi="宋体" w:cs="宋体" w:eastAsia="宋体" w:hint="default"/>
                <w:sz w:val="21"/>
                <w:szCs w:val="21"/>
              </w:rPr>
            </w:r>
          </w:p>
        </w:tc>
        <w:tc>
          <w:tcPr>
            <w:tcW w:w="827" w:type="dxa"/>
            <w:vMerge/>
            <w:tcBorders>
              <w:left w:val="single" w:sz="10"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4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r>
      <w:tr>
        <w:trPr>
          <w:trHeight w:val="161" w:hRule="exact"/>
        </w:trPr>
        <w:tc>
          <w:tcPr>
            <w:tcW w:w="1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7" w:type="dxa"/>
            <w:vMerge/>
            <w:tcBorders>
              <w:left w:val="single" w:sz="10"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r>
      <w:tr>
        <w:trPr>
          <w:trHeight w:val="1026"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
              <w:jc w:val="both"/>
              <w:rPr>
                <w:rFonts w:ascii="宋体" w:hAnsi="宋体" w:cs="宋体" w:eastAsia="宋体" w:hint="default"/>
                <w:sz w:val="21"/>
                <w:szCs w:val="21"/>
              </w:rPr>
            </w:pPr>
            <w:r>
              <w:rPr>
                <w:rFonts w:ascii="宋体" w:hAnsi="宋体" w:cs="宋体" w:eastAsia="宋体" w:hint="default"/>
                <w:spacing w:val="-12"/>
                <w:sz w:val="21"/>
                <w:szCs w:val="21"/>
              </w:rPr>
              <w:t>三、本期增减变动金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2"/>
                <w:sz w:val="21"/>
                <w:szCs w:val="21"/>
              </w:rPr>
              <w:t>额（减少以“－”号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填列）</w:t>
            </w:r>
          </w:p>
        </w:tc>
        <w:tc>
          <w:tcPr>
            <w:tcW w:w="827"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4,112,73</w:t>
            </w:r>
          </w:p>
          <w:p>
            <w:pPr>
              <w:pStyle w:val="TableParagraph"/>
              <w:spacing w:line="240" w:lineRule="auto" w:before="37"/>
              <w:ind w:left="538" w:right="0"/>
              <w:jc w:val="left"/>
              <w:rPr>
                <w:rFonts w:ascii="宋体" w:hAnsi="宋体" w:cs="宋体" w:eastAsia="宋体" w:hint="default"/>
                <w:sz w:val="21"/>
                <w:szCs w:val="21"/>
              </w:rPr>
            </w:pPr>
            <w:r>
              <w:rPr>
                <w:rFonts w:ascii="宋体"/>
                <w:sz w:val="21"/>
              </w:rPr>
              <w:t>2.43</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59,511,371</w:t>
            </w:r>
          </w:p>
          <w:p>
            <w:pPr>
              <w:pStyle w:val="TableParagraph"/>
              <w:spacing w:line="240" w:lineRule="auto" w:before="37"/>
              <w:ind w:right="21"/>
              <w:jc w:val="right"/>
              <w:rPr>
                <w:rFonts w:ascii="宋体" w:hAnsi="宋体" w:cs="宋体" w:eastAsia="宋体" w:hint="default"/>
                <w:sz w:val="21"/>
                <w:szCs w:val="21"/>
              </w:rPr>
            </w:pPr>
            <w:r>
              <w:rPr>
                <w:rFonts w:ascii="宋体"/>
                <w:spacing w:val="-1"/>
                <w:sz w:val="21"/>
              </w:rPr>
              <w:t>.83</w:t>
            </w: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21"/>
                <w:szCs w:val="21"/>
              </w:rPr>
            </w:pPr>
            <w:r>
              <w:rPr>
                <w:rFonts w:ascii="宋体"/>
                <w:sz w:val="21"/>
              </w:rPr>
              <w:t>63,624,10</w:t>
            </w:r>
          </w:p>
          <w:p>
            <w:pPr>
              <w:pStyle w:val="TableParagraph"/>
              <w:spacing w:line="240" w:lineRule="auto" w:before="37"/>
              <w:ind w:left="610" w:right="0"/>
              <w:jc w:val="left"/>
              <w:rPr>
                <w:rFonts w:ascii="宋体" w:hAnsi="宋体" w:cs="宋体" w:eastAsia="宋体" w:hint="default"/>
                <w:sz w:val="21"/>
                <w:szCs w:val="21"/>
              </w:rPr>
            </w:pPr>
            <w:r>
              <w:rPr>
                <w:rFonts w:ascii="宋体"/>
                <w:sz w:val="21"/>
              </w:rPr>
              <w:t>4.26</w:t>
            </w:r>
          </w:p>
        </w:tc>
      </w:tr>
      <w:tr>
        <w:trPr>
          <w:trHeight w:val="161"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 w:type="dxa"/>
            <w:vMerge w:val="restart"/>
            <w:tcBorders>
              <w:top w:val="single" w:sz="4" w:space="0" w:color="000000"/>
              <w:left w:val="single" w:sz="10" w:space="0" w:color="D2D2D2"/>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74,923,796</w:t>
            </w:r>
          </w:p>
          <w:p>
            <w:pPr>
              <w:pStyle w:val="TableParagraph"/>
              <w:spacing w:line="240" w:lineRule="auto" w:before="37"/>
              <w:ind w:right="23"/>
              <w:jc w:val="right"/>
              <w:rPr>
                <w:rFonts w:ascii="宋体" w:hAnsi="宋体" w:cs="宋体" w:eastAsia="宋体" w:hint="default"/>
                <w:sz w:val="21"/>
                <w:szCs w:val="21"/>
              </w:rPr>
            </w:pPr>
            <w:r>
              <w:rPr>
                <w:rFonts w:ascii="宋体"/>
                <w:spacing w:val="-1"/>
                <w:sz w:val="21"/>
              </w:rPr>
              <w:t>.86</w:t>
            </w:r>
            <w:r>
              <w:rPr>
                <w:rFonts w:ascii="宋体"/>
                <w:sz w:val="21"/>
              </w:rPr>
            </w:r>
          </w:p>
        </w:tc>
        <w:tc>
          <w:tcPr>
            <w:tcW w:w="74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26"/>
              <w:ind w:left="86" w:right="0"/>
              <w:jc w:val="left"/>
              <w:rPr>
                <w:rFonts w:ascii="宋体" w:hAnsi="宋体" w:cs="宋体" w:eastAsia="宋体" w:hint="default"/>
                <w:sz w:val="21"/>
                <w:szCs w:val="21"/>
              </w:rPr>
            </w:pPr>
            <w:r>
              <w:rPr>
                <w:rFonts w:ascii="宋体"/>
                <w:sz w:val="21"/>
              </w:rPr>
              <w:t>74,923,79</w:t>
            </w:r>
          </w:p>
          <w:p>
            <w:pPr>
              <w:pStyle w:val="TableParagraph"/>
              <w:spacing w:line="240" w:lineRule="auto" w:before="37"/>
              <w:ind w:left="610" w:right="0"/>
              <w:jc w:val="left"/>
              <w:rPr>
                <w:rFonts w:ascii="宋体" w:hAnsi="宋体" w:cs="宋体" w:eastAsia="宋体" w:hint="default"/>
                <w:sz w:val="21"/>
                <w:szCs w:val="21"/>
              </w:rPr>
            </w:pPr>
            <w:r>
              <w:rPr>
                <w:rFonts w:ascii="宋体"/>
                <w:sz w:val="21"/>
              </w:rPr>
              <w:t>6.86</w:t>
            </w:r>
          </w:p>
        </w:tc>
      </w:tr>
      <w:tr>
        <w:trPr>
          <w:trHeight w:val="392" w:hRule="exact"/>
        </w:trPr>
        <w:tc>
          <w:tcPr>
            <w:tcW w:w="1821" w:type="dxa"/>
            <w:tcBorders>
              <w:top w:val="nil" w:sz="6" w:space="0" w:color="auto"/>
              <w:left w:val="single" w:sz="13" w:space="0" w:color="D2D2D2"/>
              <w:bottom w:val="nil" w:sz="6" w:space="0" w:color="auto"/>
              <w:right w:val="single" w:sz="13" w:space="0" w:color="D2D2D2"/>
            </w:tcBorders>
          </w:tcPr>
          <w:p>
            <w:pPr>
              <w:pStyle w:val="TableParagraph"/>
              <w:spacing w:line="240" w:lineRule="auto" w:before="26"/>
              <w:ind w:left="-1" w:right="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（一</w:t>
            </w:r>
            <w:r>
              <w:rPr>
                <w:rFonts w:ascii="宋体" w:hAnsi="宋体" w:cs="宋体" w:eastAsia="宋体" w:hint="default"/>
                <w:spacing w:val="-103"/>
                <w:sz w:val="21"/>
                <w:szCs w:val="21"/>
                <w:shd w:fill="D2D2D2" w:color="auto" w:val="clear"/>
              </w:rPr>
              <w:t>）</w:t>
            </w:r>
            <w:r>
              <w:rPr>
                <w:rFonts w:ascii="宋体" w:hAnsi="宋体" w:cs="宋体" w:eastAsia="宋体" w:hint="default"/>
                <w:sz w:val="21"/>
                <w:szCs w:val="21"/>
                <w:shd w:fill="D2D2D2" w:color="auto" w:val="clear"/>
              </w:rPr>
              <w:t>综合收益总额</w:t>
            </w:r>
            <w:r>
              <w:rPr>
                <w:rFonts w:ascii="宋体" w:hAnsi="宋体" w:cs="宋体" w:eastAsia="宋体" w:hint="default"/>
                <w:sz w:val="21"/>
                <w:szCs w:val="21"/>
              </w:rPr>
            </w:r>
          </w:p>
        </w:tc>
        <w:tc>
          <w:tcPr>
            <w:tcW w:w="827" w:type="dxa"/>
            <w:vMerge/>
            <w:tcBorders>
              <w:left w:val="single" w:sz="10"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4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r>
      <w:tr>
        <w:trPr>
          <w:trHeight w:val="161" w:hRule="exact"/>
        </w:trPr>
        <w:tc>
          <w:tcPr>
            <w:tcW w:w="1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7" w:type="dxa"/>
            <w:vMerge/>
            <w:tcBorders>
              <w:left w:val="single" w:sz="10"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r>
      <w:tr>
        <w:trPr>
          <w:trHeight w:val="71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12"/>
                <w:sz w:val="21"/>
                <w:szCs w:val="21"/>
              </w:rPr>
              <w:t>（二）所有者投入和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减少资本</w:t>
            </w:r>
          </w:p>
        </w:tc>
        <w:tc>
          <w:tcPr>
            <w:tcW w:w="827"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620" w:right="0"/>
        </w:sectPr>
      </w:pPr>
    </w:p>
    <w:p>
      <w:pPr>
        <w:spacing w:line="240" w:lineRule="auto" w:before="6"/>
        <w:rPr>
          <w:rFonts w:ascii="宋体" w:hAnsi="宋体" w:cs="宋体" w:eastAsia="宋体" w:hint="default"/>
          <w:sz w:val="28"/>
          <w:szCs w:val="28"/>
        </w:rPr>
      </w:pPr>
    </w:p>
    <w:tbl>
      <w:tblPr>
        <w:tblW w:w="0" w:type="auto"/>
        <w:jc w:val="left"/>
        <w:tblInd w:w="177" w:type="dxa"/>
        <w:tblLayout w:type="fixed"/>
        <w:tblCellMar>
          <w:top w:w="0" w:type="dxa"/>
          <w:left w:w="0" w:type="dxa"/>
          <w:bottom w:w="0" w:type="dxa"/>
          <w:right w:w="0" w:type="dxa"/>
        </w:tblCellMar>
        <w:tblLook w:val="01E0"/>
      </w:tblPr>
      <w:tblGrid>
        <w:gridCol w:w="1845"/>
        <w:gridCol w:w="815"/>
        <w:gridCol w:w="994"/>
        <w:gridCol w:w="708"/>
        <w:gridCol w:w="708"/>
        <w:gridCol w:w="568"/>
        <w:gridCol w:w="992"/>
        <w:gridCol w:w="851"/>
        <w:gridCol w:w="1134"/>
        <w:gridCol w:w="743"/>
        <w:gridCol w:w="1064"/>
      </w:tblGrid>
      <w:tr>
        <w:trPr>
          <w:trHeight w:val="714"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．股东投入的普通 股</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6"/>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．其他权益工具持 有者投入资本</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．股份支付计入所 有者权益的金额</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4,112,73</w:t>
            </w:r>
          </w:p>
          <w:p>
            <w:pPr>
              <w:pStyle w:val="TableParagraph"/>
              <w:spacing w:line="240" w:lineRule="auto" w:before="38"/>
              <w:ind w:left="538" w:right="0"/>
              <w:jc w:val="left"/>
              <w:rPr>
                <w:rFonts w:ascii="宋体" w:hAnsi="宋体" w:cs="宋体" w:eastAsia="宋体" w:hint="default"/>
                <w:sz w:val="21"/>
                <w:szCs w:val="21"/>
              </w:rPr>
            </w:pPr>
            <w:r>
              <w:rPr>
                <w:rFonts w:ascii="宋体"/>
                <w:sz w:val="21"/>
              </w:rPr>
              <w:t>2.43</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-15,412,42</w:t>
            </w:r>
          </w:p>
          <w:p>
            <w:pPr>
              <w:pStyle w:val="TableParagraph"/>
              <w:spacing w:line="240" w:lineRule="auto" w:before="38"/>
              <w:ind w:left="680" w:right="0"/>
              <w:jc w:val="left"/>
              <w:rPr>
                <w:rFonts w:ascii="宋体" w:hAnsi="宋体" w:cs="宋体" w:eastAsia="宋体" w:hint="default"/>
                <w:sz w:val="21"/>
                <w:szCs w:val="21"/>
              </w:rPr>
            </w:pPr>
            <w:r>
              <w:rPr>
                <w:rFonts w:ascii="宋体"/>
                <w:sz w:val="21"/>
              </w:rPr>
              <w:t>5.03</w:t>
            </w: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6" w:right="0"/>
              <w:jc w:val="left"/>
              <w:rPr>
                <w:rFonts w:ascii="宋体" w:hAnsi="宋体" w:cs="宋体" w:eastAsia="宋体" w:hint="default"/>
                <w:sz w:val="21"/>
                <w:szCs w:val="21"/>
              </w:rPr>
            </w:pPr>
            <w:r>
              <w:rPr>
                <w:rFonts w:ascii="宋体"/>
                <w:sz w:val="21"/>
              </w:rPr>
              <w:t>-11,299,6</w:t>
            </w:r>
          </w:p>
          <w:p>
            <w:pPr>
              <w:pStyle w:val="TableParagraph"/>
              <w:spacing w:line="240" w:lineRule="auto" w:before="38"/>
              <w:ind w:left="506" w:right="0"/>
              <w:jc w:val="left"/>
              <w:rPr>
                <w:rFonts w:ascii="宋体" w:hAnsi="宋体" w:cs="宋体" w:eastAsia="宋体" w:hint="default"/>
                <w:sz w:val="21"/>
                <w:szCs w:val="21"/>
              </w:rPr>
            </w:pPr>
            <w:r>
              <w:rPr>
                <w:rFonts w:ascii="宋体"/>
                <w:sz w:val="21"/>
              </w:rPr>
              <w:t>92.60</w:t>
            </w: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4,112,73</w:t>
            </w:r>
          </w:p>
          <w:p>
            <w:pPr>
              <w:pStyle w:val="TableParagraph"/>
              <w:spacing w:line="240" w:lineRule="auto" w:before="38"/>
              <w:ind w:left="538" w:right="0"/>
              <w:jc w:val="left"/>
              <w:rPr>
                <w:rFonts w:ascii="宋体" w:hAnsi="宋体" w:cs="宋体" w:eastAsia="宋体" w:hint="default"/>
                <w:sz w:val="21"/>
                <w:szCs w:val="21"/>
              </w:rPr>
            </w:pPr>
            <w:r>
              <w:rPr>
                <w:rFonts w:ascii="宋体"/>
                <w:sz w:val="21"/>
              </w:rPr>
              <w:t>2.43</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-4,112,732</w:t>
            </w:r>
          </w:p>
          <w:p>
            <w:pPr>
              <w:pStyle w:val="TableParagraph"/>
              <w:spacing w:line="240" w:lineRule="auto" w:before="38"/>
              <w:ind w:right="23"/>
              <w:jc w:val="right"/>
              <w:rPr>
                <w:rFonts w:ascii="宋体" w:hAnsi="宋体" w:cs="宋体" w:eastAsia="宋体" w:hint="default"/>
                <w:sz w:val="21"/>
                <w:szCs w:val="21"/>
              </w:rPr>
            </w:pPr>
            <w:r>
              <w:rPr>
                <w:rFonts w:ascii="宋体"/>
                <w:spacing w:val="-1"/>
                <w:sz w:val="21"/>
              </w:rPr>
              <w:t>.43</w:t>
            </w:r>
            <w:r>
              <w:rPr>
                <w:rFonts w:ascii="宋体"/>
                <w:sz w:val="21"/>
              </w:rPr>
            </w: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6"/>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 备</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．对所有者（或股 东）的分配</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-11,299,69</w:t>
            </w:r>
          </w:p>
          <w:p>
            <w:pPr>
              <w:pStyle w:val="TableParagraph"/>
              <w:spacing w:line="240" w:lineRule="auto" w:before="38"/>
              <w:ind w:left="680" w:right="0"/>
              <w:jc w:val="left"/>
              <w:rPr>
                <w:rFonts w:ascii="宋体" w:hAnsi="宋体" w:cs="宋体" w:eastAsia="宋体" w:hint="default"/>
                <w:sz w:val="21"/>
                <w:szCs w:val="21"/>
              </w:rPr>
            </w:pPr>
            <w:r>
              <w:rPr>
                <w:rFonts w:ascii="宋体"/>
                <w:sz w:val="21"/>
              </w:rPr>
              <w:t>2.60</w:t>
            </w: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6" w:right="0"/>
              <w:jc w:val="left"/>
              <w:rPr>
                <w:rFonts w:ascii="宋体" w:hAnsi="宋体" w:cs="宋体" w:eastAsia="宋体" w:hint="default"/>
                <w:sz w:val="21"/>
                <w:szCs w:val="21"/>
              </w:rPr>
            </w:pPr>
            <w:r>
              <w:rPr>
                <w:rFonts w:ascii="宋体"/>
                <w:sz w:val="21"/>
              </w:rPr>
              <w:t>-11,299,6</w:t>
            </w:r>
          </w:p>
          <w:p>
            <w:pPr>
              <w:pStyle w:val="TableParagraph"/>
              <w:spacing w:line="240" w:lineRule="auto" w:before="38"/>
              <w:ind w:left="506" w:right="0"/>
              <w:jc w:val="left"/>
              <w:rPr>
                <w:rFonts w:ascii="宋体" w:hAnsi="宋体" w:cs="宋体" w:eastAsia="宋体" w:hint="default"/>
                <w:sz w:val="21"/>
                <w:szCs w:val="21"/>
              </w:rPr>
            </w:pPr>
            <w:r>
              <w:rPr>
                <w:rFonts w:ascii="宋体"/>
                <w:sz w:val="21"/>
              </w:rPr>
              <w:t>92.60</w:t>
            </w:r>
          </w:p>
        </w:tc>
      </w:tr>
      <w:tr>
        <w:trPr>
          <w:trHeight w:val="402"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12"/>
                <w:sz w:val="21"/>
                <w:szCs w:val="21"/>
              </w:rPr>
              <w:t>（四）所有者权益内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部结转</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 本（或股本）</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6"/>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 本（或股本）</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 损</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8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6" w:right="0"/>
              <w:jc w:val="left"/>
              <w:rPr>
                <w:rFonts w:ascii="宋体" w:hAnsi="宋体" w:cs="宋体" w:eastAsia="宋体" w:hint="default"/>
                <w:sz w:val="21"/>
                <w:szCs w:val="21"/>
              </w:rPr>
            </w:pPr>
            <w:r>
              <w:rPr>
                <w:rFonts w:ascii="宋体"/>
                <w:sz w:val="21"/>
              </w:rPr>
              <w:t>376,656</w:t>
            </w:r>
          </w:p>
          <w:p>
            <w:pPr>
              <w:pStyle w:val="TableParagraph"/>
              <w:spacing w:line="240" w:lineRule="auto" w:before="38"/>
              <w:ind w:left="46" w:right="0"/>
              <w:jc w:val="left"/>
              <w:rPr>
                <w:rFonts w:ascii="宋体" w:hAnsi="宋体" w:cs="宋体" w:eastAsia="宋体" w:hint="default"/>
                <w:sz w:val="21"/>
                <w:szCs w:val="21"/>
              </w:rPr>
            </w:pPr>
            <w:r>
              <w:rPr>
                <w:rFonts w:ascii="宋体"/>
                <w:sz w:val="21"/>
              </w:rPr>
              <w:t>,420.00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635,546,</w:t>
            </w:r>
          </w:p>
          <w:p>
            <w:pPr>
              <w:pStyle w:val="TableParagraph"/>
              <w:spacing w:line="240" w:lineRule="auto" w:before="38"/>
              <w:ind w:left="330" w:right="0"/>
              <w:jc w:val="left"/>
              <w:rPr>
                <w:rFonts w:ascii="宋体" w:hAnsi="宋体" w:cs="宋体" w:eastAsia="宋体" w:hint="default"/>
                <w:sz w:val="21"/>
                <w:szCs w:val="21"/>
              </w:rPr>
            </w:pPr>
            <w:r>
              <w:rPr>
                <w:rFonts w:ascii="宋体"/>
                <w:sz w:val="21"/>
              </w:rPr>
              <w:t>386.52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53,869,0</w:t>
            </w:r>
          </w:p>
          <w:p>
            <w:pPr>
              <w:pStyle w:val="TableParagraph"/>
              <w:spacing w:line="240" w:lineRule="auto" w:before="38"/>
              <w:ind w:left="434" w:right="0"/>
              <w:jc w:val="left"/>
              <w:rPr>
                <w:rFonts w:ascii="宋体" w:hAnsi="宋体" w:cs="宋体" w:eastAsia="宋体" w:hint="default"/>
                <w:sz w:val="21"/>
                <w:szCs w:val="21"/>
              </w:rPr>
            </w:pPr>
            <w:r>
              <w:rPr>
                <w:rFonts w:ascii="宋体"/>
                <w:sz w:val="21"/>
              </w:rPr>
              <w:t>52.71</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385,454,29</w:t>
            </w:r>
          </w:p>
          <w:p>
            <w:pPr>
              <w:pStyle w:val="TableParagraph"/>
              <w:spacing w:line="240" w:lineRule="auto" w:before="38"/>
              <w:ind w:left="680" w:right="0"/>
              <w:jc w:val="left"/>
              <w:rPr>
                <w:rFonts w:ascii="宋体" w:hAnsi="宋体" w:cs="宋体" w:eastAsia="宋体" w:hint="default"/>
                <w:sz w:val="21"/>
                <w:szCs w:val="21"/>
              </w:rPr>
            </w:pPr>
            <w:r>
              <w:rPr>
                <w:rFonts w:ascii="宋体"/>
                <w:sz w:val="21"/>
              </w:rPr>
              <w:t>2.44</w:t>
            </w:r>
          </w:p>
        </w:tc>
        <w:tc>
          <w:tcPr>
            <w:tcW w:w="74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6" w:right="0"/>
              <w:jc w:val="left"/>
              <w:rPr>
                <w:rFonts w:ascii="宋体" w:hAnsi="宋体" w:cs="宋体" w:eastAsia="宋体" w:hint="default"/>
                <w:sz w:val="21"/>
                <w:szCs w:val="21"/>
              </w:rPr>
            </w:pPr>
            <w:r>
              <w:rPr>
                <w:rFonts w:ascii="宋体"/>
                <w:sz w:val="21"/>
              </w:rPr>
              <w:t>1,451,526</w:t>
            </w:r>
          </w:p>
          <w:p>
            <w:pPr>
              <w:pStyle w:val="TableParagraph"/>
              <w:spacing w:line="240" w:lineRule="auto" w:before="38"/>
              <w:ind w:left="296" w:right="0"/>
              <w:jc w:val="left"/>
              <w:rPr>
                <w:rFonts w:ascii="宋体" w:hAnsi="宋体" w:cs="宋体" w:eastAsia="宋体" w:hint="default"/>
                <w:sz w:val="21"/>
                <w:szCs w:val="21"/>
              </w:rPr>
            </w:pPr>
            <w:r>
              <w:rPr>
                <w:rFonts w:ascii="宋体"/>
                <w:sz w:val="21"/>
              </w:rPr>
              <w:t>,151.67</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560" w:right="0"/>
        </w:sectPr>
      </w:pPr>
    </w:p>
    <w:p>
      <w:pPr>
        <w:pStyle w:val="BodyText"/>
        <w:spacing w:line="240" w:lineRule="auto" w:before="26"/>
        <w:ind w:left="1054" w:right="-20"/>
        <w:jc w:val="left"/>
      </w:pPr>
      <w:r>
        <w:rPr/>
        <w:t>上期金额</w:t>
      </w:r>
    </w:p>
    <w:p>
      <w:pPr>
        <w:spacing w:line="240" w:lineRule="auto" w:before="0"/>
        <w:rPr>
          <w:rFonts w:ascii="宋体" w:hAnsi="宋体" w:cs="宋体" w:eastAsia="宋体" w:hint="default"/>
          <w:sz w:val="20"/>
          <w:szCs w:val="20"/>
        </w:rPr>
      </w:pPr>
      <w:r>
        <w:rPr/>
        <w:br w:type="column"/>
      </w:r>
      <w:r>
        <w:rPr>
          <w:rFonts w:ascii="宋体"/>
          <w:sz w:val="20"/>
        </w:rPr>
      </w:r>
    </w:p>
    <w:p>
      <w:pPr>
        <w:spacing w:before="163"/>
        <w:ind w:left="1035" w:right="1111"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060" w:bottom="1160" w:left="560" w:right="0"/>
          <w:cols w:num="2" w:equalWidth="0">
            <w:col w:w="2015" w:space="6305"/>
            <w:col w:w="3030"/>
          </w:cols>
        </w:sectPr>
      </w:pPr>
    </w:p>
    <w:p>
      <w:pPr>
        <w:spacing w:line="240" w:lineRule="auto" w:before="1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844"/>
        <w:gridCol w:w="6522"/>
        <w:gridCol w:w="992"/>
        <w:gridCol w:w="1204"/>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10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0" w:right="0"/>
              <w:jc w:val="left"/>
              <w:rPr>
                <w:rFonts w:ascii="宋体" w:hAnsi="宋体" w:cs="宋体" w:eastAsia="宋体" w:hint="default"/>
                <w:sz w:val="21"/>
                <w:szCs w:val="21"/>
              </w:rPr>
            </w:pPr>
            <w:r>
              <w:rPr>
                <w:rFonts w:ascii="宋体" w:hAnsi="宋体" w:cs="宋体" w:eastAsia="宋体" w:hint="default"/>
                <w:sz w:val="21"/>
                <w:szCs w:val="21"/>
              </w:rPr>
              <w:t>少数股东</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1" w:right="0"/>
              <w:jc w:val="left"/>
              <w:rPr>
                <w:rFonts w:ascii="宋体" w:hAnsi="宋体" w:cs="宋体" w:eastAsia="宋体" w:hint="default"/>
                <w:sz w:val="21"/>
                <w:szCs w:val="21"/>
              </w:rPr>
            </w:pPr>
            <w:r>
              <w:rPr>
                <w:rFonts w:ascii="宋体" w:hAnsi="宋体" w:cs="宋体" w:eastAsia="宋体" w:hint="default"/>
                <w:sz w:val="21"/>
                <w:szCs w:val="21"/>
              </w:rPr>
              <w:t>所有者权益</w:t>
            </w:r>
          </w:p>
        </w:tc>
      </w:tr>
    </w:tbl>
    <w:p>
      <w:pPr>
        <w:spacing w:after="0" w:line="240" w:lineRule="auto"/>
        <w:jc w:val="left"/>
        <w:rPr>
          <w:rFonts w:ascii="宋体" w:hAnsi="宋体" w:cs="宋体" w:eastAsia="宋体" w:hint="default"/>
          <w:sz w:val="21"/>
          <w:szCs w:val="21"/>
        </w:rPr>
        <w:sectPr>
          <w:type w:val="continuous"/>
          <w:pgSz w:w="11910" w:h="16840"/>
          <w:pgMar w:top="1060" w:bottom="1160" w:left="5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832"/>
        <w:gridCol w:w="851"/>
        <w:gridCol w:w="992"/>
        <w:gridCol w:w="708"/>
        <w:gridCol w:w="708"/>
        <w:gridCol w:w="568"/>
        <w:gridCol w:w="992"/>
        <w:gridCol w:w="708"/>
        <w:gridCol w:w="994"/>
        <w:gridCol w:w="992"/>
        <w:gridCol w:w="1204"/>
      </w:tblGrid>
      <w:tr>
        <w:trPr>
          <w:trHeight w:val="402" w:hRule="exact"/>
        </w:trPr>
        <w:tc>
          <w:tcPr>
            <w:tcW w:w="1832" w:type="dxa"/>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10" w:space="0" w:color="D2D2D2"/>
              <w:right w:val="single" w:sz="4" w:space="0" w:color="000000"/>
            </w:tcBorders>
          </w:tcPr>
          <w:p>
            <w:pPr>
              <w:pStyle w:val="TableParagraph"/>
              <w:spacing w:line="261" w:lineRule="exact"/>
              <w:ind w:left="273"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204" w:type="dxa"/>
            <w:vMerge w:val="restart"/>
            <w:tcBorders>
              <w:top w:val="single" w:sz="4" w:space="0" w:color="000000"/>
              <w:left w:val="single" w:sz="4" w:space="0" w:color="000000"/>
              <w:right w:val="single" w:sz="4" w:space="0" w:color="000000"/>
            </w:tcBorders>
          </w:tcPr>
          <w:p>
            <w:pPr>
              <w:pStyle w:val="TableParagraph"/>
              <w:spacing w:line="261" w:lineRule="exact"/>
              <w:ind w:left="386"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156" w:hRule="exact"/>
        </w:trPr>
        <w:tc>
          <w:tcPr>
            <w:tcW w:w="1832"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39" w:right="33" w:hanging="106"/>
              <w:jc w:val="left"/>
              <w:rPr>
                <w:rFonts w:ascii="宋体" w:hAnsi="宋体" w:cs="宋体" w:eastAsia="宋体" w:hint="default"/>
                <w:sz w:val="21"/>
                <w:szCs w:val="21"/>
              </w:rPr>
            </w:pPr>
            <w:r>
              <w:rPr>
                <w:rFonts w:ascii="宋体" w:hAnsi="宋体" w:cs="宋体" w:eastAsia="宋体" w:hint="default"/>
                <w:sz w:val="21"/>
                <w:szCs w:val="21"/>
              </w:rPr>
              <w:t>减：库 存股</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4" w:right="31"/>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69" w:right="6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992"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4" w:right="31"/>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387" w:right="71" w:hanging="316"/>
              <w:jc w:val="left"/>
              <w:rPr>
                <w:rFonts w:ascii="宋体" w:hAnsi="宋体" w:cs="宋体" w:eastAsia="宋体" w:hint="default"/>
                <w:sz w:val="21"/>
                <w:szCs w:val="21"/>
              </w:rPr>
            </w:pPr>
            <w:r>
              <w:rPr>
                <w:rFonts w:ascii="宋体" w:hAnsi="宋体" w:cs="宋体" w:eastAsia="宋体" w:hint="default"/>
                <w:sz w:val="21"/>
                <w:szCs w:val="21"/>
              </w:rPr>
              <w:t>未分配利 润</w:t>
            </w:r>
          </w:p>
        </w:tc>
        <w:tc>
          <w:tcPr>
            <w:tcW w:w="992" w:type="dxa"/>
            <w:vMerge/>
            <w:tcBorders>
              <w:left w:val="single" w:sz="10" w:space="0" w:color="D2D2D2"/>
              <w:right w:val="single" w:sz="4" w:space="0" w:color="000000"/>
            </w:tcBorders>
          </w:tcPr>
          <w:p>
            <w:pPr/>
          </w:p>
        </w:tc>
        <w:tc>
          <w:tcPr>
            <w:tcW w:w="1204" w:type="dxa"/>
            <w:vMerge/>
            <w:tcBorders>
              <w:left w:val="single" w:sz="4" w:space="0" w:color="000000"/>
              <w:right w:val="single" w:sz="4" w:space="0" w:color="000000"/>
            </w:tcBorders>
          </w:tcPr>
          <w:p>
            <w:pPr/>
          </w:p>
        </w:tc>
      </w:tr>
      <w:tr>
        <w:trPr>
          <w:trHeight w:val="392" w:hRule="exact"/>
        </w:trPr>
        <w:tc>
          <w:tcPr>
            <w:tcW w:w="1832" w:type="dxa"/>
            <w:vMerge/>
            <w:tcBorders>
              <w:left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9" w:space="0" w:color="D2D2D2"/>
              <w:bottom w:val="nil" w:sz="6" w:space="0" w:color="auto"/>
              <w:right w:val="single" w:sz="9" w:space="0" w:color="D2D2D2"/>
            </w:tcBorders>
          </w:tcPr>
          <w:p>
            <w:pPr>
              <w:pStyle w:val="TableParagraph"/>
              <w:spacing w:line="240" w:lineRule="auto" w:before="26"/>
              <w:ind w:left="6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盈余公积</w:t>
            </w:r>
            <w:r>
              <w:rPr>
                <w:rFonts w:ascii="宋体" w:hAnsi="宋体" w:cs="宋体" w:eastAsia="宋体" w:hint="default"/>
                <w:sz w:val="21"/>
                <w:szCs w:val="21"/>
              </w:rPr>
            </w: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92" w:type="dxa"/>
            <w:vMerge/>
            <w:tcBorders>
              <w:left w:val="single" w:sz="10" w:space="0" w:color="D2D2D2"/>
              <w:right w:val="single" w:sz="4" w:space="0" w:color="000000"/>
            </w:tcBorders>
          </w:tcPr>
          <w:p>
            <w:pPr/>
          </w:p>
        </w:tc>
        <w:tc>
          <w:tcPr>
            <w:tcW w:w="1204" w:type="dxa"/>
            <w:vMerge/>
            <w:tcBorders>
              <w:left w:val="single" w:sz="4" w:space="0" w:color="000000"/>
              <w:right w:val="single" w:sz="4" w:space="0" w:color="000000"/>
            </w:tcBorders>
          </w:tcPr>
          <w:p>
            <w:pPr/>
          </w:p>
        </w:tc>
      </w:tr>
      <w:tr>
        <w:trPr>
          <w:trHeight w:val="156" w:hRule="exact"/>
        </w:trPr>
        <w:tc>
          <w:tcPr>
            <w:tcW w:w="1832"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10" w:space="0" w:color="D2D2D2"/>
              <w:right w:val="single" w:sz="4" w:space="0" w:color="000000"/>
            </w:tcBorders>
          </w:tcPr>
          <w:p>
            <w:pPr/>
          </w:p>
        </w:tc>
        <w:tc>
          <w:tcPr>
            <w:tcW w:w="1204" w:type="dxa"/>
            <w:vMerge/>
            <w:tcBorders>
              <w:left w:val="single" w:sz="4" w:space="0" w:color="000000"/>
              <w:right w:val="single" w:sz="4" w:space="0" w:color="000000"/>
            </w:tcBorders>
          </w:tcPr>
          <w:p>
            <w:pPr/>
          </w:p>
        </w:tc>
      </w:tr>
      <w:tr>
        <w:trPr>
          <w:trHeight w:val="402" w:hRule="exact"/>
        </w:trPr>
        <w:tc>
          <w:tcPr>
            <w:tcW w:w="1832"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10" w:space="0" w:color="D2D2D2"/>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Style w:val="TableParagraph"/>
              <w:spacing w:line="240" w:lineRule="auto" w:before="26"/>
              <w:ind w:left="77" w:right="0"/>
              <w:jc w:val="left"/>
              <w:rPr>
                <w:rFonts w:ascii="宋体" w:hAnsi="宋体" w:cs="宋体" w:eastAsia="宋体" w:hint="default"/>
                <w:sz w:val="21"/>
                <w:szCs w:val="21"/>
              </w:rPr>
            </w:pPr>
            <w:r>
              <w:rPr>
                <w:rFonts w:ascii="宋体"/>
                <w:sz w:val="21"/>
              </w:rPr>
              <w:t>221,562</w:t>
            </w:r>
          </w:p>
          <w:p>
            <w:pPr>
              <w:pStyle w:val="TableParagraph"/>
              <w:spacing w:line="240" w:lineRule="auto" w:before="37"/>
              <w:ind w:left="77" w:right="0"/>
              <w:jc w:val="left"/>
              <w:rPr>
                <w:rFonts w:ascii="宋体" w:hAnsi="宋体" w:cs="宋体" w:eastAsia="宋体" w:hint="default"/>
                <w:sz w:val="21"/>
                <w:szCs w:val="21"/>
              </w:rPr>
            </w:pPr>
            <w:r>
              <w:rPr>
                <w:rFonts w:ascii="宋体"/>
                <w:sz w:val="21"/>
              </w:rPr>
              <w:t>,600.00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887,647,</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678.88</w:t>
            </w:r>
          </w:p>
        </w:tc>
        <w:tc>
          <w:tcPr>
            <w:tcW w:w="70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27,500,6</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16.45</w:t>
            </w:r>
          </w:p>
        </w:tc>
        <w:tc>
          <w:tcPr>
            <w:tcW w:w="708"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303,806,</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960.47</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60,466,3</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44.35</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1,500,984,</w:t>
            </w:r>
          </w:p>
          <w:p>
            <w:pPr>
              <w:pStyle w:val="TableParagraph"/>
              <w:spacing w:line="240" w:lineRule="auto" w:before="37"/>
              <w:ind w:left="541" w:right="0"/>
              <w:jc w:val="left"/>
              <w:rPr>
                <w:rFonts w:ascii="宋体" w:hAnsi="宋体" w:cs="宋体" w:eastAsia="宋体" w:hint="default"/>
                <w:sz w:val="21"/>
                <w:szCs w:val="21"/>
              </w:rPr>
            </w:pPr>
            <w:r>
              <w:rPr>
                <w:rFonts w:ascii="宋体"/>
                <w:sz w:val="21"/>
              </w:rPr>
              <w:t>200.15</w:t>
            </w:r>
          </w:p>
        </w:tc>
      </w:tr>
      <w:tr>
        <w:trPr>
          <w:trHeight w:val="392" w:hRule="exact"/>
        </w:trPr>
        <w:tc>
          <w:tcPr>
            <w:tcW w:w="1832" w:type="dxa"/>
            <w:tcBorders>
              <w:top w:val="nil" w:sz="6" w:space="0" w:color="auto"/>
              <w:left w:val="single" w:sz="13" w:space="0" w:color="D2D2D2"/>
              <w:bottom w:val="nil" w:sz="6" w:space="0" w:color="auto"/>
              <w:right w:val="single" w:sz="13" w:space="0" w:color="D2D2D2"/>
            </w:tcBorders>
          </w:tcPr>
          <w:p>
            <w:pPr>
              <w:pStyle w:val="TableParagraph"/>
              <w:tabs>
                <w:tab w:pos="1787" w:val="left" w:leader="none"/>
              </w:tabs>
              <w:spacing w:line="240" w:lineRule="auto" w:before="26"/>
              <w:ind w:left="-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一、上年期末余额</w:t>
              <w:tab/>
            </w:r>
            <w:r>
              <w:rPr>
                <w:rFonts w:ascii="宋体" w:hAnsi="宋体" w:cs="宋体" w:eastAsia="宋体" w:hint="default"/>
                <w:sz w:val="21"/>
                <w:szCs w:val="21"/>
              </w:rPr>
            </w:r>
          </w:p>
        </w:tc>
        <w:tc>
          <w:tcPr>
            <w:tcW w:w="851"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2"/>
              <w:jc w:val="righ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104"/>
                <w:sz w:val="21"/>
                <w:szCs w:val="21"/>
              </w:rPr>
              <w:t>：</w:t>
            </w:r>
            <w:r>
              <w:rPr>
                <w:rFonts w:ascii="宋体" w:hAnsi="宋体" w:cs="宋体" w:eastAsia="宋体" w:hint="default"/>
                <w:sz w:val="21"/>
                <w:szCs w:val="21"/>
              </w:rPr>
              <w:t>会计政策变更</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29"/>
              <w:jc w:val="right"/>
              <w:rPr>
                <w:rFonts w:ascii="宋体" w:hAnsi="宋体" w:cs="宋体" w:eastAsia="宋体" w:hint="default"/>
                <w:sz w:val="21"/>
                <w:szCs w:val="21"/>
              </w:rPr>
            </w:pPr>
            <w:r>
              <w:rPr>
                <w:rFonts w:ascii="宋体" w:hAnsi="宋体" w:cs="宋体" w:eastAsia="宋体" w:hint="default"/>
                <w:sz w:val="21"/>
                <w:szCs w:val="21"/>
              </w:rPr>
              <w:t>前期差错更正</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9" w:firstLine="420"/>
              <w:jc w:val="left"/>
              <w:rPr>
                <w:rFonts w:ascii="宋体" w:hAnsi="宋体" w:cs="宋体" w:eastAsia="宋体" w:hint="default"/>
                <w:sz w:val="21"/>
                <w:szCs w:val="21"/>
              </w:rPr>
            </w:pPr>
            <w:r>
              <w:rPr>
                <w:rFonts w:ascii="宋体" w:hAnsi="宋体" w:cs="宋体" w:eastAsia="宋体" w:hint="default"/>
                <w:sz w:val="21"/>
                <w:szCs w:val="21"/>
              </w:rPr>
              <w:t>同一控制下企 业合并</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Style w:val="TableParagraph"/>
              <w:spacing w:line="240" w:lineRule="auto" w:before="26"/>
              <w:ind w:left="77" w:right="0"/>
              <w:jc w:val="left"/>
              <w:rPr>
                <w:rFonts w:ascii="宋体" w:hAnsi="宋体" w:cs="宋体" w:eastAsia="宋体" w:hint="default"/>
                <w:sz w:val="21"/>
                <w:szCs w:val="21"/>
              </w:rPr>
            </w:pPr>
            <w:r>
              <w:rPr>
                <w:rFonts w:ascii="宋体"/>
                <w:sz w:val="21"/>
              </w:rPr>
              <w:t>221,562</w:t>
            </w:r>
          </w:p>
          <w:p>
            <w:pPr>
              <w:pStyle w:val="TableParagraph"/>
              <w:spacing w:line="240" w:lineRule="auto" w:before="37"/>
              <w:ind w:left="77" w:right="0"/>
              <w:jc w:val="left"/>
              <w:rPr>
                <w:rFonts w:ascii="宋体" w:hAnsi="宋体" w:cs="宋体" w:eastAsia="宋体" w:hint="default"/>
                <w:sz w:val="21"/>
                <w:szCs w:val="21"/>
              </w:rPr>
            </w:pPr>
            <w:r>
              <w:rPr>
                <w:rFonts w:ascii="宋体"/>
                <w:sz w:val="21"/>
              </w:rPr>
              <w:t>,600.00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887,647,</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678.88</w:t>
            </w:r>
          </w:p>
        </w:tc>
        <w:tc>
          <w:tcPr>
            <w:tcW w:w="70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27,500,6</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16.45</w:t>
            </w:r>
          </w:p>
        </w:tc>
        <w:tc>
          <w:tcPr>
            <w:tcW w:w="708"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303,806,</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960.47</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60,466,3</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44.35</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1,500,984,</w:t>
            </w:r>
          </w:p>
          <w:p>
            <w:pPr>
              <w:pStyle w:val="TableParagraph"/>
              <w:spacing w:line="240" w:lineRule="auto" w:before="37"/>
              <w:ind w:left="541" w:right="0"/>
              <w:jc w:val="left"/>
              <w:rPr>
                <w:rFonts w:ascii="宋体" w:hAnsi="宋体" w:cs="宋体" w:eastAsia="宋体" w:hint="default"/>
                <w:sz w:val="21"/>
                <w:szCs w:val="21"/>
              </w:rPr>
            </w:pPr>
            <w:r>
              <w:rPr>
                <w:rFonts w:ascii="宋体"/>
                <w:sz w:val="21"/>
              </w:rPr>
              <w:t>200.15</w:t>
            </w:r>
          </w:p>
        </w:tc>
      </w:tr>
      <w:tr>
        <w:trPr>
          <w:trHeight w:val="392" w:hRule="exact"/>
        </w:trPr>
        <w:tc>
          <w:tcPr>
            <w:tcW w:w="1832" w:type="dxa"/>
            <w:tcBorders>
              <w:top w:val="nil" w:sz="6" w:space="0" w:color="auto"/>
              <w:left w:val="single" w:sz="13" w:space="0" w:color="D2D2D2"/>
              <w:bottom w:val="nil" w:sz="6" w:space="0" w:color="auto"/>
              <w:right w:val="single" w:sz="13" w:space="0" w:color="D2D2D2"/>
            </w:tcBorders>
          </w:tcPr>
          <w:p>
            <w:pPr>
              <w:pStyle w:val="TableParagraph"/>
              <w:tabs>
                <w:tab w:pos="1787" w:val="left" w:leader="none"/>
              </w:tabs>
              <w:spacing w:line="240" w:lineRule="auto" w:before="26"/>
              <w:ind w:left="-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二、本年期初余额</w:t>
              <w:tab/>
            </w:r>
            <w:r>
              <w:rPr>
                <w:rFonts w:ascii="宋体" w:hAnsi="宋体" w:cs="宋体" w:eastAsia="宋体" w:hint="default"/>
                <w:sz w:val="21"/>
                <w:szCs w:val="21"/>
              </w:rPr>
            </w:r>
          </w:p>
        </w:tc>
        <w:tc>
          <w:tcPr>
            <w:tcW w:w="851"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r>
        <w:trPr>
          <w:trHeight w:val="1026"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3"/>
              <w:jc w:val="both"/>
              <w:rPr>
                <w:rFonts w:ascii="宋体" w:hAnsi="宋体" w:cs="宋体" w:eastAsia="宋体" w:hint="default"/>
                <w:sz w:val="21"/>
                <w:szCs w:val="21"/>
              </w:rPr>
            </w:pPr>
            <w:r>
              <w:rPr>
                <w:rFonts w:ascii="宋体" w:hAnsi="宋体" w:cs="宋体" w:eastAsia="宋体" w:hint="default"/>
                <w:spacing w:val="-12"/>
                <w:sz w:val="21"/>
                <w:szCs w:val="21"/>
              </w:rPr>
              <w:t>三、本期增减变动金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2"/>
                <w:sz w:val="21"/>
                <w:szCs w:val="21"/>
              </w:rPr>
              <w:t>额（减少以“－”号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填列）</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71" w:right="0"/>
              <w:jc w:val="left"/>
              <w:rPr>
                <w:rFonts w:ascii="宋体" w:hAnsi="宋体" w:cs="宋体" w:eastAsia="宋体" w:hint="default"/>
                <w:sz w:val="21"/>
                <w:szCs w:val="21"/>
              </w:rPr>
            </w:pPr>
            <w:r>
              <w:rPr>
                <w:rFonts w:ascii="宋体"/>
                <w:sz w:val="21"/>
              </w:rPr>
              <w:t>155,093</w:t>
            </w:r>
          </w:p>
          <w:p>
            <w:pPr>
              <w:pStyle w:val="TableParagraph"/>
              <w:spacing w:line="240" w:lineRule="auto" w:before="37"/>
              <w:ind w:left="71" w:right="0"/>
              <w:jc w:val="left"/>
              <w:rPr>
                <w:rFonts w:ascii="宋体" w:hAnsi="宋体" w:cs="宋体" w:eastAsia="宋体" w:hint="default"/>
                <w:sz w:val="21"/>
                <w:szCs w:val="21"/>
              </w:rPr>
            </w:pPr>
            <w:r>
              <w:rPr>
                <w:rFonts w:ascii="宋体"/>
                <w:sz w:val="21"/>
              </w:rPr>
              <w:t>,820.00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95" w:right="0"/>
              <w:jc w:val="center"/>
              <w:rPr>
                <w:rFonts w:ascii="宋体" w:hAnsi="宋体" w:cs="宋体" w:eastAsia="宋体" w:hint="default"/>
                <w:sz w:val="21"/>
                <w:szCs w:val="21"/>
              </w:rPr>
            </w:pPr>
            <w:r>
              <w:rPr>
                <w:rFonts w:ascii="宋体"/>
                <w:sz w:val="21"/>
              </w:rPr>
              <w:t>-252,101</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,292.36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宋体" w:hAnsi="宋体" w:cs="宋体" w:eastAsia="宋体" w:hint="default"/>
                <w:sz w:val="21"/>
                <w:szCs w:val="21"/>
              </w:rPr>
            </w:pPr>
            <w:r>
              <w:rPr>
                <w:rFonts w:ascii="宋体"/>
                <w:sz w:val="21"/>
              </w:rPr>
              <w:t>22,255,7</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03.83</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21" w:right="0"/>
              <w:jc w:val="left"/>
              <w:rPr>
                <w:rFonts w:ascii="宋体" w:hAnsi="宋体" w:cs="宋体" w:eastAsia="宋体" w:hint="default"/>
                <w:sz w:val="21"/>
                <w:szCs w:val="21"/>
              </w:rPr>
            </w:pPr>
            <w:r>
              <w:rPr>
                <w:rFonts w:ascii="宋体"/>
                <w:sz w:val="21"/>
              </w:rPr>
              <w:t>22,135,9</w:t>
            </w:r>
          </w:p>
          <w:p>
            <w:pPr>
              <w:pStyle w:val="TableParagraph"/>
              <w:spacing w:line="240" w:lineRule="auto" w:before="37"/>
              <w:ind w:left="437" w:right="0"/>
              <w:jc w:val="left"/>
              <w:rPr>
                <w:rFonts w:ascii="宋体" w:hAnsi="宋体" w:cs="宋体" w:eastAsia="宋体" w:hint="default"/>
                <w:sz w:val="21"/>
                <w:szCs w:val="21"/>
              </w:rPr>
            </w:pPr>
            <w:r>
              <w:rPr>
                <w:rFonts w:ascii="宋体"/>
                <w:sz w:val="21"/>
              </w:rPr>
              <w:t>60.14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8" w:right="0"/>
              <w:jc w:val="left"/>
              <w:rPr>
                <w:rFonts w:ascii="宋体" w:hAnsi="宋体" w:cs="宋体" w:eastAsia="宋体" w:hint="default"/>
                <w:sz w:val="21"/>
                <w:szCs w:val="21"/>
              </w:rPr>
            </w:pPr>
            <w:r>
              <w:rPr>
                <w:rFonts w:ascii="宋体"/>
                <w:sz w:val="21"/>
              </w:rPr>
              <w:t>-60,466,</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344.35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21" w:right="0"/>
              <w:jc w:val="left"/>
              <w:rPr>
                <w:rFonts w:ascii="宋体" w:hAnsi="宋体" w:cs="宋体" w:eastAsia="宋体" w:hint="default"/>
                <w:sz w:val="21"/>
                <w:szCs w:val="21"/>
              </w:rPr>
            </w:pPr>
            <w:r>
              <w:rPr>
                <w:rFonts w:ascii="宋体"/>
                <w:sz w:val="21"/>
              </w:rPr>
              <w:t>-113,082,1</w:t>
            </w:r>
          </w:p>
          <w:p>
            <w:pPr>
              <w:pStyle w:val="TableParagraph"/>
              <w:spacing w:line="240" w:lineRule="auto" w:before="37"/>
              <w:ind w:left="646" w:right="0"/>
              <w:jc w:val="left"/>
              <w:rPr>
                <w:rFonts w:ascii="宋体" w:hAnsi="宋体" w:cs="宋体" w:eastAsia="宋体" w:hint="default"/>
                <w:sz w:val="21"/>
                <w:szCs w:val="21"/>
              </w:rPr>
            </w:pPr>
            <w:r>
              <w:rPr>
                <w:rFonts w:ascii="宋体"/>
                <w:sz w:val="21"/>
              </w:rPr>
              <w:t>52.74</w:t>
            </w: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99,007,8</w:t>
            </w:r>
          </w:p>
          <w:p>
            <w:pPr>
              <w:pStyle w:val="TableParagraph"/>
              <w:spacing w:line="240" w:lineRule="auto" w:before="37"/>
              <w:ind w:left="437" w:right="0"/>
              <w:jc w:val="left"/>
              <w:rPr>
                <w:rFonts w:ascii="宋体" w:hAnsi="宋体" w:cs="宋体" w:eastAsia="宋体" w:hint="default"/>
                <w:sz w:val="21"/>
                <w:szCs w:val="21"/>
              </w:rPr>
            </w:pPr>
            <w:r>
              <w:rPr>
                <w:rFonts w:ascii="宋体"/>
                <w:sz w:val="21"/>
              </w:rPr>
              <w:t>10.67</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1,309,28</w:t>
            </w:r>
          </w:p>
          <w:p>
            <w:pPr>
              <w:pStyle w:val="TableParagraph"/>
              <w:spacing w:line="240" w:lineRule="auto" w:before="37"/>
              <w:ind w:left="538" w:right="0"/>
              <w:jc w:val="left"/>
              <w:rPr>
                <w:rFonts w:ascii="宋体" w:hAnsi="宋体" w:cs="宋体" w:eastAsia="宋体" w:hint="default"/>
                <w:sz w:val="21"/>
                <w:szCs w:val="21"/>
              </w:rPr>
            </w:pPr>
            <w:r>
              <w:rPr>
                <w:rFonts w:ascii="宋体"/>
                <w:sz w:val="21"/>
              </w:rPr>
              <w:t>8.44</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100,317,09</w:t>
            </w:r>
          </w:p>
          <w:p>
            <w:pPr>
              <w:pStyle w:val="TableParagraph"/>
              <w:spacing w:line="240" w:lineRule="auto" w:before="37"/>
              <w:ind w:left="751" w:right="0"/>
              <w:jc w:val="left"/>
              <w:rPr>
                <w:rFonts w:ascii="宋体" w:hAnsi="宋体" w:cs="宋体" w:eastAsia="宋体" w:hint="default"/>
                <w:sz w:val="21"/>
                <w:szCs w:val="21"/>
              </w:rPr>
            </w:pPr>
            <w:r>
              <w:rPr>
                <w:rFonts w:ascii="宋体"/>
                <w:sz w:val="21"/>
              </w:rPr>
              <w:t>9.11</w:t>
            </w:r>
          </w:p>
        </w:tc>
      </w:tr>
      <w:tr>
        <w:trPr>
          <w:trHeight w:val="392" w:hRule="exact"/>
        </w:trPr>
        <w:tc>
          <w:tcPr>
            <w:tcW w:w="1832" w:type="dxa"/>
            <w:tcBorders>
              <w:top w:val="nil" w:sz="6" w:space="0" w:color="auto"/>
              <w:left w:val="single" w:sz="13" w:space="0" w:color="D2D2D2"/>
              <w:bottom w:val="nil" w:sz="6" w:space="0" w:color="auto"/>
              <w:right w:val="single" w:sz="13" w:space="0" w:color="D2D2D2"/>
            </w:tcBorders>
          </w:tcPr>
          <w:p>
            <w:pPr>
              <w:pStyle w:val="TableParagraph"/>
              <w:spacing w:line="240" w:lineRule="auto" w:before="26"/>
              <w:ind w:left="-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（一</w:t>
            </w:r>
            <w:r>
              <w:rPr>
                <w:rFonts w:ascii="宋体" w:hAnsi="宋体" w:cs="宋体" w:eastAsia="宋体" w:hint="default"/>
                <w:spacing w:val="-104"/>
                <w:sz w:val="21"/>
                <w:szCs w:val="21"/>
                <w:shd w:fill="D2D2D2" w:color="auto" w:val="clear"/>
              </w:rPr>
              <w:t>）</w:t>
            </w:r>
            <w:r>
              <w:rPr>
                <w:rFonts w:ascii="宋体" w:hAnsi="宋体" w:cs="宋体" w:eastAsia="宋体" w:hint="default"/>
                <w:sz w:val="21"/>
                <w:szCs w:val="21"/>
                <w:shd w:fill="D2D2D2" w:color="auto" w:val="clear"/>
              </w:rPr>
              <w:t>综合收益总额</w:t>
            </w:r>
            <w:r>
              <w:rPr>
                <w:rFonts w:ascii="宋体" w:hAnsi="宋体" w:cs="宋体" w:eastAsia="宋体" w:hint="default"/>
                <w:sz w:val="21"/>
                <w:szCs w:val="21"/>
              </w:rPr>
            </w:r>
          </w:p>
        </w:tc>
        <w:tc>
          <w:tcPr>
            <w:tcW w:w="851"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2"/>
              <w:jc w:val="left"/>
              <w:rPr>
                <w:rFonts w:ascii="宋体" w:hAnsi="宋体" w:cs="宋体" w:eastAsia="宋体" w:hint="default"/>
                <w:sz w:val="21"/>
                <w:szCs w:val="21"/>
              </w:rPr>
            </w:pPr>
            <w:r>
              <w:rPr>
                <w:rFonts w:ascii="宋体" w:hAnsi="宋体" w:cs="宋体" w:eastAsia="宋体" w:hint="default"/>
                <w:spacing w:val="-12"/>
                <w:sz w:val="21"/>
                <w:szCs w:val="21"/>
              </w:rPr>
              <w:t>（二）所有者投入和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减少资本</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4"/>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．股东投入的普通 股</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．其他权益工具持 有者投入资本</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4"/>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．股份支付计入所 有者权益的金额</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22,255,7</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03.83</w:t>
            </w:r>
          </w:p>
        </w:tc>
        <w:tc>
          <w:tcPr>
            <w:tcW w:w="708"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-84,293,</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231.83</w:t>
            </w:r>
          </w:p>
        </w:tc>
        <w:tc>
          <w:tcPr>
            <w:tcW w:w="992" w:type="dxa"/>
            <w:vMerge w:val="restart"/>
            <w:tcBorders>
              <w:top w:val="single" w:sz="4" w:space="0" w:color="000000"/>
              <w:left w:val="single" w:sz="4" w:space="0" w:color="000000"/>
              <w:right w:val="single" w:sz="4" w:space="0" w:color="000000"/>
            </w:tcBorders>
          </w:tcPr>
          <w:p>
            <w:pP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-62,037,52</w:t>
            </w:r>
          </w:p>
          <w:p>
            <w:pPr>
              <w:pStyle w:val="TableParagraph"/>
              <w:spacing w:line="240" w:lineRule="auto" w:before="37"/>
              <w:ind w:left="751" w:right="0"/>
              <w:jc w:val="left"/>
              <w:rPr>
                <w:rFonts w:ascii="宋体" w:hAnsi="宋体" w:cs="宋体" w:eastAsia="宋体" w:hint="default"/>
                <w:sz w:val="21"/>
                <w:szCs w:val="21"/>
              </w:rPr>
            </w:pPr>
            <w:r>
              <w:rPr>
                <w:rFonts w:ascii="宋体"/>
                <w:sz w:val="21"/>
              </w:rPr>
              <w:t>8.00</w:t>
            </w:r>
          </w:p>
        </w:tc>
      </w:tr>
      <w:tr>
        <w:trPr>
          <w:trHeight w:val="392" w:hRule="exact"/>
        </w:trPr>
        <w:tc>
          <w:tcPr>
            <w:tcW w:w="1832" w:type="dxa"/>
            <w:tcBorders>
              <w:top w:val="nil" w:sz="6" w:space="0" w:color="auto"/>
              <w:left w:val="single" w:sz="13" w:space="0" w:color="D2D2D2"/>
              <w:bottom w:val="nil" w:sz="6" w:space="0" w:color="auto"/>
              <w:right w:val="single" w:sz="13" w:space="0" w:color="D2D2D2"/>
            </w:tcBorders>
          </w:tcPr>
          <w:p>
            <w:pPr>
              <w:pStyle w:val="TableParagraph"/>
              <w:tabs>
                <w:tab w:pos="1787" w:val="left" w:leader="none"/>
              </w:tabs>
              <w:spacing w:line="240" w:lineRule="auto" w:before="26"/>
              <w:ind w:left="-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（三）利润分配</w:t>
              <w:tab/>
            </w:r>
            <w:r>
              <w:rPr>
                <w:rFonts w:ascii="宋体" w:hAnsi="宋体" w:cs="宋体" w:eastAsia="宋体" w:hint="default"/>
                <w:sz w:val="21"/>
                <w:szCs w:val="21"/>
              </w:rPr>
            </w:r>
          </w:p>
        </w:tc>
        <w:tc>
          <w:tcPr>
            <w:tcW w:w="851"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22,255,7</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03.83</w:t>
            </w:r>
          </w:p>
        </w:tc>
        <w:tc>
          <w:tcPr>
            <w:tcW w:w="708"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-22,255,</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703.83</w:t>
            </w:r>
          </w:p>
        </w:tc>
        <w:tc>
          <w:tcPr>
            <w:tcW w:w="992" w:type="dxa"/>
            <w:vMerge w:val="restart"/>
            <w:tcBorders>
              <w:top w:val="single" w:sz="4" w:space="0" w:color="000000"/>
              <w:left w:val="single" w:sz="4" w:space="0" w:color="000000"/>
              <w:right w:val="single" w:sz="4" w:space="0" w:color="000000"/>
            </w:tcBorders>
          </w:tcPr>
          <w:p>
            <w:pPr/>
          </w:p>
        </w:tc>
        <w:tc>
          <w:tcPr>
            <w:tcW w:w="1204" w:type="dxa"/>
            <w:vMerge w:val="restart"/>
            <w:tcBorders>
              <w:top w:val="single" w:sz="4" w:space="0" w:color="000000"/>
              <w:left w:val="single" w:sz="4" w:space="0" w:color="000000"/>
              <w:right w:val="single" w:sz="4" w:space="0" w:color="000000"/>
            </w:tcBorders>
          </w:tcPr>
          <w:p>
            <w:pPr/>
          </w:p>
        </w:tc>
      </w:tr>
      <w:tr>
        <w:trPr>
          <w:trHeight w:val="392" w:hRule="exact"/>
        </w:trPr>
        <w:tc>
          <w:tcPr>
            <w:tcW w:w="1832" w:type="dxa"/>
            <w:tcBorders>
              <w:top w:val="nil" w:sz="6" w:space="0" w:color="auto"/>
              <w:left w:val="single" w:sz="13" w:space="0" w:color="D2D2D2"/>
              <w:bottom w:val="nil" w:sz="6" w:space="0" w:color="auto"/>
              <w:right w:val="single" w:sz="13" w:space="0" w:color="D2D2D2"/>
            </w:tcBorders>
          </w:tcPr>
          <w:p>
            <w:pPr>
              <w:pStyle w:val="TableParagraph"/>
              <w:tabs>
                <w:tab w:pos="1787" w:val="left" w:leader="none"/>
              </w:tabs>
              <w:spacing w:line="240" w:lineRule="auto" w:before="26"/>
              <w:ind w:left="-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1</w:t>
            </w:r>
            <w:r>
              <w:rPr>
                <w:rFonts w:ascii="宋体" w:hAnsi="宋体" w:cs="宋体" w:eastAsia="宋体" w:hint="default"/>
                <w:sz w:val="21"/>
                <w:szCs w:val="21"/>
                <w:shd w:fill="D2D2D2" w:color="auto" w:val="clear"/>
              </w:rPr>
              <w:t>．提取盈余公积</w:t>
              <w:tab/>
            </w:r>
            <w:r>
              <w:rPr>
                <w:rFonts w:ascii="宋体" w:hAnsi="宋体" w:cs="宋体" w:eastAsia="宋体" w:hint="default"/>
                <w:sz w:val="21"/>
                <w:szCs w:val="21"/>
              </w:rPr>
            </w:r>
          </w:p>
        </w:tc>
        <w:tc>
          <w:tcPr>
            <w:tcW w:w="851"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 备</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4"/>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．对所有者（或股 东）的分配</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-62,037,</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528.00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-62,037,52</w:t>
            </w:r>
          </w:p>
          <w:p>
            <w:pPr>
              <w:pStyle w:val="TableParagraph"/>
              <w:spacing w:line="240" w:lineRule="auto" w:before="37"/>
              <w:ind w:left="751" w:right="0"/>
              <w:jc w:val="left"/>
              <w:rPr>
                <w:rFonts w:ascii="宋体" w:hAnsi="宋体" w:cs="宋体" w:eastAsia="宋体" w:hint="default"/>
                <w:sz w:val="21"/>
                <w:szCs w:val="21"/>
              </w:rPr>
            </w:pPr>
            <w:r>
              <w:rPr>
                <w:rFonts w:ascii="宋体"/>
                <w:sz w:val="21"/>
              </w:rPr>
              <w:t>8.00</w:t>
            </w: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51"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2"/>
              <w:jc w:val="left"/>
              <w:rPr>
                <w:rFonts w:ascii="宋体" w:hAnsi="宋体" w:cs="宋体" w:eastAsia="宋体" w:hint="default"/>
                <w:sz w:val="21"/>
                <w:szCs w:val="21"/>
              </w:rPr>
            </w:pPr>
            <w:r>
              <w:rPr>
                <w:rFonts w:ascii="宋体" w:hAnsi="宋体" w:cs="宋体" w:eastAsia="宋体" w:hint="default"/>
                <w:spacing w:val="-12"/>
                <w:sz w:val="21"/>
                <w:szCs w:val="21"/>
              </w:rPr>
              <w:t>（四）所有者权益内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部结转</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71" w:right="0"/>
              <w:jc w:val="left"/>
              <w:rPr>
                <w:rFonts w:ascii="宋体" w:hAnsi="宋体" w:cs="宋体" w:eastAsia="宋体" w:hint="default"/>
                <w:sz w:val="21"/>
                <w:szCs w:val="21"/>
              </w:rPr>
            </w:pPr>
            <w:r>
              <w:rPr>
                <w:rFonts w:ascii="宋体"/>
                <w:sz w:val="21"/>
              </w:rPr>
              <w:t>155,093</w:t>
            </w:r>
          </w:p>
          <w:p>
            <w:pPr>
              <w:pStyle w:val="TableParagraph"/>
              <w:spacing w:line="240" w:lineRule="auto" w:before="37"/>
              <w:ind w:left="386" w:right="0"/>
              <w:jc w:val="left"/>
              <w:rPr>
                <w:rFonts w:ascii="宋体" w:hAnsi="宋体" w:cs="宋体" w:eastAsia="宋体" w:hint="default"/>
                <w:sz w:val="21"/>
                <w:szCs w:val="21"/>
              </w:rPr>
            </w:pPr>
            <w:r>
              <w:rPr>
                <w:rFonts w:ascii="宋体"/>
                <w:sz w:val="21"/>
              </w:rPr>
              <w:t>,820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sz w:val="21"/>
              </w:rPr>
              <w:t>-155,093</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,820.00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5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1843"/>
        <w:gridCol w:w="851"/>
        <w:gridCol w:w="992"/>
        <w:gridCol w:w="708"/>
        <w:gridCol w:w="708"/>
        <w:gridCol w:w="568"/>
        <w:gridCol w:w="992"/>
        <w:gridCol w:w="708"/>
        <w:gridCol w:w="994"/>
        <w:gridCol w:w="992"/>
        <w:gridCol w:w="1204"/>
      </w:tblGrid>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4"/>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 本（或股本）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 w:right="0"/>
              <w:jc w:val="left"/>
              <w:rPr>
                <w:rFonts w:ascii="宋体" w:hAnsi="宋体" w:cs="宋体" w:eastAsia="宋体" w:hint="default"/>
                <w:sz w:val="21"/>
                <w:szCs w:val="21"/>
              </w:rPr>
            </w:pPr>
            <w:r>
              <w:rPr>
                <w:rFonts w:ascii="宋体"/>
                <w:sz w:val="21"/>
              </w:rPr>
              <w:t>155,093</w:t>
            </w:r>
          </w:p>
          <w:p>
            <w:pPr>
              <w:pStyle w:val="TableParagraph"/>
              <w:spacing w:line="240" w:lineRule="auto" w:before="38"/>
              <w:ind w:left="398" w:right="0"/>
              <w:jc w:val="left"/>
              <w:rPr>
                <w:rFonts w:ascii="宋体" w:hAnsi="宋体" w:cs="宋体" w:eastAsia="宋体" w:hint="default"/>
                <w:sz w:val="21"/>
                <w:szCs w:val="21"/>
              </w:rPr>
            </w:pPr>
            <w:r>
              <w:rPr>
                <w:rFonts w:ascii="宋体"/>
                <w:sz w:val="21"/>
              </w:rPr>
              <w:t>,820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sz w:val="21"/>
              </w:rPr>
              <w:t>-155,093</w:t>
            </w:r>
          </w:p>
          <w:p>
            <w:pPr>
              <w:pStyle w:val="TableParagraph"/>
              <w:spacing w:line="240" w:lineRule="auto" w:before="38"/>
              <w:ind w:left="201" w:right="0"/>
              <w:jc w:val="center"/>
              <w:rPr>
                <w:rFonts w:ascii="宋体" w:hAnsi="宋体" w:cs="宋体" w:eastAsia="宋体" w:hint="default"/>
                <w:sz w:val="21"/>
                <w:szCs w:val="21"/>
              </w:rPr>
            </w:pPr>
            <w:r>
              <w:rPr>
                <w:rFonts w:ascii="宋体"/>
                <w:sz w:val="21"/>
              </w:rPr>
              <w:t>,820.00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 本（或股本）</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4"/>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 损</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-97,007,</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472.36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7,421,38</w:t>
            </w:r>
          </w:p>
          <w:p>
            <w:pPr>
              <w:pStyle w:val="TableParagraph"/>
              <w:spacing w:line="240" w:lineRule="auto" w:before="38"/>
              <w:ind w:left="541" w:right="0"/>
              <w:jc w:val="left"/>
              <w:rPr>
                <w:rFonts w:ascii="宋体" w:hAnsi="宋体" w:cs="宋体" w:eastAsia="宋体" w:hint="default"/>
                <w:sz w:val="21"/>
                <w:szCs w:val="21"/>
              </w:rPr>
            </w:pPr>
            <w:r>
              <w:rPr>
                <w:rFonts w:ascii="宋体"/>
                <w:sz w:val="21"/>
              </w:rPr>
              <w:t>1.30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-61,775,</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632.79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-151,361,7</w:t>
            </w:r>
          </w:p>
          <w:p>
            <w:pPr>
              <w:pStyle w:val="TableParagraph"/>
              <w:spacing w:line="240" w:lineRule="auto" w:before="38"/>
              <w:ind w:left="646" w:right="0"/>
              <w:jc w:val="left"/>
              <w:rPr>
                <w:rFonts w:ascii="宋体" w:hAnsi="宋体" w:cs="宋体" w:eastAsia="宋体" w:hint="default"/>
                <w:sz w:val="21"/>
                <w:szCs w:val="21"/>
              </w:rPr>
            </w:pPr>
            <w:r>
              <w:rPr>
                <w:rFonts w:ascii="宋体"/>
                <w:sz w:val="21"/>
              </w:rPr>
              <w:t>23.85</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 w:right="0"/>
              <w:jc w:val="left"/>
              <w:rPr>
                <w:rFonts w:ascii="宋体" w:hAnsi="宋体" w:cs="宋体" w:eastAsia="宋体" w:hint="default"/>
                <w:sz w:val="21"/>
                <w:szCs w:val="21"/>
              </w:rPr>
            </w:pPr>
            <w:r>
              <w:rPr>
                <w:rFonts w:ascii="宋体"/>
                <w:sz w:val="21"/>
              </w:rPr>
              <w:t>376,656</w:t>
            </w:r>
          </w:p>
          <w:p>
            <w:pPr>
              <w:pStyle w:val="TableParagraph"/>
              <w:spacing w:line="240" w:lineRule="auto" w:before="38"/>
              <w:ind w:left="84" w:right="0"/>
              <w:jc w:val="left"/>
              <w:rPr>
                <w:rFonts w:ascii="宋体" w:hAnsi="宋体" w:cs="宋体" w:eastAsia="宋体" w:hint="default"/>
                <w:sz w:val="21"/>
                <w:szCs w:val="21"/>
              </w:rPr>
            </w:pPr>
            <w:r>
              <w:rPr>
                <w:rFonts w:ascii="宋体"/>
                <w:sz w:val="21"/>
              </w:rPr>
              <w:t>,420.00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635,546,</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386.52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49,756,3</w:t>
            </w:r>
          </w:p>
          <w:p>
            <w:pPr>
              <w:pStyle w:val="TableParagraph"/>
              <w:spacing w:line="240" w:lineRule="auto" w:before="38"/>
              <w:ind w:left="435" w:right="0"/>
              <w:jc w:val="left"/>
              <w:rPr>
                <w:rFonts w:ascii="宋体" w:hAnsi="宋体" w:cs="宋体" w:eastAsia="宋体" w:hint="default"/>
                <w:sz w:val="21"/>
                <w:szCs w:val="21"/>
              </w:rPr>
            </w:pPr>
            <w:r>
              <w:rPr>
                <w:rFonts w:ascii="宋体"/>
                <w:sz w:val="21"/>
              </w:rPr>
              <w:t>20.28</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325,942,</w:t>
            </w:r>
          </w:p>
          <w:p>
            <w:pPr>
              <w:pStyle w:val="TableParagraph"/>
              <w:spacing w:line="240" w:lineRule="auto" w:before="38"/>
              <w:ind w:left="331" w:right="0"/>
              <w:jc w:val="left"/>
              <w:rPr>
                <w:rFonts w:ascii="宋体" w:hAnsi="宋体" w:cs="宋体" w:eastAsia="宋体" w:hint="default"/>
                <w:sz w:val="21"/>
                <w:szCs w:val="21"/>
              </w:rPr>
            </w:pPr>
            <w:r>
              <w:rPr>
                <w:rFonts w:ascii="宋体"/>
                <w:sz w:val="21"/>
              </w:rPr>
              <w:t>920.61</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1,387,902,</w:t>
            </w:r>
          </w:p>
          <w:p>
            <w:pPr>
              <w:pStyle w:val="TableParagraph"/>
              <w:spacing w:line="240" w:lineRule="auto" w:before="38"/>
              <w:ind w:left="541" w:right="0"/>
              <w:jc w:val="left"/>
              <w:rPr>
                <w:rFonts w:ascii="宋体" w:hAnsi="宋体" w:cs="宋体" w:eastAsia="宋体" w:hint="default"/>
                <w:sz w:val="21"/>
                <w:szCs w:val="21"/>
              </w:rPr>
            </w:pPr>
            <w:r>
              <w:rPr>
                <w:rFonts w:ascii="宋体"/>
                <w:sz w:val="21"/>
              </w:rPr>
              <w:t>047.41</w:t>
            </w:r>
          </w:p>
        </w:tc>
      </w:tr>
    </w:tbl>
    <w:p>
      <w:pPr>
        <w:spacing w:line="240" w:lineRule="auto" w:before="5"/>
        <w:rPr>
          <w:rFonts w:ascii="Times New Roman" w:hAnsi="Times New Roman" w:cs="Times New Roman" w:eastAsia="Times New Roman" w:hint="default"/>
          <w:sz w:val="5"/>
          <w:szCs w:val="5"/>
        </w:rPr>
      </w:pPr>
    </w:p>
    <w:p>
      <w:pPr>
        <w:spacing w:after="0" w:line="240" w:lineRule="auto"/>
        <w:rPr>
          <w:rFonts w:ascii="Times New Roman" w:hAnsi="Times New Roman" w:cs="Times New Roman" w:eastAsia="Times New Roman" w:hint="default"/>
          <w:sz w:val="5"/>
          <w:szCs w:val="5"/>
        </w:rPr>
        <w:sectPr>
          <w:pgSz w:w="11910" w:h="16840"/>
          <w:pgMar w:header="747" w:footer="979" w:top="1060" w:bottom="1160" w:left="540" w:right="0"/>
        </w:sectPr>
      </w:pPr>
    </w:p>
    <w:p>
      <w:pPr>
        <w:spacing w:line="352" w:lineRule="auto" w:before="26"/>
        <w:ind w:left="1073" w:right="0" w:firstLine="2"/>
        <w:jc w:val="left"/>
        <w:rPr>
          <w:rFonts w:ascii="宋体" w:hAnsi="宋体" w:cs="宋体" w:eastAsia="宋体" w:hint="default"/>
          <w:sz w:val="24"/>
          <w:szCs w:val="24"/>
        </w:rPr>
      </w:pPr>
      <w:r>
        <w:rPr>
          <w:rFonts w:ascii="宋体" w:hAnsi="宋体" w:cs="宋体" w:eastAsia="宋体" w:hint="default"/>
          <w:b/>
          <w:bCs/>
          <w:w w:val="95"/>
          <w:sz w:val="24"/>
          <w:szCs w:val="24"/>
        </w:rPr>
        <w:t>8</w:t>
      </w:r>
      <w:r>
        <w:rPr>
          <w:rFonts w:ascii="宋体" w:hAnsi="宋体" w:cs="宋体" w:eastAsia="宋体" w:hint="default"/>
          <w:b/>
          <w:bCs/>
          <w:w w:val="95"/>
          <w:sz w:val="24"/>
          <w:szCs w:val="24"/>
        </w:rPr>
        <w:t>、母公司所有者权益变动表</w:t>
      </w:r>
      <w:r>
        <w:rPr>
          <w:rFonts w:ascii="宋体" w:hAnsi="宋体" w:cs="宋体" w:eastAsia="宋体" w:hint="default"/>
          <w:b/>
          <w:bCs/>
          <w:spacing w:val="25"/>
          <w:w w:val="95"/>
          <w:sz w:val="24"/>
          <w:szCs w:val="24"/>
        </w:rPr>
        <w:t> </w:t>
      </w:r>
      <w:r>
        <w:rPr>
          <w:rFonts w:ascii="宋体" w:hAnsi="宋体" w:cs="宋体" w:eastAsia="宋体" w:hint="default"/>
          <w:b/>
          <w:bCs/>
          <w:spacing w:val="25"/>
          <w:w w:val="95"/>
          <w:sz w:val="24"/>
          <w:szCs w:val="24"/>
        </w:rPr>
      </w:r>
      <w:r>
        <w:rPr>
          <w:rFonts w:ascii="宋体" w:hAnsi="宋体" w:cs="宋体" w:eastAsia="宋体" w:hint="default"/>
          <w:sz w:val="24"/>
          <w:szCs w:val="24"/>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0"/>
        <w:ind w:left="1055" w:right="1111"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060" w:bottom="1160" w:left="540" w:right="0"/>
          <w:cols w:num="2" w:equalWidth="0">
            <w:col w:w="4088" w:space="4232"/>
            <w:col w:w="3050"/>
          </w:cols>
        </w:sectPr>
      </w:pPr>
    </w:p>
    <w:p>
      <w:pPr>
        <w:spacing w:line="240" w:lineRule="auto" w:before="0"/>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2812"/>
        <w:gridCol w:w="1430"/>
        <w:gridCol w:w="1134"/>
        <w:gridCol w:w="709"/>
        <w:gridCol w:w="708"/>
        <w:gridCol w:w="566"/>
        <w:gridCol w:w="994"/>
        <w:gridCol w:w="1134"/>
        <w:gridCol w:w="1134"/>
      </w:tblGrid>
      <w:tr>
        <w:trPr>
          <w:trHeight w:val="397" w:hRule="exact"/>
        </w:trPr>
        <w:tc>
          <w:tcPr>
            <w:tcW w:w="2812" w:type="dxa"/>
            <w:vMerge w:val="restart"/>
            <w:tcBorders>
              <w:top w:val="single" w:sz="4" w:space="0" w:color="000000"/>
              <w:left w:val="single" w:sz="4" w:space="0" w:color="000000"/>
              <w:right w:val="single" w:sz="4" w:space="0" w:color="000000"/>
            </w:tcBorders>
            <w:shd w:val="clear" w:color="auto" w:fill="D2D2D2"/>
          </w:tcPr>
          <w:p>
            <w:pPr/>
          </w:p>
        </w:tc>
        <w:tc>
          <w:tcPr>
            <w:tcW w:w="781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188" w:hRule="exact"/>
        </w:trPr>
        <w:tc>
          <w:tcPr>
            <w:tcW w:w="2812"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7" w:hRule="exact"/>
        </w:trPr>
        <w:tc>
          <w:tcPr>
            <w:tcW w:w="2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3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139" w:right="35" w:hanging="106"/>
              <w:jc w:val="left"/>
              <w:rPr>
                <w:rFonts w:ascii="宋体" w:hAnsi="宋体" w:cs="宋体" w:eastAsia="宋体" w:hint="default"/>
                <w:sz w:val="21"/>
                <w:szCs w:val="21"/>
              </w:rPr>
            </w:pPr>
            <w:r>
              <w:rPr>
                <w:rFonts w:ascii="宋体" w:hAnsi="宋体" w:cs="宋体" w:eastAsia="宋体" w:hint="default"/>
                <w:sz w:val="21"/>
                <w:szCs w:val="21"/>
              </w:rPr>
              <w:t>减：库 存股</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33" w:right="32"/>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68" w:right="6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99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351" w:right="36" w:hanging="316"/>
              <w:jc w:val="left"/>
              <w:rPr>
                <w:rFonts w:ascii="宋体" w:hAnsi="宋体" w:cs="宋体" w:eastAsia="宋体" w:hint="default"/>
                <w:sz w:val="21"/>
                <w:szCs w:val="21"/>
              </w:rPr>
            </w:pPr>
            <w:r>
              <w:rPr>
                <w:rFonts w:ascii="宋体" w:hAnsi="宋体" w:cs="宋体" w:eastAsia="宋体" w:hint="default"/>
                <w:sz w:val="21"/>
                <w:szCs w:val="21"/>
              </w:rPr>
              <w:t>所有者权益 合计</w:t>
            </w:r>
          </w:p>
        </w:tc>
      </w:tr>
      <w:tr>
        <w:trPr>
          <w:trHeight w:val="192" w:hRule="exact"/>
        </w:trPr>
        <w:tc>
          <w:tcPr>
            <w:tcW w:w="2812"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23" w:space="0" w:color="D2D2D2"/>
              <w:right w:val="single" w:sz="9" w:space="0" w:color="D2D2D2"/>
            </w:tcBorders>
          </w:tcPr>
          <w:p>
            <w:pPr>
              <w:pStyle w:val="TableParagraph"/>
              <w:spacing w:line="240" w:lineRule="auto" w:before="26"/>
              <w:ind w:left="4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盈余公积</w:t>
            </w:r>
            <w:r>
              <w:rPr>
                <w:rFonts w:ascii="宋体" w:hAnsi="宋体" w:cs="宋体" w:eastAsia="宋体" w:hint="default"/>
                <w:sz w:val="21"/>
                <w:szCs w:val="21"/>
              </w:rPr>
            </w:r>
          </w:p>
        </w:tc>
        <w:tc>
          <w:tcPr>
            <w:tcW w:w="1134" w:type="dxa"/>
            <w:vMerge w:val="restart"/>
            <w:tcBorders>
              <w:top w:val="nil" w:sz="6" w:space="0" w:color="auto"/>
              <w:left w:val="single" w:sz="9" w:space="0" w:color="D2D2D2"/>
              <w:right w:val="single" w:sz="23" w:space="0" w:color="D2D2D2"/>
            </w:tcBorders>
          </w:tcPr>
          <w:p>
            <w:pPr>
              <w:pStyle w:val="TableParagraph"/>
              <w:spacing w:line="240" w:lineRule="auto" w:before="26"/>
              <w:ind w:left="2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未分配利润</w:t>
            </w:r>
            <w:r>
              <w:rPr>
                <w:rFonts w:ascii="宋体" w:hAnsi="宋体" w:cs="宋体" w:eastAsia="宋体" w:hint="default"/>
                <w:sz w:val="21"/>
                <w:szCs w:val="21"/>
              </w:rPr>
            </w:r>
          </w:p>
        </w:tc>
        <w:tc>
          <w:tcPr>
            <w:tcW w:w="1134" w:type="dxa"/>
            <w:vMerge/>
            <w:tcBorders>
              <w:left w:val="single" w:sz="4" w:space="0" w:color="000000"/>
              <w:right w:val="single" w:sz="4" w:space="0" w:color="000000"/>
            </w:tcBorders>
            <w:shd w:val="clear" w:color="auto" w:fill="D2D2D2"/>
          </w:tcPr>
          <w:p>
            <w:pPr/>
          </w:p>
        </w:tc>
      </w:tr>
      <w:tr>
        <w:trPr>
          <w:trHeight w:val="200" w:hRule="exact"/>
        </w:trPr>
        <w:tc>
          <w:tcPr>
            <w:tcW w:w="2812" w:type="dxa"/>
            <w:vMerge w:val="restart"/>
            <w:tcBorders>
              <w:top w:val="nil" w:sz="6" w:space="0" w:color="auto"/>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4" w:type="dxa"/>
            <w:vMerge/>
            <w:tcBorders>
              <w:left w:val="single" w:sz="23" w:space="0" w:color="D2D2D2"/>
              <w:bottom w:val="nil" w:sz="6" w:space="0" w:color="auto"/>
              <w:right w:val="single" w:sz="9" w:space="0" w:color="D2D2D2"/>
            </w:tcBorders>
          </w:tcPr>
          <w:p>
            <w:pPr/>
          </w:p>
        </w:tc>
        <w:tc>
          <w:tcPr>
            <w:tcW w:w="1134" w:type="dxa"/>
            <w:vMerge/>
            <w:tcBorders>
              <w:left w:val="single" w:sz="9" w:space="0" w:color="D2D2D2"/>
              <w:bottom w:val="nil" w:sz="6" w:space="0" w:color="auto"/>
              <w:right w:val="single" w:sz="23" w:space="0" w:color="D2D2D2"/>
            </w:tcBorders>
          </w:tcPr>
          <w:p>
            <w:pPr/>
          </w:p>
        </w:tc>
        <w:tc>
          <w:tcPr>
            <w:tcW w:w="1134" w:type="dxa"/>
            <w:vMerge/>
            <w:tcBorders>
              <w:left w:val="single" w:sz="4" w:space="0" w:color="000000"/>
              <w:right w:val="single" w:sz="4" w:space="0" w:color="000000"/>
            </w:tcBorders>
            <w:shd w:val="clear" w:color="auto" w:fill="D2D2D2"/>
          </w:tcPr>
          <w:p>
            <w:pPr/>
          </w:p>
        </w:tc>
      </w:tr>
      <w:tr>
        <w:trPr>
          <w:trHeight w:val="156" w:hRule="exact"/>
        </w:trPr>
        <w:tc>
          <w:tcPr>
            <w:tcW w:w="2812" w:type="dxa"/>
            <w:vMerge/>
            <w:tcBorders>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812"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8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9" w:space="0" w:color="D2D2D2"/>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376,656,420.</w:t>
            </w:r>
          </w:p>
          <w:p>
            <w:pPr>
              <w:pStyle w:val="TableParagraph"/>
              <w:spacing w:line="240" w:lineRule="auto" w:before="37"/>
              <w:ind w:right="21"/>
              <w:jc w:val="right"/>
              <w:rPr>
                <w:rFonts w:ascii="宋体" w:hAnsi="宋体" w:cs="宋体" w:eastAsia="宋体" w:hint="default"/>
                <w:sz w:val="21"/>
                <w:szCs w:val="21"/>
              </w:rPr>
            </w:pPr>
            <w:r>
              <w:rPr>
                <w:rFonts w:ascii="宋体"/>
                <w:sz w:val="21"/>
              </w:rPr>
              <w:t>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732,553,85</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8.88</w:t>
            </w:r>
          </w:p>
        </w:tc>
        <w:tc>
          <w:tcPr>
            <w:tcW w:w="70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49,756,3</w:t>
            </w:r>
          </w:p>
          <w:p>
            <w:pPr>
              <w:pStyle w:val="TableParagraph"/>
              <w:spacing w:line="240" w:lineRule="auto" w:before="37"/>
              <w:ind w:left="437" w:right="0"/>
              <w:jc w:val="left"/>
              <w:rPr>
                <w:rFonts w:ascii="宋体" w:hAnsi="宋体" w:cs="宋体" w:eastAsia="宋体" w:hint="default"/>
                <w:sz w:val="21"/>
                <w:szCs w:val="21"/>
              </w:rPr>
            </w:pPr>
            <w:r>
              <w:rPr>
                <w:rFonts w:ascii="宋体"/>
                <w:sz w:val="21"/>
              </w:rPr>
              <w:t>20.28</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202,003,56</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9.54</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1,360,970,</w:t>
            </w:r>
          </w:p>
          <w:p>
            <w:pPr>
              <w:pStyle w:val="TableParagraph"/>
              <w:spacing w:line="240" w:lineRule="auto" w:before="37"/>
              <w:ind w:left="470" w:right="0"/>
              <w:jc w:val="left"/>
              <w:rPr>
                <w:rFonts w:ascii="宋体" w:hAnsi="宋体" w:cs="宋体" w:eastAsia="宋体" w:hint="default"/>
                <w:sz w:val="21"/>
                <w:szCs w:val="21"/>
              </w:rPr>
            </w:pPr>
            <w:r>
              <w:rPr>
                <w:rFonts w:ascii="宋体"/>
                <w:sz w:val="21"/>
              </w:rPr>
              <w:t>168.70</w:t>
            </w:r>
          </w:p>
        </w:tc>
      </w:tr>
      <w:tr>
        <w:trPr>
          <w:trHeight w:val="392" w:hRule="exact"/>
        </w:trPr>
        <w:tc>
          <w:tcPr>
            <w:tcW w:w="28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430"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161" w:hRule="exact"/>
        </w:trPr>
        <w:tc>
          <w:tcPr>
            <w:tcW w:w="28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430"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430"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0"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9" w:space="0" w:color="D2D2D2"/>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376,656,420.</w:t>
            </w:r>
          </w:p>
          <w:p>
            <w:pPr>
              <w:pStyle w:val="TableParagraph"/>
              <w:spacing w:line="240" w:lineRule="auto" w:before="37"/>
              <w:ind w:right="21"/>
              <w:jc w:val="right"/>
              <w:rPr>
                <w:rFonts w:ascii="宋体" w:hAnsi="宋体" w:cs="宋体" w:eastAsia="宋体" w:hint="default"/>
                <w:sz w:val="21"/>
                <w:szCs w:val="21"/>
              </w:rPr>
            </w:pPr>
            <w:r>
              <w:rPr>
                <w:rFonts w:ascii="宋体"/>
                <w:sz w:val="21"/>
              </w:rPr>
              <w:t>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732,553,85</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8.88</w:t>
            </w:r>
          </w:p>
        </w:tc>
        <w:tc>
          <w:tcPr>
            <w:tcW w:w="70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49,756,3</w:t>
            </w:r>
          </w:p>
          <w:p>
            <w:pPr>
              <w:pStyle w:val="TableParagraph"/>
              <w:spacing w:line="240" w:lineRule="auto" w:before="37"/>
              <w:ind w:left="437" w:right="0"/>
              <w:jc w:val="left"/>
              <w:rPr>
                <w:rFonts w:ascii="宋体" w:hAnsi="宋体" w:cs="宋体" w:eastAsia="宋体" w:hint="default"/>
                <w:sz w:val="21"/>
                <w:szCs w:val="21"/>
              </w:rPr>
            </w:pPr>
            <w:r>
              <w:rPr>
                <w:rFonts w:ascii="宋体"/>
                <w:sz w:val="21"/>
              </w:rPr>
              <w:t>20.28</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202,003,56</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9.54</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1,360,970,</w:t>
            </w:r>
          </w:p>
          <w:p>
            <w:pPr>
              <w:pStyle w:val="TableParagraph"/>
              <w:spacing w:line="240" w:lineRule="auto" w:before="37"/>
              <w:ind w:left="470" w:right="0"/>
              <w:jc w:val="left"/>
              <w:rPr>
                <w:rFonts w:ascii="宋体" w:hAnsi="宋体" w:cs="宋体" w:eastAsia="宋体" w:hint="default"/>
                <w:sz w:val="21"/>
                <w:szCs w:val="21"/>
              </w:rPr>
            </w:pPr>
            <w:r>
              <w:rPr>
                <w:rFonts w:ascii="宋体"/>
                <w:sz w:val="21"/>
              </w:rPr>
              <w:t>168.70</w:t>
            </w:r>
          </w:p>
        </w:tc>
      </w:tr>
      <w:tr>
        <w:trPr>
          <w:trHeight w:val="392" w:hRule="exact"/>
        </w:trPr>
        <w:tc>
          <w:tcPr>
            <w:tcW w:w="28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430"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161" w:hRule="exact"/>
        </w:trPr>
        <w:tc>
          <w:tcPr>
            <w:tcW w:w="28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714"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60"/>
              <w:jc w:val="left"/>
              <w:rPr>
                <w:rFonts w:ascii="宋体" w:hAnsi="宋体" w:cs="宋体" w:eastAsia="宋体" w:hint="default"/>
                <w:sz w:val="21"/>
                <w:szCs w:val="21"/>
              </w:rPr>
            </w:pPr>
            <w:r>
              <w:rPr>
                <w:rFonts w:ascii="宋体" w:hAnsi="宋体" w:cs="宋体" w:eastAsia="宋体" w:hint="default"/>
                <w:sz w:val="21"/>
                <w:szCs w:val="21"/>
              </w:rPr>
              <w:t>三、本期增减变动金额（减少 以“－”号填列）</w:t>
            </w:r>
          </w:p>
        </w:tc>
        <w:tc>
          <w:tcPr>
            <w:tcW w:w="1430"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4,112,73</w:t>
            </w:r>
          </w:p>
          <w:p>
            <w:pPr>
              <w:pStyle w:val="TableParagraph"/>
              <w:spacing w:line="240" w:lineRule="auto" w:before="37"/>
              <w:ind w:left="541" w:right="0"/>
              <w:jc w:val="left"/>
              <w:rPr>
                <w:rFonts w:ascii="宋体" w:hAnsi="宋体" w:cs="宋体" w:eastAsia="宋体" w:hint="default"/>
                <w:sz w:val="21"/>
                <w:szCs w:val="21"/>
              </w:rPr>
            </w:pPr>
            <w:r>
              <w:rPr>
                <w:rFonts w:ascii="宋体"/>
                <w:sz w:val="21"/>
              </w:rPr>
              <w:t>2.43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25,714,899</w:t>
            </w:r>
          </w:p>
          <w:p>
            <w:pPr>
              <w:pStyle w:val="TableParagraph"/>
              <w:spacing w:line="240" w:lineRule="auto" w:before="37"/>
              <w:ind w:right="21"/>
              <w:jc w:val="right"/>
              <w:rPr>
                <w:rFonts w:ascii="宋体" w:hAnsi="宋体" w:cs="宋体" w:eastAsia="宋体" w:hint="default"/>
                <w:sz w:val="21"/>
                <w:szCs w:val="21"/>
              </w:rPr>
            </w:pPr>
            <w:r>
              <w:rPr>
                <w:rFonts w:ascii="宋体"/>
                <w:sz w:val="21"/>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29,827,631</w:t>
            </w:r>
          </w:p>
          <w:p>
            <w:pPr>
              <w:pStyle w:val="TableParagraph"/>
              <w:spacing w:line="240" w:lineRule="auto" w:before="37"/>
              <w:ind w:right="23"/>
              <w:jc w:val="right"/>
              <w:rPr>
                <w:rFonts w:ascii="宋体" w:hAnsi="宋体" w:cs="宋体" w:eastAsia="宋体" w:hint="default"/>
                <w:sz w:val="21"/>
                <w:szCs w:val="21"/>
              </w:rPr>
            </w:pPr>
            <w:r>
              <w:rPr>
                <w:rFonts w:ascii="宋体"/>
                <w:spacing w:val="-1"/>
                <w:sz w:val="21"/>
              </w:rPr>
              <w:t>.68</w:t>
            </w:r>
            <w:r>
              <w:rPr>
                <w:rFonts w:ascii="宋体"/>
                <w:sz w:val="21"/>
              </w:rPr>
            </w:r>
          </w:p>
        </w:tc>
      </w:tr>
      <w:tr>
        <w:trPr>
          <w:trHeight w:val="161" w:hRule="exact"/>
        </w:trPr>
        <w:tc>
          <w:tcPr>
            <w:tcW w:w="28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9" w:space="0" w:color="D2D2D2"/>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41,127,324</w:t>
            </w:r>
          </w:p>
          <w:p>
            <w:pPr>
              <w:pStyle w:val="TableParagraph"/>
              <w:spacing w:line="240" w:lineRule="auto" w:before="37"/>
              <w:ind w:right="21"/>
              <w:jc w:val="right"/>
              <w:rPr>
                <w:rFonts w:ascii="宋体" w:hAnsi="宋体" w:cs="宋体" w:eastAsia="宋体" w:hint="default"/>
                <w:sz w:val="21"/>
                <w:szCs w:val="21"/>
              </w:rPr>
            </w:pPr>
            <w:r>
              <w:rPr>
                <w:rFonts w:ascii="宋体"/>
                <w:sz w:val="21"/>
              </w:rPr>
              <w:t>.28</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41,127,324</w:t>
            </w:r>
          </w:p>
          <w:p>
            <w:pPr>
              <w:pStyle w:val="TableParagraph"/>
              <w:spacing w:line="240" w:lineRule="auto" w:before="37"/>
              <w:ind w:right="21"/>
              <w:jc w:val="right"/>
              <w:rPr>
                <w:rFonts w:ascii="宋体" w:hAnsi="宋体" w:cs="宋体" w:eastAsia="宋体" w:hint="default"/>
                <w:sz w:val="21"/>
                <w:szCs w:val="21"/>
              </w:rPr>
            </w:pPr>
            <w:r>
              <w:rPr>
                <w:rFonts w:ascii="宋体"/>
                <w:sz w:val="21"/>
              </w:rPr>
              <w:t>.28</w:t>
            </w:r>
          </w:p>
        </w:tc>
      </w:tr>
      <w:tr>
        <w:trPr>
          <w:trHeight w:val="392" w:hRule="exact"/>
        </w:trPr>
        <w:tc>
          <w:tcPr>
            <w:tcW w:w="28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430"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161" w:hRule="exact"/>
        </w:trPr>
        <w:tc>
          <w:tcPr>
            <w:tcW w:w="28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p>
        </w:tc>
        <w:tc>
          <w:tcPr>
            <w:tcW w:w="1430"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．股东投入的普通股</w:t>
            </w:r>
          </w:p>
        </w:tc>
        <w:tc>
          <w:tcPr>
            <w:tcW w:w="1430"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9"/>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．其他权益工具持有者投入资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本</w:t>
            </w:r>
          </w:p>
        </w:tc>
        <w:tc>
          <w:tcPr>
            <w:tcW w:w="1430"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540" w:right="0"/>
        </w:sectPr>
      </w:pPr>
    </w:p>
    <w:p>
      <w:pPr>
        <w:spacing w:line="240" w:lineRule="auto" w:before="6"/>
        <w:rPr>
          <w:rFonts w:ascii="宋体" w:hAnsi="宋体" w:cs="宋体" w:eastAsia="宋体" w:hint="default"/>
          <w:sz w:val="28"/>
          <w:szCs w:val="28"/>
        </w:rPr>
      </w:pPr>
    </w:p>
    <w:tbl>
      <w:tblPr>
        <w:tblW w:w="0" w:type="auto"/>
        <w:jc w:val="left"/>
        <w:tblInd w:w="172" w:type="dxa"/>
        <w:tblLayout w:type="fixed"/>
        <w:tblCellMar>
          <w:top w:w="0" w:type="dxa"/>
          <w:left w:w="0" w:type="dxa"/>
          <w:bottom w:w="0" w:type="dxa"/>
          <w:right w:w="0" w:type="dxa"/>
        </w:tblCellMar>
        <w:tblLook w:val="01E0"/>
      </w:tblPr>
      <w:tblGrid>
        <w:gridCol w:w="2835"/>
        <w:gridCol w:w="1419"/>
        <w:gridCol w:w="1134"/>
        <w:gridCol w:w="709"/>
        <w:gridCol w:w="708"/>
        <w:gridCol w:w="566"/>
        <w:gridCol w:w="994"/>
        <w:gridCol w:w="1134"/>
        <w:gridCol w:w="1134"/>
      </w:tblGrid>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．股份支付计入所有者权益的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4,112,73</w:t>
            </w:r>
          </w:p>
          <w:p>
            <w:pPr>
              <w:pStyle w:val="TableParagraph"/>
              <w:spacing w:line="240" w:lineRule="auto" w:before="38"/>
              <w:ind w:left="541" w:right="0"/>
              <w:jc w:val="left"/>
              <w:rPr>
                <w:rFonts w:ascii="宋体" w:hAnsi="宋体" w:cs="宋体" w:eastAsia="宋体" w:hint="default"/>
                <w:sz w:val="21"/>
                <w:szCs w:val="21"/>
              </w:rPr>
            </w:pPr>
            <w:r>
              <w:rPr>
                <w:rFonts w:ascii="宋体"/>
                <w:sz w:val="21"/>
              </w:rPr>
              <w:t>2.43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-15,412,42</w:t>
            </w:r>
          </w:p>
          <w:p>
            <w:pPr>
              <w:pStyle w:val="TableParagraph"/>
              <w:spacing w:line="240" w:lineRule="auto" w:before="38"/>
              <w:ind w:left="680" w:right="0"/>
              <w:jc w:val="left"/>
              <w:rPr>
                <w:rFonts w:ascii="宋体" w:hAnsi="宋体" w:cs="宋体" w:eastAsia="宋体" w:hint="default"/>
                <w:sz w:val="21"/>
                <w:szCs w:val="21"/>
              </w:rPr>
            </w:pPr>
            <w:r>
              <w:rPr>
                <w:rFonts w:ascii="宋体"/>
                <w:sz w:val="21"/>
              </w:rPr>
              <w:t>5.03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-11,299,69</w:t>
            </w:r>
          </w:p>
          <w:p>
            <w:pPr>
              <w:pStyle w:val="TableParagraph"/>
              <w:spacing w:line="240" w:lineRule="auto" w:before="38"/>
              <w:ind w:left="680" w:right="0"/>
              <w:jc w:val="left"/>
              <w:rPr>
                <w:rFonts w:ascii="宋体" w:hAnsi="宋体" w:cs="宋体" w:eastAsia="宋体" w:hint="default"/>
                <w:sz w:val="21"/>
                <w:szCs w:val="21"/>
              </w:rPr>
            </w:pPr>
            <w:r>
              <w:rPr>
                <w:rFonts w:ascii="宋体"/>
                <w:sz w:val="21"/>
              </w:rPr>
              <w:t>2.60</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4,112,73</w:t>
            </w:r>
          </w:p>
          <w:p>
            <w:pPr>
              <w:pStyle w:val="TableParagraph"/>
              <w:spacing w:line="240" w:lineRule="auto" w:before="38"/>
              <w:ind w:left="541" w:right="0"/>
              <w:jc w:val="left"/>
              <w:rPr>
                <w:rFonts w:ascii="宋体" w:hAnsi="宋体" w:cs="宋体" w:eastAsia="宋体" w:hint="default"/>
                <w:sz w:val="21"/>
                <w:szCs w:val="21"/>
              </w:rPr>
            </w:pPr>
            <w:r>
              <w:rPr>
                <w:rFonts w:ascii="宋体"/>
                <w:sz w:val="21"/>
              </w:rPr>
              <w:t>2.43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-4,112,732</w:t>
            </w:r>
          </w:p>
          <w:p>
            <w:pPr>
              <w:pStyle w:val="TableParagraph"/>
              <w:spacing w:line="240" w:lineRule="auto" w:before="38"/>
              <w:ind w:right="21"/>
              <w:jc w:val="right"/>
              <w:rPr>
                <w:rFonts w:ascii="宋体" w:hAnsi="宋体" w:cs="宋体" w:eastAsia="宋体" w:hint="default"/>
                <w:sz w:val="21"/>
                <w:szCs w:val="21"/>
              </w:rPr>
            </w:pPr>
            <w:r>
              <w:rPr>
                <w:rFonts w:ascii="宋体"/>
                <w:sz w:val="21"/>
              </w:rPr>
              <w:t>.43</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．对所有者（或股东）的分配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-11,299,69</w:t>
            </w:r>
          </w:p>
          <w:p>
            <w:pPr>
              <w:pStyle w:val="TableParagraph"/>
              <w:spacing w:line="240" w:lineRule="auto" w:before="38"/>
              <w:ind w:left="680" w:right="0"/>
              <w:jc w:val="left"/>
              <w:rPr>
                <w:rFonts w:ascii="宋体" w:hAnsi="宋体" w:cs="宋体" w:eastAsia="宋体" w:hint="default"/>
                <w:sz w:val="21"/>
                <w:szCs w:val="21"/>
              </w:rPr>
            </w:pPr>
            <w:r>
              <w:rPr>
                <w:rFonts w:ascii="宋体"/>
                <w:sz w:val="21"/>
              </w:rPr>
              <w:t>2.60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-11,299,69</w:t>
            </w:r>
          </w:p>
          <w:p>
            <w:pPr>
              <w:pStyle w:val="TableParagraph"/>
              <w:spacing w:line="240" w:lineRule="auto" w:before="38"/>
              <w:ind w:left="680" w:right="0"/>
              <w:jc w:val="left"/>
              <w:rPr>
                <w:rFonts w:ascii="宋体" w:hAnsi="宋体" w:cs="宋体" w:eastAsia="宋体" w:hint="default"/>
                <w:sz w:val="21"/>
                <w:szCs w:val="21"/>
              </w:rPr>
            </w:pPr>
            <w:r>
              <w:rPr>
                <w:rFonts w:ascii="宋体"/>
                <w:sz w:val="21"/>
              </w:rPr>
              <w:t>2.60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12"/>
                <w:sz w:val="21"/>
                <w:szCs w:val="21"/>
              </w:rPr>
              <w:t>1</w:t>
            </w:r>
            <w:r>
              <w:rPr>
                <w:rFonts w:ascii="宋体" w:hAnsi="宋体" w:cs="宋体" w:eastAsia="宋体" w:hint="default"/>
                <w:spacing w:val="-12"/>
                <w:sz w:val="21"/>
                <w:szCs w:val="21"/>
              </w:rPr>
              <w:t>．资本公积转增资本（或股本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12"/>
                <w:sz w:val="21"/>
                <w:szCs w:val="21"/>
              </w:rPr>
              <w:t>．盈余公积转增资本（或股本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376,656,420.</w:t>
            </w:r>
          </w:p>
          <w:p>
            <w:pPr>
              <w:pStyle w:val="TableParagraph"/>
              <w:spacing w:line="240" w:lineRule="auto" w:before="38"/>
              <w:ind w:right="21"/>
              <w:jc w:val="right"/>
              <w:rPr>
                <w:rFonts w:ascii="宋体" w:hAnsi="宋体" w:cs="宋体" w:eastAsia="宋体" w:hint="default"/>
                <w:sz w:val="21"/>
                <w:szCs w:val="21"/>
              </w:rPr>
            </w:pPr>
            <w:r>
              <w:rPr>
                <w:rFonts w:ascii="宋体"/>
                <w:sz w:val="21"/>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732,553,85</w:t>
            </w:r>
          </w:p>
          <w:p>
            <w:pPr>
              <w:pStyle w:val="TableParagraph"/>
              <w:spacing w:line="240" w:lineRule="auto" w:before="38"/>
              <w:ind w:left="680" w:right="0"/>
              <w:jc w:val="left"/>
              <w:rPr>
                <w:rFonts w:ascii="宋体" w:hAnsi="宋体" w:cs="宋体" w:eastAsia="宋体" w:hint="default"/>
                <w:sz w:val="21"/>
                <w:szCs w:val="21"/>
              </w:rPr>
            </w:pPr>
            <w:r>
              <w:rPr>
                <w:rFonts w:ascii="宋体"/>
                <w:sz w:val="21"/>
              </w:rPr>
              <w:t>8.88</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sz w:val="21"/>
              </w:rPr>
              <w:t>53,869,0</w:t>
            </w:r>
          </w:p>
          <w:p>
            <w:pPr>
              <w:pStyle w:val="TableParagraph"/>
              <w:spacing w:line="240" w:lineRule="auto" w:before="38"/>
              <w:ind w:left="437" w:right="0"/>
              <w:jc w:val="left"/>
              <w:rPr>
                <w:rFonts w:ascii="宋体" w:hAnsi="宋体" w:cs="宋体" w:eastAsia="宋体" w:hint="default"/>
                <w:sz w:val="21"/>
                <w:szCs w:val="21"/>
              </w:rPr>
            </w:pPr>
            <w:r>
              <w:rPr>
                <w:rFonts w:ascii="宋体"/>
                <w:sz w:val="21"/>
              </w:rPr>
              <w:t>52.71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227,718,46</w:t>
            </w:r>
          </w:p>
          <w:p>
            <w:pPr>
              <w:pStyle w:val="TableParagraph"/>
              <w:spacing w:line="240" w:lineRule="auto" w:before="38"/>
              <w:ind w:left="680" w:right="0"/>
              <w:jc w:val="left"/>
              <w:rPr>
                <w:rFonts w:ascii="宋体" w:hAnsi="宋体" w:cs="宋体" w:eastAsia="宋体" w:hint="default"/>
                <w:sz w:val="21"/>
                <w:szCs w:val="21"/>
              </w:rPr>
            </w:pPr>
            <w:r>
              <w:rPr>
                <w:rFonts w:ascii="宋体"/>
                <w:sz w:val="21"/>
              </w:rPr>
              <w:t>8.79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1,390,797,</w:t>
            </w:r>
          </w:p>
          <w:p>
            <w:pPr>
              <w:pStyle w:val="TableParagraph"/>
              <w:spacing w:line="240" w:lineRule="auto" w:before="38"/>
              <w:ind w:left="470" w:right="0"/>
              <w:jc w:val="left"/>
              <w:rPr>
                <w:rFonts w:ascii="宋体" w:hAnsi="宋体" w:cs="宋体" w:eastAsia="宋体" w:hint="default"/>
                <w:sz w:val="21"/>
                <w:szCs w:val="21"/>
              </w:rPr>
            </w:pPr>
            <w:r>
              <w:rPr>
                <w:rFonts w:ascii="宋体"/>
                <w:sz w:val="21"/>
              </w:rPr>
              <w:t>800.38</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460" w:right="0"/>
        </w:sectPr>
      </w:pPr>
    </w:p>
    <w:p>
      <w:pPr>
        <w:pStyle w:val="BodyText"/>
        <w:spacing w:line="240" w:lineRule="auto" w:before="26"/>
        <w:ind w:left="1154" w:right="-20"/>
        <w:jc w:val="left"/>
      </w:pPr>
      <w:r>
        <w:rPr/>
        <w:t>上期金额</w:t>
      </w:r>
    </w:p>
    <w:p>
      <w:pPr>
        <w:spacing w:line="240" w:lineRule="auto" w:before="0"/>
        <w:rPr>
          <w:rFonts w:ascii="宋体" w:hAnsi="宋体" w:cs="宋体" w:eastAsia="宋体" w:hint="default"/>
          <w:sz w:val="20"/>
          <w:szCs w:val="20"/>
        </w:rPr>
      </w:pPr>
      <w:r>
        <w:rPr/>
        <w:br w:type="column"/>
      </w:r>
      <w:r>
        <w:rPr>
          <w:rFonts w:ascii="宋体"/>
          <w:sz w:val="20"/>
        </w:rPr>
      </w:r>
    </w:p>
    <w:p>
      <w:pPr>
        <w:spacing w:before="163"/>
        <w:ind w:left="1133" w:right="1112" w:firstLine="0"/>
        <w:jc w:val="center"/>
        <w:rPr>
          <w:rFonts w:ascii="宋体" w:hAnsi="宋体" w:cs="宋体" w:eastAsia="宋体" w:hint="default"/>
          <w:sz w:val="21"/>
          <w:szCs w:val="21"/>
        </w:rPr>
      </w:pPr>
      <w:r>
        <w:rPr>
          <w:rFonts w:ascii="宋体" w:hAnsi="宋体" w:cs="宋体" w:eastAsia="宋体" w:hint="default"/>
          <w:sz w:val="21"/>
          <w:szCs w:val="21"/>
        </w:rPr>
        <w:t>单位：元</w:t>
      </w:r>
    </w:p>
    <w:p>
      <w:pPr>
        <w:spacing w:after="0"/>
        <w:jc w:val="center"/>
        <w:rPr>
          <w:rFonts w:ascii="宋体" w:hAnsi="宋体" w:cs="宋体" w:eastAsia="宋体" w:hint="default"/>
          <w:sz w:val="21"/>
          <w:szCs w:val="21"/>
        </w:rPr>
        <w:sectPr>
          <w:type w:val="continuous"/>
          <w:pgSz w:w="11910" w:h="16840"/>
          <w:pgMar w:top="1060" w:bottom="1160" w:left="460" w:right="0"/>
          <w:cols w:num="2" w:equalWidth="0">
            <w:col w:w="2115" w:space="6205"/>
            <w:col w:w="3130"/>
          </w:cols>
        </w:sectPr>
      </w:pPr>
    </w:p>
    <w:p>
      <w:pPr>
        <w:spacing w:line="240" w:lineRule="auto" w:before="13"/>
        <w:rPr>
          <w:rFonts w:ascii="宋体" w:hAnsi="宋体" w:cs="宋体" w:eastAsia="宋体" w:hint="default"/>
          <w:sz w:val="6"/>
          <w:szCs w:val="6"/>
        </w:rPr>
      </w:pPr>
      <w:r>
        <w:rPr/>
        <w:pict>
          <v:group style="position:absolute;margin-left:173.839996pt;margin-top:274.999969pt;width:69.3pt;height:40.950pt;mso-position-horizontal-relative:page;mso-position-vertical-relative:page;z-index:-767200" coordorigin="3477,5500" coordsize="1386,819">
            <v:group style="position:absolute;left:3489;top:5512;width:2;height:393" coordorigin="3489,5512" coordsize="2,393">
              <v:shape style="position:absolute;left:3489;top:5512;width:2;height:393" coordorigin="3489,5512" coordsize="0,393" path="m3489,5512l3489,5904e" filled="false" stroked="true" strokeweight="1.2pt" strokecolor="#ffffff">
                <v:path arrowok="t"/>
              </v:shape>
            </v:group>
            <v:group style="position:absolute;left:3501;top:5512;width:1362;height:393" coordorigin="3501,5512" coordsize="1362,393">
              <v:shape style="position:absolute;left:3501;top:5512;width:1362;height:393" coordorigin="3501,5512" coordsize="1362,393" path="m3501,5904l4863,5904,4863,5512,3501,5512,3501,5904xe" filled="true" fillcolor="#ffffff" stroked="false">
                <v:path arrowok="t"/>
                <v:fill type="solid"/>
              </v:shape>
            </v:group>
            <v:group style="position:absolute;left:3489;top:5914;width:2;height:393" coordorigin="3489,5914" coordsize="2,393">
              <v:shape style="position:absolute;left:3489;top:5914;width:2;height:393" coordorigin="3489,5914" coordsize="0,393" path="m3489,5914l3489,6306e" filled="false" stroked="true" strokeweight="1.2pt" strokecolor="#ffffff">
                <v:path arrowok="t"/>
              </v:shape>
            </v:group>
            <v:group style="position:absolute;left:3501;top:5914;width:1362;height:393" coordorigin="3501,5914" coordsize="1362,393">
              <v:shape style="position:absolute;left:3501;top:5914;width:1362;height:393" coordorigin="3501,5914" coordsize="1362,393" path="m3501,6306l4863,6306,4863,5914,3501,5914,3501,6306xe" filled="true" fillcolor="#ffffff" stroked="false">
                <v:path arrowok="t"/>
                <v:fill type="solid"/>
              </v:shape>
            </v:group>
            <w10:wrap type="none"/>
          </v:group>
        </w:pict>
      </w:r>
    </w:p>
    <w:tbl>
      <w:tblPr>
        <w:tblW w:w="0" w:type="auto"/>
        <w:jc w:val="left"/>
        <w:tblInd w:w="113" w:type="dxa"/>
        <w:tblLayout w:type="fixed"/>
        <w:tblCellMar>
          <w:top w:w="0" w:type="dxa"/>
          <w:left w:w="0" w:type="dxa"/>
          <w:bottom w:w="0" w:type="dxa"/>
          <w:right w:w="0" w:type="dxa"/>
        </w:tblCellMar>
        <w:tblLook w:val="01E0"/>
      </w:tblPr>
      <w:tblGrid>
        <w:gridCol w:w="2684"/>
        <w:gridCol w:w="1274"/>
        <w:gridCol w:w="1134"/>
        <w:gridCol w:w="994"/>
        <w:gridCol w:w="991"/>
        <w:gridCol w:w="568"/>
        <w:gridCol w:w="991"/>
        <w:gridCol w:w="992"/>
        <w:gridCol w:w="1134"/>
      </w:tblGrid>
      <w:tr>
        <w:trPr>
          <w:trHeight w:val="397" w:hRule="exact"/>
        </w:trPr>
        <w:tc>
          <w:tcPr>
            <w:tcW w:w="2684" w:type="dxa"/>
            <w:vMerge w:val="restart"/>
            <w:tcBorders>
              <w:top w:val="single" w:sz="4" w:space="0" w:color="000000"/>
              <w:left w:val="single" w:sz="4" w:space="0" w:color="000000"/>
              <w:right w:val="single" w:sz="4" w:space="0" w:color="000000"/>
            </w:tcBorders>
            <w:shd w:val="clear" w:color="auto" w:fill="D2D2D2"/>
          </w:tcPr>
          <w:p>
            <w:pPr/>
          </w:p>
        </w:tc>
        <w:tc>
          <w:tcPr>
            <w:tcW w:w="807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189" w:hRule="exact"/>
        </w:trPr>
        <w:tc>
          <w:tcPr>
            <w:tcW w:w="2684"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7" w:hRule="exact"/>
        </w:trPr>
        <w:tc>
          <w:tcPr>
            <w:tcW w:w="26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386" w:right="71" w:hanging="316"/>
              <w:jc w:val="left"/>
              <w:rPr>
                <w:rFonts w:ascii="宋体" w:hAnsi="宋体" w:cs="宋体" w:eastAsia="宋体" w:hint="default"/>
                <w:sz w:val="21"/>
                <w:szCs w:val="21"/>
              </w:rPr>
            </w:pPr>
            <w:r>
              <w:rPr>
                <w:rFonts w:ascii="宋体" w:hAnsi="宋体" w:cs="宋体" w:eastAsia="宋体" w:hint="default"/>
                <w:sz w:val="21"/>
                <w:szCs w:val="21"/>
              </w:rPr>
              <w:t>减：库存 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280" w:right="68" w:hanging="210"/>
              <w:jc w:val="left"/>
              <w:rPr>
                <w:rFonts w:ascii="宋体" w:hAnsi="宋体" w:cs="宋体" w:eastAsia="宋体" w:hint="default"/>
                <w:sz w:val="21"/>
                <w:szCs w:val="21"/>
              </w:rPr>
            </w:pPr>
            <w:r>
              <w:rPr>
                <w:rFonts w:ascii="宋体" w:hAnsi="宋体" w:cs="宋体" w:eastAsia="宋体" w:hint="default"/>
                <w:sz w:val="21"/>
                <w:szCs w:val="21"/>
              </w:rPr>
              <w:t>其他综合 收益</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68" w:right="69"/>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991"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386" w:right="68" w:hanging="315"/>
              <w:jc w:val="left"/>
              <w:rPr>
                <w:rFonts w:ascii="宋体" w:hAnsi="宋体" w:cs="宋体" w:eastAsia="宋体" w:hint="default"/>
                <w:sz w:val="21"/>
                <w:szCs w:val="21"/>
              </w:rPr>
            </w:pPr>
            <w:r>
              <w:rPr>
                <w:rFonts w:ascii="宋体" w:hAnsi="宋体" w:cs="宋体" w:eastAsia="宋体" w:hint="default"/>
                <w:sz w:val="21"/>
                <w:szCs w:val="21"/>
              </w:rPr>
              <w:t>未分配利 润</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7"/>
              <w:ind w:left="351" w:right="36" w:hanging="316"/>
              <w:jc w:val="left"/>
              <w:rPr>
                <w:rFonts w:ascii="宋体" w:hAnsi="宋体" w:cs="宋体" w:eastAsia="宋体" w:hint="default"/>
                <w:sz w:val="21"/>
                <w:szCs w:val="21"/>
              </w:rPr>
            </w:pPr>
            <w:r>
              <w:rPr>
                <w:rFonts w:ascii="宋体" w:hAnsi="宋体" w:cs="宋体" w:eastAsia="宋体" w:hint="default"/>
                <w:sz w:val="21"/>
                <w:szCs w:val="21"/>
              </w:rPr>
              <w:t>所有者权益 合计</w:t>
            </w:r>
          </w:p>
        </w:tc>
      </w:tr>
      <w:tr>
        <w:trPr>
          <w:trHeight w:val="191" w:hRule="exact"/>
        </w:trPr>
        <w:tc>
          <w:tcPr>
            <w:tcW w:w="2684"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94"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23" w:space="0" w:color="D2D2D2"/>
              <w:right w:val="single" w:sz="10" w:space="0" w:color="D2D2D2"/>
            </w:tcBorders>
          </w:tcPr>
          <w:p>
            <w:pPr>
              <w:pStyle w:val="TableParagraph"/>
              <w:spacing w:line="240" w:lineRule="auto" w:before="26"/>
              <w:ind w:left="4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盈余公积</w:t>
            </w:r>
            <w:r>
              <w:rPr>
                <w:rFonts w:ascii="宋体" w:hAnsi="宋体" w:cs="宋体" w:eastAsia="宋体" w:hint="default"/>
                <w:sz w:val="21"/>
                <w:szCs w:val="21"/>
              </w:rPr>
            </w: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r>
      <w:tr>
        <w:trPr>
          <w:trHeight w:val="202" w:hRule="exact"/>
        </w:trPr>
        <w:tc>
          <w:tcPr>
            <w:tcW w:w="2684"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991" w:type="dxa"/>
            <w:vMerge/>
            <w:tcBorders>
              <w:left w:val="single" w:sz="23" w:space="0" w:color="D2D2D2"/>
              <w:bottom w:val="nil" w:sz="6" w:space="0" w:color="auto"/>
              <w:right w:val="single" w:sz="10" w:space="0" w:color="D2D2D2"/>
            </w:tcBorders>
          </w:tcPr>
          <w:p>
            <w:pPr/>
          </w:p>
        </w:tc>
        <w:tc>
          <w:tcPr>
            <w:tcW w:w="992"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r>
      <w:tr>
        <w:trPr>
          <w:trHeight w:val="156" w:hRule="exact"/>
        </w:trPr>
        <w:tc>
          <w:tcPr>
            <w:tcW w:w="2684"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68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2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221,562,600</w:t>
            </w:r>
          </w:p>
          <w:p>
            <w:pPr>
              <w:pStyle w:val="TableParagraph"/>
              <w:spacing w:line="240" w:lineRule="auto" w:before="37"/>
              <w:ind w:right="20"/>
              <w:jc w:val="right"/>
              <w:rPr>
                <w:rFonts w:ascii="宋体" w:hAnsi="宋体" w:cs="宋体" w:eastAsia="宋体" w:hint="default"/>
                <w:sz w:val="21"/>
                <w:szCs w:val="21"/>
              </w:rPr>
            </w:pPr>
            <w:r>
              <w:rPr>
                <w:rFonts w:ascii="宋体"/>
                <w:sz w:val="21"/>
              </w:rPr>
              <w:t>.00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7"/>
              <w:ind w:left="50" w:right="0"/>
              <w:jc w:val="left"/>
              <w:rPr>
                <w:rFonts w:ascii="宋体" w:hAnsi="宋体" w:cs="宋体" w:eastAsia="宋体" w:hint="default"/>
                <w:sz w:val="21"/>
                <w:szCs w:val="21"/>
              </w:rPr>
            </w:pPr>
            <w:r>
              <w:rPr>
                <w:rFonts w:ascii="宋体"/>
                <w:sz w:val="21"/>
              </w:rPr>
              <w:t>887,647,67</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8.88</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27"/>
              <w:ind w:left="118" w:right="0"/>
              <w:jc w:val="left"/>
              <w:rPr>
                <w:rFonts w:ascii="宋体" w:hAnsi="宋体" w:cs="宋体" w:eastAsia="宋体" w:hint="default"/>
                <w:sz w:val="21"/>
                <w:szCs w:val="21"/>
              </w:rPr>
            </w:pPr>
            <w:r>
              <w:rPr>
                <w:rFonts w:ascii="宋体"/>
                <w:sz w:val="21"/>
              </w:rPr>
              <w:t>27,500,6</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16.45</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7"/>
              <w:ind w:left="120" w:right="0"/>
              <w:jc w:val="left"/>
              <w:rPr>
                <w:rFonts w:ascii="宋体" w:hAnsi="宋体" w:cs="宋体" w:eastAsia="宋体" w:hint="default"/>
                <w:sz w:val="21"/>
                <w:szCs w:val="21"/>
              </w:rPr>
            </w:pPr>
            <w:r>
              <w:rPr>
                <w:rFonts w:ascii="宋体"/>
                <w:sz w:val="21"/>
              </w:rPr>
              <w:t>63,739,7</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63.05</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7"/>
              <w:ind w:left="50" w:right="0"/>
              <w:jc w:val="left"/>
              <w:rPr>
                <w:rFonts w:ascii="宋体" w:hAnsi="宋体" w:cs="宋体" w:eastAsia="宋体" w:hint="default"/>
                <w:sz w:val="21"/>
                <w:szCs w:val="21"/>
              </w:rPr>
            </w:pPr>
            <w:r>
              <w:rPr>
                <w:rFonts w:ascii="宋体"/>
                <w:sz w:val="21"/>
              </w:rPr>
              <w:t>1,200,450,</w:t>
            </w:r>
          </w:p>
          <w:p>
            <w:pPr>
              <w:pStyle w:val="TableParagraph"/>
              <w:spacing w:line="240" w:lineRule="auto" w:before="37"/>
              <w:ind w:left="470" w:right="0"/>
              <w:jc w:val="left"/>
              <w:rPr>
                <w:rFonts w:ascii="宋体" w:hAnsi="宋体" w:cs="宋体" w:eastAsia="宋体" w:hint="default"/>
                <w:sz w:val="21"/>
                <w:szCs w:val="21"/>
              </w:rPr>
            </w:pPr>
            <w:r>
              <w:rPr>
                <w:rFonts w:ascii="宋体"/>
                <w:sz w:val="21"/>
              </w:rPr>
              <w:t>658.38</w:t>
            </w:r>
          </w:p>
        </w:tc>
      </w:tr>
      <w:tr>
        <w:trPr>
          <w:trHeight w:val="391" w:hRule="exact"/>
        </w:trPr>
        <w:tc>
          <w:tcPr>
            <w:tcW w:w="2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274"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161" w:hRule="exact"/>
        </w:trPr>
        <w:tc>
          <w:tcPr>
            <w:tcW w:w="2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402"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561"/>
              <w:jc w:val="right"/>
              <w:rPr>
                <w:rFonts w:ascii="宋体" w:hAnsi="宋体" w:cs="宋体" w:eastAsia="宋体" w:hint="default"/>
                <w:sz w:val="21"/>
                <w:szCs w:val="21"/>
              </w:rPr>
            </w:pPr>
            <w:r>
              <w:rPr>
                <w:rFonts w:ascii="宋体" w:hAnsi="宋体" w:cs="宋体" w:eastAsia="宋体" w:hint="default"/>
                <w:sz w:val="21"/>
                <w:szCs w:val="21"/>
              </w:rPr>
              <w:t>加：会计政策变更</w:t>
            </w:r>
          </w:p>
        </w:tc>
        <w:tc>
          <w:tcPr>
            <w:tcW w:w="127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561"/>
              <w:jc w:val="right"/>
              <w:rPr>
                <w:rFonts w:ascii="宋体" w:hAnsi="宋体" w:cs="宋体" w:eastAsia="宋体" w:hint="default"/>
                <w:sz w:val="21"/>
                <w:szCs w:val="21"/>
              </w:rPr>
            </w:pPr>
            <w:r>
              <w:rPr>
                <w:rFonts w:ascii="宋体" w:hAnsi="宋体" w:cs="宋体" w:eastAsia="宋体" w:hint="default"/>
                <w:sz w:val="21"/>
                <w:szCs w:val="21"/>
              </w:rPr>
              <w:t>前期差错更正</w:t>
            </w:r>
          </w:p>
        </w:tc>
        <w:tc>
          <w:tcPr>
            <w:tcW w:w="127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8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221,562,600</w:t>
            </w:r>
          </w:p>
          <w:p>
            <w:pPr>
              <w:pStyle w:val="TableParagraph"/>
              <w:spacing w:line="240" w:lineRule="auto" w:before="37"/>
              <w:ind w:right="20"/>
              <w:jc w:val="right"/>
              <w:rPr>
                <w:rFonts w:ascii="宋体" w:hAnsi="宋体" w:cs="宋体" w:eastAsia="宋体" w:hint="default"/>
                <w:sz w:val="21"/>
                <w:szCs w:val="21"/>
              </w:rPr>
            </w:pPr>
            <w:r>
              <w:rPr>
                <w:rFonts w:ascii="宋体"/>
                <w:sz w:val="21"/>
              </w:rPr>
              <w:t>.00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7"/>
              <w:ind w:left="50" w:right="0"/>
              <w:jc w:val="left"/>
              <w:rPr>
                <w:rFonts w:ascii="宋体" w:hAnsi="宋体" w:cs="宋体" w:eastAsia="宋体" w:hint="default"/>
                <w:sz w:val="21"/>
                <w:szCs w:val="21"/>
              </w:rPr>
            </w:pPr>
            <w:r>
              <w:rPr>
                <w:rFonts w:ascii="宋体"/>
                <w:sz w:val="21"/>
              </w:rPr>
              <w:t>887,647,67</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8.88</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27"/>
              <w:ind w:left="118" w:right="0"/>
              <w:jc w:val="left"/>
              <w:rPr>
                <w:rFonts w:ascii="宋体" w:hAnsi="宋体" w:cs="宋体" w:eastAsia="宋体" w:hint="default"/>
                <w:sz w:val="21"/>
                <w:szCs w:val="21"/>
              </w:rPr>
            </w:pPr>
            <w:r>
              <w:rPr>
                <w:rFonts w:ascii="宋体"/>
                <w:sz w:val="21"/>
              </w:rPr>
              <w:t>27,500,6</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16.45</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7"/>
              <w:ind w:left="120" w:right="0"/>
              <w:jc w:val="left"/>
              <w:rPr>
                <w:rFonts w:ascii="宋体" w:hAnsi="宋体" w:cs="宋体" w:eastAsia="宋体" w:hint="default"/>
                <w:sz w:val="21"/>
                <w:szCs w:val="21"/>
              </w:rPr>
            </w:pPr>
            <w:r>
              <w:rPr>
                <w:rFonts w:ascii="宋体"/>
                <w:sz w:val="21"/>
              </w:rPr>
              <w:t>63,739,7</w:t>
            </w:r>
          </w:p>
          <w:p>
            <w:pPr>
              <w:pStyle w:val="TableParagraph"/>
              <w:spacing w:line="240" w:lineRule="auto" w:before="37"/>
              <w:ind w:left="435" w:right="0"/>
              <w:jc w:val="left"/>
              <w:rPr>
                <w:rFonts w:ascii="宋体" w:hAnsi="宋体" w:cs="宋体" w:eastAsia="宋体" w:hint="default"/>
                <w:sz w:val="21"/>
                <w:szCs w:val="21"/>
              </w:rPr>
            </w:pPr>
            <w:r>
              <w:rPr>
                <w:rFonts w:ascii="宋体"/>
                <w:sz w:val="21"/>
              </w:rPr>
              <w:t>63.05</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7"/>
              <w:ind w:left="50" w:right="0"/>
              <w:jc w:val="left"/>
              <w:rPr>
                <w:rFonts w:ascii="宋体" w:hAnsi="宋体" w:cs="宋体" w:eastAsia="宋体" w:hint="default"/>
                <w:sz w:val="21"/>
                <w:szCs w:val="21"/>
              </w:rPr>
            </w:pPr>
            <w:r>
              <w:rPr>
                <w:rFonts w:ascii="宋体"/>
                <w:sz w:val="21"/>
              </w:rPr>
              <w:t>1,200,450,</w:t>
            </w:r>
          </w:p>
          <w:p>
            <w:pPr>
              <w:pStyle w:val="TableParagraph"/>
              <w:spacing w:line="240" w:lineRule="auto" w:before="37"/>
              <w:ind w:left="470" w:right="0"/>
              <w:jc w:val="left"/>
              <w:rPr>
                <w:rFonts w:ascii="宋体" w:hAnsi="宋体" w:cs="宋体" w:eastAsia="宋体" w:hint="default"/>
                <w:sz w:val="21"/>
                <w:szCs w:val="21"/>
              </w:rPr>
            </w:pPr>
            <w:r>
              <w:rPr>
                <w:rFonts w:ascii="宋体"/>
                <w:sz w:val="21"/>
              </w:rPr>
              <w:t>658.38</w:t>
            </w:r>
          </w:p>
        </w:tc>
      </w:tr>
      <w:tr>
        <w:trPr>
          <w:trHeight w:val="392" w:hRule="exact"/>
        </w:trPr>
        <w:tc>
          <w:tcPr>
            <w:tcW w:w="2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274"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161" w:hRule="exact"/>
        </w:trPr>
        <w:tc>
          <w:tcPr>
            <w:tcW w:w="2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715"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21"/>
              <w:jc w:val="left"/>
              <w:rPr>
                <w:rFonts w:ascii="宋体" w:hAnsi="宋体" w:cs="宋体" w:eastAsia="宋体" w:hint="default"/>
                <w:sz w:val="21"/>
                <w:szCs w:val="21"/>
              </w:rPr>
            </w:pPr>
            <w:r>
              <w:rPr>
                <w:rFonts w:ascii="宋体" w:hAnsi="宋体" w:cs="宋体" w:eastAsia="宋体" w:hint="default"/>
                <w:spacing w:val="-8"/>
                <w:sz w:val="21"/>
                <w:szCs w:val="21"/>
              </w:rPr>
              <w:t>三、本期增减变动金额（减少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以“－”号填列）</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155,093,820</w:t>
            </w:r>
          </w:p>
          <w:p>
            <w:pPr>
              <w:pStyle w:val="TableParagraph"/>
              <w:spacing w:line="240" w:lineRule="auto" w:before="37"/>
              <w:ind w:right="20"/>
              <w:jc w:val="right"/>
              <w:rPr>
                <w:rFonts w:ascii="宋体" w:hAnsi="宋体" w:cs="宋体" w:eastAsia="宋体" w:hint="default"/>
                <w:sz w:val="21"/>
                <w:szCs w:val="21"/>
              </w:rPr>
            </w:pPr>
            <w:r>
              <w:rPr>
                <w:rFonts w:ascii="宋体"/>
                <w:sz w:val="21"/>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0" w:right="0"/>
              <w:jc w:val="left"/>
              <w:rPr>
                <w:rFonts w:ascii="宋体" w:hAnsi="宋体" w:cs="宋体" w:eastAsia="宋体" w:hint="default"/>
                <w:sz w:val="21"/>
                <w:szCs w:val="21"/>
              </w:rPr>
            </w:pPr>
            <w:r>
              <w:rPr>
                <w:rFonts w:ascii="宋体"/>
                <w:sz w:val="21"/>
              </w:rPr>
              <w:t>-155,093,8</w:t>
            </w:r>
          </w:p>
          <w:p>
            <w:pPr>
              <w:pStyle w:val="TableParagraph"/>
              <w:spacing w:line="240" w:lineRule="auto" w:before="37"/>
              <w:ind w:left="576" w:right="0"/>
              <w:jc w:val="left"/>
              <w:rPr>
                <w:rFonts w:ascii="宋体" w:hAnsi="宋体" w:cs="宋体" w:eastAsia="宋体" w:hint="default"/>
                <w:sz w:val="21"/>
                <w:szCs w:val="21"/>
              </w:rPr>
            </w:pPr>
            <w:r>
              <w:rPr>
                <w:rFonts w:ascii="宋体"/>
                <w:sz w:val="21"/>
              </w:rPr>
              <w:t>20.00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8" w:right="0"/>
              <w:jc w:val="left"/>
              <w:rPr>
                <w:rFonts w:ascii="宋体" w:hAnsi="宋体" w:cs="宋体" w:eastAsia="宋体" w:hint="default"/>
                <w:sz w:val="21"/>
                <w:szCs w:val="21"/>
              </w:rPr>
            </w:pPr>
            <w:r>
              <w:rPr>
                <w:rFonts w:ascii="宋体"/>
                <w:sz w:val="21"/>
              </w:rPr>
              <w:t>22,255,7</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03.83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0" w:right="0"/>
              <w:jc w:val="left"/>
              <w:rPr>
                <w:rFonts w:ascii="宋体" w:hAnsi="宋体" w:cs="宋体" w:eastAsia="宋体" w:hint="default"/>
                <w:sz w:val="21"/>
                <w:szCs w:val="21"/>
              </w:rPr>
            </w:pPr>
            <w:r>
              <w:rPr>
                <w:rFonts w:ascii="宋体"/>
                <w:sz w:val="21"/>
              </w:rPr>
              <w:t>138,263,</w:t>
            </w:r>
          </w:p>
          <w:p>
            <w:pPr>
              <w:pStyle w:val="TableParagraph"/>
              <w:spacing w:line="240" w:lineRule="auto" w:before="37"/>
              <w:ind w:left="330" w:right="0"/>
              <w:jc w:val="left"/>
              <w:rPr>
                <w:rFonts w:ascii="宋体" w:hAnsi="宋体" w:cs="宋体" w:eastAsia="宋体" w:hint="default"/>
                <w:sz w:val="21"/>
                <w:szCs w:val="21"/>
              </w:rPr>
            </w:pPr>
            <w:r>
              <w:rPr>
                <w:rFonts w:ascii="宋体"/>
                <w:sz w:val="21"/>
              </w:rPr>
              <w:t>806.49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0" w:right="0"/>
              <w:jc w:val="left"/>
              <w:rPr>
                <w:rFonts w:ascii="宋体" w:hAnsi="宋体" w:cs="宋体" w:eastAsia="宋体" w:hint="default"/>
                <w:sz w:val="21"/>
                <w:szCs w:val="21"/>
              </w:rPr>
            </w:pPr>
            <w:r>
              <w:rPr>
                <w:rFonts w:ascii="宋体"/>
                <w:sz w:val="21"/>
              </w:rPr>
              <w:t>160,519,51</w:t>
            </w:r>
          </w:p>
          <w:p>
            <w:pPr>
              <w:pStyle w:val="TableParagraph"/>
              <w:spacing w:line="240" w:lineRule="auto" w:before="37"/>
              <w:ind w:left="680" w:right="0"/>
              <w:jc w:val="left"/>
              <w:rPr>
                <w:rFonts w:ascii="宋体" w:hAnsi="宋体" w:cs="宋体" w:eastAsia="宋体" w:hint="default"/>
                <w:sz w:val="21"/>
                <w:szCs w:val="21"/>
              </w:rPr>
            </w:pPr>
            <w:r>
              <w:rPr>
                <w:rFonts w:ascii="宋体"/>
                <w:sz w:val="21"/>
              </w:rPr>
              <w:t>0.32</w:t>
            </w:r>
          </w:p>
        </w:tc>
      </w:tr>
    </w:tbl>
    <w:p>
      <w:pPr>
        <w:spacing w:after="0" w:line="240" w:lineRule="auto"/>
        <w:jc w:val="left"/>
        <w:rPr>
          <w:rFonts w:ascii="宋体" w:hAnsi="宋体" w:cs="宋体" w:eastAsia="宋体" w:hint="default"/>
          <w:sz w:val="21"/>
          <w:szCs w:val="21"/>
        </w:rPr>
        <w:sectPr>
          <w:type w:val="continuous"/>
          <w:pgSz w:w="11910" w:h="16840"/>
          <w:pgMar w:top="1060" w:bottom="1160" w:left="460" w:right="0"/>
        </w:sectPr>
      </w:pPr>
    </w:p>
    <w:p>
      <w:pPr>
        <w:spacing w:line="240" w:lineRule="auto" w:before="6"/>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2694"/>
        <w:gridCol w:w="1275"/>
        <w:gridCol w:w="1134"/>
        <w:gridCol w:w="994"/>
        <w:gridCol w:w="991"/>
        <w:gridCol w:w="568"/>
        <w:gridCol w:w="991"/>
        <w:gridCol w:w="992"/>
        <w:gridCol w:w="1134"/>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222,557,</w:t>
            </w:r>
          </w:p>
          <w:p>
            <w:pPr>
              <w:pStyle w:val="TableParagraph"/>
              <w:spacing w:line="240" w:lineRule="auto" w:before="38"/>
              <w:ind w:left="330" w:right="0"/>
              <w:jc w:val="left"/>
              <w:rPr>
                <w:rFonts w:ascii="宋体" w:hAnsi="宋体" w:cs="宋体" w:eastAsia="宋体" w:hint="default"/>
                <w:sz w:val="21"/>
                <w:szCs w:val="21"/>
              </w:rPr>
            </w:pPr>
            <w:r>
              <w:rPr>
                <w:rFonts w:ascii="宋体"/>
                <w:sz w:val="21"/>
              </w:rPr>
              <w:t>038.32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222,557,03</w:t>
            </w:r>
          </w:p>
          <w:p>
            <w:pPr>
              <w:pStyle w:val="TableParagraph"/>
              <w:spacing w:line="240" w:lineRule="auto" w:before="38"/>
              <w:ind w:left="680" w:right="0"/>
              <w:jc w:val="left"/>
              <w:rPr>
                <w:rFonts w:ascii="宋体" w:hAnsi="宋体" w:cs="宋体" w:eastAsia="宋体" w:hint="default"/>
                <w:sz w:val="21"/>
                <w:szCs w:val="21"/>
              </w:rPr>
            </w:pPr>
            <w:r>
              <w:rPr>
                <w:rFonts w:ascii="宋体"/>
                <w:sz w:val="21"/>
              </w:rPr>
              <w:t>8.32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3"/>
                <w:sz w:val="21"/>
                <w:szCs w:val="21"/>
              </w:rPr>
              <w:t>）</w:t>
            </w:r>
            <w:r>
              <w:rPr>
                <w:rFonts w:ascii="宋体" w:hAnsi="宋体" w:cs="宋体" w:eastAsia="宋体" w:hint="default"/>
                <w:sz w:val="21"/>
                <w:szCs w:val="21"/>
              </w:rPr>
              <w:t>所有者投入和减少资本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．股东投入的普通股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3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．其他权益工具持有者投入 资本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35"/>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．股份支付计入所有者权益 的金额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22,255,7</w:t>
            </w:r>
          </w:p>
          <w:p>
            <w:pPr>
              <w:pStyle w:val="TableParagraph"/>
              <w:spacing w:line="240" w:lineRule="auto" w:before="38"/>
              <w:ind w:left="434" w:right="0"/>
              <w:jc w:val="left"/>
              <w:rPr>
                <w:rFonts w:ascii="宋体" w:hAnsi="宋体" w:cs="宋体" w:eastAsia="宋体" w:hint="default"/>
                <w:sz w:val="21"/>
                <w:szCs w:val="21"/>
              </w:rPr>
            </w:pPr>
            <w:r>
              <w:rPr>
                <w:rFonts w:ascii="宋体"/>
                <w:sz w:val="21"/>
              </w:rPr>
              <w:t>03.83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-84,293,</w:t>
            </w:r>
          </w:p>
          <w:p>
            <w:pPr>
              <w:pStyle w:val="TableParagraph"/>
              <w:spacing w:line="240" w:lineRule="auto" w:before="38"/>
              <w:ind w:left="330" w:right="0"/>
              <w:jc w:val="left"/>
              <w:rPr>
                <w:rFonts w:ascii="宋体" w:hAnsi="宋体" w:cs="宋体" w:eastAsia="宋体" w:hint="default"/>
                <w:sz w:val="21"/>
                <w:szCs w:val="21"/>
              </w:rPr>
            </w:pPr>
            <w:r>
              <w:rPr>
                <w:rFonts w:ascii="宋体"/>
                <w:sz w:val="21"/>
              </w:rPr>
              <w:t>231.83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-62,037,52</w:t>
            </w:r>
          </w:p>
          <w:p>
            <w:pPr>
              <w:pStyle w:val="TableParagraph"/>
              <w:spacing w:line="240" w:lineRule="auto" w:before="38"/>
              <w:ind w:left="680" w:right="0"/>
              <w:jc w:val="left"/>
              <w:rPr>
                <w:rFonts w:ascii="宋体" w:hAnsi="宋体" w:cs="宋体" w:eastAsia="宋体" w:hint="default"/>
                <w:sz w:val="21"/>
                <w:szCs w:val="21"/>
              </w:rPr>
            </w:pPr>
            <w:r>
              <w:rPr>
                <w:rFonts w:ascii="宋体"/>
                <w:sz w:val="21"/>
              </w:rPr>
              <w:t>8.00</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22,255,7</w:t>
            </w:r>
          </w:p>
          <w:p>
            <w:pPr>
              <w:pStyle w:val="TableParagraph"/>
              <w:spacing w:line="240" w:lineRule="auto" w:before="38"/>
              <w:ind w:left="434" w:right="0"/>
              <w:jc w:val="left"/>
              <w:rPr>
                <w:rFonts w:ascii="宋体" w:hAnsi="宋体" w:cs="宋体" w:eastAsia="宋体" w:hint="default"/>
                <w:sz w:val="21"/>
                <w:szCs w:val="21"/>
              </w:rPr>
            </w:pPr>
            <w:r>
              <w:rPr>
                <w:rFonts w:ascii="宋体"/>
                <w:sz w:val="21"/>
              </w:rPr>
              <w:t>03.83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-22,255,</w:t>
            </w:r>
          </w:p>
          <w:p>
            <w:pPr>
              <w:pStyle w:val="TableParagraph"/>
              <w:spacing w:line="240" w:lineRule="auto" w:before="38"/>
              <w:ind w:left="330" w:right="0"/>
              <w:jc w:val="left"/>
              <w:rPr>
                <w:rFonts w:ascii="宋体" w:hAnsi="宋体" w:cs="宋体" w:eastAsia="宋体" w:hint="default"/>
                <w:sz w:val="21"/>
                <w:szCs w:val="21"/>
              </w:rPr>
            </w:pPr>
            <w:r>
              <w:rPr>
                <w:rFonts w:ascii="宋体"/>
                <w:sz w:val="21"/>
              </w:rPr>
              <w:t>703.83</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3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．对所有者（或股东）的分 配</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-62,037,</w:t>
            </w:r>
          </w:p>
          <w:p>
            <w:pPr>
              <w:pStyle w:val="TableParagraph"/>
              <w:spacing w:line="240" w:lineRule="auto" w:before="38"/>
              <w:ind w:left="330" w:right="0"/>
              <w:jc w:val="left"/>
              <w:rPr>
                <w:rFonts w:ascii="宋体" w:hAnsi="宋体" w:cs="宋体" w:eastAsia="宋体" w:hint="default"/>
                <w:sz w:val="21"/>
                <w:szCs w:val="21"/>
              </w:rPr>
            </w:pPr>
            <w:r>
              <w:rPr>
                <w:rFonts w:ascii="宋体"/>
                <w:sz w:val="21"/>
              </w:rPr>
              <w:t>528.00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-62,037,52</w:t>
            </w:r>
          </w:p>
          <w:p>
            <w:pPr>
              <w:pStyle w:val="TableParagraph"/>
              <w:spacing w:line="240" w:lineRule="auto" w:before="38"/>
              <w:ind w:left="680" w:right="0"/>
              <w:jc w:val="left"/>
              <w:rPr>
                <w:rFonts w:ascii="宋体" w:hAnsi="宋体" w:cs="宋体" w:eastAsia="宋体" w:hint="default"/>
                <w:sz w:val="21"/>
                <w:szCs w:val="21"/>
              </w:rPr>
            </w:pPr>
            <w:r>
              <w:rPr>
                <w:rFonts w:ascii="宋体"/>
                <w:sz w:val="21"/>
              </w:rPr>
              <w:t>8.00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155,093,820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-155,093,8</w:t>
            </w:r>
          </w:p>
          <w:p>
            <w:pPr>
              <w:pStyle w:val="TableParagraph"/>
              <w:spacing w:line="240" w:lineRule="auto" w:before="38"/>
              <w:ind w:left="576" w:right="0"/>
              <w:jc w:val="left"/>
              <w:rPr>
                <w:rFonts w:ascii="宋体" w:hAnsi="宋体" w:cs="宋体" w:eastAsia="宋体" w:hint="default"/>
                <w:sz w:val="21"/>
                <w:szCs w:val="21"/>
              </w:rPr>
            </w:pPr>
            <w:r>
              <w:rPr>
                <w:rFonts w:ascii="宋体"/>
                <w:sz w:val="21"/>
              </w:rPr>
              <w:t>20.00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35"/>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．资本公积转增资本（或股 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155,093,820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-155,093,8</w:t>
            </w:r>
          </w:p>
          <w:p>
            <w:pPr>
              <w:pStyle w:val="TableParagraph"/>
              <w:spacing w:line="240" w:lineRule="auto" w:before="38"/>
              <w:ind w:left="576" w:right="0"/>
              <w:jc w:val="left"/>
              <w:rPr>
                <w:rFonts w:ascii="宋体" w:hAnsi="宋体" w:cs="宋体" w:eastAsia="宋体" w:hint="default"/>
                <w:sz w:val="21"/>
                <w:szCs w:val="21"/>
              </w:rPr>
            </w:pPr>
            <w:r>
              <w:rPr>
                <w:rFonts w:ascii="宋体"/>
                <w:sz w:val="21"/>
              </w:rPr>
              <w:t>20.00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3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．盈余公积转增资本（或股 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376,656,420</w:t>
            </w:r>
          </w:p>
          <w:p>
            <w:pPr>
              <w:pStyle w:val="TableParagraph"/>
              <w:spacing w:line="240" w:lineRule="auto" w:before="38"/>
              <w:ind w:right="20"/>
              <w:jc w:val="right"/>
              <w:rPr>
                <w:rFonts w:ascii="宋体" w:hAnsi="宋体" w:cs="宋体" w:eastAsia="宋体" w:hint="default"/>
                <w:sz w:val="21"/>
                <w:szCs w:val="21"/>
              </w:rPr>
            </w:pPr>
            <w:r>
              <w:rPr>
                <w:rFonts w:ascii="宋体"/>
                <w:sz w:val="21"/>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732,553,85</w:t>
            </w:r>
          </w:p>
          <w:p>
            <w:pPr>
              <w:pStyle w:val="TableParagraph"/>
              <w:spacing w:line="240" w:lineRule="auto" w:before="38"/>
              <w:ind w:left="680" w:right="0"/>
              <w:jc w:val="left"/>
              <w:rPr>
                <w:rFonts w:ascii="宋体" w:hAnsi="宋体" w:cs="宋体" w:eastAsia="宋体" w:hint="default"/>
                <w:sz w:val="21"/>
                <w:szCs w:val="21"/>
              </w:rPr>
            </w:pPr>
            <w:r>
              <w:rPr>
                <w:rFonts w:ascii="宋体"/>
                <w:sz w:val="21"/>
              </w:rPr>
              <w:t>8.88</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49,756,3</w:t>
            </w:r>
          </w:p>
          <w:p>
            <w:pPr>
              <w:pStyle w:val="TableParagraph"/>
              <w:spacing w:line="240" w:lineRule="auto" w:before="38"/>
              <w:ind w:left="434" w:right="0"/>
              <w:jc w:val="left"/>
              <w:rPr>
                <w:rFonts w:ascii="宋体" w:hAnsi="宋体" w:cs="宋体" w:eastAsia="宋体" w:hint="default"/>
                <w:sz w:val="21"/>
                <w:szCs w:val="21"/>
              </w:rPr>
            </w:pPr>
            <w:r>
              <w:rPr>
                <w:rFonts w:ascii="宋体"/>
                <w:sz w:val="21"/>
              </w:rPr>
              <w:t>20.28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0" w:right="0"/>
              <w:jc w:val="left"/>
              <w:rPr>
                <w:rFonts w:ascii="宋体" w:hAnsi="宋体" w:cs="宋体" w:eastAsia="宋体" w:hint="default"/>
                <w:sz w:val="21"/>
                <w:szCs w:val="21"/>
              </w:rPr>
            </w:pPr>
            <w:r>
              <w:rPr>
                <w:rFonts w:ascii="宋体"/>
                <w:sz w:val="21"/>
              </w:rPr>
              <w:t>202,003,</w:t>
            </w:r>
          </w:p>
          <w:p>
            <w:pPr>
              <w:pStyle w:val="TableParagraph"/>
              <w:spacing w:line="240" w:lineRule="auto" w:before="38"/>
              <w:ind w:left="330" w:right="0"/>
              <w:jc w:val="left"/>
              <w:rPr>
                <w:rFonts w:ascii="宋体" w:hAnsi="宋体" w:cs="宋体" w:eastAsia="宋体" w:hint="default"/>
                <w:sz w:val="21"/>
                <w:szCs w:val="21"/>
              </w:rPr>
            </w:pPr>
            <w:r>
              <w:rPr>
                <w:rFonts w:ascii="宋体"/>
                <w:sz w:val="21"/>
              </w:rPr>
              <w:t>569.54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21"/>
                <w:szCs w:val="21"/>
              </w:rPr>
            </w:pPr>
            <w:r>
              <w:rPr>
                <w:rFonts w:ascii="宋体"/>
                <w:sz w:val="21"/>
              </w:rPr>
              <w:t>1,360,970,</w:t>
            </w:r>
          </w:p>
          <w:p>
            <w:pPr>
              <w:pStyle w:val="TableParagraph"/>
              <w:spacing w:line="240" w:lineRule="auto" w:before="38"/>
              <w:ind w:left="470" w:right="0"/>
              <w:jc w:val="left"/>
              <w:rPr>
                <w:rFonts w:ascii="宋体" w:hAnsi="宋体" w:cs="宋体" w:eastAsia="宋体" w:hint="default"/>
                <w:sz w:val="21"/>
                <w:szCs w:val="21"/>
              </w:rPr>
            </w:pPr>
            <w:r>
              <w:rPr>
                <w:rFonts w:ascii="宋体"/>
                <w:sz w:val="21"/>
              </w:rPr>
              <w:t>168.70</w:t>
            </w:r>
          </w:p>
        </w:tc>
      </w:tr>
    </w:tbl>
    <w:p>
      <w:pPr>
        <w:spacing w:line="240" w:lineRule="auto" w:before="10"/>
        <w:rPr>
          <w:rFonts w:ascii="宋体" w:hAnsi="宋体" w:cs="宋体" w:eastAsia="宋体" w:hint="default"/>
          <w:sz w:val="4"/>
          <w:szCs w:val="4"/>
        </w:rPr>
      </w:pPr>
    </w:p>
    <w:p>
      <w:pPr>
        <w:pStyle w:val="Heading2"/>
        <w:spacing w:line="240" w:lineRule="auto"/>
        <w:ind w:left="1156" w:right="1115"/>
        <w:jc w:val="left"/>
        <w:rPr>
          <w:b w:val="0"/>
          <w:bCs w:val="0"/>
        </w:rPr>
      </w:pPr>
      <w:r>
        <w:rPr/>
        <w:t>三、公司基本情况</w:t>
      </w:r>
      <w:r>
        <w:rPr>
          <w:b w:val="0"/>
          <w:bCs w:val="0"/>
        </w:rPr>
      </w:r>
    </w:p>
    <w:p>
      <w:pPr>
        <w:pStyle w:val="Heading2"/>
        <w:spacing w:line="350" w:lineRule="auto" w:before="146"/>
        <w:ind w:left="1156" w:right="5755"/>
        <w:jc w:val="left"/>
        <w:rPr>
          <w:b w:val="0"/>
          <w:bCs w:val="0"/>
        </w:rPr>
      </w:pPr>
      <w:r>
        <w:rPr/>
        <w:t>（一）公司基本情况</w:t>
      </w:r>
      <w:r>
        <w:rPr>
          <w:w w:val="99"/>
        </w:rPr>
        <w:t> </w:t>
      </w:r>
      <w:r>
        <w:rPr>
          <w:rFonts w:ascii="宋体" w:hAnsi="宋体" w:cs="宋体" w:eastAsia="宋体" w:hint="default"/>
          <w:w w:val="95"/>
        </w:rPr>
        <w:t>1</w:t>
      </w:r>
      <w:r>
        <w:rPr>
          <w:w w:val="95"/>
        </w:rPr>
        <w:t>、公司注册地、组织形式和总部地址</w:t>
      </w:r>
      <w:r>
        <w:rPr>
          <w:b w:val="0"/>
          <w:bCs w:val="0"/>
        </w:rPr>
      </w:r>
    </w:p>
    <w:p>
      <w:pPr>
        <w:pStyle w:val="BodyText"/>
        <w:spacing w:line="352" w:lineRule="auto" w:before="35"/>
        <w:ind w:left="673" w:right="1153" w:firstLine="480"/>
        <w:jc w:val="left"/>
      </w:pPr>
      <w:r>
        <w:rPr/>
        <w:t>河南辉煌科技股份有限公司（以下简称“公司”或“本公司”）系于</w:t>
      </w:r>
      <w:r>
        <w:rPr>
          <w:rFonts w:ascii="宋体" w:hAnsi="宋体" w:cs="宋体" w:eastAsia="宋体" w:hint="default"/>
        </w:rPr>
        <w:t>2001</w:t>
      </w:r>
      <w:r>
        <w:rPr/>
        <w:t>年</w:t>
      </w:r>
      <w:r>
        <w:rPr>
          <w:rFonts w:ascii="宋体" w:hAnsi="宋体" w:cs="宋体" w:eastAsia="宋体" w:hint="default"/>
        </w:rPr>
        <w:t>10</w:t>
      </w:r>
      <w:r>
        <w:rPr/>
        <w:t>月经河南 省人民政府豫股批字</w:t>
      </w:r>
      <w:r>
        <w:rPr>
          <w:rFonts w:ascii="宋体" w:hAnsi="宋体" w:cs="宋体" w:eastAsia="宋体" w:hint="default"/>
        </w:rPr>
        <w:t>(2001)35</w:t>
      </w:r>
      <w:r>
        <w:rPr/>
        <w:t>号文批准，由李海鹰等</w:t>
      </w:r>
      <w:r>
        <w:rPr>
          <w:rFonts w:ascii="宋体" w:hAnsi="宋体" w:cs="宋体" w:eastAsia="宋体" w:hint="default"/>
        </w:rPr>
        <w:t>9</w:t>
      </w:r>
      <w:r>
        <w:rPr/>
        <w:t>位自然人共同发起设立的股份有限公 司。公司的企业法人营业执照注册号：</w:t>
      </w:r>
      <w:r>
        <w:rPr>
          <w:rFonts w:ascii="宋体" w:hAnsi="宋体" w:cs="宋体" w:eastAsia="宋体" w:hint="default"/>
        </w:rPr>
        <w:t>410100000015035</w:t>
      </w:r>
      <w:r>
        <w:rPr/>
        <w:t>，并于</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29</w:t>
      </w:r>
      <w:r>
        <w:rPr/>
        <w:t>日在深圳证券交</w:t>
      </w:r>
    </w:p>
    <w:p>
      <w:pPr>
        <w:spacing w:after="0" w:line="352" w:lineRule="auto"/>
        <w:jc w:val="left"/>
        <w:sectPr>
          <w:pgSz w:w="11910" w:h="16840"/>
          <w:pgMar w:header="747" w:footer="979" w:top="1060" w:bottom="1160" w:left="460" w:right="0"/>
        </w:sectPr>
      </w:pPr>
    </w:p>
    <w:p>
      <w:pPr>
        <w:spacing w:line="240" w:lineRule="auto" w:before="0"/>
        <w:rPr>
          <w:rFonts w:ascii="宋体" w:hAnsi="宋体" w:cs="宋体" w:eastAsia="宋体" w:hint="default"/>
          <w:sz w:val="20"/>
          <w:szCs w:val="20"/>
        </w:rPr>
      </w:pPr>
    </w:p>
    <w:p>
      <w:pPr>
        <w:pStyle w:val="BodyText"/>
        <w:spacing w:line="240" w:lineRule="auto" w:before="199"/>
        <w:ind w:left="154" w:right="1153"/>
        <w:jc w:val="left"/>
      </w:pPr>
      <w:r>
        <w:rPr/>
        <w:t>易所上市。</w:t>
      </w:r>
    </w:p>
    <w:p>
      <w:pPr>
        <w:pStyle w:val="BodyText"/>
        <w:spacing w:line="352" w:lineRule="auto" w:before="145"/>
        <w:ind w:right="1169" w:firstLine="480"/>
        <w:jc w:val="both"/>
      </w:pPr>
      <w:r>
        <w:rPr/>
        <w:t>经过历年的派送红股、配售新股、转增股本及增发新股，截至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 累计发行股本总数</w:t>
      </w:r>
      <w:r>
        <w:rPr>
          <w:rFonts w:ascii="宋体" w:hAnsi="宋体" w:cs="宋体" w:eastAsia="宋体" w:hint="default"/>
        </w:rPr>
        <w:t>37,665.642</w:t>
      </w:r>
      <w:r>
        <w:rPr/>
        <w:t>万股，注册资本为</w:t>
      </w:r>
      <w:r>
        <w:rPr>
          <w:rFonts w:ascii="宋体" w:hAnsi="宋体" w:cs="宋体" w:eastAsia="宋体" w:hint="default"/>
        </w:rPr>
        <w:t>37,665.642</w:t>
      </w:r>
      <w:r>
        <w:rPr/>
        <w:t>万元，注册地址：郑州市高新技 术产业开发区科学大道</w:t>
      </w:r>
      <w:r>
        <w:rPr>
          <w:rFonts w:ascii="宋体" w:hAnsi="宋体" w:cs="宋体" w:eastAsia="宋体" w:hint="default"/>
        </w:rPr>
        <w:t>74</w:t>
      </w:r>
      <w:r>
        <w:rPr/>
        <w:t>号，总部地址：郑州市高新技术产业开发区科学大道</w:t>
      </w:r>
      <w:r>
        <w:rPr>
          <w:rFonts w:ascii="宋体" w:hAnsi="宋体" w:cs="宋体" w:eastAsia="宋体" w:hint="default"/>
        </w:rPr>
        <w:t>74</w:t>
      </w:r>
      <w:r>
        <w:rPr/>
        <w:t>号，公司第 一大股东为李海鹰，持股比例为</w:t>
      </w:r>
      <w:r>
        <w:rPr>
          <w:rFonts w:ascii="宋体" w:hAnsi="宋体" w:cs="宋体" w:eastAsia="宋体" w:hint="default"/>
        </w:rPr>
        <w:t>14.61%</w:t>
      </w:r>
      <w:r>
        <w:rPr/>
        <w:t>。</w:t>
      </w:r>
    </w:p>
    <w:p>
      <w:pPr>
        <w:pStyle w:val="BodyText"/>
        <w:spacing w:line="350" w:lineRule="auto" w:before="34"/>
        <w:ind w:left="634" w:right="1152" w:firstLine="2"/>
        <w:jc w:val="left"/>
      </w:pPr>
      <w:r>
        <w:rPr>
          <w:rFonts w:ascii="宋体" w:hAnsi="宋体" w:cs="宋体" w:eastAsia="宋体" w:hint="default"/>
          <w:b/>
          <w:bCs/>
        </w:rPr>
        <w:t>2</w:t>
      </w:r>
      <w:r>
        <w:rPr>
          <w:rFonts w:ascii="宋体" w:hAnsi="宋体" w:cs="宋体" w:eastAsia="宋体" w:hint="default"/>
          <w:b/>
          <w:bCs/>
        </w:rPr>
        <w:t>、经营范围</w:t>
      </w:r>
      <w:r>
        <w:rPr>
          <w:rFonts w:ascii="宋体" w:hAnsi="宋体" w:cs="宋体" w:eastAsia="宋体" w:hint="default"/>
          <w:b/>
          <w:bCs/>
          <w:w w:val="99"/>
        </w:rPr>
        <w:t> </w:t>
      </w:r>
      <w:r>
        <w:rPr/>
        <w:t>公司主要经营范围：计算机监控设备、电子产品的设计、开发、生产；通讯设备（凭有</w:t>
      </w:r>
    </w:p>
    <w:p>
      <w:pPr>
        <w:pStyle w:val="BodyText"/>
        <w:spacing w:line="352" w:lineRule="auto" w:before="35"/>
        <w:ind w:left="154" w:right="1170"/>
        <w:jc w:val="both"/>
      </w:pPr>
      <w:r>
        <w:rPr/>
        <w:t>效批准证书并按其核定和范围经营）、电子器件、仪器仪表、电子产品的销售；软件开发； 信息服务。铁路电务工程施工（凭有效资质证核定的范围和期限经营，未获审批前，不得经 营）。</w:t>
      </w:r>
    </w:p>
    <w:p>
      <w:pPr>
        <w:pStyle w:val="BodyText"/>
        <w:spacing w:line="352" w:lineRule="auto" w:before="32"/>
        <w:ind w:left="634" w:right="1152" w:firstLine="2"/>
        <w:jc w:val="left"/>
      </w:pPr>
      <w:r>
        <w:rPr>
          <w:rFonts w:ascii="宋体" w:hAnsi="宋体" w:cs="宋体" w:eastAsia="宋体" w:hint="default"/>
          <w:b/>
          <w:bCs/>
        </w:rPr>
        <w:t>3</w:t>
      </w:r>
      <w:r>
        <w:rPr>
          <w:rFonts w:ascii="宋体" w:hAnsi="宋体" w:cs="宋体" w:eastAsia="宋体" w:hint="default"/>
          <w:b/>
          <w:bCs/>
        </w:rPr>
        <w:t>、公司业务性质和主要经营活动</w:t>
      </w:r>
      <w:r>
        <w:rPr>
          <w:rFonts w:ascii="宋体" w:hAnsi="宋体" w:cs="宋体" w:eastAsia="宋体" w:hint="default"/>
          <w:b/>
          <w:bCs/>
          <w:w w:val="99"/>
        </w:rPr>
        <w:t> </w:t>
      </w:r>
      <w:r>
        <w:rPr/>
        <w:t>公司的主营业务为铁路通信信号领域产品的研制开发、生产及销售。 公司的主要产品为铁路通信信号和铁路运输调度指挥管理领域的软件和系统集成产品，</w:t>
      </w:r>
    </w:p>
    <w:p>
      <w:pPr>
        <w:pStyle w:val="BodyText"/>
        <w:spacing w:line="352" w:lineRule="auto" w:before="32"/>
        <w:ind w:left="154" w:right="0"/>
        <w:jc w:val="left"/>
      </w:pPr>
      <w:r>
        <w:rPr/>
        <w:t>具体为：设备监测类产品：包括信号集中监测及子系统、融雪系统、信号维护支持系统、道 岔缺口监测、道岔综合监测、电务设备动态监测分析系统等；安防类产品：包括铁路防灾安 全监控系统、铁路综合视频监控系统、城轨综合监控系统、动力环境监控等；生产指挥及运 </w:t>
      </w:r>
      <w:r>
        <w:rPr>
          <w:spacing w:val="-3"/>
        </w:rPr>
        <w:t>输调度信息化类产品：包括电务生产指挥、铁路安全生产指挥综合系统等；信号控制类产品：</w:t>
      </w:r>
      <w:r>
        <w:rPr>
          <w:spacing w:val="-81"/>
        </w:rPr>
        <w:t> </w:t>
      </w:r>
      <w:r>
        <w:rPr>
          <w:spacing w:val="-81"/>
        </w:rPr>
      </w:r>
      <w:r>
        <w:rPr/>
        <w:t>包括无线调车机车信号、计算机联锁等；电源类设备产品：包括电源屏设备及子系统；信号 设备及器材产品：包括信号设备及器材、道岔转辙机等。</w:t>
      </w:r>
    </w:p>
    <w:p>
      <w:pPr>
        <w:spacing w:line="352" w:lineRule="auto" w:before="32"/>
        <w:ind w:left="634" w:right="4392"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、财务报表的批准报出</w:t>
      </w:r>
      <w:r>
        <w:rPr>
          <w:rFonts w:ascii="宋体" w:hAnsi="宋体" w:cs="宋体" w:eastAsia="宋体" w:hint="default"/>
          <w:b/>
          <w:bCs/>
          <w:w w:val="99"/>
          <w:sz w:val="24"/>
          <w:szCs w:val="24"/>
        </w:rPr>
        <w:t> </w:t>
      </w:r>
      <w:r>
        <w:rPr>
          <w:rFonts w:ascii="宋体" w:hAnsi="宋体" w:cs="宋体" w:eastAsia="宋体" w:hint="default"/>
          <w:sz w:val="24"/>
          <w:szCs w:val="24"/>
        </w:rPr>
        <w:t>本财务报表业经公司董事会于</w:t>
      </w:r>
      <w:r>
        <w:rPr>
          <w:rFonts w:ascii="宋体" w:hAnsi="宋体" w:cs="宋体" w:eastAsia="宋体" w:hint="default"/>
          <w:sz w:val="24"/>
          <w:szCs w:val="24"/>
        </w:rPr>
        <w:t>2016</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29</w:t>
      </w:r>
      <w:r>
        <w:rPr>
          <w:rFonts w:ascii="宋体" w:hAnsi="宋体" w:cs="宋体" w:eastAsia="宋体" w:hint="default"/>
          <w:sz w:val="24"/>
          <w:szCs w:val="24"/>
        </w:rPr>
        <w:t>日批准报出。</w:t>
      </w:r>
    </w:p>
    <w:p>
      <w:pPr>
        <w:spacing w:line="350" w:lineRule="auto" w:before="32"/>
        <w:ind w:left="633" w:right="4633" w:firstLine="2"/>
        <w:jc w:val="left"/>
        <w:rPr>
          <w:rFonts w:ascii="宋体" w:hAnsi="宋体" w:cs="宋体" w:eastAsia="宋体" w:hint="default"/>
          <w:sz w:val="24"/>
          <w:szCs w:val="24"/>
        </w:rPr>
      </w:pPr>
      <w:r>
        <w:rPr>
          <w:rFonts w:ascii="宋体" w:hAnsi="宋体" w:cs="宋体" w:eastAsia="宋体" w:hint="default"/>
          <w:b/>
          <w:bCs/>
          <w:sz w:val="24"/>
          <w:szCs w:val="24"/>
        </w:rPr>
        <w:t>（二）合并财务报表范围</w:t>
      </w:r>
      <w:r>
        <w:rPr>
          <w:rFonts w:ascii="宋体" w:hAnsi="宋体" w:cs="宋体" w:eastAsia="宋体" w:hint="default"/>
          <w:b/>
          <w:bCs/>
          <w:w w:val="99"/>
          <w:sz w:val="24"/>
          <w:szCs w:val="24"/>
        </w:rPr>
        <w:t> </w:t>
      </w:r>
      <w:r>
        <w:rPr>
          <w:rFonts w:ascii="宋体" w:hAnsi="宋体" w:cs="宋体" w:eastAsia="宋体" w:hint="default"/>
          <w:sz w:val="24"/>
          <w:szCs w:val="24"/>
        </w:rPr>
        <w:t>本期纳入合并财务报表范围的主体共</w:t>
      </w:r>
      <w:r>
        <w:rPr>
          <w:rFonts w:ascii="宋体" w:hAnsi="宋体" w:cs="宋体" w:eastAsia="宋体" w:hint="default"/>
          <w:sz w:val="24"/>
          <w:szCs w:val="24"/>
        </w:rPr>
        <w:t>7</w:t>
      </w:r>
      <w:r>
        <w:rPr>
          <w:rFonts w:ascii="宋体" w:hAnsi="宋体" w:cs="宋体" w:eastAsia="宋体" w:hint="default"/>
          <w:sz w:val="24"/>
          <w:szCs w:val="24"/>
        </w:rPr>
        <w:t>户，具体包括：</w:t>
      </w:r>
    </w:p>
    <w:p>
      <w:pPr>
        <w:spacing w:before="16"/>
        <w:ind w:left="0" w:right="2172" w:firstLine="0"/>
        <w:jc w:val="right"/>
        <w:rPr>
          <w:rFonts w:ascii="宋体" w:hAnsi="宋体" w:cs="宋体" w:eastAsia="宋体" w:hint="default"/>
          <w:sz w:val="21"/>
          <w:szCs w:val="21"/>
        </w:rPr>
      </w:pPr>
      <w:r>
        <w:rPr/>
        <w:pict>
          <v:shape style="position:absolute;margin-left:56.34pt;margin-top:-2.596331pt;width:428.35pt;height:161.2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0"/>
                    <w:gridCol w:w="1260"/>
                    <w:gridCol w:w="725"/>
                    <w:gridCol w:w="1517"/>
                    <w:gridCol w:w="1517"/>
                  </w:tblGrid>
                  <w:tr>
                    <w:trPr>
                      <w:trHeight w:val="403" w:hRule="exact"/>
                    </w:trPr>
                    <w:tc>
                      <w:tcPr>
                        <w:tcW w:w="3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left="97"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级次</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3"/>
                          <w:ind w:left="2"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w:t>
                        </w:r>
                      </w:p>
                    </w:tc>
                  </w:tr>
                  <w:tr>
                    <w:trPr>
                      <w:trHeight w:val="400"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河南辉煌软件有限公司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2"/>
                          <w:ind w:left="435" w:right="0"/>
                          <w:jc w:val="left"/>
                          <w:rPr>
                            <w:rFonts w:ascii="宋体" w:hAnsi="宋体" w:cs="宋体" w:eastAsia="宋体" w:hint="default"/>
                            <w:sz w:val="21"/>
                            <w:szCs w:val="21"/>
                          </w:rPr>
                        </w:pPr>
                        <w:r>
                          <w:rPr>
                            <w:rFonts w:ascii="宋体"/>
                            <w:sz w:val="21"/>
                          </w:rPr>
                          <w:t>100.00</w:t>
                        </w:r>
                      </w:p>
                    </w:tc>
                  </w:tr>
                  <w:tr>
                    <w:trPr>
                      <w:trHeight w:val="401"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河南辉煌信通软件有限公司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2"/>
                          <w:ind w:left="435" w:right="0"/>
                          <w:jc w:val="left"/>
                          <w:rPr>
                            <w:rFonts w:ascii="宋体" w:hAnsi="宋体" w:cs="宋体" w:eastAsia="宋体" w:hint="default"/>
                            <w:sz w:val="21"/>
                            <w:szCs w:val="21"/>
                          </w:rPr>
                        </w:pPr>
                        <w:r>
                          <w:rPr>
                            <w:rFonts w:ascii="宋体"/>
                            <w:sz w:val="21"/>
                          </w:rPr>
                          <w:t>100.00</w:t>
                        </w:r>
                      </w:p>
                    </w:tc>
                  </w:tr>
                  <w:tr>
                    <w:trPr>
                      <w:trHeight w:val="400"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北京全路信通软件科技有限公司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2"/>
                          <w:ind w:left="435" w:right="0"/>
                          <w:jc w:val="left"/>
                          <w:rPr>
                            <w:rFonts w:ascii="宋体" w:hAnsi="宋体" w:cs="宋体" w:eastAsia="宋体" w:hint="default"/>
                            <w:sz w:val="21"/>
                            <w:szCs w:val="21"/>
                          </w:rPr>
                        </w:pPr>
                        <w:r>
                          <w:rPr>
                            <w:rFonts w:ascii="宋体"/>
                            <w:sz w:val="21"/>
                          </w:rPr>
                          <w:t>100.00</w:t>
                        </w:r>
                      </w:p>
                    </w:tc>
                  </w:tr>
                  <w:tr>
                    <w:trPr>
                      <w:trHeight w:val="400"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2"/>
                          <w:ind w:left="435" w:right="0"/>
                          <w:jc w:val="left"/>
                          <w:rPr>
                            <w:rFonts w:ascii="宋体" w:hAnsi="宋体" w:cs="宋体" w:eastAsia="宋体" w:hint="default"/>
                            <w:sz w:val="21"/>
                            <w:szCs w:val="21"/>
                          </w:rPr>
                        </w:pPr>
                        <w:r>
                          <w:rPr>
                            <w:rFonts w:ascii="宋体"/>
                            <w:sz w:val="21"/>
                          </w:rPr>
                          <w:t>100.00</w:t>
                        </w:r>
                      </w:p>
                    </w:tc>
                  </w:tr>
                  <w:tr>
                    <w:trPr>
                      <w:trHeight w:val="401"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天津信通铁路电气技术有限公司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2"/>
                          <w:ind w:left="435" w:right="0"/>
                          <w:jc w:val="left"/>
                          <w:rPr>
                            <w:rFonts w:ascii="宋体" w:hAnsi="宋体" w:cs="宋体" w:eastAsia="宋体" w:hint="default"/>
                            <w:sz w:val="21"/>
                            <w:szCs w:val="21"/>
                          </w:rPr>
                        </w:pPr>
                        <w:r>
                          <w:rPr>
                            <w:rFonts w:ascii="宋体"/>
                            <w:sz w:val="21"/>
                          </w:rPr>
                          <w:t>100.00</w:t>
                        </w:r>
                      </w:p>
                    </w:tc>
                  </w:tr>
                  <w:tr>
                    <w:trPr>
                      <w:trHeight w:val="400"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北京国铁路阳软件有限公司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2"/>
                          <w:ind w:left="435" w:right="0"/>
                          <w:jc w:val="left"/>
                          <w:rPr>
                            <w:rFonts w:ascii="宋体" w:hAnsi="宋体" w:cs="宋体" w:eastAsia="宋体" w:hint="default"/>
                            <w:sz w:val="21"/>
                            <w:szCs w:val="21"/>
                          </w:rPr>
                        </w:pPr>
                        <w:r>
                          <w:rPr>
                            <w:rFonts w:ascii="宋体"/>
                            <w:sz w:val="21"/>
                          </w:rPr>
                          <w:t>100.00</w:t>
                        </w:r>
                      </w:p>
                    </w:tc>
                  </w:tr>
                  <w:tr>
                    <w:trPr>
                      <w:trHeight w:val="400"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天津辉煌路阳科技有限公司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三级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2"/>
                          <w:ind w:left="435" w:right="0"/>
                          <w:jc w:val="left"/>
                          <w:rPr>
                            <w:rFonts w:ascii="宋体" w:hAnsi="宋体" w:cs="宋体" w:eastAsia="宋体" w:hint="default"/>
                            <w:sz w:val="21"/>
                            <w:szCs w:val="21"/>
                          </w:rPr>
                        </w:pPr>
                        <w:r>
                          <w:rPr>
                            <w:rFonts w:ascii="宋体"/>
                            <w:sz w:val="21"/>
                          </w:rPr>
                          <w:t>100.00</w:t>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154" w:right="0" w:firstLine="480"/>
        <w:jc w:val="left"/>
      </w:pPr>
      <w:r>
        <w:rPr>
          <w:rFonts w:ascii="宋体" w:hAnsi="宋体" w:cs="宋体" w:eastAsia="宋体" w:hint="default"/>
          <w:spacing w:val="-3"/>
        </w:rPr>
        <w:t>1</w:t>
      </w:r>
      <w:r>
        <w:rPr>
          <w:spacing w:val="-3"/>
        </w:rPr>
        <w:t>、本期无新纳入合并范围的子公司、特殊目的主体、通过受托经营或承租等方式形成控</w:t>
      </w:r>
      <w:r>
        <w:rPr/>
        <w:t> 制权的经营实体。</w:t>
      </w:r>
    </w:p>
    <w:p>
      <w:pPr>
        <w:pStyle w:val="BodyText"/>
        <w:spacing w:line="350" w:lineRule="auto"/>
        <w:ind w:left="154" w:right="0" w:firstLine="480"/>
        <w:jc w:val="left"/>
      </w:pPr>
      <w:r>
        <w:rPr>
          <w:rFonts w:ascii="宋体" w:hAnsi="宋体" w:cs="宋体" w:eastAsia="宋体" w:hint="default"/>
          <w:spacing w:val="-3"/>
        </w:rPr>
        <w:t>2</w:t>
      </w:r>
      <w:r>
        <w:rPr>
          <w:spacing w:val="-3"/>
        </w:rPr>
        <w:t>、本期无不再纳入合并范围的子公司、特殊目的主体、通过委托经营或出租等方式丧失</w:t>
      </w:r>
      <w:r>
        <w:rPr/>
        <w:t> 控制权的经营实体。</w:t>
      </w:r>
    </w:p>
    <w:p>
      <w:pPr>
        <w:spacing w:line="352" w:lineRule="auto" w:before="35"/>
        <w:ind w:left="636" w:right="3313" w:hanging="3"/>
        <w:jc w:val="left"/>
        <w:rPr>
          <w:rFonts w:ascii="宋体" w:hAnsi="宋体" w:cs="宋体" w:eastAsia="宋体" w:hint="default"/>
          <w:sz w:val="24"/>
          <w:szCs w:val="24"/>
        </w:rPr>
      </w:pPr>
      <w:r>
        <w:rPr>
          <w:rFonts w:ascii="宋体" w:hAnsi="宋体" w:cs="宋体" w:eastAsia="宋体" w:hint="default"/>
          <w:sz w:val="24"/>
          <w:szCs w:val="24"/>
        </w:rPr>
        <w:t>合并报表的范围具体信息详见“附注九、在其他主体中的权益”。 </w:t>
      </w:r>
      <w:r>
        <w:rPr>
          <w:rFonts w:ascii="宋体" w:hAnsi="宋体" w:cs="宋体" w:eastAsia="宋体" w:hint="default"/>
          <w:b/>
          <w:bCs/>
          <w:sz w:val="24"/>
          <w:szCs w:val="24"/>
        </w:rPr>
        <w:t>四、财务报表的编制基础</w:t>
      </w:r>
      <w:r>
        <w:rPr>
          <w:rFonts w:ascii="宋体" w:hAnsi="宋体" w:cs="宋体" w:eastAsia="宋体" w:hint="default"/>
          <w:sz w:val="24"/>
          <w:szCs w:val="24"/>
        </w:rPr>
      </w:r>
    </w:p>
    <w:p>
      <w:pPr>
        <w:pStyle w:val="BodyText"/>
        <w:spacing w:line="350" w:lineRule="auto" w:before="32"/>
        <w:ind w:left="633" w:right="1153" w:firstLine="2"/>
        <w:jc w:val="left"/>
      </w:pPr>
      <w:r>
        <w:rPr>
          <w:rFonts w:ascii="宋体" w:hAnsi="宋体" w:cs="宋体" w:eastAsia="宋体" w:hint="default"/>
          <w:b/>
          <w:bCs/>
        </w:rPr>
        <w:t>1</w:t>
      </w:r>
      <w:r>
        <w:rPr>
          <w:rFonts w:ascii="宋体" w:hAnsi="宋体" w:cs="宋体" w:eastAsia="宋体" w:hint="default"/>
          <w:b/>
          <w:bCs/>
        </w:rPr>
        <w:t>、编制基础</w:t>
      </w:r>
      <w:r>
        <w:rPr>
          <w:rFonts w:ascii="宋体" w:hAnsi="宋体" w:cs="宋体" w:eastAsia="宋体" w:hint="default"/>
          <w:b/>
          <w:bCs/>
          <w:w w:val="99"/>
        </w:rPr>
        <w:t> </w:t>
      </w:r>
      <w:r>
        <w:rPr/>
        <w:t>本公司根据实际发生的交易和事项，按照财政部颁布的《企业会计准则——基本准则》</w:t>
      </w:r>
    </w:p>
    <w:p>
      <w:pPr>
        <w:pStyle w:val="BodyText"/>
        <w:spacing w:line="350" w:lineRule="auto"/>
        <w:ind w:right="1130"/>
        <w:jc w:val="both"/>
      </w:pPr>
      <w:r>
        <w:rPr>
          <w:spacing w:val="-2"/>
        </w:rPr>
        <w:t>和具体企业会计准则、企业会计准则应用指南、企业会计准则解释及其他相关规定</w:t>
      </w:r>
      <w:r>
        <w:rPr>
          <w:rFonts w:ascii="宋体" w:hAnsi="宋体" w:cs="宋体" w:eastAsia="宋体" w:hint="default"/>
          <w:spacing w:val="-2"/>
        </w:rPr>
        <w:t>(</w:t>
      </w:r>
      <w:r>
        <w:rPr>
          <w:spacing w:val="-2"/>
        </w:rPr>
        <w:t>以下合称</w:t>
      </w:r>
      <w:r>
        <w:rPr/>
        <w:t> </w:t>
      </w:r>
      <w:r>
        <w:rPr>
          <w:spacing w:val="-3"/>
        </w:rPr>
        <w:t>“企业会计准则”)进行确认和计量，在此基础上，结合中国证券监督管理委员会《公开发行</w:t>
      </w:r>
      <w:r>
        <w:rPr>
          <w:spacing w:val="-82"/>
        </w:rPr>
        <w:t> </w:t>
      </w:r>
      <w:r>
        <w:rPr>
          <w:spacing w:val="-82"/>
        </w:rPr>
      </w:r>
      <w:r>
        <w:rPr/>
        <w:t>证券的公司信息披露编报规则第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w:t>
      </w:r>
      <w:r>
        <w:rPr>
          <w:rFonts w:ascii="宋体" w:hAnsi="宋体" w:cs="宋体" w:eastAsia="宋体" w:hint="default"/>
        </w:rPr>
        <w:t>)</w:t>
      </w:r>
      <w:r>
        <w:rPr/>
        <w:t>的规定，编制 财务报表。</w:t>
      </w:r>
    </w:p>
    <w:p>
      <w:pPr>
        <w:pStyle w:val="BodyText"/>
        <w:spacing w:line="350" w:lineRule="auto" w:before="35"/>
        <w:ind w:left="633" w:right="1153" w:firstLine="2"/>
        <w:jc w:val="left"/>
      </w:pPr>
      <w:r>
        <w:rPr>
          <w:rFonts w:ascii="宋体" w:hAnsi="宋体" w:cs="宋体" w:eastAsia="宋体" w:hint="default"/>
          <w:b/>
          <w:bCs/>
        </w:rPr>
        <w:t>2</w:t>
      </w:r>
      <w:r>
        <w:rPr>
          <w:rFonts w:ascii="宋体" w:hAnsi="宋体" w:cs="宋体" w:eastAsia="宋体" w:hint="default"/>
          <w:b/>
          <w:bCs/>
        </w:rPr>
        <w:t>、持续经营</w:t>
      </w:r>
      <w:r>
        <w:rPr>
          <w:rFonts w:ascii="宋体" w:hAnsi="宋体" w:cs="宋体" w:eastAsia="宋体" w:hint="default"/>
          <w:b/>
          <w:bCs/>
          <w:w w:val="99"/>
        </w:rPr>
        <w:t> </w:t>
      </w:r>
      <w:r>
        <w:rPr/>
        <w:t>本公司对报告期末起</w:t>
      </w:r>
      <w:r>
        <w:rPr>
          <w:rFonts w:ascii="宋体" w:hAnsi="宋体" w:cs="宋体" w:eastAsia="宋体" w:hint="default"/>
        </w:rPr>
        <w:t>12</w:t>
      </w:r>
      <w:r>
        <w:rPr/>
        <w:t>个月的持续经营能力进行了评价，未发现对持续经营能力产生重</w:t>
      </w:r>
    </w:p>
    <w:p>
      <w:pPr>
        <w:spacing w:line="350" w:lineRule="auto" w:before="36"/>
        <w:ind w:left="636" w:right="2833" w:hanging="483"/>
        <w:jc w:val="left"/>
        <w:rPr>
          <w:rFonts w:ascii="宋体" w:hAnsi="宋体" w:cs="宋体" w:eastAsia="宋体" w:hint="default"/>
          <w:sz w:val="24"/>
          <w:szCs w:val="24"/>
        </w:rPr>
      </w:pPr>
      <w:r>
        <w:rPr>
          <w:rFonts w:ascii="宋体" w:hAnsi="宋体" w:cs="宋体" w:eastAsia="宋体" w:hint="default"/>
          <w:sz w:val="24"/>
          <w:szCs w:val="24"/>
        </w:rPr>
        <w:t>大怀疑的事项或情况。因此，本财务报表系在持续经营假设的基础上编制。 </w:t>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line="352" w:lineRule="auto" w:before="35"/>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本公司所编制的财务报表符合企业会计准则的要求，真实、完整地反映了报告期公司的</w:t>
      </w:r>
    </w:p>
    <w:p>
      <w:pPr>
        <w:spacing w:line="350" w:lineRule="auto" w:before="32"/>
        <w:ind w:left="634" w:right="5472" w:hanging="480"/>
        <w:jc w:val="left"/>
        <w:rPr>
          <w:rFonts w:ascii="宋体" w:hAnsi="宋体" w:cs="宋体" w:eastAsia="宋体" w:hint="default"/>
          <w:sz w:val="24"/>
          <w:szCs w:val="24"/>
        </w:rPr>
      </w:pPr>
      <w:r>
        <w:rPr>
          <w:rFonts w:ascii="宋体" w:hAnsi="宋体" w:cs="宋体" w:eastAsia="宋体" w:hint="default"/>
          <w:sz w:val="24"/>
          <w:szCs w:val="24"/>
        </w:rPr>
        <w:t>财务状况、经营成果、现金流量等有关信息。 </w:t>
      </w:r>
      <w:r>
        <w:rPr>
          <w:rFonts w:ascii="宋体" w:hAnsi="宋体" w:cs="宋体" w:eastAsia="宋体" w:hint="default"/>
          <w:b/>
          <w:bCs/>
          <w:sz w:val="24"/>
          <w:szCs w:val="24"/>
        </w:rPr>
        <w:t>2</w:t>
      </w:r>
      <w:r>
        <w:rPr>
          <w:rFonts w:ascii="宋体" w:hAnsi="宋体" w:cs="宋体" w:eastAsia="宋体" w:hint="default"/>
          <w:b/>
          <w:bCs/>
          <w:sz w:val="24"/>
          <w:szCs w:val="24"/>
        </w:rPr>
        <w:t>、会计期间</w:t>
      </w:r>
      <w:r>
        <w:rPr>
          <w:rFonts w:ascii="宋体" w:hAnsi="宋体" w:cs="宋体" w:eastAsia="宋体" w:hint="default"/>
          <w:b/>
          <w:bCs/>
          <w:w w:val="99"/>
          <w:sz w:val="24"/>
          <w:szCs w:val="24"/>
        </w:rPr>
        <w:t> </w:t>
      </w:r>
      <w:r>
        <w:rPr>
          <w:rFonts w:ascii="宋体" w:hAnsi="宋体" w:cs="宋体" w:eastAsia="宋体" w:hint="default"/>
          <w:sz w:val="24"/>
          <w:szCs w:val="24"/>
        </w:rPr>
        <w:t>自公历</w:t>
      </w:r>
      <w:r>
        <w:rPr>
          <w:rFonts w:ascii="宋体" w:hAnsi="宋体" w:cs="宋体" w:eastAsia="宋体" w:hint="default"/>
          <w:sz w:val="24"/>
          <w:szCs w:val="24"/>
        </w:rPr>
        <w:t>1</w:t>
      </w:r>
      <w:r>
        <w:rPr>
          <w:rFonts w:ascii="宋体" w:hAnsi="宋体" w:cs="宋体" w:eastAsia="宋体" w:hint="default"/>
          <w:sz w:val="24"/>
          <w:szCs w:val="24"/>
        </w:rPr>
        <w:t>月</w:t>
      </w:r>
      <w:r>
        <w:rPr>
          <w:rFonts w:ascii="宋体" w:hAnsi="宋体" w:cs="宋体" w:eastAsia="宋体" w:hint="default"/>
          <w:sz w:val="24"/>
          <w:szCs w:val="24"/>
        </w:rPr>
        <w:t>1</w:t>
      </w:r>
      <w:r>
        <w:rPr>
          <w:rFonts w:ascii="宋体" w:hAnsi="宋体" w:cs="宋体" w:eastAsia="宋体" w:hint="default"/>
          <w:sz w:val="24"/>
          <w:szCs w:val="24"/>
        </w:rPr>
        <w:t>日至</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日止为一个会计年度。 </w:t>
      </w:r>
      <w:r>
        <w:rPr>
          <w:rFonts w:ascii="宋体" w:hAnsi="宋体" w:cs="宋体" w:eastAsia="宋体" w:hint="default"/>
          <w:b/>
          <w:bCs/>
          <w:sz w:val="24"/>
          <w:szCs w:val="24"/>
        </w:rPr>
        <w:t>3</w:t>
      </w:r>
      <w:r>
        <w:rPr>
          <w:rFonts w:ascii="宋体" w:hAnsi="宋体" w:cs="宋体" w:eastAsia="宋体" w:hint="default"/>
          <w:b/>
          <w:bCs/>
          <w:sz w:val="24"/>
          <w:szCs w:val="24"/>
        </w:rPr>
        <w:t>、营业周期</w:t>
      </w:r>
      <w:r>
        <w:rPr>
          <w:rFonts w:ascii="宋体" w:hAnsi="宋体" w:cs="宋体" w:eastAsia="宋体" w:hint="default"/>
          <w:sz w:val="24"/>
          <w:szCs w:val="24"/>
        </w:rPr>
      </w:r>
    </w:p>
    <w:p>
      <w:pPr>
        <w:pStyle w:val="BodyText"/>
        <w:spacing w:line="352" w:lineRule="auto" w:before="35"/>
        <w:ind w:left="154" w:right="1152" w:firstLine="480"/>
        <w:jc w:val="left"/>
      </w:pPr>
      <w:r>
        <w:rPr/>
        <w:t>正常营业周期是指本公司从购买用于加工的资产起至收回现金或现金等价物的期间。本 公司以</w:t>
      </w:r>
      <w:r>
        <w:rPr>
          <w:rFonts w:ascii="宋体" w:hAnsi="宋体" w:cs="宋体" w:eastAsia="宋体" w:hint="default"/>
        </w:rPr>
        <w:t>12</w:t>
      </w:r>
      <w:r>
        <w:rPr/>
        <w:t>个月作为一个营业周期，并以其作为资产和负债的流动性划分标准。</w:t>
      </w:r>
    </w:p>
    <w:p>
      <w:pPr>
        <w:spacing w:line="350" w:lineRule="auto" w:before="32"/>
        <w:ind w:left="633" w:right="7393"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、记账本位币</w:t>
      </w:r>
      <w:r>
        <w:rPr>
          <w:rFonts w:ascii="宋体" w:hAnsi="宋体" w:cs="宋体" w:eastAsia="宋体" w:hint="default"/>
          <w:b/>
          <w:bCs/>
          <w:w w:val="99"/>
          <w:sz w:val="24"/>
          <w:szCs w:val="24"/>
        </w:rPr>
        <w:t> </w:t>
      </w:r>
      <w:r>
        <w:rPr>
          <w:rFonts w:ascii="宋体" w:hAnsi="宋体" w:cs="宋体" w:eastAsia="宋体" w:hint="default"/>
          <w:sz w:val="24"/>
          <w:szCs w:val="24"/>
        </w:rPr>
        <w:t>采用人民币为记账本位币。</w:t>
      </w:r>
    </w:p>
    <w:p>
      <w:pPr>
        <w:pStyle w:val="Heading2"/>
        <w:spacing w:line="240" w:lineRule="auto" w:before="36"/>
        <w:ind w:right="1153"/>
        <w:jc w:val="left"/>
        <w:rPr>
          <w:b w:val="0"/>
          <w:bCs w:val="0"/>
        </w:rPr>
      </w:pPr>
      <w:r>
        <w:rPr>
          <w:rFonts w:ascii="宋体" w:hAnsi="宋体" w:cs="宋体" w:eastAsia="宋体" w:hint="default"/>
        </w:rPr>
        <w:t>5</w:t>
      </w:r>
      <w:r>
        <w:rPr/>
        <w:t>、同一控制下和非同一控制下企业合并的会计处理方法</w:t>
      </w:r>
      <w:r>
        <w:rPr>
          <w:b w:val="0"/>
          <w:bCs w:val="0"/>
        </w:rPr>
      </w:r>
    </w:p>
    <w:p>
      <w:pPr>
        <w:pStyle w:val="BodyText"/>
        <w:spacing w:line="350" w:lineRule="auto" w:before="146"/>
        <w:ind w:right="0" w:firstLine="480"/>
        <w:jc w:val="left"/>
      </w:pPr>
      <w:r>
        <w:rPr>
          <w:spacing w:val="-3"/>
        </w:rPr>
        <w:t>（</w:t>
      </w:r>
      <w:r>
        <w:rPr>
          <w:rFonts w:ascii="宋体" w:hAnsi="宋体" w:cs="宋体" w:eastAsia="宋体" w:hint="default"/>
          <w:spacing w:val="-3"/>
        </w:rPr>
        <w:t>1</w:t>
      </w:r>
      <w:r>
        <w:rPr>
          <w:spacing w:val="-3"/>
        </w:rPr>
        <w:t>）分步实现企业合并过程中的各项交易的条款、条件以及经济影响符合以下一种或多</w:t>
      </w:r>
      <w:r>
        <w:rPr/>
        <w:t> 种情况，将多次交易事项作为一揽子交易进行会计处理</w:t>
      </w:r>
    </w:p>
    <w:p>
      <w:pPr>
        <w:pStyle w:val="BodyText"/>
        <w:spacing w:line="240" w:lineRule="auto"/>
        <w:ind w:left="633" w:right="1153"/>
        <w:jc w:val="left"/>
      </w:pPr>
      <w:r>
        <w:rPr>
          <w:rFonts w:ascii="宋体" w:hAnsi="宋体" w:cs="宋体" w:eastAsia="宋体" w:hint="default"/>
        </w:rPr>
        <w:t>a</w:t>
      </w:r>
      <w:r>
        <w:rPr/>
        <w:t>、这些交易是同时或者在考虑了彼此影响的情况下订立的；</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left="633" w:right="2713"/>
        <w:jc w:val="left"/>
      </w:pPr>
      <w:r>
        <w:rPr>
          <w:rFonts w:ascii="宋体" w:hAnsi="宋体" w:cs="宋体" w:eastAsia="宋体" w:hint="default"/>
        </w:rPr>
        <w:t>b</w:t>
      </w:r>
      <w:r>
        <w:rPr/>
        <w:t>、这些交易整体才能达成一项完整的商业结果； </w:t>
      </w:r>
      <w:r>
        <w:rPr>
          <w:rFonts w:ascii="宋体" w:hAnsi="宋体" w:cs="宋体" w:eastAsia="宋体" w:hint="default"/>
        </w:rPr>
        <w:t>c</w:t>
      </w:r>
      <w:r>
        <w:rPr/>
        <w:t>、一项交易的发生取决于其他至少一项交易的发生； </w:t>
      </w:r>
      <w:r>
        <w:rPr>
          <w:rFonts w:ascii="宋体" w:hAnsi="宋体" w:cs="宋体" w:eastAsia="宋体" w:hint="default"/>
        </w:rPr>
        <w:t>d</w:t>
      </w:r>
      <w:r>
        <w:rPr/>
        <w:t>、一项交易单独看是不经济的，但是和其他交易一并考虑时是经济的。</w:t>
      </w:r>
    </w:p>
    <w:p>
      <w:pPr>
        <w:pStyle w:val="BodyText"/>
        <w:spacing w:line="350" w:lineRule="auto" w:before="33"/>
        <w:ind w:left="633" w:right="1153"/>
        <w:jc w:val="left"/>
      </w:pPr>
      <w:r>
        <w:rPr/>
        <w:t>（</w:t>
      </w:r>
      <w:r>
        <w:rPr>
          <w:rFonts w:ascii="宋体" w:hAnsi="宋体" w:cs="宋体" w:eastAsia="宋体" w:hint="default"/>
        </w:rPr>
        <w:t>2</w:t>
      </w:r>
      <w:r>
        <w:rPr/>
        <w:t>）同一控制下的企业合并 本公司在企业合并中取得的资产和负债，按照合并日在被合并方资产、负债（包括最终</w:t>
      </w:r>
    </w:p>
    <w:p>
      <w:pPr>
        <w:pStyle w:val="BodyText"/>
        <w:spacing w:line="350" w:lineRule="auto"/>
        <w:ind w:right="1170"/>
        <w:jc w:val="both"/>
      </w:pPr>
      <w:r>
        <w:rPr/>
        <w:t>控制方收购被合并方而形成的商誉）在最终控制方合并财务报表中的账面价值计量。在合并 中取得的净资产账面价值与支付的合并对价账面价值（或发行股份面值总额）的差额，调整 资本公积中的股本溢价，资本公积中的股本溢价不足冲减的，调整留存收益。</w:t>
      </w:r>
    </w:p>
    <w:p>
      <w:pPr>
        <w:pStyle w:val="BodyText"/>
        <w:spacing w:line="350" w:lineRule="auto"/>
        <w:ind w:right="0" w:firstLine="480"/>
        <w:jc w:val="left"/>
      </w:pPr>
      <w:r>
        <w:rPr/>
        <w:t>如果存在或有对价并需要确认预计负债或资产，该预计负债或资产金额与后续或有对价 </w:t>
      </w:r>
      <w:r>
        <w:rPr>
          <w:spacing w:val="-3"/>
        </w:rPr>
        <w:t>结算金额的差额，调整资本公积（资本溢价或股本溢价），资本公积不足的，调整留存收益。</w:t>
      </w:r>
    </w:p>
    <w:p>
      <w:pPr>
        <w:pStyle w:val="BodyText"/>
        <w:spacing w:line="350" w:lineRule="auto" w:before="35"/>
        <w:ind w:left="154" w:right="994" w:firstLine="480"/>
        <w:jc w:val="left"/>
      </w:pPr>
      <w:r>
        <w:rPr/>
        <w:t>对于通过多次交易最终实现企业合并的，属于一揽子交易的，将各项交易作为一项取得 控制权的交易进行会计处理；不属于一揽子交易的，在取得控制权日，长期股权投资初始投 资成本，与达到合并前的长期股权投资账面价值加上合并日进一步取得股份新支付对价的账 面价值之和的差额，调整资本公积；资本公积不足冲减的，调整留存收益。对于合并日之前 </w:t>
      </w:r>
      <w:r>
        <w:rPr>
          <w:spacing w:val="-2"/>
        </w:rPr>
        <w:t>持有的股权投资，因采用权益法核算或金融工具确认和计量准则核算而确认的其他综合收益，</w:t>
      </w:r>
      <w:r>
        <w:rPr/>
        <w:t> 暂不进行会计处理，直至处置该项投资时采用与被投资单位直接处置相关资产或负债相同的 基础进行会计处理；因采用权益法核算而确认的被投资单位净资产中除净损益、其他综合收 益和利润分配以外的所有者权益其他变动，暂不进行会计处理，直至处置该项投资时转入当 期损益。</w:t>
      </w:r>
    </w:p>
    <w:p>
      <w:pPr>
        <w:pStyle w:val="BodyText"/>
        <w:spacing w:line="352" w:lineRule="auto" w:before="35"/>
        <w:ind w:left="633" w:right="0"/>
        <w:jc w:val="left"/>
      </w:pPr>
      <w:r>
        <w:rPr>
          <w:rFonts w:ascii="宋体" w:hAnsi="宋体" w:cs="宋体" w:eastAsia="宋体" w:hint="default"/>
        </w:rPr>
        <w:t>(3)</w:t>
      </w:r>
      <w:r>
        <w:rPr/>
        <w:t>非同一控制下的企业合并 </w:t>
      </w:r>
      <w:r>
        <w:rPr>
          <w:spacing w:val="-3"/>
        </w:rPr>
        <w:t>本公司在购买日对作为企业合并对价付出的资产、发生或承担的负债按照公允价值计量，</w:t>
      </w:r>
    </w:p>
    <w:p>
      <w:pPr>
        <w:pStyle w:val="BodyText"/>
        <w:spacing w:line="350" w:lineRule="auto" w:before="32"/>
        <w:ind w:left="634" w:right="1152" w:hanging="480"/>
        <w:jc w:val="left"/>
      </w:pPr>
      <w:r>
        <w:rPr/>
        <w:t>公允价值与其账面价值的差额，计入当期损益。 本公司对合并成本大于合并中取得的被购买方可辨认净资产公允价值份额的差额，确认</w:t>
      </w:r>
    </w:p>
    <w:p>
      <w:pPr>
        <w:pStyle w:val="BodyText"/>
        <w:spacing w:line="350" w:lineRule="auto"/>
        <w:ind w:left="154" w:right="994"/>
        <w:jc w:val="left"/>
      </w:pPr>
      <w:r>
        <w:rPr>
          <w:spacing w:val="-2"/>
        </w:rPr>
        <w:t>为商誉；合并成本小于合并中取得的被购买方可辨认净资产公允价值份额的差额，经复核后，</w:t>
      </w:r>
      <w:r>
        <w:rPr/>
        <w:t> 计入当期损益。</w:t>
      </w:r>
    </w:p>
    <w:p>
      <w:pPr>
        <w:pStyle w:val="BodyText"/>
        <w:spacing w:line="352" w:lineRule="auto" w:before="35"/>
        <w:ind w:left="154" w:right="1169" w:firstLine="480"/>
        <w:jc w:val="both"/>
      </w:pPr>
      <w:r>
        <w:rPr/>
        <w:t>通过多次交换交易分步实现的非同一控制下企业合并，属于一揽子交易的，将各项交易 作为一项取得控制权的交易进行会计处理；不属于一揽子交易的，合并日之前持有的股权投 资采用权益法核算的，以购买日之前所持被购买方的股权投资的账面价值与购买日新增投资 成本之和，作为该项投资的初始投资成本；购买日之前持有的股权投资因采用权益法核算而 确认的其他综合收益，在处置该项投资时采用与被投资单位直接处置相关资产或负债相同的</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left="154" w:right="1170"/>
        <w:jc w:val="both"/>
      </w:pPr>
      <w:r>
        <w:rPr/>
        <w:t>基础进行会计处理。合并日之前持有的股权投资采用金融工具确认和计量准则核算的，以该 股权投资在合并日的公允价值加上新增投资成本之和，作为合并日的初始投资成本。原持有 股权的公允价值与账面价值之间的差额以及原计入其他综合收益的累计公允价值变动应全部 转入合并日当期的投资收益。</w:t>
      </w:r>
    </w:p>
    <w:p>
      <w:pPr>
        <w:pStyle w:val="BodyText"/>
        <w:spacing w:line="352" w:lineRule="auto" w:before="32"/>
        <w:ind w:left="633" w:right="1153"/>
        <w:jc w:val="left"/>
      </w:pPr>
      <w:r>
        <w:rPr>
          <w:rFonts w:ascii="宋体" w:hAnsi="宋体" w:cs="宋体" w:eastAsia="宋体" w:hint="default"/>
        </w:rPr>
        <w:t>(4)</w:t>
      </w:r>
      <w:r>
        <w:rPr/>
        <w:t>为合并发生的相关费用 为企业合并发生的审计、法律服务、评估咨询等中介费用以及其他直接相关费用，于发</w:t>
      </w:r>
    </w:p>
    <w:p>
      <w:pPr>
        <w:pStyle w:val="BodyText"/>
        <w:spacing w:line="350" w:lineRule="auto" w:before="32"/>
        <w:ind w:right="1170"/>
        <w:jc w:val="both"/>
      </w:pPr>
      <w:r>
        <w:rPr/>
        <w:t>生时计入当期损益；为企业合并而发行权益性证券的交易费用，可直接归属于权益性交易的 从权益中扣减。</w:t>
      </w:r>
    </w:p>
    <w:p>
      <w:pPr>
        <w:spacing w:line="350" w:lineRule="auto" w:before="36"/>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、合并财务报表的编制方法</w:t>
      </w:r>
      <w:r>
        <w:rPr>
          <w:rFonts w:ascii="宋体" w:hAnsi="宋体" w:cs="宋体" w:eastAsia="宋体" w:hint="default"/>
          <w:b/>
          <w:bCs/>
          <w:w w:val="99"/>
          <w:sz w:val="24"/>
          <w:szCs w:val="24"/>
        </w:rPr>
        <w:t> </w:t>
      </w:r>
      <w:r>
        <w:rPr>
          <w:rFonts w:ascii="宋体" w:hAnsi="宋体" w:cs="宋体" w:eastAsia="宋体" w:hint="default"/>
          <w:sz w:val="24"/>
          <w:szCs w:val="24"/>
        </w:rPr>
        <w:t>本公司合并财务报表的合并范围以控制为基础确定，所有子公司（包括本公司所控制的</w:t>
      </w:r>
    </w:p>
    <w:p>
      <w:pPr>
        <w:pStyle w:val="BodyText"/>
        <w:spacing w:line="352" w:lineRule="auto" w:before="35"/>
        <w:ind w:left="633" w:right="1153" w:hanging="480"/>
        <w:jc w:val="left"/>
      </w:pPr>
      <w:r>
        <w:rPr/>
        <w:t>单独主体）均纳入合并财务报表。 本公司以自身和各子公司的财务报表为基础，根据其他有关资料，编制合并财务报表。</w:t>
      </w:r>
    </w:p>
    <w:p>
      <w:pPr>
        <w:pStyle w:val="BodyText"/>
        <w:spacing w:line="352" w:lineRule="auto" w:before="32"/>
        <w:ind w:right="1170"/>
        <w:jc w:val="both"/>
      </w:pPr>
      <w:r>
        <w:rPr/>
        <w:t>本公司编制合并财务报表，将整个企业集团视为一个会计主体，依据相关企业会计准则的确 认、计量和列报要求，按照统一的会计政策，反映本企业集团整体财务状况、经营成果和现 金流量。</w:t>
      </w:r>
    </w:p>
    <w:p>
      <w:pPr>
        <w:pStyle w:val="BodyText"/>
        <w:spacing w:line="352" w:lineRule="auto" w:before="33"/>
        <w:ind w:left="154" w:right="1169" w:firstLine="480"/>
        <w:jc w:val="both"/>
      </w:pPr>
      <w:r>
        <w:rPr/>
        <w:t>所有纳入合并财务报表合并范围的子公司所采用的会计政策、会计期间与本公司一致， 如子公司采用的会计政策、会计期间与本公司不一致的，在编制合并财务报表时，按本公司 的会计政策、会计期间进行必要的调整。</w:t>
      </w:r>
    </w:p>
    <w:p>
      <w:pPr>
        <w:pStyle w:val="BodyText"/>
        <w:spacing w:line="350" w:lineRule="auto" w:before="32"/>
        <w:ind w:left="154" w:right="1170" w:firstLine="480"/>
        <w:jc w:val="both"/>
      </w:pPr>
      <w:r>
        <w:rPr/>
        <w:t>合并财务报表时抵销本公司与各子公司、各子公司相互之间发生的内部交易对合并资产 负债表、合并利润表、合并现金流量表、合并股东权益变动表的影响。如果站在企业集团合 并财务报表角度与以本公司或子公司为会计主体对同一交易的认定不同时，从企业集团的角 度对该交易予以调整。</w:t>
      </w:r>
    </w:p>
    <w:p>
      <w:pPr>
        <w:pStyle w:val="BodyText"/>
        <w:spacing w:line="350" w:lineRule="auto" w:before="35"/>
        <w:ind w:left="154" w:right="1169" w:firstLine="480"/>
        <w:jc w:val="both"/>
      </w:pPr>
      <w:r>
        <w:rPr/>
        <w:t>子公司所有者权益、当期净损益和当期综合收益中属于少数股东的份额分别在合并资产 负债表中所有者权益项目下、合并利润表中净利润项目下和综合收益总额项目下单独列示。 子公司少数股东分担的当期亏损超过了少数股东在该子公司期初所有者权益中所享有份额而 形成的余额，冲减少数股东权益。</w:t>
      </w:r>
    </w:p>
    <w:p>
      <w:pPr>
        <w:pStyle w:val="BodyText"/>
        <w:spacing w:line="350" w:lineRule="auto"/>
        <w:ind w:left="154" w:right="1170" w:firstLine="480"/>
        <w:jc w:val="both"/>
      </w:pPr>
      <w:r>
        <w:rPr/>
        <w:t>对于同一控制下企业合并取得的子公司，以其资产、负债（包括最终控制方收购该子公 司而形成的商誉）在最终控制方财务报表中的账面价值为基础对其财务报表进行调整。</w:t>
      </w:r>
    </w:p>
    <w:p>
      <w:pPr>
        <w:pStyle w:val="BodyText"/>
        <w:spacing w:line="352" w:lineRule="auto" w:before="35"/>
        <w:ind w:right="1170" w:firstLine="480"/>
        <w:jc w:val="both"/>
      </w:pPr>
      <w:r>
        <w:rPr/>
        <w:t>对于非同一控制下企业合并取得的子公司，以购买日可辨认净资产公允价值为基础对其 财务报表进行调整</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1152"/>
        <w:jc w:val="left"/>
      </w:pPr>
      <w:r>
        <w:rPr>
          <w:rFonts w:ascii="宋体" w:hAnsi="宋体" w:cs="宋体" w:eastAsia="宋体" w:hint="default"/>
        </w:rPr>
        <w:t>(1)</w:t>
      </w:r>
      <w:r>
        <w:rPr/>
        <w:t>增加子公司或业务 在报告期内，若因同一控制下企业合并增加子公司或业务的，则调整合并资产负债表的</w:t>
      </w:r>
    </w:p>
    <w:p>
      <w:pPr>
        <w:pStyle w:val="BodyText"/>
        <w:spacing w:line="350" w:lineRule="auto"/>
        <w:ind w:left="154" w:right="1170"/>
        <w:jc w:val="both"/>
      </w:pPr>
      <w:r>
        <w:rPr/>
        <w:t>期初数；将子公司或业务合并当期期初至报告期末的收入、费用、利润纳入合并利润表；将 子公司或业务合并当期期初至报告期末的现金流量纳入合并现金流量表，同时对比较报表的 相关项目进行调整，视同合并后的报告主体自最终控制方开始控制时点起一直存在。</w:t>
      </w:r>
    </w:p>
    <w:p>
      <w:pPr>
        <w:pStyle w:val="BodyText"/>
        <w:spacing w:line="350" w:lineRule="auto"/>
        <w:ind w:right="1170" w:firstLine="480"/>
        <w:jc w:val="both"/>
      </w:pPr>
      <w:r>
        <w:rPr/>
        <w:t>因追加投资等原因能够对同一控制下的被投资方实施控制的，视同参与合并的各方在最 终控制方开始控制时即以目前的状态存在进行调整。在取得被合并方控制权之前持有的股权 投资，在取得原股权之日与合并方和被合并方同处于同一控制之日孰晚日起至合并日之间已 确认有关损益、其他综合收益以及其他净资产变动，分别冲减比较报表期间的期初留存收益 或当期损益。</w:t>
      </w:r>
    </w:p>
    <w:p>
      <w:pPr>
        <w:pStyle w:val="BodyText"/>
        <w:spacing w:line="352" w:lineRule="auto" w:before="35"/>
        <w:ind w:right="1169" w:firstLine="480"/>
        <w:jc w:val="both"/>
      </w:pPr>
      <w:r>
        <w:rPr/>
        <w:t>在报告期内，若因非同一控制下企业合并增加子公司或业务的，则不调整合并资产负债 表期初数；将该子公司或业务自购买日至报告期末的收入、费用、利润纳入合并利润表；该 子公司或业务自购买日至报告期末的现金流量纳入合并现金流量表。</w:t>
      </w:r>
    </w:p>
    <w:p>
      <w:pPr>
        <w:pStyle w:val="BodyText"/>
        <w:spacing w:line="352" w:lineRule="auto" w:before="32"/>
        <w:ind w:right="1169" w:firstLine="480"/>
        <w:jc w:val="both"/>
      </w:pPr>
      <w:r>
        <w:rPr/>
        <w:t>因追加投资等原因能够对非同一控制下的被投资方实施控制的，对于购买日之前持有的 被购买方的股权，本公司按照该股权在购买日的公允价值进行重新计量，公允价值与其账面 价值的差额计入当期投资收益。购买日之前持有的被购买方的股权涉及权益法核算下的其他 综合收益以及除净损益、其他综合收益和利润分配之外的其他所有者权益变动的，与其相关 的其他综合收益、其他所有者权益变动转为购买日所属当期投资收益，由于被投资方重新计 量设定受益计划净负债或净资产变动而产生的其他综合收益除外。</w:t>
      </w:r>
    </w:p>
    <w:p>
      <w:pPr>
        <w:spacing w:line="352" w:lineRule="auto" w:before="32"/>
        <w:ind w:left="636" w:right="7993" w:hanging="3"/>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增加子公司或业务 </w:t>
      </w:r>
      <w:r>
        <w:rPr>
          <w:rFonts w:ascii="宋体" w:hAnsi="宋体" w:cs="宋体" w:eastAsia="宋体" w:hint="default"/>
          <w:b/>
          <w:bCs/>
          <w:sz w:val="24"/>
          <w:szCs w:val="24"/>
        </w:rPr>
        <w:t>处置子公司或业务</w:t>
      </w:r>
      <w:r>
        <w:rPr>
          <w:rFonts w:ascii="宋体" w:hAnsi="宋体" w:cs="宋体" w:eastAsia="宋体" w:hint="default"/>
          <w:sz w:val="24"/>
          <w:szCs w:val="24"/>
        </w:rPr>
      </w:r>
    </w:p>
    <w:p>
      <w:pPr>
        <w:pStyle w:val="BodyText"/>
        <w:spacing w:line="350" w:lineRule="auto" w:before="32"/>
        <w:ind w:left="634" w:right="0"/>
        <w:jc w:val="left"/>
      </w:pPr>
      <w:r>
        <w:rPr/>
        <w:t>①一般处理方法 </w:t>
      </w:r>
      <w:r>
        <w:rPr>
          <w:spacing w:val="-3"/>
        </w:rPr>
        <w:t>在报告期内，本公司处置子公司或业务，则该子公司或业务期初至处置日的收入、费用、</w:t>
      </w:r>
    </w:p>
    <w:p>
      <w:pPr>
        <w:pStyle w:val="BodyText"/>
        <w:spacing w:line="350" w:lineRule="auto"/>
        <w:ind w:left="633" w:right="1153" w:hanging="480"/>
        <w:jc w:val="left"/>
      </w:pPr>
      <w:r>
        <w:rPr/>
        <w:t>利润纳入合并利润表；该子公司或业务期初至处置日的现金流量纳入合并现金流量表。 因处置部分股权投资或其他原因丧失了对被投资方控制权时，对于处置后的剩余股权投</w:t>
      </w:r>
    </w:p>
    <w:p>
      <w:pPr>
        <w:pStyle w:val="BodyText"/>
        <w:spacing w:line="352" w:lineRule="auto" w:before="35"/>
        <w:ind w:right="1169"/>
        <w:jc w:val="both"/>
      </w:pPr>
      <w:r>
        <w:rPr/>
        <w:t>资，本公司按照其在丧失控制权日的公允价值进行重新计量。处置股权取得的对价与剩余股 权公允价值之和，减去按原持股比例计算应享有原有子公司自购买日或合并日开始持续计算 的净资产的份额与商誉之和的差额，计入丧失控制权当期的投资收益。与原有子公司股权投 资相关的其他综合收益或除净损益、其他综合收益及利润分配之外的其他所有者权益变动， 在丧失控制权时转为当期投资收益，由于被投资方重新计量设定受益计划净负债或净资产变</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154" w:right="0"/>
        <w:jc w:val="both"/>
      </w:pPr>
      <w:r>
        <w:rPr/>
        <w:t>动而产生的其他综合收益除外。</w:t>
      </w:r>
    </w:p>
    <w:p>
      <w:pPr>
        <w:pStyle w:val="BodyText"/>
        <w:spacing w:line="352" w:lineRule="auto" w:before="145"/>
        <w:ind w:left="634" w:right="1152"/>
        <w:jc w:val="left"/>
      </w:pPr>
      <w:r>
        <w:rPr/>
        <w:t>②分步处置子公司 通过多次交易分步处置对子公司股权投资直至丧失控制权的，处置对子公司股权投资的</w:t>
      </w:r>
    </w:p>
    <w:p>
      <w:pPr>
        <w:pStyle w:val="BodyText"/>
        <w:spacing w:line="350" w:lineRule="auto" w:before="33"/>
        <w:ind w:left="154" w:right="1170"/>
        <w:jc w:val="both"/>
      </w:pPr>
      <w:r>
        <w:rPr/>
        <w:t>各项交易的条款、条件以及经济影响符合以下一种或多种情况，通常表明应将多次交易事项 作为一揽子交易进行会计处理：</w:t>
      </w:r>
    </w:p>
    <w:p>
      <w:pPr>
        <w:pStyle w:val="BodyText"/>
        <w:spacing w:line="350" w:lineRule="auto"/>
        <w:ind w:left="633" w:right="1153"/>
        <w:jc w:val="left"/>
      </w:pPr>
      <w:r>
        <w:rPr>
          <w:rFonts w:ascii="宋体" w:hAnsi="宋体" w:cs="宋体" w:eastAsia="宋体" w:hint="default"/>
        </w:rPr>
        <w:t>A.</w:t>
      </w:r>
      <w:r>
        <w:rPr/>
        <w:t>这些交易是同时或者在考虑了彼此影响的情况下订立的； </w:t>
      </w:r>
      <w:r>
        <w:rPr>
          <w:rFonts w:ascii="宋体" w:hAnsi="宋体" w:cs="宋体" w:eastAsia="宋体" w:hint="default"/>
        </w:rPr>
        <w:t>B.</w:t>
      </w:r>
      <w:r>
        <w:rPr/>
        <w:t>这些交易整体才能达成一项完整的商业结果； </w:t>
      </w:r>
      <w:r>
        <w:rPr>
          <w:rFonts w:ascii="宋体" w:hAnsi="宋体" w:cs="宋体" w:eastAsia="宋体" w:hint="default"/>
        </w:rPr>
        <w:t>C.</w:t>
      </w:r>
      <w:r>
        <w:rPr/>
        <w:t>一项交易的发生取决于其他至少一项交易的发生； </w:t>
      </w:r>
      <w:r>
        <w:rPr>
          <w:rFonts w:ascii="宋体" w:hAnsi="宋体" w:cs="宋体" w:eastAsia="宋体" w:hint="default"/>
        </w:rPr>
        <w:t>D.</w:t>
      </w:r>
      <w:r>
        <w:rPr/>
        <w:t>一项交易单独看是不经济的，但是和其他交易一并考虑时是经济的。 处置对子公司股权投资直至丧失控制权的各项交易属于一揽子交易的，本公司将各项交</w:t>
      </w:r>
    </w:p>
    <w:p>
      <w:pPr>
        <w:pStyle w:val="BodyText"/>
        <w:spacing w:line="352" w:lineRule="auto" w:before="35"/>
        <w:ind w:right="1169"/>
        <w:jc w:val="both"/>
      </w:pPr>
      <w:r>
        <w:rPr/>
        <w:t>易作为一项处置子公司并丧失控制权的交易进行会计处理；但是，在丧失控制权之前每一次 处置价款与处置投资对应的享有该子公司净资产份额的差额，在合并财务报表中确认为其他 综合收益，在丧失控制权时一并转入丧失控制权当期的损益。</w:t>
      </w:r>
    </w:p>
    <w:p>
      <w:pPr>
        <w:pStyle w:val="BodyText"/>
        <w:spacing w:line="352" w:lineRule="auto" w:before="32"/>
        <w:ind w:right="1170" w:firstLine="480"/>
        <w:jc w:val="both"/>
      </w:pPr>
      <w:r>
        <w:rPr/>
        <w:t>处置对子公司股权投资直至丧失控制权的各项交易不属于一揽子交易的，在丧失控制权 之前，按不丧失控制权的情况下部分处置对子公司的股权投资的相关政策进行会计处理；在 丧失控制权时，按处置子公司一般处理方法进行会计处理。</w:t>
      </w:r>
    </w:p>
    <w:p>
      <w:pPr>
        <w:spacing w:line="352" w:lineRule="auto" w:before="32"/>
        <w:ind w:left="636" w:right="7993" w:hanging="3"/>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增加子公司或业务 </w:t>
      </w:r>
      <w:r>
        <w:rPr>
          <w:rFonts w:ascii="宋体" w:hAnsi="宋体" w:cs="宋体" w:eastAsia="宋体" w:hint="default"/>
          <w:b/>
          <w:bCs/>
          <w:sz w:val="24"/>
          <w:szCs w:val="24"/>
        </w:rPr>
        <w:t>购买子公司少数股权</w:t>
      </w:r>
      <w:r>
        <w:rPr>
          <w:rFonts w:ascii="宋体" w:hAnsi="宋体" w:cs="宋体" w:eastAsia="宋体" w:hint="default"/>
          <w:sz w:val="24"/>
          <w:szCs w:val="24"/>
        </w:rPr>
      </w:r>
    </w:p>
    <w:p>
      <w:pPr>
        <w:pStyle w:val="BodyText"/>
        <w:spacing w:line="352" w:lineRule="auto" w:before="32"/>
        <w:ind w:right="1169" w:firstLine="480"/>
        <w:jc w:val="both"/>
      </w:pPr>
      <w:r>
        <w:rPr/>
        <w:t>本公司因购买少数股权新取得的长期股权投资与按照新增持股比例计算应享有子公司自 购买日（或合并日）开始持续计算的净资产份额之间的差额，调整合并资产负债表中的资本 公积中的股本溢价，资本公积中的股本溢价不足冲减的，调整留存收益。</w:t>
      </w:r>
    </w:p>
    <w:p>
      <w:pPr>
        <w:pStyle w:val="BodyText"/>
        <w:spacing w:line="350" w:lineRule="auto" w:before="32"/>
        <w:ind w:left="633" w:right="1153"/>
        <w:jc w:val="left"/>
      </w:pP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w:t>
      </w:r>
    </w:p>
    <w:p>
      <w:pPr>
        <w:pStyle w:val="BodyText"/>
        <w:spacing w:line="350" w:lineRule="auto"/>
        <w:ind w:right="1170"/>
        <w:jc w:val="both"/>
      </w:pPr>
      <w:r>
        <w:rPr/>
        <w:t>长期股权投资相对应享有子公司自购买日或合并日开始持续计算的净资产份额之间的差额， 调整合并资产负债表中的资本公积中的股本溢价，资本公积中的股本溢价不足冲减的，调整 留存收益。</w:t>
      </w:r>
    </w:p>
    <w:p>
      <w:pPr>
        <w:spacing w:line="350" w:lineRule="auto" w:before="36"/>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7</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在编制现金流量表时，将本公司库存现金以及可以随时用于支付的存款确认为现金。将</w:t>
      </w:r>
    </w:p>
    <w:p>
      <w:pPr>
        <w:pStyle w:val="BodyText"/>
        <w:spacing w:line="352" w:lineRule="auto" w:before="35"/>
        <w:ind w:right="1170"/>
        <w:jc w:val="both"/>
      </w:pPr>
      <w:r>
        <w:rPr/>
        <w:t>同时具备期限短（一般从购买日起，三个月内到期）、流动性强、易于转换为已知金额的现 金、价值变动风险很小四个条件的投资，确定为现金等价物。</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350" w:lineRule="auto" w:before="199"/>
        <w:ind w:left="633" w:right="7259" w:firstLine="2"/>
        <w:jc w:val="left"/>
        <w:rPr>
          <w:rFonts w:ascii="宋体" w:hAnsi="宋体" w:cs="宋体" w:eastAsia="宋体" w:hint="default"/>
          <w:sz w:val="24"/>
          <w:szCs w:val="24"/>
        </w:rPr>
      </w:pPr>
      <w:r>
        <w:rPr>
          <w:rFonts w:ascii="宋体" w:hAnsi="宋体" w:cs="宋体" w:eastAsia="宋体" w:hint="default"/>
          <w:b/>
          <w:bCs/>
          <w:sz w:val="24"/>
          <w:szCs w:val="24"/>
        </w:rPr>
        <w:t>8</w:t>
      </w:r>
      <w:r>
        <w:rPr>
          <w:rFonts w:ascii="宋体" w:hAnsi="宋体" w:cs="宋体" w:eastAsia="宋体" w:hint="default"/>
          <w:b/>
          <w:bCs/>
          <w:sz w:val="24"/>
          <w:szCs w:val="24"/>
        </w:rPr>
        <w:t>、外币业务和外币报表折算</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外币业务</w:t>
      </w:r>
    </w:p>
    <w:p>
      <w:pPr>
        <w:pStyle w:val="BodyText"/>
        <w:spacing w:line="350" w:lineRule="auto"/>
        <w:ind w:left="154" w:right="1170" w:firstLine="480"/>
        <w:jc w:val="both"/>
      </w:pPr>
      <w:r>
        <w:rPr/>
        <w:t>外币业务交易在初始确认时，采用交易发生日的即期汇率作为折算汇率折合成人民币记 账。</w:t>
      </w:r>
    </w:p>
    <w:p>
      <w:pPr>
        <w:pStyle w:val="BodyText"/>
        <w:spacing w:line="350" w:lineRule="auto" w:before="35"/>
        <w:ind w:left="154" w:right="1170" w:firstLine="480"/>
        <w:jc w:val="both"/>
      </w:pPr>
      <w:r>
        <w:rPr/>
        <w:t>资产负债表日，外币货币性项目按资产负债表日即期汇率折算，由此产生的汇兑差额， 除属于与购建符合资本化条件的资产相关的外币专门借款产生的汇兑差额按照借款费用资本 化的原则处理外，均计入当期损益。以历史成本计量的外币非货币性项目，仍采用交易发生 日的即期汇率折算，不改变其记账本位币金额。</w:t>
      </w:r>
    </w:p>
    <w:p>
      <w:pPr>
        <w:pStyle w:val="BodyText"/>
        <w:spacing w:line="350" w:lineRule="auto"/>
        <w:ind w:left="154" w:right="1170" w:firstLine="480"/>
        <w:jc w:val="both"/>
      </w:pPr>
      <w:r>
        <w:rPr/>
        <w:t>以公允价值计量的外币非货币性项目，采用公允价值确定日的即期汇率折算，由此产生 的汇兑差额作为公允价值变动损益计入当期损益。如属于可供出售外币非货币性项目的，形 成的汇兑差额计入其他综合收益。</w:t>
      </w:r>
    </w:p>
    <w:p>
      <w:pPr>
        <w:pStyle w:val="BodyText"/>
        <w:spacing w:line="350" w:lineRule="auto"/>
        <w:ind w:left="634" w:right="1152"/>
        <w:jc w:val="left"/>
      </w:pPr>
      <w:r>
        <w:rPr>
          <w:rFonts w:ascii="宋体" w:hAnsi="宋体" w:cs="宋体" w:eastAsia="宋体" w:hint="default"/>
        </w:rPr>
        <w:t>(2)</w:t>
      </w:r>
      <w:r>
        <w:rPr/>
        <w:t>外币财务报表的折算 资产负债表中的资产和负债项目，采用资产负债表日的即期汇率折算；所有者权益项目</w:t>
      </w:r>
    </w:p>
    <w:p>
      <w:pPr>
        <w:pStyle w:val="BodyText"/>
        <w:spacing w:line="352" w:lineRule="auto" w:before="35"/>
        <w:ind w:left="154" w:right="1171"/>
        <w:jc w:val="both"/>
      </w:pPr>
      <w:r>
        <w:rPr/>
        <w:t>除“未分配利润”项目外，其他项目采用发生时的即期汇率折算。利润表中的收入和费用项 目，采用交易发生日的即期汇率折算。按照上述折算产生的外币财务报表折算差额计入其他 综合收益。</w:t>
      </w:r>
    </w:p>
    <w:p>
      <w:pPr>
        <w:pStyle w:val="BodyText"/>
        <w:spacing w:line="350" w:lineRule="auto" w:before="32"/>
        <w:ind w:right="1169" w:firstLine="480"/>
        <w:jc w:val="both"/>
      </w:pPr>
      <w:r>
        <w:rPr/>
        <w:t>处置境外经营时，将资产负债表中其他综合收益项目中列示的、与该境外经营相关的外 币财务报表折算差额，自其他综合收益项目转入处置当期损益；在处置部分股权投资或其他 原因导致持有境外经营权益比例降低但不丧失对境外经营控制权时，与该境外经营处置部分 相关的外币报表折算差额将归属于少数股东权益，不转入当期损益。在处置境外经营为联营 企业或合营企业的部分股权时，与该境外经营相关的外币报表折算差额，按处置该境外经营 的比例转入处置当期损益。</w:t>
      </w:r>
    </w:p>
    <w:p>
      <w:pPr>
        <w:spacing w:line="352" w:lineRule="auto" w:before="35"/>
        <w:ind w:left="633" w:right="5233" w:firstLine="2"/>
        <w:jc w:val="left"/>
        <w:rPr>
          <w:rFonts w:ascii="宋体" w:hAnsi="宋体" w:cs="宋体" w:eastAsia="宋体" w:hint="default"/>
          <w:sz w:val="24"/>
          <w:szCs w:val="24"/>
        </w:rPr>
      </w:pPr>
      <w:r>
        <w:rPr>
          <w:rFonts w:ascii="宋体" w:hAnsi="宋体" w:cs="宋体" w:eastAsia="宋体" w:hint="default"/>
          <w:b/>
          <w:bCs/>
          <w:sz w:val="24"/>
          <w:szCs w:val="24"/>
        </w:rPr>
        <w:t>9</w:t>
      </w:r>
      <w:r>
        <w:rPr>
          <w:rFonts w:ascii="宋体" w:hAnsi="宋体" w:cs="宋体" w:eastAsia="宋体" w:hint="default"/>
          <w:b/>
          <w:bCs/>
          <w:sz w:val="24"/>
          <w:szCs w:val="24"/>
        </w:rPr>
        <w:t>、金融工具</w:t>
      </w:r>
      <w:r>
        <w:rPr>
          <w:rFonts w:ascii="宋体" w:hAnsi="宋体" w:cs="宋体" w:eastAsia="宋体" w:hint="default"/>
          <w:b/>
          <w:bCs/>
          <w:w w:val="99"/>
          <w:sz w:val="24"/>
          <w:szCs w:val="24"/>
        </w:rPr>
        <w:t> </w:t>
      </w:r>
      <w:r>
        <w:rPr>
          <w:rFonts w:ascii="宋体" w:hAnsi="宋体" w:cs="宋体" w:eastAsia="宋体" w:hint="default"/>
          <w:sz w:val="24"/>
          <w:szCs w:val="24"/>
        </w:rPr>
        <w:t>金融工具包括金融资产、金融负债和权益工具。 </w:t>
      </w:r>
      <w:r>
        <w:rPr>
          <w:rFonts w:ascii="宋体" w:hAnsi="宋体" w:cs="宋体" w:eastAsia="宋体" w:hint="default"/>
          <w:b/>
          <w:bCs/>
          <w:sz w:val="24"/>
          <w:szCs w:val="24"/>
        </w:rPr>
        <w:t>金融工具的分类</w:t>
      </w:r>
      <w:r>
        <w:rPr>
          <w:rFonts w:ascii="宋体" w:hAnsi="宋体" w:cs="宋体" w:eastAsia="宋体" w:hint="default"/>
          <w:sz w:val="24"/>
          <w:szCs w:val="24"/>
        </w:rPr>
      </w:r>
    </w:p>
    <w:p>
      <w:pPr>
        <w:pStyle w:val="BodyText"/>
        <w:spacing w:line="352" w:lineRule="auto" w:before="32"/>
        <w:ind w:right="1169" w:firstLine="480"/>
        <w:jc w:val="both"/>
      </w:pPr>
      <w:r>
        <w:rPr/>
        <w:t>管理层根据所发行金融工具的合同条款及其所反映的经济实质而非仅以法律形式，结合 取得持有金融资产和承担金融负债的目的，将金融资产和金融负债分为不同类别：以公允价 值计量且其变动计入当期损益的金融资产（或金融负债）；持有至到期投资；应收款项；可 供出售金融资产；其他金融负债等。</w:t>
      </w:r>
    </w:p>
    <w:p>
      <w:pPr>
        <w:pStyle w:val="Heading2"/>
        <w:spacing w:line="240" w:lineRule="auto" w:before="34"/>
        <w:ind w:right="1153"/>
        <w:jc w:val="left"/>
        <w:rPr>
          <w:b w:val="0"/>
          <w:bCs w:val="0"/>
        </w:rPr>
      </w:pPr>
      <w:r>
        <w:rPr/>
        <w:t>金融工具的确认依据和计量方法</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350" w:lineRule="auto" w:before="199"/>
        <w:ind w:left="633" w:right="1153"/>
        <w:jc w:val="left"/>
      </w:pPr>
      <w:r>
        <w:rPr/>
        <w:t>（</w:t>
      </w:r>
      <w:r>
        <w:rPr>
          <w:rFonts w:ascii="宋体" w:hAnsi="宋体" w:cs="宋体" w:eastAsia="宋体" w:hint="default"/>
        </w:rPr>
        <w:t>1</w:t>
      </w:r>
      <w:r>
        <w:rPr/>
        <w:t>）</w:t>
      </w:r>
      <w:r>
        <w:rPr>
          <w:spacing w:val="60"/>
        </w:rPr>
        <w:t> </w:t>
      </w:r>
      <w:r>
        <w:rPr/>
        <w:t>以公允价值计量且其变动计入当期损益的金融资产（金融负债）</w:t>
      </w:r>
      <w:r>
        <w:rPr/>
        <w:t> 以公允价值计量且其变动计入当期损益的金融资产或金融负债，包括交易性金融资产或</w:t>
      </w:r>
    </w:p>
    <w:p>
      <w:pPr>
        <w:pStyle w:val="BodyText"/>
        <w:spacing w:line="350" w:lineRule="auto"/>
        <w:ind w:left="633" w:right="1633" w:hanging="480"/>
        <w:jc w:val="left"/>
      </w:pPr>
      <w:r>
        <w:rPr/>
        <w:t>金融负债和直接指定为以公允价值计量且其变动计入当期损益的金融资产或金融负债。 交易性金融资产或金融负债是指满足下列条件之一的金融资产或金融负债：</w:t>
      </w:r>
    </w:p>
    <w:p>
      <w:pPr>
        <w:pStyle w:val="BodyText"/>
        <w:spacing w:line="240" w:lineRule="auto" w:before="35"/>
        <w:ind w:left="633" w:right="1153"/>
        <w:jc w:val="left"/>
      </w:pPr>
      <w:r>
        <w:rPr/>
        <w:t>①取得该金融资产或金融负债的目的是为了在短期内出售、回购或赎回；</w:t>
      </w:r>
    </w:p>
    <w:p>
      <w:pPr>
        <w:pStyle w:val="BodyText"/>
        <w:spacing w:line="350" w:lineRule="auto" w:before="146"/>
        <w:ind w:right="1153" w:firstLine="480"/>
        <w:jc w:val="left"/>
      </w:pPr>
      <w:r>
        <w:rPr/>
        <w:t>②属于进行集中管理的可辨认金融工具组合的一部分，且有客观证据表明本公司近期采 用短期获利方式对该组合进行管理；</w:t>
      </w:r>
    </w:p>
    <w:p>
      <w:pPr>
        <w:pStyle w:val="BodyText"/>
        <w:spacing w:line="352" w:lineRule="auto" w:before="35"/>
        <w:ind w:right="1169" w:firstLine="480"/>
        <w:jc w:val="both"/>
      </w:pPr>
      <w:r>
        <w:rPr/>
        <w:t>③属于衍生金融工具，但是被指定为有效套期工具的衍生工具、属于财务担保合同的衍 生工具、与在活跃市场中没有报价且其公允价值不能可靠计量的权益工具投资挂钩并须通过 交付该权益工具结算的衍生工具除外。</w:t>
      </w:r>
    </w:p>
    <w:p>
      <w:pPr>
        <w:pStyle w:val="BodyText"/>
        <w:spacing w:line="352" w:lineRule="auto" w:before="32"/>
        <w:ind w:left="154" w:right="1152" w:firstLine="480"/>
        <w:jc w:val="left"/>
      </w:pPr>
      <w:r>
        <w:rPr/>
        <w:t>只有符合以下条件之一，金融资产或金融负债才可在初始计量时指定为以公允价值计量 且其变动计入损益的金融资产或金融负债：</w:t>
      </w:r>
    </w:p>
    <w:p>
      <w:pPr>
        <w:pStyle w:val="BodyText"/>
        <w:spacing w:line="350" w:lineRule="auto" w:before="32"/>
        <w:ind w:left="154" w:right="1152" w:firstLine="480"/>
        <w:jc w:val="left"/>
      </w:pPr>
      <w:r>
        <w:rPr/>
        <w:t>①该项指定可以消除或明显减少由于金融资产或金融负债的计量基础不同所导致的相关 利得或损失在确认或计量方面不一致的情况；</w:t>
      </w:r>
    </w:p>
    <w:p>
      <w:pPr>
        <w:pStyle w:val="BodyText"/>
        <w:spacing w:line="350" w:lineRule="auto"/>
        <w:ind w:left="154" w:right="1152" w:firstLine="480"/>
        <w:jc w:val="left"/>
      </w:pPr>
      <w:r>
        <w:rPr/>
        <w:t>②风险管理或投资策略的正式书面文件已载明，该金融资产组合、该金融负债组合、或 该金融资产和金融负债组合，以公允价值为基础进行管理、评价并向关键管理人员报告；</w:t>
      </w:r>
    </w:p>
    <w:p>
      <w:pPr>
        <w:pStyle w:val="BodyText"/>
        <w:spacing w:line="352" w:lineRule="auto" w:before="35"/>
        <w:ind w:right="1153" w:firstLine="480"/>
        <w:jc w:val="left"/>
      </w:pPr>
      <w:r>
        <w:rPr/>
        <w:t>③包含一项或多项嵌入衍生工具的混合工具，除非嵌入衍生工具对混合工具的现金流量 没有重大改变，或所嵌入的衍生工具明显不应当从相关混合工具中分拆；</w:t>
      </w:r>
    </w:p>
    <w:p>
      <w:pPr>
        <w:pStyle w:val="BodyText"/>
        <w:spacing w:line="350" w:lineRule="auto" w:before="32"/>
        <w:ind w:right="1153" w:firstLine="480"/>
        <w:jc w:val="left"/>
      </w:pPr>
      <w:r>
        <w:rPr/>
        <w:t>④包含需要分拆但无法在取得时或后续的资产负债表日对其进行单独计量的嵌入衍生工 具的混合工具。</w:t>
      </w:r>
    </w:p>
    <w:p>
      <w:pPr>
        <w:pStyle w:val="BodyText"/>
        <w:spacing w:line="350" w:lineRule="auto"/>
        <w:ind w:right="995" w:firstLine="480"/>
        <w:jc w:val="left"/>
      </w:pPr>
      <w:r>
        <w:rPr/>
        <w:t>公司对以公允价值计量且其变动计入当期损益的金融资产或金融负债，在取得时以公允 价值（扣除已宣告但尚未发放的现金股利或已到付息期但尚未领取的债券利息）作为初始确 </w:t>
      </w:r>
      <w:r>
        <w:rPr>
          <w:spacing w:val="-2"/>
        </w:rPr>
        <w:t>认金额，相关的交易费用计入当期损益。持有期间将取得的利息或现金股利确认为投资收益，</w:t>
      </w:r>
      <w:r>
        <w:rPr/>
        <w:t> 期末将公允价值变动计入当期损益。处置时，其公允价值与初始入账金额之间的差额确认为 投资收益，同时调整公允价值变动损益。</w:t>
      </w:r>
    </w:p>
    <w:p>
      <w:pPr>
        <w:pStyle w:val="BodyText"/>
        <w:spacing w:line="352" w:lineRule="auto" w:before="35"/>
        <w:ind w:left="634" w:right="1152"/>
        <w:jc w:val="left"/>
      </w:pPr>
      <w:r>
        <w:rPr/>
        <w:t>（</w:t>
      </w:r>
      <w:r>
        <w:rPr>
          <w:rFonts w:ascii="宋体" w:hAnsi="宋体" w:cs="宋体" w:eastAsia="宋体" w:hint="default"/>
        </w:rPr>
        <w:t>2</w:t>
      </w:r>
      <w:r>
        <w:rPr/>
        <w:t>）</w:t>
      </w:r>
      <w:r>
        <w:rPr>
          <w:spacing w:val="60"/>
        </w:rPr>
        <w:t> </w:t>
      </w:r>
      <w:r>
        <w:rPr/>
        <w:t>应收款项</w:t>
      </w:r>
      <w:r>
        <w:rPr/>
        <w:t> 公司对外销售商品或提供劳务形成的应收债权，以及公司持有的其他企业的不包括在活</w:t>
      </w:r>
    </w:p>
    <w:p>
      <w:pPr>
        <w:pStyle w:val="BodyText"/>
        <w:spacing w:line="350" w:lineRule="auto" w:before="33"/>
        <w:ind w:left="154" w:right="1152"/>
        <w:jc w:val="left"/>
      </w:pPr>
      <w:r>
        <w:rPr/>
        <w:t>跃市场上有报价的债务工具的债权，包括应收账款、其他应收款等，以向购货方应收的合同 或协议价款作为初始确认金额；具有融资性质的，按其现值进行初始确认。</w:t>
      </w:r>
    </w:p>
    <w:p>
      <w:pPr>
        <w:pStyle w:val="BodyText"/>
        <w:spacing w:line="240" w:lineRule="auto"/>
        <w:ind w:left="633" w:right="1153"/>
        <w:jc w:val="left"/>
      </w:pPr>
      <w:r>
        <w:rPr/>
        <w:t>收回或处置时，将取得的价款与该应收款项账面价值之间的差额计入当期损益。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4" w:right="1152"/>
        <w:jc w:val="left"/>
      </w:pPr>
      <w:r>
        <w:rPr/>
        <w:t>（</w:t>
      </w:r>
      <w:r>
        <w:rPr>
          <w:rFonts w:ascii="宋体" w:hAnsi="宋体" w:cs="宋体" w:eastAsia="宋体" w:hint="default"/>
        </w:rPr>
        <w:t>3</w:t>
      </w:r>
      <w:r>
        <w:rPr/>
        <w:t>）</w:t>
      </w:r>
      <w:r>
        <w:rPr>
          <w:spacing w:val="60"/>
        </w:rPr>
        <w:t> </w:t>
      </w:r>
      <w:r>
        <w:rPr/>
        <w:t>持有至到期投资</w:t>
      </w:r>
      <w:r>
        <w:rPr/>
        <w:t> 持有至到期投资是指到期日固定、回收金额固定或可确定，且公司有明确意图和能力持</w:t>
      </w:r>
    </w:p>
    <w:p>
      <w:pPr>
        <w:pStyle w:val="BodyText"/>
        <w:spacing w:line="350" w:lineRule="auto"/>
        <w:ind w:left="634" w:right="0" w:hanging="480"/>
        <w:jc w:val="left"/>
      </w:pPr>
      <w:r>
        <w:rPr/>
        <w:t>有至到期的非衍生性金融资产。 </w:t>
      </w:r>
      <w:r>
        <w:rPr>
          <w:spacing w:val="-3"/>
        </w:rPr>
        <w:t>公司对持有至到期投资，在取得时按公允价值（扣除已到付息期但尚未领取的债券利息）</w:t>
      </w:r>
    </w:p>
    <w:p>
      <w:pPr>
        <w:pStyle w:val="BodyText"/>
        <w:spacing w:line="352" w:lineRule="auto" w:before="35"/>
        <w:ind w:left="154" w:right="1170"/>
        <w:jc w:val="both"/>
      </w:pPr>
      <w:r>
        <w:rPr/>
        <w:t>和相关交易费用之和作为初始确认金额。持有期间按照摊余成本和实际利率计算确认利息收 入，计入投资收益。实际利率在取得时确定，在该预期存续期间或适用的更短期间内保持不 变。处置时，将所取得价款与该投资账面价值之间的差额计入投资收益。</w:t>
      </w:r>
    </w:p>
    <w:p>
      <w:pPr>
        <w:pStyle w:val="BodyText"/>
        <w:spacing w:line="352" w:lineRule="auto" w:before="32"/>
        <w:ind w:right="1169" w:firstLine="480"/>
        <w:jc w:val="both"/>
      </w:pPr>
      <w:r>
        <w:rPr/>
        <w:t>如果持有至到期投资处置或重分类为其他类金融资产的金额，相对于公司全部持有至到 期投资在出售或重分类前的总额较大，在处置或重分类后应立即将其剩余的持有至到期投资 重分类为可供出售金融资产；重分类日，该投资的账面价值与其公允价值之间的差额计入其 他综合收益，在该可供出售金融资产发生减值或终止确认时转出，计入当期损益。但是，遇 到下列情况可以除外：</w:t>
      </w:r>
    </w:p>
    <w:p>
      <w:pPr>
        <w:pStyle w:val="BodyText"/>
        <w:spacing w:line="350" w:lineRule="auto" w:before="32"/>
        <w:ind w:right="1169" w:firstLine="480"/>
        <w:jc w:val="both"/>
      </w:pPr>
      <w:r>
        <w:rPr/>
        <w:t>①出售日或重分类日距离该项投资到期日或赎回日较近</w:t>
      </w:r>
      <w:r>
        <w:rPr>
          <w:rFonts w:ascii="宋体" w:hAnsi="宋体" w:cs="宋体" w:eastAsia="宋体" w:hint="default"/>
        </w:rPr>
        <w:t>(</w:t>
      </w:r>
      <w:r>
        <w:rPr/>
        <w:t>如到期前三个月内</w:t>
      </w:r>
      <w:r>
        <w:rPr>
          <w:rFonts w:ascii="宋体" w:hAnsi="宋体" w:cs="宋体" w:eastAsia="宋体" w:hint="default"/>
        </w:rPr>
        <w:t>)</w:t>
      </w:r>
      <w:r>
        <w:rPr/>
        <w:t>，且市场利 率变化对该项投资的公允价值没有显著影响。</w:t>
      </w:r>
    </w:p>
    <w:p>
      <w:pPr>
        <w:pStyle w:val="BodyText"/>
        <w:spacing w:line="240" w:lineRule="auto"/>
        <w:ind w:left="634" w:right="1153"/>
        <w:jc w:val="left"/>
      </w:pPr>
      <w:r>
        <w:rPr/>
        <w:t>②根据合同约定的偿付方式，企业已收回几乎所有初始本金。</w:t>
      </w:r>
    </w:p>
    <w:p>
      <w:pPr>
        <w:pStyle w:val="BodyText"/>
        <w:spacing w:line="350" w:lineRule="auto" w:before="146"/>
        <w:ind w:right="1169" w:firstLine="480"/>
        <w:jc w:val="both"/>
      </w:pPr>
      <w:r>
        <w:rPr/>
        <w:t>③出售或重分类是由于企业无法控制、预期不会重复发生且难以合理预计的独立事件所 引起。</w:t>
      </w:r>
    </w:p>
    <w:p>
      <w:pPr>
        <w:pStyle w:val="BodyText"/>
        <w:spacing w:line="350" w:lineRule="auto"/>
        <w:ind w:left="633" w:right="1153"/>
        <w:jc w:val="left"/>
      </w:pPr>
      <w:r>
        <w:rPr/>
        <w:t>（</w:t>
      </w:r>
      <w:r>
        <w:rPr>
          <w:rFonts w:ascii="宋体" w:hAnsi="宋体" w:cs="宋体" w:eastAsia="宋体" w:hint="default"/>
        </w:rPr>
        <w:t>4</w:t>
      </w:r>
      <w:r>
        <w:rPr/>
        <w:t>）</w:t>
      </w:r>
      <w:r>
        <w:rPr>
          <w:spacing w:val="60"/>
        </w:rPr>
        <w:t> </w:t>
      </w:r>
      <w:r>
        <w:rPr/>
        <w:t>可供出售金融资产</w:t>
      </w:r>
      <w:r>
        <w:rPr/>
        <w:t> 可供出售金融资产，是指初始确认时即指定为可供出售的非衍生金融资产，以及除其他</w:t>
      </w:r>
    </w:p>
    <w:p>
      <w:pPr>
        <w:pStyle w:val="BodyText"/>
        <w:spacing w:line="352" w:lineRule="auto" w:before="35"/>
        <w:ind w:left="633" w:right="1153" w:hanging="480"/>
        <w:jc w:val="left"/>
      </w:pPr>
      <w:r>
        <w:rPr/>
        <w:t>金融资产类别以外的金融资产。 公司对可供出售金融资产，在取得时按公允价值（扣除已宣告但尚未发放的现金股利或</w:t>
      </w:r>
    </w:p>
    <w:p>
      <w:pPr>
        <w:pStyle w:val="BodyText"/>
        <w:spacing w:line="350" w:lineRule="auto" w:before="32"/>
        <w:ind w:right="995"/>
        <w:jc w:val="left"/>
      </w:pPr>
      <w:r>
        <w:rPr/>
        <w:t>已到付息期但尚未领取的债券利息）和相关交易费用之和作为初始确认金额。持有期间将取 </w:t>
      </w:r>
      <w:r>
        <w:rPr>
          <w:spacing w:val="-2"/>
        </w:rPr>
        <w:t>得的利息或现金股利确认为投资收益。可供出售金融资产的公允价值变动形成的利得或损失，</w:t>
      </w:r>
      <w:r>
        <w:rPr/>
        <w:t> 除减值损失和外币货币性金融资产形成的汇兑差额外，直接计入其他综合收益。处置可供出 售金融资产时，将取得的价款与该金融资产账面价值之间的差额，计入投资损益；同时，将 原直接计入其他综合收益的公允价值变动累计额对应处置部分的金额转出，计入投资损益。</w:t>
      </w:r>
    </w:p>
    <w:p>
      <w:pPr>
        <w:pStyle w:val="BodyText"/>
        <w:spacing w:line="350" w:lineRule="auto"/>
        <w:ind w:right="1169" w:firstLine="480"/>
        <w:jc w:val="both"/>
      </w:pPr>
      <w:r>
        <w:rPr/>
        <w:t>公司对在活跃市场中没有报价且其公允价值不能可靠计量的权益工具投资，以及与该权 益工具挂钩并须通过交付该权益工具结算的衍生金融资产，按照成本计量。</w:t>
      </w:r>
    </w:p>
    <w:p>
      <w:pPr>
        <w:pStyle w:val="BodyText"/>
        <w:spacing w:line="352" w:lineRule="auto" w:before="35"/>
        <w:ind w:left="634" w:right="1392"/>
        <w:jc w:val="left"/>
      </w:pPr>
      <w:r>
        <w:rPr/>
        <w:t>（</w:t>
      </w:r>
      <w:r>
        <w:rPr>
          <w:rFonts w:ascii="宋体" w:hAnsi="宋体" w:cs="宋体" w:eastAsia="宋体" w:hint="default"/>
        </w:rPr>
        <w:t>5</w:t>
      </w:r>
      <w:r>
        <w:rPr/>
        <w:t>）</w:t>
      </w:r>
      <w:r>
        <w:rPr>
          <w:spacing w:val="60"/>
        </w:rPr>
        <w:t> </w:t>
      </w:r>
      <w:r>
        <w:rPr/>
        <w:t>其他金融负债</w:t>
      </w:r>
      <w:r>
        <w:rPr/>
        <w:t> 按其公允价值和相关交易费用之和作为初始确认金额。采用摊余成本进行后续计量。</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350" w:lineRule="auto" w:before="199"/>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金融资产转移的确认依据和计量方法</w:t>
      </w:r>
      <w:r>
        <w:rPr>
          <w:rFonts w:ascii="宋体" w:hAnsi="宋体" w:cs="宋体" w:eastAsia="宋体" w:hint="default"/>
          <w:b/>
          <w:bCs/>
          <w:w w:val="99"/>
          <w:sz w:val="24"/>
          <w:szCs w:val="24"/>
        </w:rPr>
        <w:t> </w:t>
      </w:r>
      <w:r>
        <w:rPr>
          <w:rFonts w:ascii="宋体" w:hAnsi="宋体" w:cs="宋体" w:eastAsia="宋体" w:hint="default"/>
          <w:sz w:val="24"/>
          <w:szCs w:val="24"/>
        </w:rPr>
        <w:t>公司发生金融资产转移时，如已将金融资产所有权上几乎所有的风险和报酬转移给转入</w:t>
      </w:r>
    </w:p>
    <w:p>
      <w:pPr>
        <w:pStyle w:val="BodyText"/>
        <w:spacing w:line="350" w:lineRule="auto"/>
        <w:ind w:right="1153"/>
        <w:jc w:val="left"/>
      </w:pPr>
      <w:r>
        <w:rPr/>
        <w:t>方，则终止确认该金融资产；如保留了金融资产所有权上几乎所有的风险和报酬的，则不终 止确认该金融资产。</w:t>
      </w:r>
    </w:p>
    <w:p>
      <w:pPr>
        <w:pStyle w:val="BodyText"/>
        <w:spacing w:line="352" w:lineRule="auto" w:before="35"/>
        <w:ind w:right="0" w:firstLine="480"/>
        <w:jc w:val="left"/>
      </w:pPr>
      <w:r>
        <w:rPr>
          <w:spacing w:val="-3"/>
        </w:rPr>
        <w:t>在判断金融资产转移是否满足上述金融资产终止确认条件时，采用实质重于形式的原则。</w:t>
      </w:r>
      <w:r>
        <w:rPr/>
        <w:t> 公司将金融资产转移区分为金融资产整体转移和部分转移。金融资产整体转移满足终止确认 条件的，将下列两项金额的差额计入当期损益：</w:t>
      </w:r>
    </w:p>
    <w:p>
      <w:pPr>
        <w:pStyle w:val="BodyText"/>
        <w:spacing w:line="240" w:lineRule="auto" w:before="32"/>
        <w:ind w:left="633" w:right="1153"/>
        <w:jc w:val="left"/>
      </w:pPr>
      <w:r>
        <w:rPr/>
        <w:t>（</w:t>
      </w:r>
      <w:r>
        <w:rPr>
          <w:rFonts w:ascii="宋体" w:hAnsi="宋体" w:cs="宋体" w:eastAsia="宋体" w:hint="default"/>
        </w:rPr>
        <w:t>1</w:t>
      </w:r>
      <w:r>
        <w:rPr/>
        <w:t>）所转移金融资产的账面价值；</w:t>
      </w:r>
    </w:p>
    <w:p>
      <w:pPr>
        <w:pStyle w:val="BodyText"/>
        <w:spacing w:line="350" w:lineRule="auto" w:before="146"/>
        <w:ind w:right="1132" w:firstLine="480"/>
        <w:jc w:val="both"/>
      </w:pPr>
      <w:r>
        <w:rPr>
          <w:spacing w:val="-3"/>
        </w:rPr>
        <w:t>（</w:t>
      </w:r>
      <w:r>
        <w:rPr>
          <w:rFonts w:ascii="宋体" w:hAnsi="宋体" w:cs="宋体" w:eastAsia="宋体" w:hint="default"/>
          <w:spacing w:val="-3"/>
        </w:rPr>
        <w:t>2</w:t>
      </w:r>
      <w:r>
        <w:rPr>
          <w:spacing w:val="-3"/>
        </w:rPr>
        <w:t>）因转移而收到的对价，与原直接计入所有者权益的公允价值变动累计额（涉及转移</w:t>
      </w:r>
      <w:r>
        <w:rPr/>
        <w:t> 的金融资产为可供出售金融资产的情形）之和。</w:t>
      </w:r>
    </w:p>
    <w:p>
      <w:pPr>
        <w:pStyle w:val="BodyText"/>
        <w:spacing w:line="352" w:lineRule="auto" w:before="35"/>
        <w:ind w:left="154" w:right="1170" w:firstLine="480"/>
        <w:jc w:val="both"/>
      </w:pPr>
      <w:r>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BodyText"/>
        <w:spacing w:line="240" w:lineRule="auto" w:before="32"/>
        <w:ind w:left="634" w:right="1153"/>
        <w:jc w:val="left"/>
      </w:pPr>
      <w:r>
        <w:rPr/>
        <w:t>（</w:t>
      </w:r>
      <w:r>
        <w:rPr>
          <w:rFonts w:ascii="宋体" w:hAnsi="宋体" w:cs="宋体" w:eastAsia="宋体" w:hint="default"/>
        </w:rPr>
        <w:t>1</w:t>
      </w:r>
      <w:r>
        <w:rPr/>
        <w:t>）终止确认部分的账面价值；</w:t>
      </w:r>
    </w:p>
    <w:p>
      <w:pPr>
        <w:pStyle w:val="BodyText"/>
        <w:spacing w:line="350" w:lineRule="auto" w:before="146"/>
        <w:ind w:right="1131" w:firstLine="480"/>
        <w:jc w:val="both"/>
      </w:pPr>
      <w:r>
        <w:rPr>
          <w:spacing w:val="-3"/>
        </w:rPr>
        <w:t>（</w:t>
      </w:r>
      <w:r>
        <w:rPr>
          <w:rFonts w:ascii="宋体" w:hAnsi="宋体" w:cs="宋体" w:eastAsia="宋体" w:hint="default"/>
          <w:spacing w:val="-3"/>
        </w:rPr>
        <w:t>2</w:t>
      </w:r>
      <w:r>
        <w:rPr>
          <w:spacing w:val="-3"/>
        </w:rPr>
        <w:t>）终止确认部分的对价，与原直接计入所有者权益的公允价值变动累计额中对应终止</w:t>
      </w:r>
      <w:r>
        <w:rPr/>
        <w:t> 确认部分的金额（涉及转移的金融资产为可供出售金融资产的情形）之和。</w:t>
      </w:r>
    </w:p>
    <w:p>
      <w:pPr>
        <w:pStyle w:val="BodyText"/>
        <w:spacing w:line="352" w:lineRule="auto" w:before="35"/>
        <w:ind w:right="1169" w:firstLine="480"/>
        <w:jc w:val="both"/>
      </w:pPr>
      <w:r>
        <w:rPr/>
        <w:t>金融资产转移不满足终止确认条件的，继续确认该金融资产，所收到的对价确认为一项 金融负债。</w:t>
      </w:r>
    </w:p>
    <w:p>
      <w:pPr>
        <w:spacing w:line="350" w:lineRule="auto" w:before="32"/>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金融负债终止确认条件</w:t>
      </w:r>
      <w:r>
        <w:rPr>
          <w:rFonts w:ascii="宋体" w:hAnsi="宋体" w:cs="宋体" w:eastAsia="宋体" w:hint="default"/>
          <w:b/>
          <w:bCs/>
          <w:w w:val="99"/>
          <w:sz w:val="24"/>
          <w:szCs w:val="24"/>
        </w:rPr>
        <w:t> </w:t>
      </w:r>
      <w:r>
        <w:rPr>
          <w:rFonts w:ascii="宋体" w:hAnsi="宋体" w:cs="宋体" w:eastAsia="宋体" w:hint="default"/>
          <w:sz w:val="24"/>
          <w:szCs w:val="24"/>
        </w:rPr>
        <w:t>金融负债的现时义务全部或部分已经解除的，则终止确认该金融负债或其一部分；本公</w:t>
      </w:r>
    </w:p>
    <w:p>
      <w:pPr>
        <w:pStyle w:val="BodyText"/>
        <w:spacing w:line="350" w:lineRule="auto"/>
        <w:ind w:right="1153"/>
        <w:jc w:val="left"/>
      </w:pPr>
      <w:r>
        <w:rPr/>
        <w:t>司若与债权人签定协议，以承担新金融负债方式替换现存金融负债，且新金融负债与现存金 融负债的合同条款实质上不同的，则终止确认现存金融负债，并同时确认新金融负债。</w:t>
      </w:r>
    </w:p>
    <w:p>
      <w:pPr>
        <w:pStyle w:val="BodyText"/>
        <w:spacing w:line="352" w:lineRule="auto" w:before="35"/>
        <w:ind w:right="1170" w:firstLine="480"/>
        <w:jc w:val="both"/>
      </w:pPr>
      <w:r>
        <w:rPr/>
        <w:t>对现存金融负债全部或部分合同条款作出实质性修改的，则终止确认现存金融负债或其 一部分，同时将修改条款后的金融负债确认为一项新金融负债。</w:t>
      </w:r>
    </w:p>
    <w:p>
      <w:pPr>
        <w:pStyle w:val="BodyText"/>
        <w:spacing w:line="350" w:lineRule="auto" w:before="32"/>
        <w:ind w:right="1169" w:firstLine="480"/>
        <w:jc w:val="both"/>
      </w:pPr>
      <w:r>
        <w:rPr/>
        <w:t>金融负债全部或部分终止确认时，终止确认的金融负债账面价值与支付对价（包括转出 的非现金资产或承担的新金融负债）之间的差额，计入当期损益。</w:t>
      </w:r>
    </w:p>
    <w:p>
      <w:pPr>
        <w:pStyle w:val="BodyText"/>
        <w:spacing w:line="350" w:lineRule="auto"/>
        <w:ind w:right="1170" w:firstLine="480"/>
        <w:jc w:val="both"/>
      </w:pPr>
      <w:r>
        <w:rPr/>
        <w:t>本公司若回购部分金融负债的，在回购日按照继续确认部分与终止确认部分的相对公允 价值，将该金融负债整体的账面价值进行分配。分配给终止确认部分的账面价值与支付的对 价（包括转出的非现金资产或承担的新金融负债）之间的差额，计入当期损益。</w:t>
      </w:r>
    </w:p>
    <w:p>
      <w:pPr>
        <w:pStyle w:val="Heading2"/>
        <w:spacing w:line="240" w:lineRule="auto" w:before="36"/>
        <w:ind w:right="1153"/>
        <w:jc w:val="left"/>
        <w:rPr>
          <w:b w:val="0"/>
          <w:bCs w:val="0"/>
        </w:rPr>
      </w:pPr>
      <w:r>
        <w:rPr/>
        <w:t>金融资产和金融负债公允价值的确定方法</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350" w:lineRule="auto" w:before="199"/>
        <w:ind w:left="154" w:right="1169" w:firstLine="480"/>
        <w:jc w:val="both"/>
      </w:pPr>
      <w:r>
        <w:rPr/>
        <w:t>本公司采用公允价值计量的金融资产和金融负债存在活跃市场的金融资产或金融负债， 以活跃市场的报价确定其公允价值；初始取得或衍生的金融资产或承担的金融负债，以市场 交易价格作为确定其公允价值的基础；不存在活跃市场的金融资产或金融负债，采用估值技 术确定其公允价值。在估值时，本公司采用在当前情况下适用并且有足够可利用数据和其他 信息支持的估值技术，选择与市场参与者在相关资产或负债的交易中所考虑的资产或负债特 征相一致的输入值，并尽可能优先使用相关可观察输入值。在相关可观察输入值无法取得或 取得不切实可行的情况下，使用不可观察输入值。</w:t>
      </w:r>
    </w:p>
    <w:p>
      <w:pPr>
        <w:spacing w:line="352" w:lineRule="auto" w:before="35"/>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金融资产（不含应收款项）减值准备计提</w:t>
      </w:r>
      <w:r>
        <w:rPr>
          <w:rFonts w:ascii="宋体" w:hAnsi="宋体" w:cs="宋体" w:eastAsia="宋体" w:hint="default"/>
          <w:b/>
          <w:bCs/>
          <w:w w:val="99"/>
          <w:sz w:val="24"/>
          <w:szCs w:val="24"/>
        </w:rPr>
        <w:t> </w:t>
      </w:r>
      <w:r>
        <w:rPr>
          <w:rFonts w:ascii="宋体" w:hAnsi="宋体" w:cs="宋体" w:eastAsia="宋体" w:hint="default"/>
          <w:sz w:val="24"/>
          <w:szCs w:val="24"/>
        </w:rPr>
        <w:t>资产负债表日对以公允价值计量且其变动计入当期损益的金融资产以外的金融资产的账</w:t>
      </w:r>
    </w:p>
    <w:p>
      <w:pPr>
        <w:pStyle w:val="BodyText"/>
        <w:spacing w:line="350" w:lineRule="auto" w:before="32"/>
        <w:ind w:left="634" w:right="2592" w:hanging="480"/>
        <w:jc w:val="left"/>
      </w:pPr>
      <w:r>
        <w:rPr/>
        <w:t>面价值进行检查，如有客观证据表明该金融资产发生减值的，计提减值准备。 金融资产发生减值的客观证据，包括但不限于：</w:t>
      </w:r>
    </w:p>
    <w:p>
      <w:pPr>
        <w:pStyle w:val="BodyText"/>
        <w:spacing w:line="240" w:lineRule="auto"/>
        <w:ind w:left="634" w:right="1153"/>
        <w:jc w:val="left"/>
      </w:pPr>
      <w:r>
        <w:rPr/>
        <w:t>（</w:t>
      </w:r>
      <w:r>
        <w:rPr>
          <w:rFonts w:ascii="宋体" w:hAnsi="宋体" w:cs="宋体" w:eastAsia="宋体" w:hint="default"/>
        </w:rPr>
        <w:t>1</w:t>
      </w:r>
      <w:r>
        <w:rPr/>
        <w:t>）</w:t>
      </w:r>
      <w:r>
        <w:rPr>
          <w:spacing w:val="60"/>
        </w:rPr>
        <w:t> </w:t>
      </w:r>
      <w:r>
        <w:rPr/>
        <w:t>发行方或债务人发生严重财务困难；</w:t>
      </w:r>
    </w:p>
    <w:p>
      <w:pPr>
        <w:pStyle w:val="BodyText"/>
        <w:spacing w:line="240" w:lineRule="auto" w:before="145"/>
        <w:ind w:left="634" w:right="1153"/>
        <w:jc w:val="left"/>
      </w:pPr>
      <w:r>
        <w:rPr/>
        <w:t>（</w:t>
      </w:r>
      <w:r>
        <w:rPr>
          <w:rFonts w:ascii="宋体" w:hAnsi="宋体" w:cs="宋体" w:eastAsia="宋体" w:hint="default"/>
        </w:rPr>
        <w:t>2</w:t>
      </w:r>
      <w:r>
        <w:rPr/>
        <w:t>）</w:t>
      </w:r>
      <w:r>
        <w:rPr>
          <w:spacing w:val="60"/>
        </w:rPr>
        <w:t> </w:t>
      </w:r>
      <w:r>
        <w:rPr/>
        <w:t>债务人违反了合同条款，如偿付利息或本金发生违约或逾期等；</w:t>
      </w:r>
    </w:p>
    <w:p>
      <w:pPr>
        <w:pStyle w:val="BodyText"/>
        <w:spacing w:line="240" w:lineRule="auto" w:before="145"/>
        <w:ind w:left="633" w:right="0"/>
        <w:jc w:val="left"/>
      </w:pPr>
      <w:r>
        <w:rPr/>
        <w:t>（</w:t>
      </w:r>
      <w:r>
        <w:rPr>
          <w:rFonts w:ascii="宋体" w:hAnsi="宋体" w:cs="宋体" w:eastAsia="宋体" w:hint="default"/>
        </w:rPr>
        <w:t>3</w:t>
      </w:r>
      <w:r>
        <w:rPr/>
        <w:t>）</w:t>
      </w:r>
      <w:r>
        <w:rPr>
          <w:spacing w:val="60"/>
        </w:rPr>
        <w:t> </w:t>
      </w:r>
      <w:r>
        <w:rPr/>
        <w:t>债权人出于经济或法律等方面因素的考虑，对发生财务困难的债务人作出让步；</w:t>
      </w:r>
    </w:p>
    <w:p>
      <w:pPr>
        <w:pStyle w:val="BodyText"/>
        <w:spacing w:line="240" w:lineRule="auto" w:before="146"/>
        <w:ind w:left="633" w:right="1153"/>
        <w:jc w:val="left"/>
      </w:pPr>
      <w:r>
        <w:rPr/>
        <w:t>（</w:t>
      </w:r>
      <w:r>
        <w:rPr>
          <w:rFonts w:ascii="宋体" w:hAnsi="宋体" w:cs="宋体" w:eastAsia="宋体" w:hint="default"/>
        </w:rPr>
        <w:t>4</w:t>
      </w:r>
      <w:r>
        <w:rPr/>
        <w:t>）</w:t>
      </w:r>
      <w:r>
        <w:rPr>
          <w:spacing w:val="60"/>
        </w:rPr>
        <w:t> </w:t>
      </w:r>
      <w:r>
        <w:rPr/>
        <w:t>债务人很可能倒闭或进行其他财务重组；</w:t>
      </w:r>
    </w:p>
    <w:p>
      <w:pPr>
        <w:pStyle w:val="BodyText"/>
        <w:spacing w:line="240" w:lineRule="auto" w:before="146"/>
        <w:ind w:left="634" w:right="1153"/>
        <w:jc w:val="left"/>
      </w:pPr>
      <w:r>
        <w:rPr/>
        <w:t>（</w:t>
      </w:r>
      <w:r>
        <w:rPr>
          <w:rFonts w:ascii="宋体" w:hAnsi="宋体" w:cs="宋体" w:eastAsia="宋体" w:hint="default"/>
        </w:rPr>
        <w:t>5</w:t>
      </w:r>
      <w:r>
        <w:rPr/>
        <w:t>）</w:t>
      </w:r>
      <w:r>
        <w:rPr>
          <w:spacing w:val="60"/>
        </w:rPr>
        <w:t> </w:t>
      </w:r>
      <w:r>
        <w:rPr/>
        <w:t>因发行方发生重大财务困难，该金融资产无法在活跃市场继续交易；</w:t>
      </w:r>
    </w:p>
    <w:p>
      <w:pPr>
        <w:pStyle w:val="BodyText"/>
        <w:spacing w:line="350" w:lineRule="auto" w:before="145"/>
        <w:ind w:right="995" w:firstLine="480"/>
        <w:jc w:val="left"/>
      </w:pPr>
      <w:r>
        <w:rPr/>
        <w:t>（</w:t>
      </w:r>
      <w:r>
        <w:rPr>
          <w:rFonts w:ascii="宋体" w:hAnsi="宋体" w:cs="宋体" w:eastAsia="宋体" w:hint="default"/>
        </w:rPr>
        <w:t>6</w:t>
      </w:r>
      <w:r>
        <w:rPr/>
        <w:t>）</w:t>
      </w:r>
      <w:r>
        <w:rPr>
          <w:spacing w:val="47"/>
        </w:rPr>
        <w:t> </w:t>
      </w:r>
      <w:r>
        <w:rPr/>
        <w:t>无法辨认一组金融资产中的某项资产的现金流量是否已经减少，但根据公开的数</w:t>
      </w:r>
      <w:r>
        <w:rPr/>
        <w:t> 据对其进行总体评价后发现，该组金融资产自初始确认以来的预计未来现金流量确已减少且 </w:t>
      </w:r>
      <w:r>
        <w:rPr>
          <w:spacing w:val="-2"/>
        </w:rPr>
        <w:t>可计量，如该组金融资产的债务人支付能力逐步恶化，或债务人所在国家或地区失业率提高、</w:t>
      </w:r>
      <w:r>
        <w:rPr/>
        <w:t> 担保物在其所在地区的价格明显下降、所处行业不景气等；</w:t>
      </w:r>
    </w:p>
    <w:p>
      <w:pPr>
        <w:pStyle w:val="BodyText"/>
        <w:spacing w:line="350" w:lineRule="auto"/>
        <w:ind w:right="1093" w:firstLine="480"/>
        <w:jc w:val="left"/>
      </w:pPr>
      <w:r>
        <w:rPr/>
        <w:t>（</w:t>
      </w:r>
      <w:r>
        <w:rPr>
          <w:rFonts w:ascii="宋体" w:hAnsi="宋体" w:cs="宋体" w:eastAsia="宋体" w:hint="default"/>
        </w:rPr>
        <w:t>7</w:t>
      </w:r>
      <w:r>
        <w:rPr/>
        <w:t>）</w:t>
      </w:r>
      <w:r>
        <w:rPr>
          <w:spacing w:val="60"/>
        </w:rPr>
        <w:t> </w:t>
      </w:r>
      <w:r>
        <w:rPr/>
        <w:t>权益工具发行方经营所处的技术、市场、经济或法律环境等发生重大不利变化，</w:t>
      </w:r>
      <w:r>
        <w:rPr/>
        <w:t> 使权益工具投资人可能无法收回投资成本；</w:t>
      </w:r>
    </w:p>
    <w:p>
      <w:pPr>
        <w:pStyle w:val="BodyText"/>
        <w:spacing w:line="352" w:lineRule="auto" w:before="35"/>
        <w:ind w:left="633" w:right="3973"/>
        <w:jc w:val="left"/>
      </w:pPr>
      <w:r>
        <w:rPr/>
        <w:t>（</w:t>
      </w:r>
      <w:r>
        <w:rPr>
          <w:rFonts w:ascii="宋体" w:hAnsi="宋体" w:cs="宋体" w:eastAsia="宋体" w:hint="default"/>
        </w:rPr>
        <w:t>8</w:t>
      </w:r>
      <w:r>
        <w:rPr/>
        <w:t>）</w:t>
      </w:r>
      <w:r>
        <w:rPr>
          <w:spacing w:val="60"/>
        </w:rPr>
        <w:t> </w:t>
      </w:r>
      <w:r>
        <w:rPr/>
        <w:t>权益工具投资的公允价值发生严重或非暂时性下跌；</w:t>
      </w:r>
      <w:r>
        <w:rPr/>
        <w:t> 金融资产的具体减值方法如下：</w:t>
      </w:r>
    </w:p>
    <w:p>
      <w:pPr>
        <w:pStyle w:val="BodyText"/>
        <w:spacing w:line="350" w:lineRule="auto" w:before="32"/>
        <w:ind w:left="634" w:right="0"/>
        <w:jc w:val="left"/>
      </w:pPr>
      <w:r>
        <w:rPr/>
        <w:t>（</w:t>
      </w:r>
      <w:r>
        <w:rPr>
          <w:rFonts w:ascii="宋体" w:hAnsi="宋体" w:cs="宋体" w:eastAsia="宋体" w:hint="default"/>
        </w:rPr>
        <w:t>1</w:t>
      </w:r>
      <w:r>
        <w:rPr/>
        <w:t>）可供出售金融资产的减值准备 </w:t>
      </w:r>
      <w:r>
        <w:rPr>
          <w:spacing w:val="-3"/>
        </w:rPr>
        <w:t>公司于资产负债表日对各项可供出售金融资产采用个别认定的方式评估减值损失，其中：</w:t>
      </w:r>
    </w:p>
    <w:p>
      <w:pPr>
        <w:pStyle w:val="BodyText"/>
        <w:spacing w:line="350" w:lineRule="auto"/>
        <w:ind w:left="154" w:right="1049"/>
        <w:jc w:val="both"/>
      </w:pPr>
      <w:r>
        <w:rPr/>
        <w:t>表明可供出售权益工具投资发生减值的客观证据包括权益工具投资的公允价值发生严重或非 暂时性下跌，具体量化标准为：若该权益工具投资于资产负债表日的公允价值低于其成本超 过</w:t>
      </w:r>
      <w:r>
        <w:rPr>
          <w:spacing w:val="-60"/>
        </w:rPr>
        <w:t> </w:t>
      </w:r>
      <w:r>
        <w:rPr>
          <w:rFonts w:ascii="宋体" w:hAnsi="宋体" w:cs="宋体" w:eastAsia="宋体" w:hint="default"/>
        </w:rPr>
        <w:t>30%</w:t>
      </w:r>
      <w:r>
        <w:rPr/>
        <w:t>（含</w:t>
      </w:r>
      <w:r>
        <w:rPr>
          <w:spacing w:val="-60"/>
        </w:rPr>
        <w:t> </w:t>
      </w:r>
      <w:r>
        <w:rPr>
          <w:rFonts w:ascii="宋体" w:hAnsi="宋体" w:cs="宋体" w:eastAsia="宋体" w:hint="default"/>
        </w:rPr>
        <w:t>30%</w:t>
      </w:r>
      <w:r>
        <w:rPr/>
        <w:t>）或低于其成本持续时间超过</w:t>
      </w:r>
      <w:r>
        <w:rPr>
          <w:spacing w:val="-60"/>
        </w:rPr>
        <w:t> </w:t>
      </w:r>
      <w:r>
        <w:rPr>
          <w:rFonts w:ascii="宋体" w:hAnsi="宋体" w:cs="宋体" w:eastAsia="宋体" w:hint="default"/>
        </w:rPr>
        <w:t>12</w:t>
      </w:r>
      <w:r>
        <w:rPr>
          <w:rFonts w:ascii="宋体" w:hAnsi="宋体" w:cs="宋体" w:eastAsia="宋体" w:hint="default"/>
          <w:spacing w:val="-60"/>
        </w:rPr>
        <w:t> </w:t>
      </w:r>
      <w:r>
        <w:rPr/>
        <w:t>个月（含</w:t>
      </w:r>
      <w:r>
        <w:rPr>
          <w:spacing w:val="-60"/>
        </w:rPr>
        <w:t> </w:t>
      </w:r>
      <w:r>
        <w:rPr>
          <w:rFonts w:ascii="宋体" w:hAnsi="宋体" w:cs="宋体" w:eastAsia="宋体" w:hint="default"/>
        </w:rPr>
        <w:t>12</w:t>
      </w:r>
      <w:r>
        <w:rPr>
          <w:rFonts w:ascii="宋体" w:hAnsi="宋体" w:cs="宋体" w:eastAsia="宋体" w:hint="default"/>
          <w:spacing w:val="-60"/>
        </w:rPr>
        <w:t> </w:t>
      </w:r>
      <w:r>
        <w:rPr/>
        <w:t>个月）的，则表明其发生减值。</w:t>
      </w:r>
    </w:p>
    <w:p>
      <w:pPr>
        <w:pStyle w:val="BodyText"/>
        <w:spacing w:line="240" w:lineRule="auto"/>
        <w:ind w:left="634" w:right="0"/>
        <w:jc w:val="left"/>
      </w:pPr>
      <w:r>
        <w:rPr/>
        <w:t>可供出售金融资产发生减值时，即使该金融资产没有终止确认，本公司将原直接计入其</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left="154" w:right="1170"/>
        <w:jc w:val="both"/>
      </w:pPr>
      <w:r>
        <w:rPr/>
        <w:t>他综合收益的因公允价值下降形成的累计损失从其他综合收益转出，计入当期损益。该转出 的累计损失，等于可供出售金融资产的初始取得成本扣除已收回本金和已摊余金额、当前公 允价值和原已计入损益的减值损失后的余额。</w:t>
      </w:r>
    </w:p>
    <w:p>
      <w:pPr>
        <w:pStyle w:val="BodyText"/>
        <w:spacing w:line="350" w:lineRule="auto" w:before="33"/>
        <w:ind w:left="154" w:right="1169" w:firstLine="480"/>
        <w:jc w:val="both"/>
      </w:pPr>
      <w:r>
        <w:rPr/>
        <w:t>对于已确认减值损失的可供出售债务工具，在随后的会计期间公允价值已上升且客观上 与确认原减值损失后发生的事项有关的，原确认的减值损失予以转回计入当期损益；对于可 供出售权益工具投资发生的减值损失，在该权益工具价值回升时通过权益转回；但在活跃市 场中没有报价且其公允价值不能可靠计量的权益工具投资，或与该权益工具挂钩并须通过交 付该权益工具结算的衍生金融资产发生的减值损失，不得转回。</w:t>
      </w:r>
    </w:p>
    <w:p>
      <w:pPr>
        <w:pStyle w:val="BodyText"/>
        <w:spacing w:line="350" w:lineRule="auto"/>
        <w:ind w:left="634" w:right="1152"/>
        <w:jc w:val="left"/>
      </w:pPr>
      <w:r>
        <w:rPr/>
        <w:t>（</w:t>
      </w:r>
      <w:r>
        <w:rPr>
          <w:rFonts w:ascii="宋体" w:hAnsi="宋体" w:cs="宋体" w:eastAsia="宋体" w:hint="default"/>
        </w:rPr>
        <w:t>2</w:t>
      </w:r>
      <w:r>
        <w:rPr/>
        <w:t>） 持有至到期投资的减值准备 对于持有至到期投资，有客观证据表明其发生了减值的，根据其账面价值与预计未来现</w:t>
      </w:r>
    </w:p>
    <w:p>
      <w:pPr>
        <w:pStyle w:val="BodyText"/>
        <w:spacing w:line="352" w:lineRule="auto" w:before="35"/>
        <w:ind w:left="154" w:right="1169"/>
        <w:jc w:val="both"/>
      </w:pPr>
      <w:r>
        <w:rPr/>
        <w:t>金流量现值之间差额计算确认减值损失；计提后如有证据表明其价值已恢复，原确认的减值 损失可予以转回，记入当期损益，但该转回的账面价值不超过假定不计提减值准备情况下该 金融资产在转回日的摊余成本。</w:t>
      </w:r>
    </w:p>
    <w:p>
      <w:pPr>
        <w:spacing w:line="352" w:lineRule="auto" w:before="32"/>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金融资产及金融负债的抵销</w:t>
      </w:r>
      <w:r>
        <w:rPr>
          <w:rFonts w:ascii="宋体" w:hAnsi="宋体" w:cs="宋体" w:eastAsia="宋体" w:hint="default"/>
          <w:b/>
          <w:bCs/>
          <w:w w:val="99"/>
          <w:sz w:val="24"/>
          <w:szCs w:val="24"/>
        </w:rPr>
        <w:t> </w:t>
      </w:r>
      <w:r>
        <w:rPr>
          <w:rFonts w:ascii="宋体" w:hAnsi="宋体" w:cs="宋体" w:eastAsia="宋体" w:hint="default"/>
          <w:sz w:val="24"/>
          <w:szCs w:val="24"/>
        </w:rPr>
        <w:t>金融资产和金融负债在资产负债表内分别列示，没有相互抵销。但是，同时满足下列条</w:t>
      </w:r>
    </w:p>
    <w:p>
      <w:pPr>
        <w:pStyle w:val="BodyText"/>
        <w:spacing w:line="240" w:lineRule="auto" w:before="33"/>
        <w:ind w:left="154" w:right="0"/>
        <w:jc w:val="both"/>
      </w:pPr>
      <w:r>
        <w:rPr/>
        <w:t>件的，以相互抵销后的净额在资产负债表内列示：</w:t>
      </w:r>
    </w:p>
    <w:p>
      <w:pPr>
        <w:pStyle w:val="BodyText"/>
        <w:spacing w:line="240" w:lineRule="auto" w:before="145"/>
        <w:ind w:left="634" w:right="1153"/>
        <w:jc w:val="left"/>
      </w:pPr>
      <w:r>
        <w:rPr/>
        <w:t>（</w:t>
      </w:r>
      <w:r>
        <w:rPr>
          <w:rFonts w:ascii="宋体" w:hAnsi="宋体" w:cs="宋体" w:eastAsia="宋体" w:hint="default"/>
        </w:rPr>
        <w:t>1</w:t>
      </w:r>
      <w:r>
        <w:rPr/>
        <w:t>）本公司具有抵销已确认金额的法定权利，且该种法定权利是当前可执行的；</w:t>
      </w:r>
    </w:p>
    <w:p>
      <w:pPr>
        <w:pStyle w:val="BodyText"/>
        <w:spacing w:line="350" w:lineRule="auto" w:before="146"/>
        <w:ind w:left="636" w:right="2473" w:hanging="3"/>
        <w:jc w:val="left"/>
        <w:rPr>
          <w:rFonts w:ascii="宋体" w:hAnsi="宋体" w:cs="宋体" w:eastAsia="宋体" w:hint="default"/>
        </w:rPr>
      </w:pPr>
      <w:r>
        <w:rPr/>
        <w:t>（</w:t>
      </w:r>
      <w:r>
        <w:rPr>
          <w:rFonts w:ascii="宋体" w:hAnsi="宋体" w:cs="宋体" w:eastAsia="宋体" w:hint="default"/>
        </w:rPr>
        <w:t>2</w:t>
      </w:r>
      <w:r>
        <w:rPr/>
        <w:t>）本公司计划以净额结算，或同时变现该金融资产和清偿该金融负债。 </w:t>
      </w:r>
      <w:r>
        <w:rPr>
          <w:rFonts w:ascii="宋体" w:hAnsi="宋体" w:cs="宋体" w:eastAsia="宋体" w:hint="default"/>
          <w:b/>
          <w:bCs/>
        </w:rPr>
        <w:t>10</w:t>
      </w:r>
      <w:r>
        <w:rPr>
          <w:rFonts w:ascii="宋体" w:hAnsi="宋体" w:cs="宋体" w:eastAsia="宋体" w:hint="default"/>
          <w:b/>
          <w:bCs/>
        </w:rPr>
        <w:t>、应收款项</w:t>
      </w:r>
      <w:r>
        <w:rPr>
          <w:rFonts w:ascii="宋体" w:hAnsi="宋体" w:cs="宋体" w:eastAsia="宋体" w:hint="default"/>
        </w:rPr>
      </w:r>
    </w:p>
    <w:p>
      <w:pPr>
        <w:pStyle w:val="Heading2"/>
        <w:spacing w:line="240" w:lineRule="auto" w:before="35"/>
        <w:ind w:right="1153"/>
        <w:jc w:val="left"/>
        <w:rPr>
          <w:b w:val="0"/>
          <w:bCs w:val="0"/>
        </w:rPr>
      </w:pPr>
      <w:r>
        <w:rPr/>
        <w:t>（</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2410"/>
        <w:gridCol w:w="7159"/>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65"/>
              <w:jc w:val="left"/>
              <w:rPr>
                <w:rFonts w:ascii="宋体" w:hAnsi="宋体" w:cs="宋体" w:eastAsia="宋体" w:hint="default"/>
                <w:sz w:val="21"/>
                <w:szCs w:val="21"/>
              </w:rPr>
            </w:pPr>
            <w:r>
              <w:rPr>
                <w:rFonts w:ascii="宋体" w:hAnsi="宋体" w:cs="宋体" w:eastAsia="宋体" w:hint="default"/>
                <w:sz w:val="21"/>
                <w:szCs w:val="21"/>
              </w:rPr>
              <w:t>单项金额重大的判断依据 或金额标准</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89"/>
              <w:jc w:val="left"/>
              <w:rPr>
                <w:rFonts w:ascii="宋体" w:hAnsi="宋体" w:cs="宋体" w:eastAsia="宋体" w:hint="default"/>
                <w:sz w:val="21"/>
                <w:szCs w:val="21"/>
              </w:rPr>
            </w:pPr>
            <w:r>
              <w:rPr>
                <w:rFonts w:ascii="宋体" w:hAnsi="宋体" w:cs="宋体" w:eastAsia="宋体" w:hint="default"/>
                <w:sz w:val="21"/>
                <w:szCs w:val="21"/>
              </w:rPr>
              <w:t>本公司将单项金额超过</w:t>
            </w:r>
            <w:r>
              <w:rPr>
                <w:rFonts w:ascii="宋体" w:hAnsi="宋体" w:cs="宋体" w:eastAsia="宋体" w:hint="default"/>
                <w:spacing w:val="-53"/>
                <w:sz w:val="21"/>
                <w:szCs w:val="21"/>
              </w:rPr>
              <w:t> </w:t>
            </w:r>
            <w:r>
              <w:rPr>
                <w:rFonts w:ascii="宋体" w:hAnsi="宋体" w:cs="宋体" w:eastAsia="宋体" w:hint="default"/>
                <w:sz w:val="21"/>
                <w:szCs w:val="21"/>
              </w:rPr>
              <w:t>100.00</w:t>
            </w:r>
            <w:r>
              <w:rPr>
                <w:rFonts w:ascii="宋体" w:hAnsi="宋体" w:cs="宋体" w:eastAsia="宋体" w:hint="default"/>
                <w:spacing w:val="-54"/>
                <w:sz w:val="21"/>
                <w:szCs w:val="21"/>
              </w:rPr>
              <w:t> </w:t>
            </w:r>
            <w:r>
              <w:rPr>
                <w:rFonts w:ascii="宋体" w:hAnsi="宋体" w:cs="宋体" w:eastAsia="宋体" w:hint="default"/>
                <w:sz w:val="21"/>
                <w:szCs w:val="21"/>
              </w:rPr>
              <w:t>万元的应收账款和单项金额超过</w:t>
            </w:r>
            <w:r>
              <w:rPr>
                <w:rFonts w:ascii="宋体" w:hAnsi="宋体" w:cs="宋体" w:eastAsia="宋体" w:hint="default"/>
                <w:spacing w:val="-53"/>
                <w:sz w:val="21"/>
                <w:szCs w:val="21"/>
              </w:rPr>
              <w:t> </w:t>
            </w:r>
            <w:r>
              <w:rPr>
                <w:rFonts w:ascii="宋体" w:hAnsi="宋体" w:cs="宋体" w:eastAsia="宋体" w:hint="default"/>
                <w:sz w:val="21"/>
                <w:szCs w:val="21"/>
              </w:rPr>
              <w:t>50.00</w:t>
            </w:r>
            <w:r>
              <w:rPr>
                <w:rFonts w:ascii="宋体" w:hAnsi="宋体" w:cs="宋体" w:eastAsia="宋体" w:hint="default"/>
                <w:spacing w:val="-53"/>
                <w:sz w:val="21"/>
                <w:szCs w:val="21"/>
              </w:rPr>
              <w:t> </w:t>
            </w:r>
            <w:r>
              <w:rPr>
                <w:rFonts w:ascii="宋体" w:hAnsi="宋体" w:cs="宋体" w:eastAsia="宋体" w:hint="default"/>
                <w:sz w:val="21"/>
                <w:szCs w:val="21"/>
              </w:rPr>
              <w:t>万元的 其他应收款确定为单项金额重大的应收款项。</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65"/>
              <w:jc w:val="left"/>
              <w:rPr>
                <w:rFonts w:ascii="宋体" w:hAnsi="宋体" w:cs="宋体" w:eastAsia="宋体" w:hint="default"/>
                <w:sz w:val="21"/>
                <w:szCs w:val="21"/>
              </w:rPr>
            </w:pPr>
            <w:r>
              <w:rPr>
                <w:rFonts w:ascii="宋体" w:hAnsi="宋体" w:cs="宋体" w:eastAsia="宋体" w:hint="default"/>
                <w:sz w:val="21"/>
                <w:szCs w:val="21"/>
              </w:rPr>
              <w:t>单项金额重大并单项计提 坏账准备的计提方法</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1"/>
              <w:jc w:val="both"/>
              <w:rPr>
                <w:rFonts w:ascii="宋体" w:hAnsi="宋体" w:cs="宋体" w:eastAsia="宋体" w:hint="default"/>
                <w:sz w:val="21"/>
                <w:szCs w:val="21"/>
              </w:rPr>
            </w:pPr>
            <w:r>
              <w:rPr>
                <w:rFonts w:ascii="宋体" w:hAnsi="宋体" w:cs="宋体" w:eastAsia="宋体" w:hint="default"/>
                <w:spacing w:val="-2"/>
                <w:sz w:val="21"/>
                <w:szCs w:val="21"/>
              </w:rPr>
              <w:t>单独进行减值测试，按预计未来现金流量现值低于其账面价值的差额计提坏账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准备，计入当期损益。单独测试未发生减值的应收款项，将其归入相应组合计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提坏账准备。</w:t>
            </w:r>
          </w:p>
        </w:tc>
      </w:tr>
    </w:tbl>
    <w:p>
      <w:pPr>
        <w:spacing w:line="240" w:lineRule="auto" w:before="10"/>
        <w:rPr>
          <w:rFonts w:ascii="宋体" w:hAnsi="宋体" w:cs="宋体" w:eastAsia="宋体" w:hint="default"/>
          <w:b/>
          <w:bCs/>
          <w:sz w:val="4"/>
          <w:szCs w:val="4"/>
        </w:rPr>
      </w:pPr>
    </w:p>
    <w:p>
      <w:pPr>
        <w:pStyle w:val="Heading2"/>
        <w:spacing w:line="240" w:lineRule="auto"/>
        <w:ind w:right="1153"/>
        <w:jc w:val="left"/>
        <w:rPr>
          <w:b w:val="0"/>
          <w:bCs w:val="0"/>
        </w:rPr>
      </w:pPr>
      <w:r>
        <w:rPr/>
        <w:t>（</w:t>
      </w:r>
      <w:r>
        <w:rPr>
          <w:rFonts w:ascii="宋体" w:hAnsi="宋体" w:cs="宋体" w:eastAsia="宋体" w:hint="default"/>
        </w:rPr>
        <w:t>2</w:t>
      </w:r>
      <w:r>
        <w:rPr/>
        <w:t>）按信用风险特征组合计提坏账准备的应收款项</w:t>
      </w:r>
      <w:r>
        <w:rPr>
          <w:b w:val="0"/>
          <w:bCs w:val="0"/>
        </w:rPr>
      </w:r>
    </w:p>
    <w:p>
      <w:pPr>
        <w:spacing w:line="240" w:lineRule="auto" w:before="6"/>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坏账准备计提方法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账龄分析组合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0"/>
        <w:rPr>
          <w:rFonts w:ascii="宋体" w:hAnsi="宋体" w:cs="宋体" w:eastAsia="宋体" w:hint="default"/>
          <w:b/>
          <w:bCs/>
          <w:sz w:val="4"/>
          <w:szCs w:val="4"/>
        </w:rPr>
      </w:pPr>
    </w:p>
    <w:p>
      <w:pPr>
        <w:pStyle w:val="Heading2"/>
        <w:spacing w:line="240" w:lineRule="auto"/>
        <w:ind w:right="1153"/>
        <w:jc w:val="left"/>
        <w:rPr>
          <w:b w:val="0"/>
          <w:bCs w:val="0"/>
        </w:rPr>
      </w:pPr>
      <w:r>
        <w:rPr/>
        <w:t>组合中，采用账龄分析法计提坏账准备的：</w:t>
      </w:r>
      <w:r>
        <w:rPr>
          <w:b w:val="0"/>
          <w:bCs w:val="0"/>
        </w:rPr>
      </w:r>
    </w:p>
    <w:p>
      <w:pPr>
        <w:spacing w:line="240" w:lineRule="auto" w:before="5"/>
        <w:rPr>
          <w:rFonts w:ascii="宋体" w:hAnsi="宋体" w:cs="宋体" w:eastAsia="宋体" w:hint="default"/>
          <w:b/>
          <w:bCs/>
          <w:sz w:val="4"/>
          <w:szCs w:val="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2"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10.00%</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100.00%</w:t>
            </w:r>
          </w:p>
        </w:tc>
      </w:tr>
    </w:tbl>
    <w:p>
      <w:pPr>
        <w:spacing w:line="240" w:lineRule="auto" w:before="10"/>
        <w:rPr>
          <w:rFonts w:ascii="宋体" w:hAnsi="宋体" w:cs="宋体" w:eastAsia="宋体" w:hint="default"/>
          <w:b/>
          <w:bCs/>
          <w:sz w:val="4"/>
          <w:szCs w:val="4"/>
        </w:rPr>
      </w:pPr>
    </w:p>
    <w:p>
      <w:pPr>
        <w:pStyle w:val="Heading2"/>
        <w:spacing w:line="240" w:lineRule="auto"/>
        <w:ind w:right="1153"/>
        <w:jc w:val="left"/>
        <w:rPr>
          <w:rFonts w:ascii="宋体" w:hAnsi="宋体" w:cs="宋体" w:eastAsia="宋体" w:hint="default"/>
          <w:b w:val="0"/>
          <w:bCs w:val="0"/>
        </w:rPr>
      </w:pPr>
      <w:r>
        <w:rPr/>
        <w:t>组合中，采用余额百分比法计提坏账准备的</w:t>
      </w:r>
      <w:r>
        <w:rPr>
          <w:rFonts w:ascii="宋体" w:hAnsi="宋体" w:cs="宋体" w:eastAsia="宋体" w:hint="default"/>
          <w:b w:val="0"/>
          <w:bCs w:val="0"/>
        </w:rPr>
        <w:t>：</w:t>
      </w:r>
    </w:p>
    <w:p>
      <w:pPr>
        <w:spacing w:line="350" w:lineRule="auto" w:before="146"/>
        <w:ind w:left="636" w:right="4153"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组合中，采用其他方法计提坏账准备的：</w:t>
      </w:r>
      <w:r>
        <w:rPr>
          <w:rFonts w:ascii="宋体" w:hAnsi="宋体" w:cs="宋体" w:eastAsia="宋体" w:hint="default"/>
          <w:sz w:val="24"/>
          <w:szCs w:val="24"/>
        </w:rPr>
      </w:r>
    </w:p>
    <w:p>
      <w:pPr>
        <w:pStyle w:val="BodyText"/>
        <w:spacing w:line="240" w:lineRule="auto" w:before="35"/>
        <w:ind w:left="633" w:right="1153"/>
        <w:jc w:val="left"/>
      </w:pPr>
      <w:r>
        <w:rPr/>
        <w:t>□ 适用 √ 不适用</w:t>
      </w:r>
    </w:p>
    <w:p>
      <w:pPr>
        <w:pStyle w:val="Heading2"/>
        <w:spacing w:line="240" w:lineRule="auto" w:before="146"/>
        <w:ind w:right="1153"/>
        <w:jc w:val="left"/>
        <w:rPr>
          <w:b w:val="0"/>
          <w:bCs w:val="0"/>
        </w:rPr>
      </w:pPr>
      <w:r>
        <w:rPr/>
        <w:t>（</w:t>
      </w:r>
      <w:r>
        <w:rPr>
          <w:rFonts w:ascii="宋体" w:hAnsi="宋体" w:cs="宋体" w:eastAsia="宋体" w:hint="default"/>
        </w:rPr>
        <w:t>3</w:t>
      </w:r>
      <w:r>
        <w:rPr/>
        <w:t>）单项金额不重大但单独计提坏账准备的应收款项</w:t>
      </w:r>
      <w:r>
        <w:rPr>
          <w:b w:val="0"/>
          <w:bCs w:val="0"/>
        </w:rPr>
      </w:r>
    </w:p>
    <w:p>
      <w:pPr>
        <w:spacing w:line="240" w:lineRule="auto" w:before="5"/>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2541"/>
        <w:gridCol w:w="7028"/>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70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存在客观证据表明本公司将无法按应收款项的原有条款收回款项。</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70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根据应收款项的预计未来现金流量现值低于其账面价值的差额进行计提。</w:t>
            </w:r>
          </w:p>
        </w:tc>
      </w:tr>
    </w:tbl>
    <w:p>
      <w:pPr>
        <w:spacing w:line="240" w:lineRule="auto" w:before="10"/>
        <w:rPr>
          <w:rFonts w:ascii="宋体" w:hAnsi="宋体" w:cs="宋体" w:eastAsia="宋体" w:hint="default"/>
          <w:b/>
          <w:bCs/>
          <w:sz w:val="4"/>
          <w:szCs w:val="4"/>
        </w:rPr>
      </w:pPr>
    </w:p>
    <w:p>
      <w:pPr>
        <w:pStyle w:val="Heading2"/>
        <w:spacing w:line="240" w:lineRule="auto"/>
        <w:ind w:right="1153"/>
        <w:jc w:val="left"/>
        <w:rPr>
          <w:b w:val="0"/>
          <w:bCs w:val="0"/>
        </w:rPr>
      </w:pPr>
      <w:r>
        <w:rPr>
          <w:rFonts w:ascii="宋体" w:hAnsi="宋体" w:cs="宋体" w:eastAsia="宋体" w:hint="default"/>
        </w:rPr>
        <w:t>11</w:t>
      </w:r>
      <w:r>
        <w:rPr/>
        <w:t>、存货</w:t>
      </w:r>
      <w:r>
        <w:rPr>
          <w:b w:val="0"/>
          <w:bCs w:val="0"/>
        </w:rPr>
      </w:r>
    </w:p>
    <w:p>
      <w:pPr>
        <w:pStyle w:val="BodyText"/>
        <w:spacing w:line="331" w:lineRule="auto" w:before="146"/>
        <w:ind w:left="634" w:right="0"/>
        <w:jc w:val="left"/>
      </w:pPr>
      <w:r>
        <w:rPr/>
        <w:t>（</w:t>
      </w:r>
      <w:r>
        <w:rPr>
          <w:rFonts w:ascii="Times New Roman" w:hAnsi="Times New Roman" w:cs="Times New Roman" w:eastAsia="Times New Roman" w:hint="default"/>
        </w:rPr>
        <w:t>1</w:t>
      </w:r>
      <w:r>
        <w:rPr/>
        <w:t>） 存货的分类 </w:t>
      </w:r>
      <w:r>
        <w:rPr>
          <w:spacing w:val="-3"/>
        </w:rPr>
        <w:t>存货是指本公司在日常活动中持有以备出售的产成品或商品、处在生产过程中的在产品、</w:t>
      </w:r>
    </w:p>
    <w:p>
      <w:pPr>
        <w:pStyle w:val="BodyText"/>
        <w:spacing w:line="352" w:lineRule="auto" w:before="54"/>
        <w:ind w:left="154" w:right="1169"/>
        <w:jc w:val="both"/>
      </w:pPr>
      <w:r>
        <w:rPr/>
        <w:t>在生产过程或提供劳务过程中耗用的材料和物料等。主要包括原材料、自制半成品、委托加 工物资、在产品、库存商品等。</w:t>
      </w:r>
    </w:p>
    <w:p>
      <w:pPr>
        <w:pStyle w:val="BodyText"/>
        <w:spacing w:line="331" w:lineRule="auto" w:before="33"/>
        <w:ind w:left="634" w:right="1152"/>
        <w:jc w:val="left"/>
      </w:pPr>
      <w:r>
        <w:rPr/>
        <w:t>（</w:t>
      </w:r>
      <w:r>
        <w:rPr>
          <w:rFonts w:ascii="Times New Roman" w:hAnsi="Times New Roman" w:cs="Times New Roman" w:eastAsia="Times New Roman" w:hint="default"/>
        </w:rPr>
        <w:t>2</w:t>
      </w:r>
      <w:r>
        <w:rPr/>
        <w:t>） 存货的计价方法 存货在取得时，按成本进行初始计量，包括采购成本、加工成本和其他成本。存货发出</w:t>
      </w:r>
    </w:p>
    <w:p>
      <w:pPr>
        <w:pStyle w:val="BodyText"/>
        <w:spacing w:line="240" w:lineRule="auto" w:before="55"/>
        <w:ind w:left="154" w:right="0"/>
        <w:jc w:val="both"/>
      </w:pPr>
      <w:r>
        <w:rPr/>
        <w:t>时按加权平均法计价。</w:t>
      </w:r>
    </w:p>
    <w:p>
      <w:pPr>
        <w:pStyle w:val="BodyText"/>
        <w:spacing w:line="350" w:lineRule="auto" w:before="145"/>
        <w:ind w:left="633" w:right="0"/>
        <w:jc w:val="left"/>
      </w:pPr>
      <w:r>
        <w:rPr/>
        <w:t>①存货可变现净值的确定依据及存货跌价准备的计提方法 </w:t>
      </w:r>
      <w:r>
        <w:rPr>
          <w:spacing w:val="-3"/>
        </w:rPr>
        <w:t>期末对存货进行全面清查后，按存货的成本与可变现净值孰低提取或调整存货跌价准备。</w:t>
      </w:r>
    </w:p>
    <w:p>
      <w:pPr>
        <w:pStyle w:val="BodyText"/>
        <w:spacing w:line="350" w:lineRule="auto"/>
        <w:ind w:right="1169"/>
        <w:jc w:val="both"/>
      </w:pPr>
      <w:r>
        <w:rPr/>
        <w:t>产成品、库存商品和用于出售的材料等直接用于出售的商品存货，在正常生产经营过程中， 以该存货的估计售价减去估计的销售费用和相关税费后的金额，确定其可变现净值；需要经 过加工的材料存货，在正常生产经营过程中，以所生产的产成品的估计售价减去至完工时估 计将要发生的成本、估计的销售费用和相关税费后的金额，确定其可变现净值；为执行销售 合同或者劳务合同而持有的存货，其可变现净值以合同价格为基础计算，若持有存货的数量 多于销售合同订购数量的，超出部分的存货的可变现净值以一般销售价格为基础计算。</w:t>
      </w:r>
    </w:p>
    <w:p>
      <w:pPr>
        <w:pStyle w:val="BodyText"/>
        <w:spacing w:line="350" w:lineRule="auto"/>
        <w:ind w:right="1169" w:firstLine="480"/>
        <w:jc w:val="both"/>
      </w:pPr>
      <w:r>
        <w:rPr/>
        <w:t>期末按照单个存货项目计提存货跌价准备；但对于数量繁多、单价较低的存货，按照存 货类别计提存货跌价准备；与在同一地区生产和销售的产品系列相关、具有相同或类似最终 用途或目的，且难以与其他项目分开计量的存货，则合并计提存货跌价准备。</w:t>
      </w:r>
    </w:p>
    <w:p>
      <w:pPr>
        <w:pStyle w:val="BodyText"/>
        <w:spacing w:line="240" w:lineRule="auto"/>
        <w:ind w:left="633" w:right="0"/>
        <w:jc w:val="left"/>
      </w:pPr>
      <w:r>
        <w:rPr/>
        <w:t>以前减记存货价值的影响因素已经消失的，减记的金额予以恢复，并在原已计提的存货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154" w:right="1153"/>
        <w:jc w:val="left"/>
      </w:pPr>
      <w:r>
        <w:rPr/>
        <w:t>跌价准备金额内转回，转回的金额计入当期损益。</w:t>
      </w:r>
    </w:p>
    <w:p>
      <w:pPr>
        <w:pStyle w:val="BodyText"/>
        <w:spacing w:line="352" w:lineRule="auto" w:before="145"/>
        <w:ind w:left="634" w:right="1632"/>
        <w:jc w:val="left"/>
      </w:pPr>
      <w:r>
        <w:rPr/>
        <w:t>②存货的盘存制度 采用永续盘存制本公司定期对存货进行清查，盘盈利得和盘亏损失计入当期损益。</w:t>
      </w:r>
    </w:p>
    <w:p>
      <w:pPr>
        <w:spacing w:line="340" w:lineRule="auto" w:before="33"/>
        <w:ind w:left="633" w:right="6678" w:firstLine="0"/>
        <w:jc w:val="left"/>
        <w:rPr>
          <w:rFonts w:ascii="宋体" w:hAnsi="宋体" w:cs="宋体" w:eastAsia="宋体" w:hint="default"/>
          <w:sz w:val="24"/>
          <w:szCs w:val="24"/>
        </w:rPr>
      </w:pPr>
      <w:r>
        <w:rPr>
          <w:rFonts w:ascii="宋体" w:hAnsi="宋体" w:cs="宋体" w:eastAsia="宋体" w:hint="default"/>
          <w:sz w:val="24"/>
          <w:szCs w:val="24"/>
        </w:rPr>
        <w:t>③低值易耗品和包装物的摊销方法 </w:t>
      </w:r>
      <w:r>
        <w:rPr>
          <w:rFonts w:ascii="Times New Roman" w:hAnsi="Times New Roman" w:cs="Times New Roman" w:eastAsia="Times New Roman" w:hint="default"/>
          <w:sz w:val="24"/>
          <w:szCs w:val="24"/>
        </w:rPr>
        <w:t>a</w:t>
      </w:r>
      <w:r>
        <w:rPr>
          <w:rFonts w:ascii="宋体" w:hAnsi="宋体" w:cs="宋体" w:eastAsia="宋体" w:hint="default"/>
          <w:sz w:val="24"/>
          <w:szCs w:val="24"/>
        </w:rPr>
        <w:t>、低值易耗品采用一次转销法 </w:t>
      </w:r>
      <w:r>
        <w:rPr>
          <w:rFonts w:ascii="Times New Roman" w:hAnsi="Times New Roman" w:cs="Times New Roman" w:eastAsia="Times New Roman" w:hint="default"/>
          <w:sz w:val="24"/>
          <w:szCs w:val="24"/>
        </w:rPr>
        <w:t>b</w:t>
      </w:r>
      <w:r>
        <w:rPr>
          <w:rFonts w:ascii="宋体" w:hAnsi="宋体" w:cs="宋体" w:eastAsia="宋体" w:hint="default"/>
          <w:sz w:val="24"/>
          <w:szCs w:val="24"/>
        </w:rPr>
        <w:t>、包装物采用一次转销法 </w:t>
      </w:r>
      <w:r>
        <w:rPr>
          <w:rFonts w:ascii="Times New Roman" w:hAnsi="Times New Roman" w:cs="Times New Roman" w:eastAsia="Times New Roman" w:hint="default"/>
          <w:sz w:val="24"/>
          <w:szCs w:val="24"/>
        </w:rPr>
        <w:t>c</w:t>
      </w:r>
      <w:r>
        <w:rPr>
          <w:rFonts w:ascii="宋体" w:hAnsi="宋体" w:cs="宋体" w:eastAsia="宋体" w:hint="default"/>
          <w:sz w:val="24"/>
          <w:szCs w:val="24"/>
        </w:rPr>
        <w:t>、其他周转材料采用一次转销法 </w:t>
      </w:r>
      <w:r>
        <w:rPr>
          <w:rFonts w:ascii="宋体" w:hAnsi="宋体" w:cs="宋体" w:eastAsia="宋体" w:hint="default"/>
          <w:b/>
          <w:bCs/>
          <w:sz w:val="24"/>
          <w:szCs w:val="24"/>
        </w:rPr>
        <w:t>12</w:t>
      </w:r>
      <w:r>
        <w:rPr>
          <w:rFonts w:ascii="宋体" w:hAnsi="宋体" w:cs="宋体" w:eastAsia="宋体" w:hint="default"/>
          <w:b/>
          <w:bCs/>
          <w:sz w:val="24"/>
          <w:szCs w:val="24"/>
        </w:rPr>
        <w:t>、长期股权投资</w:t>
      </w:r>
      <w:r>
        <w:rPr>
          <w:rFonts w:ascii="宋体" w:hAnsi="宋体" w:cs="宋体" w:eastAsia="宋体" w:hint="default"/>
          <w:b/>
          <w:bCs/>
          <w:w w:val="99"/>
          <w:sz w:val="24"/>
          <w:szCs w:val="24"/>
        </w:rPr>
        <w:t> </w:t>
      </w:r>
      <w:r>
        <w:rPr>
          <w:rFonts w:ascii="宋体" w:hAnsi="宋体" w:cs="宋体" w:eastAsia="宋体" w:hint="default"/>
          <w:b/>
          <w:bCs/>
          <w:sz w:val="24"/>
          <w:szCs w:val="24"/>
        </w:rPr>
        <w:t>投资成本的确定</w:t>
      </w:r>
      <w:r>
        <w:rPr>
          <w:rFonts w:ascii="宋体" w:hAnsi="宋体" w:cs="宋体" w:eastAsia="宋体" w:hint="default"/>
          <w:sz w:val="24"/>
          <w:szCs w:val="24"/>
        </w:rPr>
      </w:r>
    </w:p>
    <w:p>
      <w:pPr>
        <w:pStyle w:val="BodyText"/>
        <w:spacing w:line="350" w:lineRule="auto" w:before="44"/>
        <w:ind w:right="1131" w:firstLine="480"/>
        <w:jc w:val="both"/>
      </w:pPr>
      <w:r>
        <w:rPr>
          <w:spacing w:val="-3"/>
        </w:rPr>
        <w:t>（</w:t>
      </w:r>
      <w:r>
        <w:rPr>
          <w:rFonts w:ascii="宋体" w:hAnsi="宋体" w:cs="宋体" w:eastAsia="宋体" w:hint="default"/>
          <w:spacing w:val="-3"/>
        </w:rPr>
        <w:t>1</w:t>
      </w:r>
      <w:r>
        <w:rPr>
          <w:spacing w:val="-3"/>
        </w:rPr>
        <w:t>）企业合并形成的长期股权投资，具体会计政策详见本附注四／（五）同一控制下和</w:t>
      </w:r>
      <w:r>
        <w:rPr/>
        <w:t> 非同一控制下企业合并的会计处理方法</w:t>
      </w:r>
    </w:p>
    <w:p>
      <w:pPr>
        <w:pStyle w:val="BodyText"/>
        <w:spacing w:line="350" w:lineRule="auto"/>
        <w:ind w:left="634" w:right="1152"/>
        <w:jc w:val="left"/>
      </w:pPr>
      <w:r>
        <w:rPr/>
        <w:t>（</w:t>
      </w:r>
      <w:r>
        <w:rPr>
          <w:rFonts w:ascii="宋体" w:hAnsi="宋体" w:cs="宋体" w:eastAsia="宋体" w:hint="default"/>
        </w:rPr>
        <w:t>2</w:t>
      </w:r>
      <w:r>
        <w:rPr/>
        <w:t>）其他方式取得的长期股权投资 以支付现金方式取得的长期股权投资，按照实际支付的购买价款作为初始投资成本。初</w:t>
      </w:r>
    </w:p>
    <w:p>
      <w:pPr>
        <w:pStyle w:val="BodyText"/>
        <w:spacing w:line="352" w:lineRule="auto" w:before="35"/>
        <w:ind w:left="633" w:right="1153" w:hanging="480"/>
        <w:jc w:val="left"/>
      </w:pPr>
      <w:r>
        <w:rPr/>
        <w:t>始投资成本包括与取得长期股权投资直接相关的费用、税金及其他必要支出。 以发行权益性证券取得的长期股权投资，按照发行权益性证券的公允价值作为初始投资</w:t>
      </w:r>
    </w:p>
    <w:p>
      <w:pPr>
        <w:pStyle w:val="BodyText"/>
        <w:spacing w:line="350" w:lineRule="auto" w:before="33"/>
        <w:ind w:left="154" w:right="1152"/>
        <w:jc w:val="left"/>
      </w:pPr>
      <w:r>
        <w:rPr/>
        <w:t>成本；发行或取得自身权益工具时发生的交易费用，可直接归属于权益性交易的从权益中扣 减。</w:t>
      </w:r>
    </w:p>
    <w:p>
      <w:pPr>
        <w:pStyle w:val="BodyText"/>
        <w:spacing w:line="350" w:lineRule="auto"/>
        <w:ind w:left="154" w:right="1170" w:firstLine="480"/>
        <w:jc w:val="both"/>
      </w:pPr>
      <w:r>
        <w:rPr/>
        <w:t>在非货币性资产交换具备商业实质和换入资产或换出资产的公允价值能够可靠计量的前 提下，非货币性资产交换换入的长期股权投资以换出资产的公允价值为基础确定其初始投资 成本，除非有确凿证据表明换入资产的公允价值更加可靠；不满足上述前提的非货币性资产 交换，以换出资产的账面价值和应支付的相关税费作为换入长期股权投资的初始投资成本。</w:t>
      </w:r>
    </w:p>
    <w:p>
      <w:pPr>
        <w:pStyle w:val="BodyText"/>
        <w:spacing w:line="350" w:lineRule="auto" w:before="35"/>
        <w:ind w:left="636" w:right="1873" w:hanging="3"/>
        <w:jc w:val="left"/>
        <w:rPr>
          <w:rFonts w:ascii="宋体" w:hAnsi="宋体" w:cs="宋体" w:eastAsia="宋体" w:hint="default"/>
        </w:rPr>
      </w:pPr>
      <w:r>
        <w:rPr/>
        <w:t>通过债务重组取得的长期股权投资，其初始投资成本按照公允价值为基础确定。 </w:t>
      </w:r>
      <w:r>
        <w:rPr>
          <w:rFonts w:ascii="宋体" w:hAnsi="宋体" w:cs="宋体" w:eastAsia="宋体" w:hint="default"/>
          <w:b/>
          <w:bCs/>
        </w:rPr>
        <w:t>后续计量及损益确认</w:t>
      </w:r>
      <w:r>
        <w:rPr>
          <w:rFonts w:ascii="宋体" w:hAnsi="宋体" w:cs="宋体" w:eastAsia="宋体" w:hint="default"/>
        </w:rPr>
      </w:r>
    </w:p>
    <w:p>
      <w:pPr>
        <w:pStyle w:val="BodyText"/>
        <w:spacing w:line="350" w:lineRule="auto"/>
        <w:ind w:left="634" w:right="1152"/>
        <w:jc w:val="left"/>
      </w:pPr>
      <w:r>
        <w:rPr/>
        <w:t>（</w:t>
      </w:r>
      <w:r>
        <w:rPr>
          <w:rFonts w:ascii="宋体" w:hAnsi="宋体" w:cs="宋体" w:eastAsia="宋体" w:hint="default"/>
        </w:rPr>
        <w:t>1</w:t>
      </w:r>
      <w:r>
        <w:rPr/>
        <w:t>）成本法 公司能够对被投资单位实施控制的长期股权投资采用成本法核算，并按照初始投资成本</w:t>
      </w:r>
    </w:p>
    <w:p>
      <w:pPr>
        <w:pStyle w:val="BodyText"/>
        <w:spacing w:line="352" w:lineRule="auto" w:before="35"/>
        <w:ind w:left="634" w:right="1152" w:hanging="480"/>
        <w:jc w:val="left"/>
      </w:pPr>
      <w:r>
        <w:rPr/>
        <w:t>计价，追加或收回投资调整长期股权投资的成本。 除取得投资时实际支付的价款或对价中包含的已宣告但尚未发放的现金股利或利润外，</w:t>
      </w:r>
    </w:p>
    <w:p>
      <w:pPr>
        <w:pStyle w:val="BodyText"/>
        <w:spacing w:line="240" w:lineRule="auto" w:before="33"/>
        <w:ind w:left="154" w:right="1153"/>
        <w:jc w:val="left"/>
      </w:pPr>
      <w:r>
        <w:rPr/>
        <w:t>本公司按照享有被投资单位宣告分派的现金股利或利润确认为当期投资收益。</w:t>
      </w:r>
    </w:p>
    <w:p>
      <w:pPr>
        <w:pStyle w:val="BodyText"/>
        <w:spacing w:line="352" w:lineRule="auto" w:before="145"/>
        <w:ind w:left="634" w:right="1152"/>
        <w:jc w:val="left"/>
      </w:pPr>
      <w:r>
        <w:rPr/>
        <w:t>（</w:t>
      </w:r>
      <w:r>
        <w:rPr>
          <w:rFonts w:ascii="宋体" w:hAnsi="宋体" w:cs="宋体" w:eastAsia="宋体" w:hint="default"/>
        </w:rPr>
        <w:t>2</w:t>
      </w:r>
      <w:r>
        <w:rPr/>
        <w:t>）权益法 公司对联营企业和合营企业的长期股权投资采用权益法核算；对于其中一部分通过风险</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154" w:right="1152"/>
        <w:jc w:val="left"/>
      </w:pPr>
      <w:r>
        <w:rPr/>
        <w:t>投资机构、共同基金、信托公司或包括投连险基金在内的类似主体间接持有的联营企业的权 益性投资，采用公允价值计量且其变动计入损益。</w:t>
      </w:r>
    </w:p>
    <w:p>
      <w:pPr>
        <w:pStyle w:val="BodyText"/>
        <w:spacing w:line="350" w:lineRule="auto"/>
        <w:ind w:left="154" w:right="1169" w:firstLine="480"/>
        <w:jc w:val="both"/>
      </w:pPr>
      <w:r>
        <w:rPr/>
        <w:t>长期股权投资的初始投资成本大于投资时应享有被投资单位可辨认净资产公允价值份额 的差额，不调整长期股权投资的初始投资成本；初始投资成本小于投资时应享有被投资单位 可辨认净资产公允价值份额的差额，计入当期损益。</w:t>
      </w:r>
    </w:p>
    <w:p>
      <w:pPr>
        <w:pStyle w:val="BodyText"/>
        <w:spacing w:line="350" w:lineRule="auto"/>
        <w:ind w:left="154" w:right="1170" w:firstLine="480"/>
        <w:jc w:val="both"/>
      </w:pPr>
      <w:r>
        <w:rPr/>
        <w:t>公司取得长期股权投资后，按照应享有或应分担的被投资单位实现的净损益和其他综合 收益的份额，分别确认投资收益和其他综合收益，同时调整长期股权投资的账面价值；并按 照被投资单位宣告分派的利润或现金股利计算应享有的部分，相应减少长期股权投资的账面 价值；对于被投资单位除净损益、其他综合收益和利润分配以外所有者权益的其他变动，调 整长期股权投资的账面价值并计入所有者权益。</w:t>
      </w:r>
    </w:p>
    <w:p>
      <w:pPr>
        <w:pStyle w:val="BodyText"/>
        <w:spacing w:line="350" w:lineRule="auto" w:before="35"/>
        <w:ind w:right="1169" w:firstLine="480"/>
        <w:jc w:val="both"/>
      </w:pPr>
      <w:r>
        <w:rPr/>
        <w:t>公司在确认应享有被投资单位净损益的份额时，以取得投资时被投资单位各项可辨认资 产等的公允价值为基础，对被投资单位的净利润进行调整后确认。本公司与联营企业、合营 企业之间发生的未实现内部交易损益按照应享有的比例计算归属于本公司的部分予以抵销， 在此基础上确认投资损益。</w:t>
      </w:r>
    </w:p>
    <w:p>
      <w:pPr>
        <w:pStyle w:val="BodyText"/>
        <w:spacing w:line="350" w:lineRule="auto"/>
        <w:ind w:left="154" w:right="1169" w:firstLine="480"/>
        <w:jc w:val="both"/>
      </w:pPr>
      <w:r>
        <w:rPr/>
        <w:t>公司确认应分担被投资单位发生的亏损时，按照以下顺序进行处理：首先，冲减长期股 权投资的账面价值。其次，长期股权投资的账面价值不足以冲减的，以其他实质上构成对被 投资单位净投资的长期权益账面价值为限继续确认投资损失，冲减长期应收项目等的账面价 值。最后，经过上述处理，按照投资合同或协议约定企业仍承担额外义务的，按预计承担的 义务确认预计负债，计入当期投资损失。</w:t>
      </w:r>
    </w:p>
    <w:p>
      <w:pPr>
        <w:pStyle w:val="BodyText"/>
        <w:spacing w:line="352" w:lineRule="auto" w:before="35"/>
        <w:ind w:left="154" w:right="1170" w:firstLine="480"/>
        <w:jc w:val="both"/>
      </w:pPr>
      <w:r>
        <w:rPr/>
        <w:t>被投资单位以后期间实现盈利的，公司在扣除未确认的亏损分担额后，按与上述相反的 顺序处理，减记已确认预计负债的账面余额、恢复其他实质上构成对被投资单位净投资的长 期权益及长期股权投资的账面价值后，恢复确认投资收益。</w:t>
      </w:r>
    </w:p>
    <w:p>
      <w:pPr>
        <w:pStyle w:val="Heading2"/>
        <w:spacing w:line="240" w:lineRule="auto" w:before="32"/>
        <w:ind w:right="1153"/>
        <w:jc w:val="left"/>
        <w:rPr>
          <w:b w:val="0"/>
          <w:bCs w:val="0"/>
        </w:rPr>
      </w:pPr>
      <w:r>
        <w:rPr/>
        <w:t>长期股权投资核算方法的转换</w:t>
      </w:r>
      <w:r>
        <w:rPr>
          <w:b w:val="0"/>
          <w:bCs w:val="0"/>
        </w:rPr>
      </w:r>
    </w:p>
    <w:p>
      <w:pPr>
        <w:pStyle w:val="BodyText"/>
        <w:spacing w:line="350" w:lineRule="auto" w:before="146"/>
        <w:ind w:left="634" w:right="1152"/>
        <w:jc w:val="left"/>
      </w:pPr>
      <w:r>
        <w:rPr/>
        <w:t>（</w:t>
      </w:r>
      <w:r>
        <w:rPr>
          <w:rFonts w:ascii="宋体" w:hAnsi="宋体" w:cs="宋体" w:eastAsia="宋体" w:hint="default"/>
        </w:rPr>
        <w:t>1</w:t>
      </w:r>
      <w:r>
        <w:rPr/>
        <w:t>）</w:t>
      </w:r>
      <w:r>
        <w:rPr>
          <w:spacing w:val="60"/>
        </w:rPr>
        <w:t> </w:t>
      </w:r>
      <w:r>
        <w:rPr/>
        <w:t>公允价值计量转权益法核算</w:t>
      </w:r>
      <w:r>
        <w:rPr/>
        <w:t> 本公司原持有的对被投资单位不具有控制、共同控制或重大影响的按金融工具确认和计</w:t>
      </w:r>
    </w:p>
    <w:p>
      <w:pPr>
        <w:pStyle w:val="BodyText"/>
        <w:spacing w:line="352" w:lineRule="auto" w:before="35"/>
        <w:ind w:left="154" w:right="1013"/>
        <w:jc w:val="both"/>
      </w:pPr>
      <w:r>
        <w:rPr/>
        <w:t>量准则进行会计处理的权益性投资，因追加投资等原因能够对被投资单位施加重大影响或实 </w:t>
      </w:r>
      <w:r>
        <w:rPr>
          <w:spacing w:val="-3"/>
        </w:rPr>
        <w:t>施共同控制但不构成控制的，按照《企业会计准则第</w:t>
      </w:r>
      <w:r>
        <w:rPr>
          <w:spacing w:val="-64"/>
        </w:rPr>
        <w:t> </w:t>
      </w:r>
      <w:r>
        <w:rPr>
          <w:rFonts w:ascii="宋体" w:hAnsi="宋体" w:cs="宋体" w:eastAsia="宋体" w:hint="default"/>
        </w:rPr>
        <w:t>22</w:t>
      </w:r>
      <w:r>
        <w:rPr>
          <w:rFonts w:ascii="宋体" w:hAnsi="宋体" w:cs="宋体" w:eastAsia="宋体" w:hint="default"/>
          <w:spacing w:val="-64"/>
        </w:rPr>
        <w:t> </w:t>
      </w:r>
      <w:r>
        <w:rPr/>
        <w:t>号——金融工具确认和计量》确定的 </w:t>
      </w:r>
      <w:r>
        <w:rPr>
          <w:spacing w:val="-2"/>
        </w:rPr>
        <w:t>原持有的股权投资的公允价值加上新增投资成本之和，作为改按权益法核算的初始投资成本。</w:t>
      </w:r>
    </w:p>
    <w:p>
      <w:pPr>
        <w:pStyle w:val="BodyText"/>
        <w:spacing w:line="352" w:lineRule="auto" w:before="32"/>
        <w:ind w:left="154" w:right="1170" w:firstLine="480"/>
        <w:jc w:val="both"/>
      </w:pPr>
      <w:r>
        <w:rPr/>
        <w:t>原持有的股权投资分类为可供出售金融资产的，其公允价值与账面价值之间的差额，以 及原计入其他综合收益的累计公允价值变动转入改按权益法核算的当期损益。</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left="154" w:right="1170" w:firstLine="480"/>
        <w:jc w:val="both"/>
      </w:pPr>
      <w:r>
        <w:rPr/>
        <w:t>按权益法核算的初始投资成本小于按照追加投资后全新的持股比例计算确定的应享有被 投资单位在追加投资日可辨认净资产公允价值份额之间的差额，调整长期股权投资的账面价 值，并计入当期营业外收入。</w:t>
      </w:r>
    </w:p>
    <w:p>
      <w:pPr>
        <w:pStyle w:val="BodyText"/>
        <w:spacing w:line="350" w:lineRule="auto" w:before="33"/>
        <w:ind w:left="634" w:right="1152"/>
        <w:jc w:val="left"/>
      </w:pPr>
      <w:r>
        <w:rPr/>
        <w:t>（</w:t>
      </w:r>
      <w:r>
        <w:rPr>
          <w:rFonts w:ascii="宋体" w:hAnsi="宋体" w:cs="宋体" w:eastAsia="宋体" w:hint="default"/>
        </w:rPr>
        <w:t>2</w:t>
      </w:r>
      <w:r>
        <w:rPr/>
        <w:t>）</w:t>
      </w:r>
      <w:r>
        <w:rPr>
          <w:spacing w:val="60"/>
        </w:rPr>
        <w:t> </w:t>
      </w:r>
      <w:r>
        <w:rPr/>
        <w:t>公允价值计量或权益法核算转成本法核算</w:t>
      </w:r>
      <w:r>
        <w:rPr/>
        <w:t> 公司原持有的对被投资单位不具有控制、共同控制或重大影响的按金融工具确认和计量</w:t>
      </w:r>
    </w:p>
    <w:p>
      <w:pPr>
        <w:pStyle w:val="BodyText"/>
        <w:spacing w:line="350" w:lineRule="auto"/>
        <w:ind w:left="154" w:right="1170"/>
        <w:jc w:val="both"/>
      </w:pPr>
      <w:r>
        <w:rPr/>
        <w:t>准则进行会计处理的权益性投资，或原持有对联营企业、合营企业的长期股权投资，因追加 投资等原因能够对非同一控制下的被投资单位实施控制的，在编制个别财务报表时，按照原 持有的股权投资账面价值加上新增投资成本之和，作为改按成本法核算的初始投资成本。</w:t>
      </w:r>
    </w:p>
    <w:p>
      <w:pPr>
        <w:pStyle w:val="BodyText"/>
        <w:spacing w:line="350" w:lineRule="auto"/>
        <w:ind w:right="1170" w:firstLine="480"/>
        <w:jc w:val="both"/>
      </w:pPr>
      <w:r>
        <w:rPr/>
        <w:t>购买日之前持有的股权投资因采用权益法核算而确认的其他综合收益，在处置该项投资 时采用与被投资单位直接处置相关资产或负债相同的基础进行会计处理。</w:t>
      </w:r>
    </w:p>
    <w:p>
      <w:pPr>
        <w:pStyle w:val="BodyText"/>
        <w:spacing w:line="352" w:lineRule="auto" w:before="35"/>
        <w:ind w:right="1131" w:firstLine="480"/>
        <w:jc w:val="both"/>
      </w:pPr>
      <w:r>
        <w:rPr/>
        <w:t>购买日之前持有的股权投资按照《企业会计准则第</w:t>
      </w:r>
      <w:r>
        <w:rPr>
          <w:spacing w:val="-78"/>
        </w:rPr>
        <w:t> </w:t>
      </w:r>
      <w:r>
        <w:rPr>
          <w:rFonts w:ascii="宋体" w:hAnsi="宋体" w:cs="宋体" w:eastAsia="宋体" w:hint="default"/>
        </w:rPr>
        <w:t>22</w:t>
      </w:r>
      <w:r>
        <w:rPr>
          <w:rFonts w:ascii="宋体" w:hAnsi="宋体" w:cs="宋体" w:eastAsia="宋体" w:hint="default"/>
          <w:spacing w:val="-78"/>
        </w:rPr>
        <w:t> </w:t>
      </w:r>
      <w:r>
        <w:rPr>
          <w:spacing w:val="-3"/>
        </w:rPr>
        <w:t>号——金融工具确认和计量》的有</w:t>
      </w:r>
      <w:r>
        <w:rPr/>
        <w:t> 关规定进行会计处理的，原计入其他综合收益的累计公允价值变动在改按成本法核算时转入 当期损益。</w:t>
      </w:r>
    </w:p>
    <w:p>
      <w:pPr>
        <w:pStyle w:val="BodyText"/>
        <w:spacing w:line="352" w:lineRule="auto" w:before="32"/>
        <w:ind w:left="634" w:right="1152"/>
        <w:jc w:val="left"/>
      </w:pPr>
      <w:r>
        <w:rPr/>
        <w:t>（</w:t>
      </w:r>
      <w:r>
        <w:rPr>
          <w:rFonts w:ascii="宋体" w:hAnsi="宋体" w:cs="宋体" w:eastAsia="宋体" w:hint="default"/>
        </w:rPr>
        <w:t>3</w:t>
      </w:r>
      <w:r>
        <w:rPr/>
        <w:t>）</w:t>
      </w:r>
      <w:r>
        <w:rPr>
          <w:spacing w:val="60"/>
        </w:rPr>
        <w:t> </w:t>
      </w:r>
      <w:r>
        <w:rPr/>
        <w:t>权益法核算转公允价值计量</w:t>
      </w:r>
      <w:r>
        <w:rPr/>
        <w:t> 本公司因处置部分股权投资等原因丧失了对被投资单位的共同控制或重大影响的，处置</w:t>
      </w:r>
    </w:p>
    <w:p>
      <w:pPr>
        <w:pStyle w:val="BodyText"/>
        <w:spacing w:line="350" w:lineRule="auto" w:before="33"/>
        <w:ind w:left="154" w:right="1132"/>
        <w:jc w:val="both"/>
      </w:pPr>
      <w:r>
        <w:rPr/>
        <w:t>后的剩余股权改按《企业会计准则第</w:t>
      </w:r>
      <w:r>
        <w:rPr>
          <w:spacing w:val="-67"/>
        </w:rPr>
        <w:t> </w:t>
      </w:r>
      <w:r>
        <w:rPr>
          <w:rFonts w:ascii="宋体" w:hAnsi="宋体" w:cs="宋体" w:eastAsia="宋体" w:hint="default"/>
        </w:rPr>
        <w:t>22</w:t>
      </w:r>
      <w:r>
        <w:rPr>
          <w:rFonts w:ascii="宋体" w:hAnsi="宋体" w:cs="宋体" w:eastAsia="宋体" w:hint="default"/>
          <w:spacing w:val="-67"/>
        </w:rPr>
        <w:t> </w:t>
      </w:r>
      <w:r>
        <w:rPr>
          <w:spacing w:val="-3"/>
        </w:rPr>
        <w:t>号——金融工具确认和计量》核算，其在丧失共同控</w:t>
      </w:r>
      <w:r>
        <w:rPr/>
        <w:t> 制或重大影响之日的公允价值与账面价值之间的差额计入当期损益。</w:t>
      </w:r>
    </w:p>
    <w:p>
      <w:pPr>
        <w:pStyle w:val="BodyText"/>
        <w:spacing w:line="350" w:lineRule="auto"/>
        <w:ind w:right="1170" w:firstLine="480"/>
        <w:jc w:val="both"/>
      </w:pPr>
      <w:r>
        <w:rPr/>
        <w:t>原股权投资因采用权益法核算而确认的其他综合收益，在终止采用权益法核算时采用与 被投资单位直接处置相关资产或负债相同的基础进行会计处理。</w:t>
      </w:r>
    </w:p>
    <w:p>
      <w:pPr>
        <w:pStyle w:val="BodyText"/>
        <w:spacing w:line="352" w:lineRule="auto" w:before="35"/>
        <w:ind w:left="634" w:right="1152"/>
        <w:jc w:val="left"/>
      </w:pPr>
      <w:r>
        <w:rPr/>
        <w:t>（</w:t>
      </w:r>
      <w:r>
        <w:rPr>
          <w:rFonts w:ascii="宋体" w:hAnsi="宋体" w:cs="宋体" w:eastAsia="宋体" w:hint="default"/>
        </w:rPr>
        <w:t>4</w:t>
      </w:r>
      <w:r>
        <w:rPr/>
        <w:t>）</w:t>
      </w:r>
      <w:r>
        <w:rPr>
          <w:spacing w:val="60"/>
        </w:rPr>
        <w:t> </w:t>
      </w:r>
      <w:r>
        <w:rPr/>
        <w:t>成本法转权益法</w:t>
      </w:r>
      <w:r>
        <w:rPr/>
        <w:t> 公司因处置部分权益性投资等原因丧失了对被投资单位的控制的，在编制个别财务报表</w:t>
      </w:r>
    </w:p>
    <w:p>
      <w:pPr>
        <w:pStyle w:val="BodyText"/>
        <w:spacing w:line="350" w:lineRule="auto" w:before="32"/>
        <w:ind w:left="154" w:right="994"/>
        <w:jc w:val="left"/>
      </w:pPr>
      <w:r>
        <w:rPr>
          <w:spacing w:val="-2"/>
        </w:rPr>
        <w:t>时，处置后的剩余股权能够对被投资单位实施共同控制或施加重大影响的，改按权益法核算，</w:t>
      </w:r>
      <w:r>
        <w:rPr/>
        <w:t> 并对该剩余股权视同自取得时即采用权益法核算进行调整。</w:t>
      </w:r>
    </w:p>
    <w:p>
      <w:pPr>
        <w:pStyle w:val="BodyText"/>
        <w:spacing w:line="350" w:lineRule="auto"/>
        <w:ind w:left="633" w:right="1153"/>
        <w:jc w:val="left"/>
      </w:pPr>
      <w:r>
        <w:rPr/>
        <w:t>（</w:t>
      </w:r>
      <w:r>
        <w:rPr>
          <w:rFonts w:ascii="宋体" w:hAnsi="宋体" w:cs="宋体" w:eastAsia="宋体" w:hint="default"/>
        </w:rPr>
        <w:t>5</w:t>
      </w:r>
      <w:r>
        <w:rPr/>
        <w:t>）</w:t>
      </w:r>
      <w:r>
        <w:rPr>
          <w:spacing w:val="60"/>
        </w:rPr>
        <w:t> </w:t>
      </w:r>
      <w:r>
        <w:rPr/>
        <w:t>成本法转公允价值计量</w:t>
      </w:r>
      <w:r>
        <w:rPr/>
        <w:t> 公司因处置部分权益性投资等原因丧失了对被投资单位的控制的，在编制个别财务报表</w:t>
      </w:r>
    </w:p>
    <w:p>
      <w:pPr>
        <w:pStyle w:val="BodyText"/>
        <w:spacing w:line="352" w:lineRule="auto" w:before="35"/>
        <w:ind w:right="1131"/>
        <w:jc w:val="both"/>
      </w:pPr>
      <w:r>
        <w:rPr/>
        <w:t>时，处置后的剩余股权不能对被投资单位实施共同控制或施加重大影响的，改按《企业会计 准则第 </w:t>
      </w:r>
      <w:r>
        <w:rPr>
          <w:rFonts w:ascii="宋体" w:hAnsi="宋体" w:cs="宋体" w:eastAsia="宋体" w:hint="default"/>
        </w:rPr>
        <w:t>22</w:t>
      </w:r>
      <w:r>
        <w:rPr>
          <w:rFonts w:ascii="宋体" w:hAnsi="宋体" w:cs="宋体" w:eastAsia="宋体" w:hint="default"/>
          <w:spacing w:val="-96"/>
        </w:rPr>
        <w:t> </w:t>
      </w:r>
      <w:r>
        <w:rPr>
          <w:spacing w:val="-3"/>
        </w:rPr>
        <w:t>号——金融工具确认和计量》的有关规定进行会计处理，其在丧失控制之日的公允</w:t>
      </w:r>
      <w:r>
        <w:rPr/>
        <w:t> 价值与账面价值间的差额计入当期损益。</w:t>
      </w:r>
    </w:p>
    <w:p>
      <w:pPr>
        <w:spacing w:line="352" w:lineRule="auto" w:before="32"/>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长期股权投资的处置</w:t>
      </w:r>
      <w:r>
        <w:rPr>
          <w:rFonts w:ascii="宋体" w:hAnsi="宋体" w:cs="宋体" w:eastAsia="宋体" w:hint="default"/>
          <w:b/>
          <w:bCs/>
          <w:w w:val="99"/>
          <w:sz w:val="24"/>
          <w:szCs w:val="24"/>
        </w:rPr>
        <w:t> </w:t>
      </w:r>
      <w:r>
        <w:rPr>
          <w:rFonts w:ascii="宋体" w:hAnsi="宋体" w:cs="宋体" w:eastAsia="宋体" w:hint="default"/>
          <w:sz w:val="24"/>
          <w:szCs w:val="24"/>
        </w:rPr>
        <w:t>处置长期股权投资，其账面价值与实际取得价款之间的差额，应当计入当期损益。采用</w:t>
      </w:r>
    </w:p>
    <w:p>
      <w:pPr>
        <w:spacing w:after="0" w:line="352"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154" w:right="1152"/>
        <w:jc w:val="left"/>
      </w:pPr>
      <w:r>
        <w:rPr/>
        <w:t>权益法核算的长期股权投资，在处置该项投资时，采用与被投资单位直接处置相关资产或负 债相同的基础，按相应比例对原计入其他综合收益的部分进行会计处理。</w:t>
      </w:r>
    </w:p>
    <w:p>
      <w:pPr>
        <w:pStyle w:val="BodyText"/>
        <w:spacing w:line="350" w:lineRule="auto"/>
        <w:ind w:right="0" w:firstLine="480"/>
        <w:jc w:val="left"/>
      </w:pPr>
      <w:r>
        <w:rPr>
          <w:spacing w:val="-3"/>
        </w:rPr>
        <w:t>处置对子公司股权投资的各项交易的条款、条件以及经济影响符合以下一种或多种情况，</w:t>
      </w:r>
      <w:r>
        <w:rPr/>
        <w:t> 将多次交易事项作为一揽子交易进行会计处理：</w:t>
      </w:r>
    </w:p>
    <w:p>
      <w:pPr>
        <w:pStyle w:val="BodyText"/>
        <w:spacing w:line="240" w:lineRule="auto" w:before="35"/>
        <w:ind w:left="634" w:right="1153"/>
        <w:jc w:val="left"/>
      </w:pPr>
      <w:r>
        <w:rPr/>
        <w:t>（</w:t>
      </w:r>
      <w:r>
        <w:rPr>
          <w:rFonts w:ascii="宋体" w:hAnsi="宋体" w:cs="宋体" w:eastAsia="宋体" w:hint="default"/>
        </w:rPr>
        <w:t>1</w:t>
      </w:r>
      <w:r>
        <w:rPr/>
        <w:t>）</w:t>
      </w:r>
      <w:r>
        <w:rPr>
          <w:spacing w:val="60"/>
        </w:rPr>
        <w:t> </w:t>
      </w:r>
      <w:r>
        <w:rPr/>
        <w:t>这些交易是同时或者在考虑了彼此影响的情况下订立的；</w:t>
      </w:r>
    </w:p>
    <w:p>
      <w:pPr>
        <w:pStyle w:val="BodyText"/>
        <w:spacing w:line="240" w:lineRule="auto" w:before="146"/>
        <w:ind w:left="633" w:right="1153"/>
        <w:jc w:val="left"/>
      </w:pPr>
      <w:r>
        <w:rPr/>
        <w:t>（</w:t>
      </w:r>
      <w:r>
        <w:rPr>
          <w:rFonts w:ascii="宋体" w:hAnsi="宋体" w:cs="宋体" w:eastAsia="宋体" w:hint="default"/>
        </w:rPr>
        <w:t>2</w:t>
      </w:r>
      <w:r>
        <w:rPr/>
        <w:t>）</w:t>
      </w:r>
      <w:r>
        <w:rPr>
          <w:spacing w:val="60"/>
        </w:rPr>
        <w:t> </w:t>
      </w:r>
      <w:r>
        <w:rPr/>
        <w:t>这些交易整体才能达成一项完整的商业结果；</w:t>
      </w:r>
    </w:p>
    <w:p>
      <w:pPr>
        <w:pStyle w:val="BodyText"/>
        <w:spacing w:line="240" w:lineRule="auto" w:before="145"/>
        <w:ind w:left="633" w:right="1153"/>
        <w:jc w:val="left"/>
      </w:pPr>
      <w:r>
        <w:rPr/>
        <w:t>（</w:t>
      </w:r>
      <w:r>
        <w:rPr>
          <w:rFonts w:ascii="宋体" w:hAnsi="宋体" w:cs="宋体" w:eastAsia="宋体" w:hint="default"/>
        </w:rPr>
        <w:t>3</w:t>
      </w:r>
      <w:r>
        <w:rPr/>
        <w:t>）</w:t>
      </w:r>
      <w:r>
        <w:rPr>
          <w:spacing w:val="60"/>
        </w:rPr>
        <w:t> </w:t>
      </w:r>
      <w:r>
        <w:rPr/>
        <w:t>一项交易的发生取决于其他至少一项交易的发生；</w:t>
      </w:r>
    </w:p>
    <w:p>
      <w:pPr>
        <w:pStyle w:val="BodyText"/>
        <w:spacing w:line="352" w:lineRule="auto" w:before="145"/>
        <w:ind w:left="633" w:right="1153"/>
        <w:jc w:val="left"/>
      </w:pPr>
      <w:r>
        <w:rPr/>
        <w:t>（</w:t>
      </w:r>
      <w:r>
        <w:rPr>
          <w:rFonts w:ascii="宋体" w:hAnsi="宋体" w:cs="宋体" w:eastAsia="宋体" w:hint="default"/>
        </w:rPr>
        <w:t>4</w:t>
      </w:r>
      <w:r>
        <w:rPr/>
        <w:t>）</w:t>
      </w:r>
      <w:r>
        <w:rPr>
          <w:spacing w:val="60"/>
        </w:rPr>
        <w:t> </w:t>
      </w:r>
      <w:r>
        <w:rPr/>
        <w:t>一项交易单独看是不经济的，但是和其他交易一并考虑时是经济的。</w:t>
      </w:r>
      <w:r>
        <w:rPr/>
        <w:t> 因处置部分股权投资或其他原因丧失了对原有子公司控制权的，不属于一揽子交易的，</w:t>
      </w:r>
    </w:p>
    <w:p>
      <w:pPr>
        <w:pStyle w:val="BodyText"/>
        <w:spacing w:line="240" w:lineRule="auto" w:before="32"/>
        <w:ind w:right="1153"/>
        <w:jc w:val="left"/>
      </w:pPr>
      <w:r>
        <w:rPr/>
        <w:t>区分个别财务报表和合并财务报表进行相关会计处理：</w:t>
      </w:r>
    </w:p>
    <w:p>
      <w:pPr>
        <w:pStyle w:val="BodyText"/>
        <w:spacing w:line="352" w:lineRule="auto" w:before="145"/>
        <w:ind w:right="1130" w:firstLine="480"/>
        <w:jc w:val="both"/>
      </w:pPr>
      <w:r>
        <w:rPr>
          <w:spacing w:val="-3"/>
        </w:rPr>
        <w:t>（</w:t>
      </w:r>
      <w:r>
        <w:rPr>
          <w:rFonts w:ascii="宋体" w:hAnsi="宋体" w:cs="宋体" w:eastAsia="宋体" w:hint="default"/>
          <w:spacing w:val="-3"/>
        </w:rPr>
        <w:t>1</w:t>
      </w:r>
      <w:r>
        <w:rPr>
          <w:spacing w:val="-3"/>
        </w:rPr>
        <w:t>）在个别财务报表中，对于处置的股权，其账面价值与实际取得价款之间的差额计入</w:t>
      </w:r>
      <w:r>
        <w:rPr/>
        <w:t> 当期损益。处置后的剩余股权能够对被投资单位实施共同控制或施加重大影响的，改按权益 法核算，并对该剩余股权视同自取得时即采用权益法核算进行调整；处置后的剩余股权不能 </w:t>
      </w:r>
      <w:r>
        <w:rPr>
          <w:spacing w:val="-3"/>
        </w:rPr>
        <w:t>对被投资单位实施共同控制或施加重大影响的，改按《企业会计准则第</w:t>
      </w:r>
      <w:r>
        <w:rPr>
          <w:spacing w:val="-54"/>
        </w:rPr>
        <w:t> </w:t>
      </w:r>
      <w:r>
        <w:rPr>
          <w:rFonts w:ascii="宋体" w:hAnsi="宋体" w:cs="宋体" w:eastAsia="宋体" w:hint="default"/>
        </w:rPr>
        <w:t>22</w:t>
      </w:r>
      <w:r>
        <w:rPr>
          <w:rFonts w:ascii="宋体" w:hAnsi="宋体" w:cs="宋体" w:eastAsia="宋体" w:hint="default"/>
          <w:spacing w:val="-55"/>
        </w:rPr>
        <w:t> </w:t>
      </w:r>
      <w:r>
        <w:rPr/>
        <w:t>号——金融工具确 认和计量》的有关规定进行会计处理，其在丧失控制之日的公允价值与账面价值间的差额计 入当期损益。</w:t>
      </w:r>
    </w:p>
    <w:p>
      <w:pPr>
        <w:pStyle w:val="BodyText"/>
        <w:spacing w:line="350" w:lineRule="auto" w:before="32"/>
        <w:ind w:right="1132" w:firstLine="480"/>
        <w:jc w:val="both"/>
      </w:pPr>
      <w:r>
        <w:rPr>
          <w:spacing w:val="-3"/>
        </w:rPr>
        <w:t>（</w:t>
      </w:r>
      <w:r>
        <w:rPr>
          <w:rFonts w:ascii="宋体" w:hAnsi="宋体" w:cs="宋体" w:eastAsia="宋体" w:hint="default"/>
          <w:spacing w:val="-3"/>
        </w:rPr>
        <w:t>2</w:t>
      </w:r>
      <w:r>
        <w:rPr>
          <w:spacing w:val="-3"/>
        </w:rPr>
        <w:t>）在合并财务报表中，对于在丧失对子公司控制权以前的各项交易，处置价款与处置</w:t>
      </w:r>
      <w:r>
        <w:rPr/>
        <w:t> 长期股权投资相应对享有子公司自购买日或合并日开始持续计算的净资产份额之间的差额， 调整资本公积（股本溢价），资本公积不足冲减的，调整留存收益；在丧失对子公司控制权 时，对于剩余股权，按照其在丧失控制权日的公允价值进行重新计量。处置股权取得的对价 与剩余股权公允价值之和，减去按原持股比例计算应享有原有子公司自购买日开始持续计算 的净资产的份额之间的差额，计入丧失控制权当期的投资收益，同时冲减商誉。与原有子公 司股权投资相关的其他综合收益等，在丧失控制权时转为当期投资收益。</w:t>
      </w:r>
    </w:p>
    <w:p>
      <w:pPr>
        <w:pStyle w:val="BodyText"/>
        <w:spacing w:line="350" w:lineRule="auto"/>
        <w:ind w:right="1170" w:firstLine="480"/>
        <w:jc w:val="both"/>
      </w:pPr>
      <w:r>
        <w:rPr/>
        <w:t>处置对子公司股权投资直至丧失控制权的各项交易属于一揽子交易的，将各项交易作为 一项处置子公司股权投资并丧失控制权的交易进行会计处理，区分个别财务报表和合并财务 报表进行相关会计处理：</w:t>
      </w:r>
    </w:p>
    <w:p>
      <w:pPr>
        <w:pStyle w:val="BodyText"/>
        <w:spacing w:line="350" w:lineRule="auto"/>
        <w:ind w:right="1131" w:firstLine="480"/>
        <w:jc w:val="both"/>
      </w:pPr>
      <w:r>
        <w:rPr>
          <w:spacing w:val="-3"/>
        </w:rPr>
        <w:t>（</w:t>
      </w:r>
      <w:r>
        <w:rPr>
          <w:rFonts w:ascii="宋体" w:hAnsi="宋体" w:cs="宋体" w:eastAsia="宋体" w:hint="default"/>
          <w:spacing w:val="-3"/>
        </w:rPr>
        <w:t>1</w:t>
      </w:r>
      <w:r>
        <w:rPr>
          <w:spacing w:val="-3"/>
        </w:rPr>
        <w:t>）在个别财务报表中，在丧失控制权之前每一次处置价款与处置的股权对应的长期股</w:t>
      </w:r>
      <w:r>
        <w:rPr/>
        <w:t> 权投资账面价值之间的差额，确认为其他综合收益，在丧失控制权时一并转入丧失控制权当 期的损益。</w:t>
      </w:r>
    </w:p>
    <w:p>
      <w:pPr>
        <w:pStyle w:val="BodyText"/>
        <w:spacing w:line="240" w:lineRule="auto"/>
        <w:ind w:left="633" w:right="0"/>
        <w:jc w:val="left"/>
      </w:pPr>
      <w:r>
        <w:rPr>
          <w:spacing w:val="-3"/>
        </w:rPr>
        <w:t>（</w:t>
      </w:r>
      <w:r>
        <w:rPr>
          <w:rFonts w:ascii="宋体" w:hAnsi="宋体" w:cs="宋体" w:eastAsia="宋体" w:hint="default"/>
          <w:spacing w:val="-3"/>
        </w:rPr>
        <w:t>2</w:t>
      </w:r>
      <w:r>
        <w:rPr>
          <w:spacing w:val="-3"/>
        </w:rPr>
        <w:t>）在合并财务报表中，在丧失控制权之前每一次处置价款与处置投资对应的享有该子</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154" w:right="1152"/>
        <w:jc w:val="left"/>
      </w:pPr>
      <w:r>
        <w:rPr/>
        <w:t>公司净资产份额的差额，确认为其他综合收益，在丧失控制权时一并转入丧失控制权当期的 损益。</w:t>
      </w:r>
    </w:p>
    <w:p>
      <w:pPr>
        <w:spacing w:line="350" w:lineRule="auto" w:before="36"/>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共同控制、重大影响的判断标准</w:t>
      </w:r>
      <w:r>
        <w:rPr>
          <w:rFonts w:ascii="宋体" w:hAnsi="宋体" w:cs="宋体" w:eastAsia="宋体" w:hint="default"/>
          <w:b/>
          <w:bCs/>
          <w:spacing w:val="1"/>
          <w:w w:val="99"/>
          <w:sz w:val="24"/>
          <w:szCs w:val="24"/>
        </w:rPr>
        <w:t> </w:t>
      </w:r>
      <w:r>
        <w:rPr>
          <w:rFonts w:ascii="宋体" w:hAnsi="宋体" w:cs="宋体" w:eastAsia="宋体" w:hint="default"/>
          <w:sz w:val="24"/>
          <w:szCs w:val="24"/>
        </w:rPr>
        <w:t>如果本公司按照相关约定与其他参与方集体控制某项安排，并且对该安排回报具有重大</w:t>
      </w:r>
    </w:p>
    <w:p>
      <w:pPr>
        <w:pStyle w:val="BodyText"/>
        <w:spacing w:line="352" w:lineRule="auto" w:before="35"/>
        <w:ind w:left="154" w:right="1152"/>
        <w:jc w:val="left"/>
      </w:pPr>
      <w:r>
        <w:rPr/>
        <w:t>影响的活动决策，需要经过分享控制权的参与方一致同意时才存在，则视为本公司与其他参 与方共同控制某项安排，该安排即属于合营安排。</w:t>
      </w:r>
    </w:p>
    <w:p>
      <w:pPr>
        <w:pStyle w:val="BodyText"/>
        <w:spacing w:line="350" w:lineRule="auto" w:before="32"/>
        <w:ind w:left="154" w:right="1169" w:firstLine="480"/>
        <w:jc w:val="both"/>
      </w:pPr>
      <w:r>
        <w:rPr/>
        <w:t>合营安排通过单独主体达成的，根据相关约定判断本公司对该单独主体的净资产享有权 利时，将该单独主体作为合营企业，采用权益法核算。若根据相关约定判断本公司并非对该 单独主体的净资产享有权利时，该单独主体作为共同经营，本公司确认与共同经营利益份额 相关的项目，并按照相关企业会计准则的规定进行会计处理。</w:t>
      </w:r>
    </w:p>
    <w:p>
      <w:pPr>
        <w:pStyle w:val="BodyText"/>
        <w:spacing w:line="352" w:lineRule="auto" w:before="35"/>
        <w:ind w:right="1131" w:firstLine="480"/>
        <w:jc w:val="both"/>
      </w:pPr>
      <w:r>
        <w:rPr/>
        <w:t>重大影响，是指投资方对被投资单位的财务和经营政策有参与决策的权力，但并不能够 控制或者与其他方一起共同控制这些政策的制定。本公司通过以下一种或多种情形，并综合 </w:t>
      </w:r>
      <w:r>
        <w:rPr>
          <w:spacing w:val="-3"/>
        </w:rPr>
        <w:t>考虑所有事实和情况后，判断对被投资单位具有重大影响。（</w:t>
      </w:r>
      <w:r>
        <w:rPr>
          <w:rFonts w:ascii="宋体" w:hAnsi="宋体" w:cs="宋体" w:eastAsia="宋体" w:hint="default"/>
          <w:spacing w:val="-3"/>
        </w:rPr>
        <w:t>1</w:t>
      </w:r>
      <w:r>
        <w:rPr>
          <w:spacing w:val="-3"/>
        </w:rPr>
        <w:t>）在被投资单位的董事会或类</w:t>
      </w:r>
      <w:r>
        <w:rPr>
          <w:spacing w:val="-80"/>
        </w:rPr>
        <w:t> </w:t>
      </w:r>
      <w:r>
        <w:rPr>
          <w:spacing w:val="-80"/>
        </w:rPr>
      </w:r>
      <w:r>
        <w:rPr/>
        <w:t>似权力机构中派有代表；（</w:t>
      </w:r>
      <w:r>
        <w:rPr>
          <w:rFonts w:ascii="宋体" w:hAnsi="宋体" w:cs="宋体" w:eastAsia="宋体" w:hint="default"/>
        </w:rPr>
        <w:t>2</w:t>
      </w:r>
      <w:r>
        <w:rPr/>
        <w:t>）参与被投资单位财务和经营政策制定过程；（</w:t>
      </w:r>
      <w:r>
        <w:rPr>
          <w:rFonts w:ascii="宋体" w:hAnsi="宋体" w:cs="宋体" w:eastAsia="宋体" w:hint="default"/>
        </w:rPr>
        <w:t>3</w:t>
      </w:r>
      <w:r>
        <w:rPr/>
        <w:t>）与被投资单 位之间发生重要交易；（</w:t>
      </w:r>
      <w:r>
        <w:rPr>
          <w:rFonts w:ascii="宋体" w:hAnsi="宋体" w:cs="宋体" w:eastAsia="宋体" w:hint="default"/>
        </w:rPr>
        <w:t>4</w:t>
      </w:r>
      <w:r>
        <w:rPr/>
        <w:t>）向被投资单位派出管理人员；（</w:t>
      </w:r>
      <w:r>
        <w:rPr>
          <w:rFonts w:ascii="宋体" w:hAnsi="宋体" w:cs="宋体" w:eastAsia="宋体" w:hint="default"/>
        </w:rPr>
        <w:t>5</w:t>
      </w:r>
      <w:r>
        <w:rPr/>
        <w:t>）向被投资单位提供关键技术 资料。</w:t>
      </w:r>
    </w:p>
    <w:p>
      <w:pPr>
        <w:pStyle w:val="Heading2"/>
        <w:spacing w:line="240" w:lineRule="auto" w:before="32"/>
        <w:ind w:right="1153"/>
        <w:jc w:val="left"/>
        <w:rPr>
          <w:b w:val="0"/>
          <w:bCs w:val="0"/>
        </w:rPr>
      </w:pPr>
      <w:r>
        <w:rPr>
          <w:rFonts w:ascii="宋体" w:hAnsi="宋体" w:cs="宋体" w:eastAsia="宋体" w:hint="default"/>
        </w:rPr>
        <w:t>13</w:t>
      </w:r>
      <w:r>
        <w:rPr/>
        <w:t>、固定资产</w:t>
      </w:r>
      <w:r>
        <w:rPr>
          <w:b w:val="0"/>
          <w:bCs w:val="0"/>
        </w:rPr>
      </w:r>
    </w:p>
    <w:p>
      <w:pPr>
        <w:pStyle w:val="BodyText"/>
        <w:spacing w:line="350" w:lineRule="auto" w:before="146"/>
        <w:ind w:left="633" w:right="1153"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）确认条件</w:t>
      </w:r>
      <w:r>
        <w:rPr>
          <w:rFonts w:ascii="宋体" w:hAnsi="宋体" w:cs="宋体" w:eastAsia="宋体" w:hint="default"/>
          <w:b/>
          <w:bCs/>
          <w:w w:val="99"/>
        </w:rPr>
        <w:t> </w:t>
      </w:r>
      <w:r>
        <w:rPr/>
        <w:t>固定资产指为生产商品、提供劳务、出租或经营管理而持有，并且使用寿命超过一个会</w:t>
      </w:r>
    </w:p>
    <w:p>
      <w:pPr>
        <w:pStyle w:val="BodyText"/>
        <w:spacing w:line="352" w:lineRule="auto" w:before="35"/>
        <w:ind w:right="1153"/>
        <w:jc w:val="left"/>
      </w:pPr>
      <w:r>
        <w:rPr/>
        <w:t>计年度的有形资产。固定资产在同时满足下列条件时予以确认：</w:t>
      </w:r>
      <w:r>
        <w:rPr>
          <w:rFonts w:ascii="宋体" w:hAnsi="宋体" w:cs="宋体" w:eastAsia="宋体" w:hint="default"/>
        </w:rPr>
        <w:t>a </w:t>
      </w:r>
      <w:r>
        <w:rPr/>
        <w:t>与该固定资产有关的经济 利益很可能流入企业；</w:t>
      </w:r>
      <w:r>
        <w:rPr>
          <w:rFonts w:ascii="宋体" w:hAnsi="宋体" w:cs="宋体" w:eastAsia="宋体" w:hint="default"/>
        </w:rPr>
        <w:t>b </w:t>
      </w:r>
      <w:r>
        <w:rPr/>
        <w:t>该固定资产的成本能够可靠地计量。</w:t>
      </w:r>
    </w:p>
    <w:p>
      <w:pPr>
        <w:pStyle w:val="Heading2"/>
        <w:spacing w:line="240" w:lineRule="auto" w:before="32"/>
        <w:ind w:right="1153"/>
        <w:jc w:val="left"/>
        <w:rPr>
          <w:b w:val="0"/>
          <w:bCs w:val="0"/>
        </w:rPr>
      </w:pPr>
      <w:r>
        <w:rPr/>
        <w:t>（</w:t>
      </w:r>
      <w:r>
        <w:rPr>
          <w:rFonts w:ascii="宋体" w:hAnsi="宋体" w:cs="宋体" w:eastAsia="宋体" w:hint="default"/>
        </w:rPr>
        <w:t>2</w:t>
      </w:r>
      <w:r>
        <w:rPr/>
        <w:t>）折旧方法</w:t>
      </w:r>
      <w:r>
        <w:rPr>
          <w:b w:val="0"/>
          <w:bCs w:val="0"/>
        </w:rPr>
      </w:r>
    </w:p>
    <w:p>
      <w:pPr>
        <w:spacing w:line="240" w:lineRule="auto" w:before="6"/>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6.47-2.77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24.25-16.17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19.40-16.17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32.33-19.40</w:t>
            </w:r>
          </w:p>
        </w:tc>
      </w:tr>
    </w:tbl>
    <w:p>
      <w:pPr>
        <w:spacing w:line="240" w:lineRule="auto" w:before="10"/>
        <w:rPr>
          <w:rFonts w:ascii="宋体" w:hAnsi="宋体" w:cs="宋体" w:eastAsia="宋体" w:hint="default"/>
          <w:b/>
          <w:bCs/>
          <w:sz w:val="4"/>
          <w:szCs w:val="4"/>
        </w:rPr>
      </w:pPr>
    </w:p>
    <w:p>
      <w:pPr>
        <w:pStyle w:val="Heading2"/>
        <w:spacing w:line="350" w:lineRule="auto"/>
        <w:ind w:left="633" w:right="4510"/>
        <w:jc w:val="left"/>
        <w:rPr>
          <w:rFonts w:ascii="宋体" w:hAnsi="宋体" w:cs="宋体" w:eastAsia="宋体" w:hint="default"/>
          <w:b w:val="0"/>
          <w:bCs w:val="0"/>
        </w:rPr>
      </w:pPr>
      <w:r>
        <w:rPr/>
        <w:t>（</w:t>
      </w:r>
      <w:r>
        <w:rPr>
          <w:rFonts w:ascii="宋体" w:hAnsi="宋体" w:cs="宋体" w:eastAsia="宋体" w:hint="default"/>
        </w:rPr>
        <w:t>3</w:t>
      </w:r>
      <w:r>
        <w:rPr/>
        <w:t>）</w:t>
      </w:r>
      <w:r>
        <w:rPr>
          <w:spacing w:val="-21"/>
        </w:rPr>
        <w:t> </w:t>
      </w:r>
      <w:r>
        <w:rPr/>
        <w:t>融资租入固定资产的认定依据、计价和折旧方法</w:t>
      </w:r>
      <w:r>
        <w:rPr>
          <w:w w:val="99"/>
        </w:rPr>
        <w:t> </w:t>
      </w:r>
      <w:r>
        <w:rPr>
          <w:rFonts w:ascii="宋体" w:hAnsi="宋体" w:cs="宋体" w:eastAsia="宋体" w:hint="default"/>
          <w:b w:val="0"/>
          <w:bCs w:val="0"/>
        </w:rPr>
        <w:t>无</w:t>
      </w:r>
    </w:p>
    <w:p>
      <w:pPr>
        <w:spacing w:after="0" w:line="350"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350" w:lineRule="auto" w:before="199"/>
        <w:ind w:left="634" w:right="8232" w:firstLine="2"/>
        <w:jc w:val="left"/>
        <w:rPr>
          <w:rFonts w:ascii="宋体" w:hAnsi="宋体" w:cs="宋体" w:eastAsia="宋体" w:hint="default"/>
          <w:sz w:val="24"/>
          <w:szCs w:val="24"/>
        </w:rPr>
      </w:pPr>
      <w:r>
        <w:rPr>
          <w:rFonts w:ascii="宋体" w:hAnsi="宋体" w:cs="宋体" w:eastAsia="宋体" w:hint="default"/>
          <w:b/>
          <w:bCs/>
          <w:sz w:val="24"/>
          <w:szCs w:val="24"/>
        </w:rPr>
        <w:t>14</w:t>
      </w:r>
      <w:r>
        <w:rPr>
          <w:rFonts w:ascii="宋体" w:hAnsi="宋体" w:cs="宋体" w:eastAsia="宋体" w:hint="default"/>
          <w:b/>
          <w:bCs/>
          <w:sz w:val="24"/>
          <w:szCs w:val="24"/>
        </w:rPr>
        <w:t>、在建工程</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在建工程的类别</w:t>
      </w:r>
    </w:p>
    <w:p>
      <w:pPr>
        <w:pStyle w:val="BodyText"/>
        <w:spacing w:line="350" w:lineRule="auto"/>
        <w:ind w:left="154" w:right="1152" w:firstLine="480"/>
        <w:jc w:val="left"/>
      </w:pPr>
      <w:r>
        <w:rPr/>
        <w:t>本公司自行建造的在建工程按实际成本计价，实际成本由建造该项资产达到预定可使用 状态前所发生的必要支出构成，本公司的在建工程以项目分类核算。</w:t>
      </w:r>
    </w:p>
    <w:p>
      <w:pPr>
        <w:pStyle w:val="BodyText"/>
        <w:spacing w:line="352" w:lineRule="auto" w:before="35"/>
        <w:ind w:left="634" w:right="1152"/>
        <w:jc w:val="left"/>
      </w:pPr>
      <w:r>
        <w:rPr>
          <w:rFonts w:ascii="宋体" w:hAnsi="宋体" w:cs="宋体" w:eastAsia="宋体" w:hint="default"/>
        </w:rPr>
        <w:t>(2)</w:t>
      </w:r>
      <w:r>
        <w:rPr/>
        <w:t>在建工程结转为固定资产的标准和时点 在建工程项目按建造该项资产达到预定可使用状态前所发生的全部支出，作为固定资产</w:t>
      </w:r>
    </w:p>
    <w:p>
      <w:pPr>
        <w:pStyle w:val="BodyText"/>
        <w:spacing w:line="350" w:lineRule="auto" w:before="32"/>
        <w:ind w:left="154" w:right="1169"/>
        <w:jc w:val="both"/>
      </w:pPr>
      <w:r>
        <w:rPr/>
        <w:t>的入账价值。所建造的在建工程已达到预定可使用状态，但尚未办理竣工决算的，自达到预 定可使用状态之日起，根据工程预算、造价或者工程实际成本等，按估计的价值转入固定资 产，并按本公司固定资产折旧政策计提固定资产的折旧，待办理竣工决算后，再按实际成本 调整原来的暂估价值，但不调整原已计提的折旧额。</w:t>
      </w:r>
    </w:p>
    <w:p>
      <w:pPr>
        <w:pStyle w:val="Heading2"/>
        <w:spacing w:line="311" w:lineRule="exact" w:before="0"/>
        <w:ind w:left="634" w:right="1153"/>
        <w:jc w:val="left"/>
        <w:rPr>
          <w:b w:val="0"/>
          <w:bCs w:val="0"/>
        </w:rPr>
      </w:pPr>
      <w:r>
        <w:rPr>
          <w:rFonts w:ascii="宋体" w:hAnsi="宋体" w:cs="宋体" w:eastAsia="宋体" w:hint="default"/>
        </w:rPr>
        <w:t>15</w:t>
      </w:r>
      <w:r>
        <w:rPr/>
        <w:t>、借款费用</w:t>
      </w:r>
      <w:r>
        <w:rPr>
          <w:b w:val="0"/>
          <w:bCs w:val="0"/>
        </w:rPr>
      </w:r>
    </w:p>
    <w:p>
      <w:pPr>
        <w:pStyle w:val="BodyText"/>
        <w:spacing w:line="333" w:lineRule="auto" w:before="86"/>
        <w:ind w:left="634" w:right="1152"/>
        <w:jc w:val="left"/>
      </w:pPr>
      <w:r>
        <w:rPr/>
        <w:t>（</w:t>
      </w:r>
      <w:r>
        <w:rPr>
          <w:rFonts w:ascii="宋体" w:hAnsi="宋体" w:cs="宋体" w:eastAsia="宋体" w:hint="default"/>
        </w:rPr>
        <w:t>1</w:t>
      </w:r>
      <w:r>
        <w:rPr/>
        <w:t>）借款费用资本化的确认原则 公司发生的借款费用，可直接归属于符合资本化条件的资产的购建或者生产的，在符合</w:t>
      </w:r>
    </w:p>
    <w:p>
      <w:pPr>
        <w:pStyle w:val="BodyText"/>
        <w:spacing w:line="352" w:lineRule="auto" w:before="52"/>
        <w:ind w:left="154" w:right="1170"/>
        <w:jc w:val="both"/>
      </w:pPr>
      <w:r>
        <w:rPr/>
        <w:t>资本化条件的情况下开始资本化，计入相关资产成本；其他借款费用，在发生时根据其发生 额确认为费用，计入当期损益。</w:t>
      </w:r>
    </w:p>
    <w:p>
      <w:pPr>
        <w:pStyle w:val="BodyText"/>
        <w:spacing w:line="350" w:lineRule="auto" w:before="33"/>
        <w:ind w:left="154" w:right="1152" w:firstLine="480"/>
        <w:jc w:val="left"/>
      </w:pPr>
      <w:r>
        <w:rPr/>
        <w:t>符合资本化条件的资产，是指需要经过相当长时间的购建或者生产活动才能达到预定可 使用或者可销售状态的固定资产、投资性房地产和存货等资产。</w:t>
      </w:r>
    </w:p>
    <w:p>
      <w:pPr>
        <w:pStyle w:val="BodyText"/>
        <w:spacing w:line="240" w:lineRule="auto"/>
        <w:ind w:left="633" w:right="1153"/>
        <w:jc w:val="left"/>
      </w:pPr>
      <w:r>
        <w:rPr/>
        <w:t>借款费用同时满足下列条件时开始资本化：</w:t>
      </w:r>
    </w:p>
    <w:p>
      <w:pPr>
        <w:pStyle w:val="BodyText"/>
        <w:spacing w:line="350" w:lineRule="auto" w:before="145"/>
        <w:ind w:left="154" w:right="1181" w:firstLine="480"/>
        <w:jc w:val="left"/>
      </w:pPr>
      <w:r>
        <w:rPr>
          <w:rFonts w:ascii="宋体" w:hAnsi="宋体" w:cs="宋体" w:eastAsia="宋体" w:hint="default"/>
          <w:b/>
          <w:bCs/>
          <w:sz w:val="21"/>
          <w:szCs w:val="21"/>
        </w:rPr>
        <w:t>①</w:t>
      </w:r>
      <w:r>
        <w:rPr/>
        <w:t>资产支出已经发生，资产支出包括为购建或者生产符合资本化条件的资产而以支付现 金、转移非现金资产或者承担带息债务形式发生的支出；</w:t>
      </w:r>
    </w:p>
    <w:p>
      <w:pPr>
        <w:pStyle w:val="BodyText"/>
        <w:spacing w:line="240" w:lineRule="auto"/>
        <w:ind w:left="633" w:right="1153"/>
        <w:jc w:val="left"/>
      </w:pPr>
      <w:r>
        <w:rPr>
          <w:rFonts w:ascii="宋体" w:hAnsi="宋体" w:cs="宋体" w:eastAsia="宋体" w:hint="default"/>
          <w:b/>
          <w:bCs/>
          <w:sz w:val="21"/>
          <w:szCs w:val="21"/>
        </w:rPr>
        <w:t>②</w:t>
      </w:r>
      <w:r>
        <w:rPr/>
        <w:t>借款费用已经发生；</w:t>
      </w:r>
    </w:p>
    <w:p>
      <w:pPr>
        <w:pStyle w:val="BodyText"/>
        <w:spacing w:line="240" w:lineRule="auto" w:before="145"/>
        <w:ind w:left="634" w:right="1153"/>
        <w:jc w:val="left"/>
      </w:pPr>
      <w:r>
        <w:rPr>
          <w:rFonts w:ascii="宋体" w:hAnsi="宋体" w:cs="宋体" w:eastAsia="宋体" w:hint="default"/>
          <w:b/>
          <w:bCs/>
          <w:sz w:val="21"/>
          <w:szCs w:val="21"/>
        </w:rPr>
        <w:t>③</w:t>
      </w:r>
      <w:r>
        <w:rPr/>
        <w:t>为使资产达到预定可使用或者可销售状态所必要的购建或者生产活动已经开始。</w:t>
      </w:r>
    </w:p>
    <w:p>
      <w:pPr>
        <w:spacing w:line="352" w:lineRule="auto" w:before="145"/>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）借款费用资本化期间</w:t>
      </w:r>
      <w:r>
        <w:rPr>
          <w:rFonts w:ascii="宋体" w:hAnsi="宋体" w:cs="宋体" w:eastAsia="宋体" w:hint="default"/>
          <w:b/>
          <w:bCs/>
          <w:w w:val="99"/>
          <w:sz w:val="24"/>
          <w:szCs w:val="24"/>
        </w:rPr>
        <w:t> </w:t>
      </w:r>
      <w:r>
        <w:rPr>
          <w:rFonts w:ascii="宋体" w:hAnsi="宋体" w:cs="宋体" w:eastAsia="宋体" w:hint="default"/>
          <w:sz w:val="24"/>
          <w:szCs w:val="24"/>
        </w:rPr>
        <w:t>资本化期间，指从借款费用开始资本化时点到停止资本化时点的期间，借款费用暂停资</w:t>
      </w:r>
    </w:p>
    <w:p>
      <w:pPr>
        <w:pStyle w:val="BodyText"/>
        <w:spacing w:line="350" w:lineRule="auto" w:before="32"/>
        <w:ind w:left="634" w:right="1152" w:hanging="480"/>
        <w:jc w:val="left"/>
      </w:pPr>
      <w:r>
        <w:rPr/>
        <w:t>本化的期间不包括在内。 当购建或者生产符合资本化条件的资产达到预定可使用或者可销售状态时，借款费用停</w:t>
      </w:r>
    </w:p>
    <w:p>
      <w:pPr>
        <w:pStyle w:val="BodyText"/>
        <w:spacing w:line="240" w:lineRule="auto"/>
        <w:ind w:left="154" w:right="0"/>
        <w:jc w:val="both"/>
      </w:pPr>
      <w:r>
        <w:rPr/>
        <w:t>止资本化。</w:t>
      </w:r>
    </w:p>
    <w:p>
      <w:pPr>
        <w:pStyle w:val="BodyText"/>
        <w:spacing w:line="350" w:lineRule="auto" w:before="146"/>
        <w:ind w:right="1153" w:firstLine="480"/>
        <w:jc w:val="left"/>
      </w:pPr>
      <w:r>
        <w:rPr/>
        <w:t>当购建或者生产符合资本化条件的资产中部分项目分别完工且可单独使用时，该部分资 产借款费用停止资本化。</w:t>
      </w:r>
    </w:p>
    <w:p>
      <w:pPr>
        <w:spacing w:after="0" w:line="350" w:lineRule="auto"/>
        <w:jc w:val="left"/>
        <w:sectPr>
          <w:footerReference w:type="default" r:id="rId16"/>
          <w:pgSz w:w="11910" w:h="16840"/>
          <w:pgMar w:footer="979" w:header="747"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154" w:right="1170" w:firstLine="480"/>
        <w:jc w:val="both"/>
      </w:pPr>
      <w:r>
        <w:rPr/>
        <w:t>购建或者生产的资产的各部分分别完工，但必须等到整体完工后才可使用或可对外销售 的，在该资产整体完工时停止借款费用资本化。</w:t>
      </w:r>
    </w:p>
    <w:p>
      <w:pPr>
        <w:spacing w:line="350" w:lineRule="auto" w:before="36"/>
        <w:ind w:left="634" w:right="1212"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）暂停资本化期间</w:t>
      </w:r>
      <w:r>
        <w:rPr>
          <w:rFonts w:ascii="宋体" w:hAnsi="宋体" w:cs="宋体" w:eastAsia="宋体" w:hint="default"/>
          <w:b/>
          <w:bCs/>
          <w:w w:val="99"/>
          <w:sz w:val="24"/>
          <w:szCs w:val="24"/>
        </w:rPr>
        <w:t> </w:t>
      </w:r>
      <w:r>
        <w:rPr>
          <w:rFonts w:ascii="宋体" w:hAnsi="宋体" w:cs="宋体" w:eastAsia="宋体" w:hint="default"/>
          <w:sz w:val="24"/>
          <w:szCs w:val="24"/>
        </w:rPr>
        <w:t>符合资本化条件的资产在购建或生产过程中发生的非正常中断、且中断时间连续超过</w:t>
      </w:r>
      <w:r>
        <w:rPr>
          <w:rFonts w:ascii="宋体" w:hAnsi="宋体" w:cs="宋体" w:eastAsia="宋体" w:hint="default"/>
          <w:spacing w:val="-60"/>
          <w:sz w:val="24"/>
          <w:szCs w:val="24"/>
        </w:rPr>
        <w:t> </w:t>
      </w:r>
      <w:r>
        <w:rPr>
          <w:rFonts w:ascii="宋体" w:hAnsi="宋体" w:cs="宋体" w:eastAsia="宋体" w:hint="default"/>
          <w:sz w:val="24"/>
          <w:szCs w:val="24"/>
        </w:rPr>
        <w:t>3</w:t>
      </w:r>
    </w:p>
    <w:p>
      <w:pPr>
        <w:pStyle w:val="BodyText"/>
        <w:spacing w:line="352" w:lineRule="auto" w:before="35"/>
        <w:ind w:right="1170"/>
        <w:jc w:val="both"/>
      </w:pPr>
      <w:r>
        <w:rPr/>
        <w:t>个月的，则借款费用暂停资本化；该项中断如是所购建或生产的符合资本化条件的资产达到 预定可使用状态或者可销售状态必要的程序，则借款费用继续资本化。在中断期间发生的借 款费用确认为当期损益，直至资产的购建或者生产活动重新开始后借款费用继续资本化。</w:t>
      </w:r>
    </w:p>
    <w:p>
      <w:pPr>
        <w:spacing w:line="352" w:lineRule="auto" w:before="32"/>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）借款费用资本化金额的计算方法</w:t>
      </w:r>
      <w:r>
        <w:rPr>
          <w:rFonts w:ascii="宋体" w:hAnsi="宋体" w:cs="宋体" w:eastAsia="宋体" w:hint="default"/>
          <w:b/>
          <w:bCs/>
          <w:w w:val="99"/>
          <w:sz w:val="24"/>
          <w:szCs w:val="24"/>
        </w:rPr>
        <w:t> </w:t>
      </w:r>
      <w:r>
        <w:rPr>
          <w:rFonts w:ascii="宋体" w:hAnsi="宋体" w:cs="宋体" w:eastAsia="宋体" w:hint="default"/>
          <w:sz w:val="24"/>
          <w:szCs w:val="24"/>
        </w:rPr>
        <w:t>专门借款的利息费用（扣除尚未动用的借款资金存入银行取得的利息收入或者进行暂时</w:t>
      </w:r>
    </w:p>
    <w:p>
      <w:pPr>
        <w:pStyle w:val="BodyText"/>
        <w:spacing w:line="350" w:lineRule="auto" w:before="32"/>
        <w:ind w:right="1170"/>
        <w:jc w:val="both"/>
      </w:pPr>
      <w:r>
        <w:rPr/>
        <w:t>性投资取得的投资收益）及其辅助费用在所购建或者生产的符合资本化条件的资产达到预定 可使用或者可销售状态前，予以资本化。</w:t>
      </w:r>
    </w:p>
    <w:p>
      <w:pPr>
        <w:pStyle w:val="BodyText"/>
        <w:spacing w:line="350" w:lineRule="auto"/>
        <w:ind w:left="154" w:right="1169" w:firstLine="480"/>
        <w:jc w:val="both"/>
      </w:pPr>
      <w:r>
        <w:rPr/>
        <w:t>根据累计资产支出超过专门借款部分的资产支出加权平均数乘以所占用一般借款的资本 化率，计算确定一般借款应予资本化的利息金额。资本化率根据一般借款加权平均利率计算 确定。</w:t>
      </w:r>
    </w:p>
    <w:p>
      <w:pPr>
        <w:pStyle w:val="BodyText"/>
        <w:spacing w:line="350" w:lineRule="auto"/>
        <w:ind w:left="154" w:right="1170" w:firstLine="480"/>
        <w:jc w:val="both"/>
      </w:pPr>
      <w:r>
        <w:rPr/>
        <w:t>借款存在折价或者溢价的，按照实际利率法确定每一会计期间应摊销的折价或者溢价金 额，调整每期利息金额。</w:t>
      </w:r>
    </w:p>
    <w:p>
      <w:pPr>
        <w:pStyle w:val="Heading2"/>
        <w:spacing w:line="240" w:lineRule="auto" w:before="35"/>
        <w:ind w:right="1153"/>
        <w:jc w:val="left"/>
        <w:rPr>
          <w:b w:val="0"/>
          <w:bCs w:val="0"/>
        </w:rPr>
      </w:pPr>
      <w:r>
        <w:rPr>
          <w:rFonts w:ascii="宋体" w:hAnsi="宋体" w:cs="宋体" w:eastAsia="宋体" w:hint="default"/>
        </w:rPr>
        <w:t>16</w:t>
      </w:r>
      <w:r>
        <w:rPr/>
        <w:t>、无形资产</w:t>
      </w:r>
      <w:r>
        <w:rPr>
          <w:b w:val="0"/>
          <w:bCs w:val="0"/>
        </w:rPr>
      </w:r>
    </w:p>
    <w:p>
      <w:pPr>
        <w:pStyle w:val="Heading2"/>
        <w:spacing w:line="240" w:lineRule="auto" w:before="146"/>
        <w:ind w:right="1153"/>
        <w:jc w:val="left"/>
        <w:rPr>
          <w:b w:val="0"/>
          <w:bCs w:val="0"/>
        </w:rPr>
      </w:pPr>
      <w:r>
        <w:rPr/>
        <w:t>（</w:t>
      </w:r>
      <w:r>
        <w:rPr>
          <w:rFonts w:ascii="Times New Roman" w:hAnsi="Times New Roman" w:cs="Times New Roman" w:eastAsia="Times New Roman" w:hint="default"/>
          <w:sz w:val="21"/>
          <w:szCs w:val="21"/>
        </w:rPr>
        <w:t>1</w:t>
      </w:r>
      <w:r>
        <w:rPr/>
        <w:t>）计价方法、使用寿命、减值测试</w:t>
      </w:r>
      <w:r>
        <w:rPr>
          <w:b w:val="0"/>
          <w:bCs w:val="0"/>
        </w:rPr>
      </w:r>
    </w:p>
    <w:p>
      <w:pPr>
        <w:pStyle w:val="BodyText"/>
        <w:spacing w:line="350" w:lineRule="auto" w:before="134"/>
        <w:ind w:left="634" w:right="1152"/>
        <w:jc w:val="left"/>
      </w:pPr>
      <w:r>
        <w:rPr/>
        <w:t>① 无形资产的初始计量 外购无形资产的成本，包括购买价款、相关税费以及直接归属于使该项资产达到预定用</w:t>
      </w:r>
    </w:p>
    <w:p>
      <w:pPr>
        <w:pStyle w:val="BodyText"/>
        <w:spacing w:line="350" w:lineRule="auto"/>
        <w:ind w:left="154" w:right="1170"/>
        <w:jc w:val="both"/>
      </w:pPr>
      <w:r>
        <w:rPr/>
        <w:t>途所发生的其他支出。购买无形资产的价款超过正常信用条件延期支付，实质上具有融资性 质的，无形资产的成本以购买价款的现值为基础确定。</w:t>
      </w:r>
    </w:p>
    <w:p>
      <w:pPr>
        <w:pStyle w:val="BodyText"/>
        <w:spacing w:line="352" w:lineRule="auto" w:before="35"/>
        <w:ind w:right="1170" w:firstLine="480"/>
        <w:jc w:val="both"/>
      </w:pPr>
      <w:r>
        <w:rPr/>
        <w:t>债务重组取得债务人用以抵债的无形资产，以该无形资产的公允价值为基础确定其入账 价值，并将重组债务的账面价值与该用以抵债的无形资产公允价值之间的差额，计入当期损 益。</w:t>
      </w:r>
    </w:p>
    <w:p>
      <w:pPr>
        <w:pStyle w:val="BodyText"/>
        <w:spacing w:line="352" w:lineRule="auto" w:before="32"/>
        <w:ind w:left="154" w:right="1170" w:firstLine="480"/>
        <w:jc w:val="both"/>
      </w:pPr>
      <w:r>
        <w:rPr/>
        <w:t>在非货币性资产交换具备商业实质且换入资产或换出资产的公允价值能够可靠计量的前 提下，非货币性资产交换换入的无形资产以换出资产的公允价值为基础确定其入账价值，除 非有确凿证据表明换入资产的公允价值更加可靠；不满足上述前提的非货币性资产交换，以 换出资产的账面价值和应支付的相关税费作为换入无形资产的成本，不确认损益。</w:t>
      </w:r>
    </w:p>
    <w:p>
      <w:pPr>
        <w:spacing w:after="0" w:line="352" w:lineRule="auto"/>
        <w:jc w:val="both"/>
        <w:sectPr>
          <w:footerReference w:type="default" r:id="rId17"/>
          <w:pgSz w:w="11910" w:h="16840"/>
          <w:pgMar w:footer="979" w:header="747" w:top="1060" w:bottom="1160" w:left="980" w:right="0"/>
          <w:pgNumType w:start="101"/>
        </w:sectPr>
      </w:pPr>
    </w:p>
    <w:p>
      <w:pPr>
        <w:spacing w:line="240" w:lineRule="auto" w:before="0"/>
        <w:rPr>
          <w:rFonts w:ascii="宋体" w:hAnsi="宋体" w:cs="宋体" w:eastAsia="宋体" w:hint="default"/>
          <w:sz w:val="20"/>
          <w:szCs w:val="20"/>
        </w:rPr>
      </w:pPr>
    </w:p>
    <w:p>
      <w:pPr>
        <w:pStyle w:val="BodyText"/>
        <w:spacing w:line="350" w:lineRule="auto" w:before="199"/>
        <w:ind w:left="154" w:right="1170" w:firstLine="480"/>
        <w:jc w:val="both"/>
      </w:pPr>
      <w:r>
        <w:rPr/>
        <w:t>以同一控制下的企业吸收合并方式取得的无形资产按被合并方的账面价值确定其入账价 值；以非同一控制下的企业吸收合并方式取得的无形资产按公允价值确定其入账价值。</w:t>
      </w:r>
    </w:p>
    <w:p>
      <w:pPr>
        <w:pStyle w:val="BodyText"/>
        <w:spacing w:line="350" w:lineRule="auto"/>
        <w:ind w:right="1170" w:firstLine="480"/>
        <w:jc w:val="both"/>
      </w:pPr>
      <w:r>
        <w:rPr/>
        <w:t>内部自行开发的无形资产，其成本包括：开发该无形资产时耗用的材料、劳务成本、注 册费、在开发过程中使用的其他专利权和特许权的摊销以及满足资本化条件的利息费用，以 及为使该无形资产达到预定用途前所发生的其他直接费用。</w:t>
      </w:r>
    </w:p>
    <w:p>
      <w:pPr>
        <w:pStyle w:val="BodyText"/>
        <w:spacing w:line="350" w:lineRule="auto"/>
        <w:ind w:left="634" w:right="1152"/>
        <w:jc w:val="left"/>
      </w:pPr>
      <w:r>
        <w:rPr/>
        <w:t>② 无形资产的后续计量 本公司在取得无形资产时分析判断其使用寿命，划分为使用寿命有限和使用寿命不确定</w:t>
      </w:r>
    </w:p>
    <w:p>
      <w:pPr>
        <w:pStyle w:val="BodyText"/>
        <w:spacing w:line="240" w:lineRule="auto" w:before="35"/>
        <w:ind w:left="154" w:right="1153"/>
        <w:jc w:val="left"/>
      </w:pPr>
      <w:r>
        <w:rPr/>
        <w:t>的无形资产。</w:t>
      </w:r>
    </w:p>
    <w:p>
      <w:pPr>
        <w:pStyle w:val="BodyText"/>
        <w:spacing w:line="350" w:lineRule="auto" w:before="146"/>
        <w:ind w:left="633" w:right="1153"/>
        <w:jc w:val="left"/>
      </w:pPr>
      <w:r>
        <w:rPr>
          <w:rFonts w:ascii="宋体" w:hAnsi="宋体" w:cs="宋体" w:eastAsia="宋体" w:hint="default"/>
        </w:rPr>
        <w:t>a.</w:t>
      </w:r>
      <w:r>
        <w:rPr/>
        <w:t>使用寿命有限的无形资产 对于使用寿命有限的无形资产，在为企业带来经济利益的期限内按直线法摊销。使用寿</w:t>
      </w:r>
    </w:p>
    <w:p>
      <w:pPr>
        <w:pStyle w:val="BodyText"/>
        <w:spacing w:line="240" w:lineRule="auto" w:before="35"/>
        <w:ind w:right="1153"/>
        <w:jc w:val="left"/>
      </w:pPr>
      <w:r>
        <w:rPr/>
        <w:t>命有限的无形资产预计寿命及依据如下：</w:t>
      </w:r>
    </w:p>
    <w:p>
      <w:pPr>
        <w:spacing w:line="240" w:lineRule="auto" w:before="3"/>
        <w:rPr>
          <w:rFonts w:ascii="宋体" w:hAnsi="宋体" w:cs="宋体" w:eastAsia="宋体" w:hint="default"/>
          <w:sz w:val="5"/>
          <w:szCs w:val="5"/>
        </w:rPr>
      </w:pPr>
    </w:p>
    <w:tbl>
      <w:tblPr>
        <w:tblW w:w="0" w:type="auto"/>
        <w:jc w:val="left"/>
        <w:tblInd w:w="761" w:type="dxa"/>
        <w:tblLayout w:type="fixed"/>
        <w:tblCellMar>
          <w:top w:w="0" w:type="dxa"/>
          <w:left w:w="0" w:type="dxa"/>
          <w:bottom w:w="0" w:type="dxa"/>
          <w:right w:w="0" w:type="dxa"/>
        </w:tblCellMar>
        <w:tblLook w:val="01E0"/>
      </w:tblPr>
      <w:tblGrid>
        <w:gridCol w:w="2803"/>
        <w:gridCol w:w="1873"/>
        <w:gridCol w:w="3742"/>
      </w:tblGrid>
      <w:tr>
        <w:trPr>
          <w:trHeight w:val="332" w:hRule="exact"/>
        </w:trPr>
        <w:tc>
          <w:tcPr>
            <w:tcW w:w="2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3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42" w:hRule="exact"/>
        </w:trPr>
        <w:tc>
          <w:tcPr>
            <w:tcW w:w="2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3" w:type="dxa"/>
            <w:tcBorders>
              <w:top w:val="single" w:sz="8" w:space="0" w:color="000000"/>
              <w:left w:val="single" w:sz="6" w:space="0" w:color="000000"/>
              <w:bottom w:val="single" w:sz="4" w:space="0" w:color="000000"/>
              <w:right w:val="single" w:sz="4" w:space="0" w:color="000000"/>
            </w:tcBorders>
          </w:tcPr>
          <w:p>
            <w:pPr>
              <w:pStyle w:val="TableParagraph"/>
              <w:spacing w:line="264" w:lineRule="exact"/>
              <w:ind w:right="3"/>
              <w:jc w:val="center"/>
              <w:rPr>
                <w:rFonts w:ascii="宋体" w:hAnsi="宋体" w:cs="宋体" w:eastAsia="宋体" w:hint="default"/>
                <w:sz w:val="21"/>
                <w:szCs w:val="21"/>
              </w:rPr>
            </w:pPr>
            <w:r>
              <w:rPr>
                <w:rFonts w:ascii="宋体" w:hAnsi="宋体" w:cs="宋体" w:eastAsia="宋体" w:hint="default"/>
                <w:sz w:val="21"/>
                <w:szCs w:val="21"/>
              </w:rPr>
              <w:t>实际使用年限</w:t>
            </w:r>
          </w:p>
        </w:tc>
        <w:tc>
          <w:tcPr>
            <w:tcW w:w="3742" w:type="dxa"/>
            <w:tcBorders>
              <w:top w:val="single" w:sz="8"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证件所载年限</w:t>
            </w:r>
          </w:p>
        </w:tc>
      </w:tr>
      <w:tr>
        <w:trPr>
          <w:trHeight w:val="342" w:hRule="exact"/>
        </w:trPr>
        <w:tc>
          <w:tcPr>
            <w:tcW w:w="2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73"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预计使用年限</w:t>
            </w:r>
          </w:p>
        </w:tc>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42" w:hRule="exact"/>
        </w:trPr>
        <w:tc>
          <w:tcPr>
            <w:tcW w:w="2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73" w:type="dxa"/>
            <w:tcBorders>
              <w:top w:val="single" w:sz="4" w:space="0" w:color="000000"/>
              <w:left w:val="single" w:sz="6"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bl>
    <w:p>
      <w:pPr>
        <w:spacing w:line="240" w:lineRule="auto" w:before="10"/>
        <w:rPr>
          <w:rFonts w:ascii="宋体" w:hAnsi="宋体" w:cs="宋体" w:eastAsia="宋体" w:hint="default"/>
          <w:sz w:val="4"/>
          <w:szCs w:val="4"/>
        </w:rPr>
      </w:pPr>
    </w:p>
    <w:p>
      <w:pPr>
        <w:pStyle w:val="BodyText"/>
        <w:spacing w:line="350" w:lineRule="auto" w:before="26"/>
        <w:ind w:left="154" w:right="1152" w:firstLine="480"/>
        <w:jc w:val="left"/>
      </w:pPr>
      <w:r>
        <w:rPr/>
        <w:t>每期末，对使用寿命有限的无形资产的使用寿命及摊销方法进行复核，如与原先估计数 存在差异的，进行相应的调整。</w:t>
      </w:r>
    </w:p>
    <w:p>
      <w:pPr>
        <w:pStyle w:val="BodyText"/>
        <w:spacing w:line="350" w:lineRule="auto"/>
        <w:ind w:left="633" w:right="1153"/>
        <w:jc w:val="left"/>
      </w:pPr>
      <w:r>
        <w:rPr>
          <w:rFonts w:ascii="宋体" w:hAnsi="宋体" w:cs="宋体" w:eastAsia="宋体" w:hint="default"/>
        </w:rPr>
        <w:t>b.</w:t>
      </w:r>
      <w:r>
        <w:rPr/>
        <w:t>使用寿命不确定的无形资产 无法预见无形资产为企业带来经济利益期限的，视为使用寿命不确定的无形资产。 对于使用寿命不确定的无形资产，在持有期间内不摊销，每期末对无形资产的寿命进行</w:t>
      </w:r>
    </w:p>
    <w:p>
      <w:pPr>
        <w:pStyle w:val="BodyText"/>
        <w:spacing w:line="240" w:lineRule="auto"/>
        <w:ind w:right="1153"/>
        <w:jc w:val="left"/>
      </w:pPr>
      <w:r>
        <w:rPr/>
        <w:t>复核。如果期末重新复核后仍为不确定的，在每个会计期间继续进行减值测试。</w:t>
      </w:r>
    </w:p>
    <w:p>
      <w:pPr>
        <w:pStyle w:val="Heading2"/>
        <w:spacing w:line="240" w:lineRule="auto" w:before="145"/>
        <w:ind w:right="1153"/>
        <w:jc w:val="left"/>
        <w:rPr>
          <w:b w:val="0"/>
          <w:bCs w:val="0"/>
        </w:rPr>
      </w:pPr>
      <w:r>
        <w:rPr/>
        <w:t>（</w:t>
      </w:r>
      <w:r>
        <w:rPr>
          <w:rFonts w:ascii="宋体" w:hAnsi="宋体" w:cs="宋体" w:eastAsia="宋体" w:hint="default"/>
        </w:rPr>
        <w:t>2</w:t>
      </w:r>
      <w:r>
        <w:rPr/>
        <w:t>）内部研究开发支出会计政策</w:t>
      </w:r>
      <w:r>
        <w:rPr>
          <w:b w:val="0"/>
          <w:bCs w:val="0"/>
        </w:rPr>
      </w:r>
    </w:p>
    <w:p>
      <w:pPr>
        <w:pStyle w:val="BodyText"/>
        <w:spacing w:line="352" w:lineRule="auto" w:before="145"/>
        <w:ind w:left="633" w:right="1153"/>
        <w:jc w:val="left"/>
      </w:pPr>
      <w:r>
        <w:rPr/>
        <w:t>① 划分公司内部研究开发项目的研究阶段和开发阶段具体标准 研究阶段：为获取并理解新的科学或技术知识等而进行的独创性的有计划调查、研究活</w:t>
      </w:r>
    </w:p>
    <w:p>
      <w:pPr>
        <w:pStyle w:val="BodyText"/>
        <w:spacing w:line="240" w:lineRule="auto" w:before="32"/>
        <w:ind w:right="1153"/>
        <w:jc w:val="left"/>
      </w:pPr>
      <w:r>
        <w:rPr/>
        <w:t>动的阶段。</w:t>
      </w:r>
    </w:p>
    <w:p>
      <w:pPr>
        <w:pStyle w:val="BodyText"/>
        <w:spacing w:line="352" w:lineRule="auto" w:before="145"/>
        <w:ind w:right="0" w:firstLine="480"/>
        <w:jc w:val="left"/>
      </w:pPr>
      <w:r>
        <w:rPr>
          <w:spacing w:val="-3"/>
        </w:rPr>
        <w:t>开发阶段：在进行商业性生产或使用前，将研究成果或其他知识应用于某项计划或设计，</w:t>
      </w:r>
      <w:r>
        <w:rPr/>
        <w:t> 以生产出新的或具有实质性改进的材料、装置、产品等活动的阶段。</w:t>
      </w:r>
    </w:p>
    <w:p>
      <w:pPr>
        <w:pStyle w:val="BodyText"/>
        <w:spacing w:line="240" w:lineRule="auto" w:before="32"/>
        <w:ind w:left="633" w:right="1153"/>
        <w:jc w:val="left"/>
      </w:pPr>
      <w:r>
        <w:rPr/>
        <w:t>内部研究开发项目研究阶段的支出，在发生时计入当期损益。</w:t>
      </w:r>
    </w:p>
    <w:p>
      <w:pPr>
        <w:pStyle w:val="BodyText"/>
        <w:spacing w:line="352" w:lineRule="auto" w:before="146"/>
        <w:ind w:left="634" w:right="2352"/>
        <w:jc w:val="left"/>
      </w:pPr>
      <w:r>
        <w:rPr/>
        <w:t>② 开发阶段支出符合资本化的具体标准 内部研究开发项目开发阶段的支出，同时满足下列条件时确认为无形资产： </w:t>
      </w:r>
      <w:r>
        <w:rPr>
          <w:rFonts w:ascii="宋体" w:hAnsi="宋体" w:cs="宋体" w:eastAsia="宋体" w:hint="default"/>
        </w:rPr>
        <w:t>a</w:t>
      </w:r>
      <w:r>
        <w:rPr/>
        <w:t>、完成该无形资产以使其能够使用或出售在技术上具有可行性；</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754" w:right="1152"/>
        <w:jc w:val="left"/>
      </w:pPr>
      <w:r>
        <w:rPr>
          <w:rFonts w:ascii="宋体" w:hAnsi="宋体" w:cs="宋体" w:eastAsia="宋体" w:hint="default"/>
        </w:rPr>
        <w:t>b</w:t>
      </w:r>
      <w:r>
        <w:rPr/>
        <w:t>、具有完成该无形资产并使用或出售的意图； </w:t>
      </w:r>
      <w:r>
        <w:rPr>
          <w:rFonts w:ascii="宋体" w:hAnsi="宋体" w:cs="宋体" w:eastAsia="宋体" w:hint="default"/>
        </w:rPr>
        <w:t>c</w:t>
      </w:r>
      <w:r>
        <w:rPr/>
        <w:t>、无形资产产生经济利益的方式，包括能够证明运用该无形资产生产的产品存在市场</w:t>
      </w:r>
    </w:p>
    <w:p>
      <w:pPr>
        <w:pStyle w:val="BodyText"/>
        <w:spacing w:line="350" w:lineRule="auto"/>
        <w:ind w:left="633" w:right="0" w:hanging="480"/>
        <w:jc w:val="left"/>
      </w:pPr>
      <w:r>
        <w:rPr/>
        <w:t>或无形资产自身存在市场，无形资产将在内部使用的，能够证明其有用性； </w:t>
      </w:r>
      <w:r>
        <w:rPr>
          <w:rFonts w:ascii="宋体" w:hAnsi="宋体" w:cs="宋体" w:eastAsia="宋体" w:hint="default"/>
          <w:spacing w:val="-3"/>
        </w:rPr>
        <w:t>d</w:t>
      </w:r>
      <w:r>
        <w:rPr>
          <w:spacing w:val="-3"/>
        </w:rPr>
        <w:t>、有足够的技术、财务资源和其他资源支持，以完成该无形资产的开发，并有能力使用</w:t>
      </w:r>
    </w:p>
    <w:p>
      <w:pPr>
        <w:pStyle w:val="BodyText"/>
        <w:spacing w:line="352" w:lineRule="auto" w:before="35"/>
        <w:ind w:left="633" w:right="4393" w:hanging="480"/>
        <w:jc w:val="left"/>
      </w:pPr>
      <w:r>
        <w:rPr/>
        <w:t>或出售该无形资产； </w:t>
      </w:r>
      <w:r>
        <w:rPr>
          <w:rFonts w:ascii="宋体" w:hAnsi="宋体" w:cs="宋体" w:eastAsia="宋体" w:hint="default"/>
        </w:rPr>
        <w:t>e</w:t>
      </w:r>
      <w:r>
        <w:rPr/>
        <w:t>、归属于该无形资产开发阶段的支出能够可靠地计量。</w:t>
      </w:r>
    </w:p>
    <w:p>
      <w:pPr>
        <w:pStyle w:val="BodyText"/>
        <w:spacing w:line="352" w:lineRule="auto" w:before="32"/>
        <w:ind w:right="1170" w:firstLine="480"/>
        <w:jc w:val="both"/>
      </w:pPr>
      <w:r>
        <w:rPr/>
        <w:t>不满足上述条件的开发阶段的支出，于发生时计入当期损益。以前期间已计入损益的开 发支出不在以后期间重新确认为资产。已资本化的开发阶段的支出在资产负债表上列示为开 发支出，自该项目达到预定用途之日起转为无形资产。</w:t>
      </w:r>
    </w:p>
    <w:p>
      <w:pPr>
        <w:spacing w:line="350" w:lineRule="auto" w:before="32"/>
        <w:ind w:left="633" w:right="1153" w:firstLine="2"/>
        <w:jc w:val="left"/>
        <w:rPr>
          <w:rFonts w:ascii="宋体" w:hAnsi="宋体" w:cs="宋体" w:eastAsia="宋体" w:hint="default"/>
          <w:sz w:val="24"/>
          <w:szCs w:val="24"/>
        </w:rPr>
      </w:pPr>
      <w:r>
        <w:rPr>
          <w:rFonts w:ascii="宋体" w:hAnsi="宋体" w:cs="宋体" w:eastAsia="宋体" w:hint="default"/>
          <w:b/>
          <w:bCs/>
          <w:sz w:val="24"/>
          <w:szCs w:val="24"/>
        </w:rPr>
        <w:t>17</w:t>
      </w:r>
      <w:r>
        <w:rPr>
          <w:rFonts w:ascii="宋体" w:hAnsi="宋体" w:cs="宋体" w:eastAsia="宋体" w:hint="default"/>
          <w:b/>
          <w:bCs/>
          <w:sz w:val="24"/>
          <w:szCs w:val="24"/>
        </w:rPr>
        <w:t>、长期资产减值</w:t>
      </w:r>
      <w:r>
        <w:rPr>
          <w:rFonts w:ascii="宋体" w:hAnsi="宋体" w:cs="宋体" w:eastAsia="宋体" w:hint="default"/>
          <w:b/>
          <w:bCs/>
          <w:w w:val="99"/>
          <w:sz w:val="24"/>
          <w:szCs w:val="24"/>
        </w:rPr>
        <w:t> </w:t>
      </w:r>
      <w:r>
        <w:rPr>
          <w:rFonts w:ascii="宋体" w:hAnsi="宋体" w:cs="宋体" w:eastAsia="宋体" w:hint="default"/>
          <w:sz w:val="24"/>
          <w:szCs w:val="24"/>
        </w:rPr>
        <w:t>公司在资产负债表日判断长期资产是否存在可能发生减值的迹象。如果长期资产存在减</w:t>
      </w:r>
    </w:p>
    <w:p>
      <w:pPr>
        <w:pStyle w:val="BodyText"/>
        <w:spacing w:line="350" w:lineRule="auto"/>
        <w:ind w:right="995"/>
        <w:jc w:val="left"/>
      </w:pPr>
      <w:r>
        <w:rPr>
          <w:spacing w:val="-2"/>
        </w:rPr>
        <w:t>值迹象的，以单项资产为基础估计其可收回金额；难以对单项资产的可收回金额进行估计的，</w:t>
      </w:r>
      <w:r>
        <w:rPr/>
        <w:t> 以该资产所属的资产组为基础确定资产组的可收回金额。</w:t>
      </w:r>
    </w:p>
    <w:p>
      <w:pPr>
        <w:pStyle w:val="BodyText"/>
        <w:spacing w:line="352" w:lineRule="auto" w:before="35"/>
        <w:ind w:right="1169" w:firstLine="480"/>
        <w:jc w:val="both"/>
      </w:pPr>
      <w:r>
        <w:rPr/>
        <w:t>资产可收回金额的估计，根据其公允价值减去处置费用后的净额与资产预计未来现金流 量的现值两者之间较高者确定。</w:t>
      </w:r>
    </w:p>
    <w:p>
      <w:pPr>
        <w:pStyle w:val="BodyText"/>
        <w:spacing w:line="352" w:lineRule="auto" w:before="33"/>
        <w:ind w:right="1170" w:firstLine="480"/>
        <w:jc w:val="both"/>
      </w:pPr>
      <w:r>
        <w:rPr/>
        <w:t>可收回金额的计量结果表明，长期资产的可收回金额低于其账面价值的，将长期资产的 账面价值减记至可收回金额，减记的金额确认为资产减值损失，计入当期损益，同时计提相 应的资产减值准备。资产减值损失一经确认，在以后会计期间不得转回。</w:t>
      </w:r>
    </w:p>
    <w:p>
      <w:pPr>
        <w:pStyle w:val="BodyText"/>
        <w:spacing w:line="350" w:lineRule="auto" w:before="32"/>
        <w:ind w:right="1170" w:firstLine="480"/>
        <w:jc w:val="both"/>
      </w:pPr>
      <w:r>
        <w:rPr/>
        <w:t>资产减值损失确认后，减值资产的折旧或者摊销费用在未来期间作相应调整，以使该资 产在剩余使用寿命内，系统地分摊调整后的资产账面价值（扣除预计净残值）。</w:t>
      </w:r>
    </w:p>
    <w:p>
      <w:pPr>
        <w:pStyle w:val="BodyText"/>
        <w:spacing w:line="350" w:lineRule="auto"/>
        <w:ind w:right="1169" w:firstLine="480"/>
        <w:jc w:val="both"/>
      </w:pPr>
      <w:r>
        <w:rPr/>
        <w:t>因企业合并所形成的商誉和使用寿命不确定的无形资产，无论是否存在减值迹象，每年 都进行减值测试。</w:t>
      </w:r>
    </w:p>
    <w:p>
      <w:pPr>
        <w:pStyle w:val="BodyText"/>
        <w:spacing w:line="350" w:lineRule="auto" w:before="35"/>
        <w:ind w:right="1170" w:firstLine="480"/>
        <w:jc w:val="both"/>
      </w:pPr>
      <w:r>
        <w:rPr/>
        <w:t>在对商誉进行减值测试时，将商誉的账面价值分摊至预期从企业合并的协同效应中受益 的资产组或资产组组合。在对包含商誉的相关资产组或者资产组组合进行减值测试时，如与 商誉相关的资产组或者资产组组合存在减值迹象的，先对不包含商誉的资产组或者资产组组 合进行减值测试，计算可收回金额，并与相关账面价值相比较，确认相应的减值损失。再对 包含商誉的资产组或者资产组组合进行减值测试，比较这些相关资产组或者资产组组合的账 面价值（包括所分摊的商誉的账面价值部分）与其可收回金额，如相关资产组或者资产组组 合的可收回金额低于其账面价值的，确认商誉的减值损失。</w:t>
      </w:r>
    </w:p>
    <w:p>
      <w:pPr>
        <w:spacing w:after="0" w:line="35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1153"/>
        <w:jc w:val="left"/>
        <w:rPr>
          <w:b w:val="0"/>
          <w:bCs w:val="0"/>
        </w:rPr>
      </w:pPr>
      <w:r>
        <w:rPr>
          <w:rFonts w:ascii="宋体" w:hAnsi="宋体" w:cs="宋体" w:eastAsia="宋体" w:hint="default"/>
        </w:rPr>
        <w:t>18</w:t>
      </w:r>
      <w:r>
        <w:rPr/>
        <w:t>、职工薪酬</w:t>
      </w:r>
      <w:r>
        <w:rPr>
          <w:b w:val="0"/>
          <w:bCs w:val="0"/>
        </w:rPr>
      </w:r>
    </w:p>
    <w:p>
      <w:pPr>
        <w:pStyle w:val="BodyText"/>
        <w:spacing w:line="352" w:lineRule="auto" w:before="145"/>
        <w:ind w:left="633" w:right="1153"/>
        <w:jc w:val="left"/>
      </w:pPr>
      <w:r>
        <w:rPr/>
        <w:t>（</w:t>
      </w:r>
      <w:r>
        <w:rPr>
          <w:rFonts w:ascii="宋体" w:hAnsi="宋体" w:cs="宋体" w:eastAsia="宋体" w:hint="default"/>
        </w:rPr>
        <w:t>1</w:t>
      </w:r>
      <w:r>
        <w:rPr/>
        <w:t>）短期薪酬的会计处理方法 短期薪酬是指本公司在职工提供相关服务的年度报告期间结束后十二个月内需要全部予</w:t>
      </w:r>
    </w:p>
    <w:p>
      <w:pPr>
        <w:pStyle w:val="BodyText"/>
        <w:spacing w:line="350" w:lineRule="auto" w:before="33"/>
        <w:ind w:right="1170"/>
        <w:jc w:val="both"/>
      </w:pPr>
      <w:r>
        <w:rPr/>
        <w:t>以支付的职工薪酬，离职后福利和辞退福利除外。本公司在职工提供服务的会计期间，将应 付的短期薪酬确认为负债，并根据职工提供服务的受益对象计入相关资产成本和费用。</w:t>
      </w:r>
    </w:p>
    <w:p>
      <w:pPr>
        <w:pStyle w:val="BodyText"/>
        <w:spacing w:line="350" w:lineRule="auto"/>
        <w:ind w:left="634" w:right="1152"/>
        <w:jc w:val="left"/>
      </w:pPr>
      <w:r>
        <w:rPr/>
        <w:t>（</w:t>
      </w:r>
      <w:r>
        <w:rPr>
          <w:rFonts w:ascii="宋体" w:hAnsi="宋体" w:cs="宋体" w:eastAsia="宋体" w:hint="default"/>
        </w:rPr>
        <w:t>2</w:t>
      </w:r>
      <w:r>
        <w:rPr/>
        <w:t>）离职后福利的会计处理方法 离职后福利是指本公司为获得职工提供的服务而在职工退休或与企业解除劳动关系后，</w:t>
      </w:r>
    </w:p>
    <w:p>
      <w:pPr>
        <w:pStyle w:val="BodyText"/>
        <w:spacing w:line="352" w:lineRule="auto" w:before="35"/>
        <w:ind w:left="154" w:right="1169"/>
        <w:jc w:val="both"/>
      </w:pPr>
      <w:r>
        <w:rPr/>
        <w:t>提供的各种形式的报酬和福利，短期薪酬和辞退福利除外。离职后福利计划分类为设定提存 计划和设定受益计划。</w:t>
      </w:r>
    </w:p>
    <w:p>
      <w:pPr>
        <w:pStyle w:val="BodyText"/>
        <w:spacing w:line="352" w:lineRule="auto" w:before="32"/>
        <w:ind w:left="154" w:right="1170" w:firstLine="480"/>
        <w:jc w:val="both"/>
      </w:pPr>
      <w:r>
        <w:rPr/>
        <w:t>离职后福利设定提存计划主要为参加由各地劳动及社会保障机构组织实施的社会基本养 老保险、失业保险等；在职工为本公司提供服务的会计期间，将根据设定提存计划计算的应 缴存金额确认为负债，并计入当期损益或相关资产成本。</w:t>
      </w:r>
    </w:p>
    <w:p>
      <w:pPr>
        <w:pStyle w:val="BodyText"/>
        <w:spacing w:line="240" w:lineRule="auto" w:before="32"/>
        <w:ind w:left="634" w:right="1153"/>
        <w:jc w:val="left"/>
      </w:pPr>
      <w:r>
        <w:rPr/>
        <w:t>本公司按照国家规定的标准缴付上述款项后，不再有其他的支付义务。</w:t>
      </w:r>
    </w:p>
    <w:p>
      <w:pPr>
        <w:pStyle w:val="BodyText"/>
        <w:spacing w:line="352" w:lineRule="auto" w:before="145"/>
        <w:ind w:left="633" w:right="1153"/>
        <w:jc w:val="left"/>
      </w:pPr>
      <w:r>
        <w:rPr/>
        <w:t>（</w:t>
      </w:r>
      <w:r>
        <w:rPr>
          <w:rFonts w:ascii="宋体" w:hAnsi="宋体" w:cs="宋体" w:eastAsia="宋体" w:hint="default"/>
        </w:rPr>
        <w:t>3</w:t>
      </w:r>
      <w:r>
        <w:rPr/>
        <w:t>）辞退福利的会计处理方法 辞退福利是指本公司在职工劳动合同到期之前解除与职工的劳动关系，或者为鼓励职工</w:t>
      </w:r>
    </w:p>
    <w:p>
      <w:pPr>
        <w:pStyle w:val="BodyText"/>
        <w:spacing w:line="352" w:lineRule="auto" w:before="33"/>
        <w:ind w:right="1169"/>
        <w:jc w:val="both"/>
      </w:pPr>
      <w:r>
        <w:rPr/>
        <w:t>自愿接受裁减而给予职工的补偿，在本公司不能单方面撤回解除劳动关系计划或裁减建议时 和确认与涉及支付辞退福利的重组相关的成本费用时两者孰早日，确认因解除与职工的劳动 关系给予补偿而产生的负债，同时计入当期损益。</w:t>
      </w:r>
    </w:p>
    <w:p>
      <w:pPr>
        <w:pStyle w:val="BodyText"/>
        <w:spacing w:line="350" w:lineRule="auto" w:before="32"/>
        <w:ind w:left="154" w:right="1169" w:firstLine="480"/>
        <w:jc w:val="both"/>
      </w:pPr>
      <w:r>
        <w:rPr/>
        <w:t>本公司向接受内部退休安排的职工提供内退福利。内退福利是指，向未达到国家规定的 退休年龄、经本公司管理层批准自愿退出工作岗位的职工支付的工资及为其缴纳的社会保险 费等。本公司自内部退休安排开始之日起至职工达到正常退休年龄止，向内退职工支付内部 退养福利。对于内退福利，本公司比照辞退福利进行会计处理，在符合辞退福利相关确认条 件时，将自职工停止提供服务日至正常退休日期间拟支付的内退职工工资和缴纳的社会保险 费等，确认为负债，一次性计入当期损益。内退福利的精算假设变化及福利标准调整引起的 差异于发生时计入当期损益。</w:t>
      </w:r>
    </w:p>
    <w:p>
      <w:pPr>
        <w:pStyle w:val="BodyText"/>
        <w:spacing w:line="352" w:lineRule="auto" w:before="35"/>
        <w:ind w:left="633" w:right="1153"/>
        <w:jc w:val="left"/>
      </w:pPr>
      <w:r>
        <w:rPr/>
        <w:t>（</w:t>
      </w:r>
      <w:r>
        <w:rPr>
          <w:rFonts w:ascii="宋体" w:hAnsi="宋体" w:cs="宋体" w:eastAsia="宋体" w:hint="default"/>
        </w:rPr>
        <w:t>4</w:t>
      </w:r>
      <w:r>
        <w:rPr/>
        <w:t>）其他长期职工福利的会计处理方法 其他长期职工福利是指除短期薪酬、离职后福利、辞退福利之外的其他所有职工福利。 对符合设定提存计划条件的其他长期职工福利，在职工为本公司提供服务的会计期间，</w:t>
      </w:r>
    </w:p>
    <w:p>
      <w:pPr>
        <w:pStyle w:val="BodyText"/>
        <w:spacing w:line="352" w:lineRule="auto" w:before="32"/>
        <w:ind w:right="1170"/>
        <w:jc w:val="both"/>
      </w:pPr>
      <w:r>
        <w:rPr/>
        <w:t>将应缴存金额确认为负债，并计入当期损益或相关资产成本；除上述情形外的其他长期职工 福利，在资产负债表日由企业人事部门使用预期累计福利单位法进行精算，将设定受益计划</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6" w:right="2353" w:hanging="483"/>
        <w:jc w:val="left"/>
        <w:rPr>
          <w:rFonts w:ascii="宋体" w:hAnsi="宋体" w:cs="宋体" w:eastAsia="宋体" w:hint="default"/>
        </w:rPr>
      </w:pPr>
      <w:r>
        <w:rPr/>
        <w:t>产生的福利义务归属于职工提供服务的期间，并计入当期损益或相关资产成本。 </w:t>
      </w:r>
      <w:r>
        <w:rPr>
          <w:rFonts w:ascii="宋体" w:hAnsi="宋体" w:cs="宋体" w:eastAsia="宋体" w:hint="default"/>
          <w:b/>
          <w:bCs/>
        </w:rPr>
        <w:t>19</w:t>
      </w:r>
      <w:r>
        <w:rPr>
          <w:rFonts w:ascii="宋体" w:hAnsi="宋体" w:cs="宋体" w:eastAsia="宋体" w:hint="default"/>
          <w:b/>
          <w:bCs/>
        </w:rPr>
        <w:t>、预计负债</w:t>
      </w:r>
      <w:r>
        <w:rPr>
          <w:rFonts w:ascii="宋体" w:hAnsi="宋体" w:cs="宋体" w:eastAsia="宋体" w:hint="default"/>
        </w:rPr>
      </w:r>
    </w:p>
    <w:p>
      <w:pPr>
        <w:pStyle w:val="BodyText"/>
        <w:spacing w:line="350" w:lineRule="auto"/>
        <w:ind w:left="633" w:right="2833" w:firstLine="1"/>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52" w:lineRule="auto" w:before="35"/>
        <w:ind w:left="633" w:right="1153"/>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）预计负债的计量方法</w:t>
      </w:r>
      <w:r>
        <w:rPr>
          <w:rFonts w:ascii="宋体" w:hAnsi="宋体" w:cs="宋体" w:eastAsia="宋体" w:hint="default"/>
          <w:b/>
          <w:bCs/>
          <w:w w:val="99"/>
        </w:rPr>
        <w:t> </w:t>
      </w:r>
      <w:r>
        <w:rPr/>
        <w:t>本公司预计负债按履行相关现时义务所需的支出的最佳估计数进行初始计量。 本公司在确定最佳估计数时，综合考虑与或有事项有关的风险、不确定性和货币时间价</w:t>
      </w:r>
    </w:p>
    <w:p>
      <w:pPr>
        <w:pStyle w:val="BodyText"/>
        <w:spacing w:line="352" w:lineRule="auto" w:before="32"/>
        <w:ind w:right="1153"/>
        <w:jc w:val="left"/>
      </w:pPr>
      <w:r>
        <w:rPr/>
        <w:t>值等因素。对于货币时间价值影响重大的，通过对相关未来现金流出进行折现后确定最佳估 计数。</w:t>
      </w:r>
    </w:p>
    <w:p>
      <w:pPr>
        <w:pStyle w:val="BodyText"/>
        <w:spacing w:line="350" w:lineRule="auto" w:before="32"/>
        <w:ind w:left="634" w:right="1152"/>
        <w:jc w:val="left"/>
      </w:pPr>
      <w:r>
        <w:rPr/>
        <w:t>最佳估计数分别以下情况处理： 所需支出存在一个连续范围（或区间），且该范围内各种结果发生的可能性相同的，则</w:t>
      </w:r>
    </w:p>
    <w:p>
      <w:pPr>
        <w:pStyle w:val="BodyText"/>
        <w:spacing w:line="350" w:lineRule="auto"/>
        <w:ind w:left="633" w:right="1153" w:hanging="480"/>
        <w:jc w:val="left"/>
      </w:pPr>
      <w:r>
        <w:rPr/>
        <w:t>最佳估计数按照该范围的中间值即上下限金额的平均数确定。 所需支出不存在一个连续范围（或区间），或虽然存在一个连续范围但该范围内各种结</w:t>
      </w:r>
    </w:p>
    <w:p>
      <w:pPr>
        <w:pStyle w:val="BodyText"/>
        <w:spacing w:line="352" w:lineRule="auto" w:before="35"/>
        <w:ind w:right="1153"/>
        <w:jc w:val="left"/>
      </w:pPr>
      <w:r>
        <w:rPr/>
        <w:t>果发生的可能性不相同的，如或有事项涉及单个项目的，则最佳估计数按照最可能发生金额 确定；如或有事项涉及多个项目的，则最佳估计数按各种可能结果及相关概率计算确定。</w:t>
      </w:r>
    </w:p>
    <w:p>
      <w:pPr>
        <w:pStyle w:val="BodyText"/>
        <w:spacing w:line="350" w:lineRule="auto" w:before="32"/>
        <w:ind w:right="1170" w:firstLine="480"/>
        <w:jc w:val="both"/>
      </w:pPr>
      <w:r>
        <w:rPr/>
        <w:t>本公司清偿预计负债所需支出全部或部分预期由第三方补偿的，补偿金额在基本确定能 够收到时，作为资产单独确认，确认的补偿金额不超过预计负债的账面价值。</w:t>
      </w:r>
    </w:p>
    <w:p>
      <w:pPr>
        <w:pStyle w:val="Heading2"/>
        <w:spacing w:line="350" w:lineRule="auto" w:before="36"/>
        <w:ind w:left="633" w:right="5233" w:firstLine="2"/>
        <w:jc w:val="left"/>
        <w:rPr>
          <w:b w:val="0"/>
          <w:bCs w:val="0"/>
        </w:rPr>
      </w:pPr>
      <w:r>
        <w:rPr>
          <w:rFonts w:ascii="宋体" w:hAnsi="宋体" w:cs="宋体" w:eastAsia="宋体" w:hint="default"/>
        </w:rPr>
        <w:t>20</w:t>
      </w:r>
      <w:r>
        <w:rPr/>
        <w:t>、收入</w:t>
      </w:r>
      <w:r>
        <w:rPr>
          <w:spacing w:val="1"/>
          <w:w w:val="99"/>
        </w:rPr>
        <w:t> </w:t>
      </w:r>
      <w:r>
        <w:rPr>
          <w:rFonts w:ascii="宋体" w:hAnsi="宋体" w:cs="宋体" w:eastAsia="宋体" w:hint="default"/>
          <w:w w:val="95"/>
        </w:rPr>
        <w:t>(1)</w:t>
      </w:r>
      <w:r>
        <w:rPr>
          <w:w w:val="95"/>
        </w:rPr>
        <w:t>销售商品收入确认时间的具体判断标准</w:t>
      </w:r>
      <w:r>
        <w:rPr>
          <w:b w:val="0"/>
          <w:bCs w:val="0"/>
        </w:rPr>
      </w:r>
    </w:p>
    <w:p>
      <w:pPr>
        <w:pStyle w:val="BodyText"/>
        <w:spacing w:line="350" w:lineRule="auto" w:before="35"/>
        <w:ind w:right="1170" w:firstLine="480"/>
        <w:jc w:val="both"/>
      </w:pPr>
      <w:r>
        <w:rPr/>
        <w:t>公司已将商品所有权上的主要风险和报酬转移给购买方；公司既没有保留与所有权相联 系的继续管理权，也没有对已售出的商品实施有效控制；收入的金额能够可靠地计量；相关 的经济利益很可能流入企业；相关的已发生或将发生的成本能够可靠地计量时，确认商品销 售收入实现。</w:t>
      </w:r>
    </w:p>
    <w:p>
      <w:pPr>
        <w:pStyle w:val="BodyText"/>
        <w:spacing w:line="352" w:lineRule="auto"/>
        <w:ind w:right="1169" w:firstLine="480"/>
        <w:jc w:val="both"/>
      </w:pPr>
      <w:r>
        <w:rPr/>
        <w:t>公司的主要产品为铁路通信信号和铁路运输调度指挥管理领域的软件和系统集成产品， 具体为：设备监测类产品：包括信号集中监测及子系统、融雪系统、信号维护支持系统、道 岔缺口监测、道岔综合监测、电务设备动态监测分析系统等；安防类产品：包括铁路防灾安 全监控系统、铁路综合视频监控系统、城轨综合监控系统、动力环境监控等；生产指挥及运</w:t>
      </w:r>
    </w:p>
    <w:p>
      <w:pPr>
        <w:spacing w:after="0" w:line="35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left="154" w:right="0"/>
        <w:jc w:val="left"/>
      </w:pPr>
      <w:r>
        <w:rPr>
          <w:spacing w:val="-3"/>
        </w:rPr>
        <w:t>输调度信息化类产品：包括电务生产指挥、铁路安全生产指挥综合系统等；信号控制类产品：</w:t>
      </w:r>
      <w:r>
        <w:rPr>
          <w:spacing w:val="-81"/>
        </w:rPr>
        <w:t> </w:t>
      </w:r>
      <w:r>
        <w:rPr>
          <w:spacing w:val="-81"/>
        </w:rPr>
      </w:r>
      <w:r>
        <w:rPr/>
        <w:t>包括无线调车机车信号和监控系统等；电源类设备产品：包括电源屏设备及子系统；信号设 备及器材产品：包括信号设备及器材、转辙机等。公司采取以销定产的经营模式，销售业务 主要通过参与客户招标取得。公司中标后，与客户洽谈合同的具体条款并最终签定合同。公 司产品定价主要依据铁道部的指导价，最终销售价格则由招标确定。其主要业务模式、结算</w:t>
      </w:r>
      <w:r>
        <w:rPr/>
        <w:t> 方式和收入确认方法具体如下：</w:t>
      </w:r>
    </w:p>
    <w:p>
      <w:pPr>
        <w:pStyle w:val="BodyText"/>
        <w:spacing w:line="350" w:lineRule="auto" w:before="32"/>
        <w:ind w:left="154" w:right="1152" w:firstLine="480"/>
        <w:jc w:val="left"/>
      </w:pPr>
      <w:r>
        <w:rPr/>
        <w:t>①对于不需要安装调试的铁路方面产品、电源维护测试产品和其它产品按普通商品销售 原则核算，于客户收到发出产品且公司取得收款的权利时确认收入。</w:t>
      </w:r>
    </w:p>
    <w:p>
      <w:pPr>
        <w:pStyle w:val="BodyText"/>
        <w:spacing w:line="350" w:lineRule="auto"/>
        <w:ind w:right="1153" w:firstLine="480"/>
        <w:jc w:val="left"/>
      </w:pPr>
      <w:r>
        <w:rPr/>
        <w:t>②对于铁路通信信号和铁路运输调度指挥管理领域的集成产品，公司销售环节和业务流 程主要为：签订销售合同－组织设计生产－产品发送到现场并经委托方验收－进行配线安装</w:t>
      </w:r>
    </w:p>
    <w:p>
      <w:pPr>
        <w:pStyle w:val="BodyText"/>
        <w:spacing w:line="352" w:lineRule="auto" w:before="35"/>
        <w:ind w:right="1169"/>
        <w:jc w:val="both"/>
      </w:pPr>
      <w:r>
        <w:rPr/>
        <w:t>－进行站机调试并经委托方验收合格。该类产品在同时具备以下条件时确认收入：①已与委 托方签订销售合同；②站机调试完成并经委托方验收合格；③销售发票已开具给委托方；④ 收到全部合同价款或已收到部分价款但已约定剩余款项的付款计划。</w:t>
      </w:r>
    </w:p>
    <w:p>
      <w:pPr>
        <w:pStyle w:val="BodyText"/>
        <w:spacing w:line="352" w:lineRule="auto" w:before="32"/>
        <w:ind w:right="1171" w:firstLine="480"/>
        <w:jc w:val="both"/>
      </w:pPr>
      <w:r>
        <w:rPr/>
        <w:t>③对于软件产品，如果属于集成产品的组成部分，软件产品随同集成产品确认收入；如 果属于客户单独购买的软件，于软件发出给客户经验收合格并取得收取货款的权利时确认收 入。</w:t>
      </w:r>
    </w:p>
    <w:p>
      <w:pPr>
        <w:pStyle w:val="BodyText"/>
        <w:spacing w:line="352" w:lineRule="auto" w:before="32"/>
        <w:ind w:left="154" w:right="1152" w:firstLine="480"/>
        <w:jc w:val="left"/>
      </w:pPr>
      <w:r>
        <w:rPr/>
        <w:t>合同或协议价款的收取采用递延方式，实质上具有融资性质的，按照应收的合同或协议 价款的公允价值确定销售商品收入金额。</w:t>
      </w:r>
    </w:p>
    <w:p>
      <w:pPr>
        <w:pStyle w:val="Heading2"/>
        <w:spacing w:line="240" w:lineRule="auto" w:before="32"/>
        <w:ind w:right="1153"/>
        <w:jc w:val="left"/>
        <w:rPr>
          <w:b w:val="0"/>
          <w:bCs w:val="0"/>
        </w:rPr>
      </w:pPr>
      <w:r>
        <w:rPr>
          <w:rFonts w:ascii="宋体" w:hAnsi="宋体" w:cs="宋体" w:eastAsia="宋体" w:hint="default"/>
        </w:rPr>
        <w:t>(2)</w:t>
      </w:r>
      <w:r>
        <w:rPr/>
        <w:t>确认让渡资产使用权收入的依据</w:t>
      </w:r>
      <w:r>
        <w:rPr>
          <w:b w:val="0"/>
          <w:bCs w:val="0"/>
        </w:rPr>
      </w:r>
    </w:p>
    <w:p>
      <w:pPr>
        <w:pStyle w:val="BodyText"/>
        <w:spacing w:line="352" w:lineRule="auto" w:before="145"/>
        <w:ind w:left="154" w:right="1152" w:firstLine="480"/>
        <w:jc w:val="left"/>
      </w:pPr>
      <w:r>
        <w:rPr/>
        <w:t>①与交易相关的经济利益很可能流入企业，收入的金额能够可靠地计量时，分别下列情 况确定让渡资产使用权收入金额：</w:t>
      </w:r>
    </w:p>
    <w:p>
      <w:pPr>
        <w:pStyle w:val="BodyText"/>
        <w:spacing w:line="240" w:lineRule="auto" w:before="32"/>
        <w:ind w:left="634" w:right="1153"/>
        <w:jc w:val="left"/>
      </w:pPr>
      <w:r>
        <w:rPr/>
        <w:t>②利息收入金额，按照他人使用本企业货币资金的时间和实际利率计算确定。</w:t>
      </w:r>
    </w:p>
    <w:p>
      <w:pPr>
        <w:pStyle w:val="BodyText"/>
        <w:spacing w:line="240" w:lineRule="auto" w:before="145"/>
        <w:ind w:left="634" w:right="1153"/>
        <w:jc w:val="left"/>
      </w:pPr>
      <w:r>
        <w:rPr/>
        <w:t>③使用费收入金额，按照有关合同或协议约定的收费时间和方法计算确定。</w:t>
      </w:r>
    </w:p>
    <w:p>
      <w:pPr>
        <w:spacing w:line="350" w:lineRule="auto" w:before="146"/>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）提供劳务收入的确认依据和方法</w:t>
      </w:r>
      <w:r>
        <w:rPr>
          <w:rFonts w:ascii="宋体" w:hAnsi="宋体" w:cs="宋体" w:eastAsia="宋体" w:hint="default"/>
          <w:b/>
          <w:bCs/>
          <w:w w:val="99"/>
          <w:sz w:val="24"/>
          <w:szCs w:val="24"/>
        </w:rPr>
        <w:t> </w:t>
      </w:r>
      <w:r>
        <w:rPr>
          <w:rFonts w:ascii="宋体" w:hAnsi="宋体" w:cs="宋体" w:eastAsia="宋体" w:hint="default"/>
          <w:sz w:val="24"/>
          <w:szCs w:val="24"/>
        </w:rPr>
        <w:t>在资产负债表日提供劳务交易的结果能够可靠估计的，采用完工百分比法确认提供劳务</w:t>
      </w:r>
    </w:p>
    <w:p>
      <w:pPr>
        <w:pStyle w:val="BodyText"/>
        <w:spacing w:line="352" w:lineRule="auto" w:before="35"/>
        <w:ind w:left="634" w:right="3792" w:hanging="480"/>
        <w:jc w:val="left"/>
      </w:pPr>
      <w:r>
        <w:rPr/>
        <w:t>收入。提供劳务交易的完工进度，依据已完工作的测量确定。 提供劳务交易的结果能够可靠估计，是指同时满足下列条件：</w:t>
      </w:r>
    </w:p>
    <w:p>
      <w:pPr>
        <w:pStyle w:val="BodyText"/>
        <w:spacing w:line="240" w:lineRule="auto" w:before="33"/>
        <w:ind w:left="634" w:right="1153"/>
        <w:jc w:val="left"/>
      </w:pPr>
      <w:r>
        <w:rPr/>
        <w:t>①收入的金额能够可靠地计量；</w:t>
      </w:r>
    </w:p>
    <w:p>
      <w:pPr>
        <w:pStyle w:val="BodyText"/>
        <w:spacing w:line="240" w:lineRule="auto" w:before="145"/>
        <w:ind w:left="634" w:right="1153"/>
        <w:jc w:val="left"/>
      </w:pPr>
      <w:r>
        <w:rPr/>
        <w:t>②相关的经济利益很可能流入企业；</w:t>
      </w:r>
    </w:p>
    <w:p>
      <w:pPr>
        <w:pStyle w:val="BodyText"/>
        <w:spacing w:line="240" w:lineRule="auto" w:before="146"/>
        <w:ind w:left="634" w:right="1153"/>
        <w:jc w:val="left"/>
      </w:pPr>
      <w:r>
        <w:rPr/>
        <w:t>③交易的完工进度能够可靠地确定；</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633" w:right="1153"/>
        <w:jc w:val="left"/>
      </w:pPr>
      <w:r>
        <w:rPr/>
        <w:t>④交易中已发生和将发生的成本能够可靠地计量。 按照已收或应收的合同或协议价款确定提供劳务收入总额，但已收或应收的合同或协议</w:t>
      </w:r>
    </w:p>
    <w:p>
      <w:pPr>
        <w:pStyle w:val="BodyText"/>
        <w:spacing w:line="350" w:lineRule="auto"/>
        <w:ind w:right="1170"/>
        <w:jc w:val="both"/>
      </w:pPr>
      <w:r>
        <w:rPr/>
        <w:t>价款不公允的除外。资产负债表日按照提供劳务收入总额乘以完工进度扣除以前会计期间累 计已确认提供劳务收入后的金额，确认当期提供劳务收入；同时，按照提供劳务估计总成本 乘以完工进度扣除以前会计期间累计已确认劳务成本后的金额，结转当期劳务成本。</w:t>
      </w:r>
    </w:p>
    <w:p>
      <w:pPr>
        <w:pStyle w:val="BodyText"/>
        <w:spacing w:line="240" w:lineRule="auto"/>
        <w:ind w:left="633" w:right="1153"/>
        <w:jc w:val="left"/>
      </w:pPr>
      <w:r>
        <w:rPr/>
        <w:t>在资产负债表日提供劳务交易结果不能够可靠估计的，分别下列情况处理：</w:t>
      </w:r>
    </w:p>
    <w:p>
      <w:pPr>
        <w:pStyle w:val="BodyText"/>
        <w:spacing w:line="350" w:lineRule="auto" w:before="145"/>
        <w:ind w:right="1171" w:firstLine="480"/>
        <w:jc w:val="both"/>
      </w:pPr>
      <w:r>
        <w:rPr/>
        <w:t>①已经发生的劳务成本预计能够得到补偿的，按照已经发生的劳务成本金额确认提供劳 务收入，并按相同金额结转劳务成本。</w:t>
      </w:r>
    </w:p>
    <w:p>
      <w:pPr>
        <w:pStyle w:val="BodyText"/>
        <w:spacing w:line="350" w:lineRule="auto"/>
        <w:ind w:right="1171" w:firstLine="480"/>
        <w:jc w:val="both"/>
      </w:pPr>
      <w:r>
        <w:rPr/>
        <w:t>②已经发生的劳务成本预计不能够得到补偿的，将已经发生的劳务成本计入当期损益， 不确认提供劳务收入。</w:t>
      </w:r>
    </w:p>
    <w:p>
      <w:pPr>
        <w:pStyle w:val="BodyText"/>
        <w:spacing w:line="350" w:lineRule="auto" w:before="35"/>
        <w:ind w:right="1169" w:firstLine="480"/>
        <w:jc w:val="both"/>
      </w:pPr>
      <w:r>
        <w:rPr/>
        <w:t>公司与其他企业签订的合同或协议包括销售商品和提供劳务时，销售商品部分和提供劳 务部分能够区分且能够单独计量的，将销售商品的部分作为销售商品处理，将提供劳务的部 分作为提供劳务处理。销售商品部分和提供劳务部分不能够区分，或虽能区分但不能够单独 计量的，将销售商品部分和提供劳务部分全部作为销售商品处理。</w:t>
      </w:r>
    </w:p>
    <w:p>
      <w:pPr>
        <w:pStyle w:val="Heading2"/>
        <w:spacing w:line="240" w:lineRule="auto" w:before="36"/>
        <w:ind w:right="1153"/>
        <w:jc w:val="left"/>
        <w:rPr>
          <w:b w:val="0"/>
          <w:bCs w:val="0"/>
        </w:rPr>
      </w:pPr>
      <w:r>
        <w:rPr>
          <w:rFonts w:ascii="宋体" w:hAnsi="宋体" w:cs="宋体" w:eastAsia="宋体" w:hint="default"/>
        </w:rPr>
        <w:t>21</w:t>
      </w:r>
      <w:r>
        <w:rPr/>
        <w:t>、政府补助</w:t>
      </w:r>
      <w:r>
        <w:rPr>
          <w:b w:val="0"/>
          <w:bCs w:val="0"/>
        </w:rPr>
      </w:r>
    </w:p>
    <w:p>
      <w:pPr>
        <w:pStyle w:val="Heading2"/>
        <w:spacing w:line="240" w:lineRule="auto" w:before="146"/>
        <w:ind w:right="1153"/>
        <w:jc w:val="left"/>
        <w:rPr>
          <w:b w:val="0"/>
          <w:bCs w:val="0"/>
        </w:rPr>
      </w:pPr>
      <w:r>
        <w:rPr/>
        <w:t>（</w:t>
      </w:r>
      <w:r>
        <w:rPr>
          <w:rFonts w:ascii="宋体" w:hAnsi="宋体" w:cs="宋体" w:eastAsia="宋体" w:hint="default"/>
        </w:rPr>
        <w:t>1</w:t>
      </w:r>
      <w:r>
        <w:rPr/>
        <w:t>）与资产相关的政府补助判断依据及会计处理方法</w:t>
      </w:r>
      <w:r>
        <w:rPr>
          <w:b w:val="0"/>
          <w:bCs w:val="0"/>
        </w:rPr>
      </w:r>
    </w:p>
    <w:p>
      <w:pPr>
        <w:pStyle w:val="BodyText"/>
        <w:spacing w:line="352" w:lineRule="auto" w:before="145"/>
        <w:ind w:left="633" w:right="1153"/>
        <w:jc w:val="left"/>
      </w:pPr>
      <w:r>
        <w:rPr/>
        <w:t>①类型 政府补助，是本公司从政府无偿取得的货币性资产与非货币性资产，但不包括政府作为</w:t>
      </w:r>
    </w:p>
    <w:p>
      <w:pPr>
        <w:pStyle w:val="BodyText"/>
        <w:spacing w:line="350" w:lineRule="auto" w:before="32"/>
        <w:ind w:right="1170"/>
        <w:jc w:val="both"/>
      </w:pPr>
      <w:r>
        <w:rPr/>
        <w:t>企业所有者投入的资本。根据相关政府文件规定的补助对象，将政府补助划分为与资产相关 的政府补助和与收益相关的政府补助。</w:t>
      </w:r>
    </w:p>
    <w:p>
      <w:pPr>
        <w:pStyle w:val="BodyText"/>
        <w:spacing w:line="350" w:lineRule="auto"/>
        <w:ind w:left="154" w:right="1169" w:firstLine="480"/>
        <w:jc w:val="both"/>
      </w:pPr>
      <w:r>
        <w:rPr/>
        <w:t>与资产相关的政府补助，是指本公司取得的、用于购建或以其他方式形成长期资产的政 府补助。</w:t>
      </w:r>
    </w:p>
    <w:p>
      <w:pPr>
        <w:pStyle w:val="BodyText"/>
        <w:spacing w:line="352" w:lineRule="auto" w:before="35"/>
        <w:ind w:left="634" w:right="1152"/>
        <w:jc w:val="left"/>
      </w:pPr>
      <w:r>
        <w:rPr/>
        <w:t>②政府补助的确认 对期末有证据表明公司能够符合财政扶持政策规定的相关条件且预计能够收到财政扶持</w:t>
      </w:r>
    </w:p>
    <w:p>
      <w:pPr>
        <w:pStyle w:val="BodyText"/>
        <w:spacing w:line="350" w:lineRule="auto" w:before="32"/>
        <w:ind w:left="633" w:right="1153" w:hanging="480"/>
        <w:jc w:val="left"/>
      </w:pPr>
      <w:r>
        <w:rPr/>
        <w:t>资金的，按应收金额确认政府补助。除此之外，政府补助均在实际收到时确认。 政府补助为货币性资产的，按照收到或应收的金额计量。政府补助为非货币性资产的，</w:t>
      </w:r>
    </w:p>
    <w:p>
      <w:pPr>
        <w:pStyle w:val="BodyText"/>
        <w:spacing w:line="350" w:lineRule="auto"/>
        <w:ind w:right="1132"/>
        <w:jc w:val="both"/>
      </w:pPr>
      <w:r>
        <w:rPr>
          <w:spacing w:val="-3"/>
        </w:rPr>
        <w:t>按照公允价值计量；公允价值不能够可靠取得的，按照名义金额（人民币</w:t>
      </w:r>
      <w:r>
        <w:rPr>
          <w:rFonts w:ascii="宋体" w:hAnsi="宋体" w:cs="宋体" w:eastAsia="宋体" w:hint="default"/>
          <w:spacing w:val="-3"/>
        </w:rPr>
        <w:t>1</w:t>
      </w:r>
      <w:r>
        <w:rPr>
          <w:spacing w:val="-3"/>
        </w:rPr>
        <w:t>元）计量。按照名</w:t>
      </w:r>
      <w:r>
        <w:rPr>
          <w:spacing w:val="-81"/>
        </w:rPr>
        <w:t> </w:t>
      </w:r>
      <w:r>
        <w:rPr>
          <w:spacing w:val="-81"/>
        </w:rPr>
      </w:r>
      <w:r>
        <w:rPr/>
        <w:t>义金额计量的政府补助，直接计入当期损益。</w:t>
      </w:r>
    </w:p>
    <w:p>
      <w:pPr>
        <w:pStyle w:val="BodyText"/>
        <w:spacing w:line="352" w:lineRule="auto" w:before="35"/>
        <w:ind w:left="634" w:right="1152"/>
        <w:jc w:val="left"/>
      </w:pPr>
      <w:r>
        <w:rPr/>
        <w:t>③会计处理方法 与资产相关的政府补助，确认为递延收益，按照所建造或购买的资产使用年限分期计入</w:t>
      </w:r>
    </w:p>
    <w:p>
      <w:pPr>
        <w:spacing w:after="0" w:line="35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9"/>
        <w:ind w:left="154" w:right="0"/>
        <w:jc w:val="both"/>
      </w:pPr>
      <w:r>
        <w:rPr/>
        <w:t>营业外收入。</w:t>
      </w:r>
    </w:p>
    <w:p>
      <w:pPr>
        <w:spacing w:line="352" w:lineRule="auto" w:before="145"/>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）与收益相关的政府补助判断依据及会计处理方法</w:t>
      </w:r>
      <w:r>
        <w:rPr>
          <w:rFonts w:ascii="宋体" w:hAnsi="宋体" w:cs="宋体" w:eastAsia="宋体" w:hint="default"/>
          <w:b/>
          <w:bCs/>
          <w:w w:val="99"/>
          <w:sz w:val="24"/>
          <w:szCs w:val="24"/>
        </w:rPr>
        <w:t> </w:t>
      </w:r>
      <w:r>
        <w:rPr>
          <w:rFonts w:ascii="宋体" w:hAnsi="宋体" w:cs="宋体" w:eastAsia="宋体" w:hint="default"/>
          <w:sz w:val="24"/>
          <w:szCs w:val="24"/>
        </w:rPr>
        <w:t>与收益相关的政府补助，是指除与资产相关的政府补助之外的政府补助。 </w:t>
      </w:r>
      <w:r>
        <w:rPr>
          <w:rFonts w:ascii="宋体" w:hAnsi="宋体" w:cs="宋体" w:eastAsia="宋体" w:hint="default"/>
          <w:spacing w:val="-3"/>
          <w:sz w:val="24"/>
          <w:szCs w:val="24"/>
        </w:rPr>
        <w:t>与收益相关的政府补助，用于补偿企业以后期间的相关费用或损失的，确认为递延收益，</w:t>
      </w:r>
    </w:p>
    <w:p>
      <w:pPr>
        <w:pStyle w:val="BodyText"/>
        <w:spacing w:line="352" w:lineRule="auto" w:before="32"/>
        <w:ind w:left="154" w:right="1170"/>
        <w:jc w:val="both"/>
      </w:pPr>
      <w:r>
        <w:rPr/>
        <w:t>在确认相关费用的期间计入当期营业外收入；用于补偿企业已发生的相关费用或损失的，取 得时直接计入当期营业外收入。</w:t>
      </w:r>
    </w:p>
    <w:p>
      <w:pPr>
        <w:pStyle w:val="BodyText"/>
        <w:spacing w:line="350" w:lineRule="auto" w:before="32"/>
        <w:ind w:left="154" w:right="0" w:firstLine="480"/>
        <w:jc w:val="left"/>
      </w:pPr>
      <w:r>
        <w:rPr>
          <w:spacing w:val="-3"/>
        </w:rPr>
        <w:t>已确认的政府补助需要返还时，存在相关递延收益余额的，冲减相关递延收益账面余额，</w:t>
      </w:r>
      <w:r>
        <w:rPr/>
        <w:t> 超出部分计入当期损益；不存在相关递延收益的，直接计入当期损益。</w:t>
      </w:r>
    </w:p>
    <w:p>
      <w:pPr>
        <w:spacing w:line="350" w:lineRule="auto" w:before="36"/>
        <w:ind w:left="634" w:right="1272" w:firstLine="2"/>
        <w:jc w:val="left"/>
        <w:rPr>
          <w:rFonts w:ascii="宋体" w:hAnsi="宋体" w:cs="宋体" w:eastAsia="宋体" w:hint="default"/>
          <w:sz w:val="24"/>
          <w:szCs w:val="24"/>
        </w:rPr>
      </w:pPr>
      <w:r>
        <w:rPr>
          <w:rFonts w:ascii="宋体" w:hAnsi="宋体" w:cs="宋体" w:eastAsia="宋体" w:hint="default"/>
          <w:b/>
          <w:bCs/>
          <w:sz w:val="24"/>
          <w:szCs w:val="24"/>
        </w:rPr>
        <w:t>22</w:t>
      </w:r>
      <w:r>
        <w:rPr>
          <w:rFonts w:ascii="宋体" w:hAnsi="宋体" w:cs="宋体" w:eastAsia="宋体" w:hint="default"/>
          <w:b/>
          <w:bCs/>
          <w:sz w:val="24"/>
          <w:szCs w:val="24"/>
        </w:rPr>
        <w:t>、递延所得税资产</w:t>
      </w:r>
      <w:r>
        <w:rPr>
          <w:rFonts w:ascii="宋体" w:hAnsi="宋体" w:cs="宋体" w:eastAsia="宋体" w:hint="default"/>
          <w:b/>
          <w:bCs/>
          <w:sz w:val="24"/>
          <w:szCs w:val="24"/>
        </w:rPr>
        <w:t>/</w:t>
      </w:r>
      <w:r>
        <w:rPr>
          <w:rFonts w:ascii="宋体" w:hAnsi="宋体" w:cs="宋体" w:eastAsia="宋体" w:hint="default"/>
          <w:b/>
          <w:bCs/>
          <w:sz w:val="24"/>
          <w:szCs w:val="24"/>
        </w:rPr>
        <w:t>递延所得税负债</w:t>
      </w:r>
      <w:r>
        <w:rPr>
          <w:rFonts w:ascii="宋体" w:hAnsi="宋体" w:cs="宋体" w:eastAsia="宋体" w:hint="default"/>
          <w:b/>
          <w:bCs/>
          <w:w w:val="99"/>
          <w:sz w:val="24"/>
          <w:szCs w:val="24"/>
        </w:rPr>
        <w:t> </w:t>
      </w:r>
      <w:r>
        <w:rPr>
          <w:rFonts w:ascii="宋体" w:hAnsi="宋体" w:cs="宋体" w:eastAsia="宋体" w:hint="default"/>
          <w:sz w:val="24"/>
          <w:szCs w:val="24"/>
        </w:rPr>
        <w:t>递延所得税资产和递延所得税负债根据资产和负债的计税基础与其账面价值的差额</w:t>
      </w:r>
      <w:r>
        <w:rPr>
          <w:rFonts w:ascii="宋体" w:hAnsi="宋体" w:cs="宋体" w:eastAsia="宋体" w:hint="default"/>
          <w:sz w:val="24"/>
          <w:szCs w:val="24"/>
        </w:rPr>
        <w:t>(</w:t>
      </w:r>
      <w:r>
        <w:rPr>
          <w:rFonts w:ascii="宋体" w:hAnsi="宋体" w:cs="宋体" w:eastAsia="宋体" w:hint="default"/>
          <w:sz w:val="24"/>
          <w:szCs w:val="24"/>
        </w:rPr>
        <w:t>暂</w:t>
      </w:r>
    </w:p>
    <w:p>
      <w:pPr>
        <w:pStyle w:val="BodyText"/>
        <w:spacing w:line="352" w:lineRule="auto" w:before="35"/>
        <w:ind w:right="1132"/>
        <w:jc w:val="both"/>
      </w:pPr>
      <w:r>
        <w:rPr>
          <w:spacing w:val="-3"/>
        </w:rPr>
        <w:t>时性差异</w:t>
      </w:r>
      <w:r>
        <w:rPr>
          <w:rFonts w:ascii="宋体" w:hAnsi="宋体" w:cs="宋体" w:eastAsia="宋体" w:hint="default"/>
          <w:spacing w:val="-3"/>
        </w:rPr>
        <w:t>)</w:t>
      </w:r>
      <w:r>
        <w:rPr>
          <w:spacing w:val="-3"/>
        </w:rPr>
        <w:t>计算确认。于资产负债表日，递延所得税资产和递延所得税负债，按照预期收回该</w:t>
      </w:r>
      <w:r>
        <w:rPr>
          <w:spacing w:val="-81"/>
        </w:rPr>
        <w:t> </w:t>
      </w:r>
      <w:r>
        <w:rPr>
          <w:spacing w:val="-81"/>
        </w:rPr>
      </w:r>
      <w:r>
        <w:rPr/>
        <w:t>资产或清偿该负债期间的适用税率计量。</w:t>
      </w:r>
    </w:p>
    <w:p>
      <w:pPr>
        <w:spacing w:line="350" w:lineRule="auto" w:before="32"/>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）确认递延所得税资产的依据</w:t>
      </w:r>
      <w:r>
        <w:rPr>
          <w:rFonts w:ascii="宋体" w:hAnsi="宋体" w:cs="宋体" w:eastAsia="宋体" w:hint="default"/>
          <w:b/>
          <w:bCs/>
          <w:w w:val="99"/>
          <w:sz w:val="24"/>
          <w:szCs w:val="24"/>
        </w:rPr>
        <w:t> </w:t>
      </w:r>
      <w:r>
        <w:rPr>
          <w:rFonts w:ascii="宋体" w:hAnsi="宋体" w:cs="宋体" w:eastAsia="宋体" w:hint="default"/>
          <w:sz w:val="24"/>
          <w:szCs w:val="24"/>
        </w:rPr>
        <w:t>本公司以很可能取得用来抵扣可抵扣暂时性差异、能够结转以后年度的可抵扣亏损和税</w:t>
      </w:r>
    </w:p>
    <w:p>
      <w:pPr>
        <w:pStyle w:val="BodyText"/>
        <w:spacing w:line="350" w:lineRule="auto"/>
        <w:ind w:right="1169"/>
        <w:jc w:val="both"/>
      </w:pPr>
      <w:r>
        <w:rPr/>
        <w:t>款抵减的应纳税所得额为限，确认由可抵扣暂时性差异产生的递延所得税资产。但是，同时 具有下列特征的交易中因资产或负债的初始确认所产生的递延所得税资产不予确认：</w:t>
      </w:r>
      <w:r>
        <w:rPr>
          <w:rFonts w:ascii="宋体" w:hAnsi="宋体" w:cs="宋体" w:eastAsia="宋体" w:hint="default"/>
        </w:rPr>
        <w:t>a </w:t>
      </w:r>
      <w:r>
        <w:rPr/>
        <w:t>该交 易不是企业合并；</w:t>
      </w:r>
      <w:r>
        <w:rPr>
          <w:rFonts w:ascii="宋体" w:hAnsi="宋体" w:cs="宋体" w:eastAsia="宋体" w:hint="default"/>
        </w:rPr>
        <w:t>b </w:t>
      </w:r>
      <w:r>
        <w:rPr/>
        <w:t>交易发生时既不影响会计利润也不影响应纳税所得额或可抵扣亏损。</w:t>
      </w:r>
    </w:p>
    <w:p>
      <w:pPr>
        <w:pStyle w:val="BodyText"/>
        <w:spacing w:line="350" w:lineRule="auto"/>
        <w:ind w:right="1170" w:firstLine="480"/>
        <w:jc w:val="both"/>
      </w:pPr>
      <w:r>
        <w:rPr/>
        <w:t>对于与联营企业投资相关的可抵扣暂时性差异，同时满足下列条件的，确认相应的递延 所得税资产：暂时性差异在可预见的未来很可能转回，且未来很可能获得用来抵扣可抵扣暂 时性差异的应纳税所得额。</w:t>
      </w:r>
    </w:p>
    <w:p>
      <w:pPr>
        <w:spacing w:line="350" w:lineRule="auto" w:before="36"/>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确认递延所得税负债的依据</w:t>
      </w:r>
      <w:r>
        <w:rPr>
          <w:rFonts w:ascii="宋体" w:hAnsi="宋体" w:cs="宋体" w:eastAsia="宋体" w:hint="default"/>
          <w:b/>
          <w:bCs/>
          <w:w w:val="99"/>
          <w:sz w:val="24"/>
          <w:szCs w:val="24"/>
        </w:rPr>
        <w:t> </w:t>
      </w:r>
      <w:r>
        <w:rPr>
          <w:rFonts w:ascii="宋体" w:hAnsi="宋体" w:cs="宋体" w:eastAsia="宋体" w:hint="default"/>
          <w:spacing w:val="-3"/>
          <w:sz w:val="24"/>
          <w:szCs w:val="24"/>
        </w:rPr>
        <w:t>公司将当期与以前期间应交未交的应纳税暂时性差异确认为递延所得税负债。但不包括：</w:t>
      </w:r>
    </w:p>
    <w:p>
      <w:pPr>
        <w:pStyle w:val="BodyText"/>
        <w:spacing w:line="240" w:lineRule="auto" w:before="35"/>
        <w:ind w:left="634" w:right="1153"/>
        <w:jc w:val="left"/>
      </w:pPr>
      <w:r>
        <w:rPr/>
        <w:t>①商誉的初始确认所形成的暂时性差异；</w:t>
      </w:r>
    </w:p>
    <w:p>
      <w:pPr>
        <w:pStyle w:val="BodyText"/>
        <w:spacing w:line="350" w:lineRule="auto" w:before="146"/>
        <w:ind w:left="154" w:right="1169" w:firstLine="480"/>
        <w:jc w:val="both"/>
      </w:pPr>
      <w:r>
        <w:rPr/>
        <w:t>②非企业合并形成的交易或事项，且该交易或事项发生时既不影响会计利润，也不影响 应纳税所得额（或可抵扣亏损）所形成的暂时性差异；</w:t>
      </w:r>
    </w:p>
    <w:p>
      <w:pPr>
        <w:pStyle w:val="BodyText"/>
        <w:spacing w:line="352" w:lineRule="auto" w:before="35"/>
        <w:ind w:left="154" w:right="1171" w:firstLine="480"/>
        <w:jc w:val="both"/>
      </w:pPr>
      <w:r>
        <w:rPr/>
        <w:t>③对于与子公司、联营企业投资相关的应纳税暂时性差异，该暂时性差异转回的时间能 够控制并且该暂时性差异在可预见的未来很可能不会转回。</w:t>
      </w:r>
    </w:p>
    <w:p>
      <w:pPr>
        <w:spacing w:line="350" w:lineRule="auto" w:before="33"/>
        <w:ind w:left="634" w:right="6192" w:firstLine="2"/>
        <w:jc w:val="left"/>
        <w:rPr>
          <w:rFonts w:ascii="宋体" w:hAnsi="宋体" w:cs="宋体" w:eastAsia="宋体" w:hint="default"/>
          <w:sz w:val="24"/>
          <w:szCs w:val="24"/>
        </w:rPr>
      </w:pPr>
      <w:r>
        <w:rPr>
          <w:rFonts w:ascii="宋体" w:hAnsi="宋体" w:cs="宋体" w:eastAsia="宋体" w:hint="default"/>
          <w:b/>
          <w:bCs/>
          <w:sz w:val="24"/>
          <w:szCs w:val="24"/>
        </w:rPr>
        <w:t>23</w:t>
      </w:r>
      <w:r>
        <w:rPr>
          <w:rFonts w:ascii="宋体" w:hAnsi="宋体" w:cs="宋体" w:eastAsia="宋体" w:hint="default"/>
          <w:b/>
          <w:bCs/>
          <w:sz w:val="24"/>
          <w:szCs w:val="24"/>
        </w:rPr>
        <w:t>、其他重要的会计政策和会计估计</w:t>
      </w:r>
      <w:r>
        <w:rPr>
          <w:rFonts w:ascii="宋体" w:hAnsi="宋体" w:cs="宋体" w:eastAsia="宋体" w:hint="default"/>
          <w:b/>
          <w:bCs/>
          <w:w w:val="99"/>
          <w:sz w:val="24"/>
          <w:szCs w:val="24"/>
        </w:rPr>
        <w:t> </w:t>
      </w:r>
      <w:r>
        <w:rPr>
          <w:rFonts w:ascii="宋体" w:hAnsi="宋体" w:cs="宋体" w:eastAsia="宋体" w:hint="default"/>
          <w:sz w:val="24"/>
          <w:szCs w:val="24"/>
        </w:rPr>
        <w:t>本年重要会计政策、会计估计未变更。</w:t>
      </w:r>
    </w:p>
    <w:p>
      <w:pPr>
        <w:spacing w:after="0" w:line="350"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1153"/>
        <w:jc w:val="left"/>
        <w:rPr>
          <w:b w:val="0"/>
          <w:bCs w:val="0"/>
        </w:rPr>
      </w:pPr>
      <w:r>
        <w:rPr/>
        <w:t>六、税项</w:t>
      </w:r>
      <w:r>
        <w:rPr>
          <w:b w:val="0"/>
          <w:bCs w:val="0"/>
        </w:rPr>
      </w:r>
    </w:p>
    <w:p>
      <w:pPr>
        <w:pStyle w:val="Heading2"/>
        <w:spacing w:line="240" w:lineRule="auto" w:before="145"/>
        <w:ind w:right="115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
        <w:rPr>
          <w:rFonts w:ascii="宋体" w:hAnsi="宋体" w:cs="宋体" w:eastAsia="宋体" w:hint="default"/>
          <w:b/>
          <w:bCs/>
          <w:sz w:val="3"/>
          <w:szCs w:val="3"/>
        </w:rPr>
      </w:pPr>
    </w:p>
    <w:tbl>
      <w:tblPr>
        <w:tblW w:w="0" w:type="auto"/>
        <w:jc w:val="left"/>
        <w:tblInd w:w="160" w:type="dxa"/>
        <w:tblLayout w:type="fixed"/>
        <w:tblCellMar>
          <w:top w:w="0" w:type="dxa"/>
          <w:left w:w="0" w:type="dxa"/>
          <w:bottom w:w="0" w:type="dxa"/>
          <w:right w:w="0" w:type="dxa"/>
        </w:tblCellMar>
        <w:tblLook w:val="01E0"/>
      </w:tblPr>
      <w:tblGrid>
        <w:gridCol w:w="3167"/>
        <w:gridCol w:w="3768"/>
        <w:gridCol w:w="2624"/>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w:t>
            </w:r>
          </w:p>
        </w:tc>
      </w:tr>
      <w:tr>
        <w:trPr>
          <w:trHeight w:val="161"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8" w:type="dxa"/>
            <w:vMerge w:val="restart"/>
            <w:tcBorders>
              <w:top w:val="single" w:sz="4" w:space="0" w:color="000000"/>
              <w:left w:val="single" w:sz="9" w:space="0" w:color="D2D2D2"/>
              <w:right w:val="single" w:sz="4" w:space="0" w:color="000000"/>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pacing w:val="-5"/>
                <w:sz w:val="21"/>
                <w:szCs w:val="21"/>
              </w:rPr>
              <w:t>销售货物、应税劳务收入和应税服务收入</w:t>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（营改增试点地区适用应税劳务收入）</w:t>
            </w:r>
          </w:p>
        </w:tc>
        <w:tc>
          <w:tcPr>
            <w:tcW w:w="2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和</w:t>
            </w:r>
            <w:r>
              <w:rPr>
                <w:rFonts w:ascii="宋体" w:hAnsi="宋体" w:cs="宋体" w:eastAsia="宋体" w:hint="default"/>
                <w:spacing w:val="-53"/>
                <w:sz w:val="21"/>
                <w:szCs w:val="21"/>
              </w:rPr>
              <w:t> </w:t>
            </w:r>
            <w:r>
              <w:rPr>
                <w:rFonts w:ascii="宋体" w:hAnsi="宋体" w:cs="宋体" w:eastAsia="宋体" w:hint="default"/>
                <w:sz w:val="21"/>
                <w:szCs w:val="21"/>
              </w:rPr>
              <w:t>6</w:t>
            </w:r>
          </w:p>
        </w:tc>
      </w:tr>
      <w:tr>
        <w:trPr>
          <w:trHeight w:val="392"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768" w:type="dxa"/>
            <w:vMerge/>
            <w:tcBorders>
              <w:left w:val="single" w:sz="9" w:space="0" w:color="D2D2D2"/>
              <w:right w:val="single" w:sz="4" w:space="0" w:color="000000"/>
            </w:tcBorders>
          </w:tcPr>
          <w:p>
            <w:pPr/>
          </w:p>
        </w:tc>
        <w:tc>
          <w:tcPr>
            <w:tcW w:w="2624"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768" w:type="dxa"/>
            <w:vMerge/>
            <w:tcBorders>
              <w:left w:val="single" w:sz="9" w:space="0" w:color="D2D2D2"/>
              <w:bottom w:val="single" w:sz="4" w:space="0" w:color="000000"/>
              <w:right w:val="single" w:sz="4" w:space="0" w:color="000000"/>
            </w:tcBorders>
          </w:tcPr>
          <w:p>
            <w:pPr/>
          </w:p>
        </w:tc>
        <w:tc>
          <w:tcPr>
            <w:tcW w:w="2624"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7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sz w:val="21"/>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7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参见下表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7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sz w:val="21"/>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7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sz w:val="21"/>
              </w:rPr>
              <w:t>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7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按照房产原值的</w:t>
            </w:r>
            <w:r>
              <w:rPr>
                <w:rFonts w:ascii="宋体" w:hAnsi="宋体" w:cs="宋体" w:eastAsia="宋体" w:hint="default"/>
                <w:spacing w:val="-54"/>
                <w:sz w:val="21"/>
                <w:szCs w:val="21"/>
              </w:rPr>
              <w:t> </w:t>
            </w:r>
            <w:r>
              <w:rPr>
                <w:rFonts w:ascii="宋体" w:hAnsi="宋体" w:cs="宋体" w:eastAsia="宋体" w:hint="default"/>
                <w:sz w:val="21"/>
                <w:szCs w:val="21"/>
              </w:rPr>
              <w:t>70%</w:t>
            </w:r>
            <w:r>
              <w:rPr>
                <w:rFonts w:ascii="宋体" w:hAnsi="宋体" w:cs="宋体" w:eastAsia="宋体" w:hint="default"/>
                <w:sz w:val="21"/>
                <w:szCs w:val="21"/>
              </w:rPr>
              <w:t>为纳税基准</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1.2</w:t>
            </w:r>
          </w:p>
        </w:tc>
      </w:tr>
    </w:tbl>
    <w:p>
      <w:pPr>
        <w:spacing w:line="240" w:lineRule="auto" w:before="10"/>
        <w:rPr>
          <w:rFonts w:ascii="宋体" w:hAnsi="宋体" w:cs="宋体" w:eastAsia="宋体" w:hint="default"/>
          <w:b/>
          <w:bCs/>
          <w:sz w:val="4"/>
          <w:szCs w:val="4"/>
        </w:rPr>
      </w:pPr>
    </w:p>
    <w:p>
      <w:pPr>
        <w:pStyle w:val="BodyText"/>
        <w:spacing w:line="240" w:lineRule="auto" w:before="26"/>
        <w:ind w:left="634" w:right="1153"/>
        <w:jc w:val="left"/>
      </w:pPr>
      <w:r>
        <w:rPr/>
        <w:t>存在不同企业所得税税率纳税主体的，披露情况说明</w:t>
      </w:r>
    </w:p>
    <w:p>
      <w:pPr>
        <w:spacing w:line="240" w:lineRule="auto" w:before="6"/>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5388"/>
        <w:gridCol w:w="4181"/>
      </w:tblGrid>
      <w:tr>
        <w:trPr>
          <w:trHeight w:val="401"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15</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河南辉煌软件有限公司（简称：辉煌软件）</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15</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河南辉煌信通软件有限公司（简称：辉煌信通软件）</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25</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北京全路信通软件科技有限公司（简称：全路信通软件）</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两免三减半</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北京国铁路阳技术有限公司（简称：国铁路阳）</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15</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天津信通铁路电气技术有限公司（简称：天津信通）</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20</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北京国铁路阳软件有限公司（简称：路阳软件）</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两免三减半</w:t>
            </w:r>
          </w:p>
        </w:tc>
      </w:tr>
      <w:tr>
        <w:trPr>
          <w:trHeight w:val="403"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天津辉煌路阳科技有限公司（简称：辉煌路阳）</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25</w:t>
            </w:r>
          </w:p>
        </w:tc>
      </w:tr>
    </w:tbl>
    <w:p>
      <w:pPr>
        <w:spacing w:line="240" w:lineRule="auto" w:before="10"/>
        <w:rPr>
          <w:rFonts w:ascii="宋体" w:hAnsi="宋体" w:cs="宋体" w:eastAsia="宋体" w:hint="default"/>
          <w:sz w:val="4"/>
          <w:szCs w:val="4"/>
        </w:rPr>
      </w:pPr>
    </w:p>
    <w:p>
      <w:pPr>
        <w:pStyle w:val="BodyText"/>
        <w:spacing w:line="331" w:lineRule="auto" w:before="26"/>
        <w:ind w:left="633" w:right="0" w:firstLine="2"/>
        <w:jc w:val="left"/>
      </w:pPr>
      <w:r>
        <w:rPr>
          <w:rFonts w:ascii="Times New Roman" w:hAnsi="Times New Roman" w:cs="Times New Roman" w:eastAsia="Times New Roman" w:hint="default"/>
          <w:b/>
          <w:bCs/>
        </w:rPr>
        <w:t>2</w:t>
      </w:r>
      <w:r>
        <w:rPr>
          <w:rFonts w:ascii="宋体" w:hAnsi="宋体" w:cs="宋体" w:eastAsia="宋体" w:hint="default"/>
          <w:b/>
          <w:bCs/>
        </w:rPr>
        <w:t>、税收优惠</w:t>
      </w:r>
      <w:r>
        <w:rPr>
          <w:rFonts w:ascii="宋体" w:hAnsi="宋体" w:cs="宋体" w:eastAsia="宋体" w:hint="default"/>
          <w:b/>
          <w:bCs/>
          <w:w w:val="99"/>
        </w:rPr>
        <w:t> </w:t>
      </w:r>
      <w:r>
        <w:rPr>
          <w:spacing w:val="-3"/>
        </w:rPr>
        <w:t>增值税：按应税销售收入适用</w:t>
      </w:r>
      <w:r>
        <w:rPr>
          <w:rFonts w:ascii="宋体" w:hAnsi="宋体" w:cs="宋体" w:eastAsia="宋体" w:hint="default"/>
          <w:spacing w:val="-3"/>
        </w:rPr>
        <w:t>17%</w:t>
      </w:r>
      <w:r>
        <w:rPr>
          <w:spacing w:val="-3"/>
        </w:rPr>
        <w:t>的销项税率，扣除可以抵扣的进项税后缴纳。①本公司</w:t>
      </w:r>
    </w:p>
    <w:p>
      <w:pPr>
        <w:pStyle w:val="BodyText"/>
        <w:spacing w:line="352" w:lineRule="auto" w:before="54"/>
        <w:ind w:right="1130"/>
        <w:jc w:val="both"/>
      </w:pPr>
      <w:r>
        <w:rPr/>
        <w:t>经河南省信息产业厅、河南省国家税务局、河南省地方税务局联合下发的豫信</w:t>
      </w:r>
      <w:r>
        <w:rPr>
          <w:rFonts w:ascii="宋体" w:hAnsi="宋体" w:cs="宋体" w:eastAsia="宋体" w:hint="default"/>
        </w:rPr>
        <w:t>[2003]48</w:t>
      </w:r>
      <w:r>
        <w:rPr/>
        <w:t>号文 </w:t>
      </w:r>
      <w:r>
        <w:rPr>
          <w:spacing w:val="-2"/>
        </w:rPr>
        <w:t>批准为软件企业，取得编号为豫</w:t>
      </w:r>
      <w:r>
        <w:rPr>
          <w:rFonts w:ascii="宋体" w:hAnsi="宋体" w:cs="宋体" w:eastAsia="宋体" w:hint="default"/>
          <w:spacing w:val="-2"/>
        </w:rPr>
        <w:t>R-2003-0002</w:t>
      </w:r>
      <w:r>
        <w:rPr>
          <w:spacing w:val="-2"/>
        </w:rPr>
        <w:t>的软件企业认定证书；②辉煌软件由河南省信息</w:t>
      </w:r>
      <w:r>
        <w:rPr>
          <w:spacing w:val="-111"/>
        </w:rPr>
        <w:t> </w:t>
      </w:r>
      <w:r>
        <w:rPr>
          <w:spacing w:val="-111"/>
        </w:rPr>
      </w:r>
      <w:r>
        <w:rPr>
          <w:spacing w:val="-2"/>
        </w:rPr>
        <w:t>产业厅认定为软件企业，并取得编号为豫</w:t>
      </w:r>
      <w:r>
        <w:rPr>
          <w:rFonts w:ascii="宋体" w:hAnsi="宋体" w:cs="宋体" w:eastAsia="宋体" w:hint="default"/>
          <w:spacing w:val="-2"/>
        </w:rPr>
        <w:t>R-2006-0039</w:t>
      </w:r>
      <w:r>
        <w:rPr>
          <w:spacing w:val="-2"/>
        </w:rPr>
        <w:t>的软件企业认定证书；③全路信通软件</w:t>
      </w:r>
      <w:r>
        <w:rPr>
          <w:spacing w:val="-110"/>
        </w:rPr>
        <w:t> </w:t>
      </w:r>
      <w:r>
        <w:rPr>
          <w:spacing w:val="-110"/>
        </w:rPr>
      </w:r>
      <w:r>
        <w:rPr>
          <w:spacing w:val="-2"/>
        </w:rPr>
        <w:t>由北京市经济和信息化委员会认定为软件企业，并取得编号为京</w:t>
      </w:r>
      <w:r>
        <w:rPr>
          <w:rFonts w:ascii="宋体" w:hAnsi="宋体" w:cs="宋体" w:eastAsia="宋体" w:hint="default"/>
          <w:spacing w:val="-2"/>
        </w:rPr>
        <w:t>R-2011-0302</w:t>
      </w:r>
      <w:r>
        <w:rPr>
          <w:spacing w:val="-2"/>
        </w:rPr>
        <w:t>的软件企业认定</w:t>
      </w:r>
      <w:r>
        <w:rPr>
          <w:spacing w:val="-111"/>
        </w:rPr>
        <w:t> </w:t>
      </w:r>
      <w:r>
        <w:rPr/>
        <w:t>证书；④路阳软件由北京市经济和信息化委员会认定为软件企业，并取得编号为京</w:t>
      </w:r>
    </w:p>
    <w:p>
      <w:pPr>
        <w:pStyle w:val="BodyText"/>
        <w:spacing w:line="352" w:lineRule="auto" w:before="32"/>
        <w:ind w:right="1130"/>
        <w:jc w:val="both"/>
      </w:pPr>
      <w:r>
        <w:rPr>
          <w:rFonts w:ascii="宋体" w:hAnsi="宋体" w:cs="宋体" w:eastAsia="宋体" w:hint="default"/>
        </w:rPr>
        <w:t>R-2012-0024</w:t>
      </w:r>
      <w:r>
        <w:rPr/>
        <w:t>的软件企业认定证书；以上公司根据国务院国发</w:t>
      </w:r>
      <w:r>
        <w:rPr>
          <w:rFonts w:ascii="宋体" w:hAnsi="宋体" w:cs="宋体" w:eastAsia="宋体" w:hint="default"/>
        </w:rPr>
        <w:t>[2011]4</w:t>
      </w:r>
      <w:r>
        <w:rPr>
          <w:rFonts w:ascii="宋体" w:hAnsi="宋体" w:cs="宋体" w:eastAsia="宋体" w:hint="default"/>
          <w:spacing w:val="-31"/>
        </w:rPr>
        <w:t> </w:t>
      </w:r>
      <w:r>
        <w:rPr>
          <w:spacing w:val="-5"/>
        </w:rPr>
        <w:t>号《国务院关于印发进</w:t>
      </w:r>
      <w:r>
        <w:rPr/>
        <w:t> 一步鼓励软件产业和集成电路产业发展若干政策的通知》及财政部、国家税务总局下发的财 </w:t>
      </w:r>
      <w:r>
        <w:rPr>
          <w:spacing w:val="-2"/>
        </w:rPr>
        <w:t>税</w:t>
      </w:r>
      <w:r>
        <w:rPr>
          <w:rFonts w:ascii="宋体" w:hAnsi="宋体" w:cs="宋体" w:eastAsia="宋体" w:hint="default"/>
          <w:spacing w:val="-2"/>
        </w:rPr>
        <w:t>[2011]100</w:t>
      </w:r>
      <w:r>
        <w:rPr>
          <w:spacing w:val="-2"/>
        </w:rPr>
        <w:t>号《关于软件产品增值税政策的通知》的规定，对增值税一般纳税人销售其自行</w:t>
      </w:r>
      <w:r>
        <w:rPr>
          <w:spacing w:val="-114"/>
        </w:rPr>
        <w:t> </w:t>
      </w:r>
      <w:r>
        <w:rPr>
          <w:spacing w:val="-114"/>
        </w:rPr>
      </w:r>
      <w:r>
        <w:rPr/>
        <w:t>开发生产的软件产品，实际税负超过</w:t>
      </w:r>
      <w:r>
        <w:rPr>
          <w:rFonts w:ascii="宋体" w:hAnsi="宋体" w:cs="宋体" w:eastAsia="宋体" w:hint="default"/>
        </w:rPr>
        <w:t>3%</w:t>
      </w:r>
      <w:r>
        <w:rPr/>
        <w:t>的部分即征即退。</w:t>
      </w:r>
    </w:p>
    <w:p>
      <w:pPr>
        <w:pStyle w:val="BodyText"/>
        <w:spacing w:line="240" w:lineRule="auto" w:before="32"/>
        <w:ind w:left="633" w:right="0"/>
        <w:jc w:val="left"/>
      </w:pPr>
      <w:r>
        <w:rPr/>
        <w:t>根据《财政部国家税务总局关于在全国开展交通运输业和部分现代服务业营业税改征增</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right="1127"/>
        <w:jc w:val="left"/>
      </w:pPr>
      <w:r>
        <w:rPr>
          <w:spacing w:val="-2"/>
        </w:rPr>
        <w:t>值税试点税收政策的通知》（财税〔</w:t>
      </w:r>
      <w:r>
        <w:rPr>
          <w:rFonts w:ascii="宋体" w:hAnsi="宋体" w:cs="宋体" w:eastAsia="宋体" w:hint="default"/>
          <w:spacing w:val="-2"/>
        </w:rPr>
        <w:t>2013</w:t>
      </w:r>
      <w:r>
        <w:rPr>
          <w:spacing w:val="-2"/>
        </w:rPr>
        <w:t>〕</w:t>
      </w:r>
      <w:r>
        <w:rPr>
          <w:rFonts w:ascii="宋体" w:hAnsi="宋体" w:cs="宋体" w:eastAsia="宋体" w:hint="default"/>
          <w:spacing w:val="-2"/>
        </w:rPr>
        <w:t>37</w:t>
      </w:r>
      <w:r>
        <w:rPr>
          <w:spacing w:val="-2"/>
        </w:rPr>
        <w:t>号）</w:t>
      </w:r>
      <w:r>
        <w:rPr>
          <w:rFonts w:ascii="宋体" w:hAnsi="宋体" w:cs="宋体" w:eastAsia="宋体" w:hint="default"/>
          <w:spacing w:val="-2"/>
        </w:rPr>
        <w:t>,</w:t>
      </w:r>
      <w:r>
        <w:rPr>
          <w:spacing w:val="-2"/>
        </w:rPr>
        <w:t>本公司从</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日起技术服务收入由</w:t>
      </w:r>
      <w:r>
        <w:rPr>
          <w:spacing w:val="-109"/>
        </w:rPr>
        <w:t> </w:t>
      </w:r>
      <w:r>
        <w:rPr/>
        <w:t>原征收</w:t>
      </w:r>
      <w:r>
        <w:rPr>
          <w:rFonts w:ascii="宋体" w:hAnsi="宋体" w:cs="宋体" w:eastAsia="宋体" w:hint="default"/>
        </w:rPr>
        <w:t>5%</w:t>
      </w:r>
      <w:r>
        <w:rPr/>
        <w:t>营业税改征</w:t>
      </w:r>
      <w:r>
        <w:rPr>
          <w:rFonts w:ascii="宋体" w:hAnsi="宋体" w:cs="宋体" w:eastAsia="宋体" w:hint="default"/>
        </w:rPr>
        <w:t>6%</w:t>
      </w:r>
      <w:r>
        <w:rPr/>
        <w:t>增值税。</w:t>
      </w:r>
    </w:p>
    <w:p>
      <w:pPr>
        <w:pStyle w:val="BodyText"/>
        <w:spacing w:line="350" w:lineRule="auto"/>
        <w:ind w:right="1131" w:firstLine="480"/>
        <w:jc w:val="both"/>
      </w:pPr>
      <w:r>
        <w:rPr/>
        <w:t>所得税：根据豫科</w:t>
      </w:r>
      <w:r>
        <w:rPr>
          <w:rFonts w:ascii="宋体" w:hAnsi="宋体" w:cs="宋体" w:eastAsia="宋体" w:hint="default"/>
        </w:rPr>
        <w:t>[2008]175 </w:t>
      </w:r>
      <w:r>
        <w:rPr/>
        <w:t>号文，本公司被认定为河南省第一批高新技术企业，并于 </w:t>
      </w:r>
      <w:r>
        <w:rPr>
          <w:rFonts w:ascii="宋体" w:hAnsi="宋体" w:cs="宋体" w:eastAsia="宋体" w:hint="default"/>
        </w:rPr>
        <w:t>2012 </w:t>
      </w:r>
      <w:r>
        <w:rPr/>
        <w:t>年 </w:t>
      </w:r>
      <w:r>
        <w:rPr>
          <w:rFonts w:ascii="宋体" w:hAnsi="宋体" w:cs="宋体" w:eastAsia="宋体" w:hint="default"/>
        </w:rPr>
        <w:t>2 </w:t>
      </w:r>
      <w:r>
        <w:rPr/>
        <w:t>月</w:t>
      </w:r>
      <w:r>
        <w:rPr>
          <w:rFonts w:ascii="宋体" w:hAnsi="宋体" w:cs="宋体" w:eastAsia="宋体" w:hint="default"/>
        </w:rPr>
        <w:t>16</w:t>
      </w:r>
      <w:r>
        <w:rPr>
          <w:rFonts w:ascii="宋体" w:hAnsi="宋体" w:cs="宋体" w:eastAsia="宋体" w:hint="default"/>
          <w:spacing w:val="28"/>
        </w:rPr>
        <w:t> </w:t>
      </w:r>
      <w:r>
        <w:rPr>
          <w:spacing w:val="-3"/>
        </w:rPr>
        <w:t>日通过高新技术企业复审；根据豫科</w:t>
      </w:r>
      <w:r>
        <w:rPr>
          <w:rFonts w:ascii="宋体" w:hAnsi="宋体" w:cs="宋体" w:eastAsia="宋体" w:hint="default"/>
          <w:spacing w:val="-3"/>
        </w:rPr>
        <w:t>[2015]30</w:t>
      </w:r>
      <w:r>
        <w:rPr>
          <w:spacing w:val="-3"/>
        </w:rPr>
        <w:t>号文，本公司再次被认定为高</w:t>
      </w:r>
      <w:r>
        <w:rPr/>
        <w:t> 新技术企业，证书编号：</w:t>
      </w:r>
      <w:r>
        <w:rPr>
          <w:rFonts w:ascii="宋体" w:hAnsi="宋体" w:cs="宋体" w:eastAsia="宋体" w:hint="default"/>
        </w:rPr>
        <w:t>GR201441000269</w:t>
      </w:r>
      <w:r>
        <w:rPr/>
        <w:t>，本公司</w:t>
      </w:r>
      <w:r>
        <w:rPr>
          <w:rFonts w:ascii="宋体" w:hAnsi="宋体" w:cs="宋体" w:eastAsia="宋体" w:hint="default"/>
        </w:rPr>
        <w:t>2014-2016</w:t>
      </w:r>
      <w:r>
        <w:rPr/>
        <w:t>年度所得税税率为</w:t>
      </w:r>
      <w:r>
        <w:rPr>
          <w:rFonts w:ascii="宋体" w:hAnsi="宋体" w:cs="宋体" w:eastAsia="宋体" w:hint="default"/>
        </w:rPr>
        <w:t>15%</w:t>
      </w:r>
      <w:r>
        <w:rPr/>
        <w:t>。</w:t>
      </w:r>
    </w:p>
    <w:p>
      <w:pPr>
        <w:pStyle w:val="BodyText"/>
        <w:spacing w:line="350" w:lineRule="auto"/>
        <w:ind w:right="995" w:firstLine="480"/>
        <w:jc w:val="left"/>
      </w:pPr>
      <w:r>
        <w:rPr>
          <w:spacing w:val="-2"/>
        </w:rPr>
        <w:t>根据豫科</w:t>
      </w:r>
      <w:r>
        <w:rPr>
          <w:rFonts w:ascii="宋体" w:hAnsi="宋体" w:cs="宋体" w:eastAsia="宋体" w:hint="default"/>
          <w:spacing w:val="-2"/>
        </w:rPr>
        <w:t>[2014]16</w:t>
      </w:r>
      <w:r>
        <w:rPr>
          <w:spacing w:val="-2"/>
        </w:rPr>
        <w:t>号文，辉煌软件被认定为高新技术企业，证书编号：</w:t>
      </w:r>
      <w:r>
        <w:rPr>
          <w:rFonts w:ascii="宋体" w:hAnsi="宋体" w:cs="宋体" w:eastAsia="宋体" w:hint="default"/>
          <w:spacing w:val="-2"/>
        </w:rPr>
        <w:t>GF201241000048</w:t>
      </w:r>
      <w:r>
        <w:rPr>
          <w:spacing w:val="-2"/>
        </w:rPr>
        <w:t>，</w:t>
      </w:r>
      <w:r>
        <w:rPr/>
        <w:t> 根据《中华人民共和国企业所得税法》的规定，辉煌软件</w:t>
      </w:r>
      <w:r>
        <w:rPr>
          <w:rFonts w:ascii="宋体" w:hAnsi="宋体" w:cs="宋体" w:eastAsia="宋体" w:hint="default"/>
        </w:rPr>
        <w:t>2014</w:t>
      </w:r>
      <w:r>
        <w:rPr/>
        <w:t>年－</w:t>
      </w:r>
      <w:r>
        <w:rPr>
          <w:rFonts w:ascii="宋体" w:hAnsi="宋体" w:cs="宋体" w:eastAsia="宋体" w:hint="default"/>
        </w:rPr>
        <w:t>2016</w:t>
      </w:r>
      <w:r>
        <w:rPr/>
        <w:t>年所得税适用税率为 </w:t>
      </w:r>
      <w:r>
        <w:rPr>
          <w:rFonts w:ascii="宋体" w:hAnsi="宋体" w:cs="宋体" w:eastAsia="宋体" w:hint="default"/>
        </w:rPr>
        <w:t>15%</w:t>
      </w:r>
      <w:r>
        <w:rPr/>
        <w:t>。</w:t>
      </w:r>
    </w:p>
    <w:p>
      <w:pPr>
        <w:pStyle w:val="BodyText"/>
        <w:spacing w:line="240" w:lineRule="auto"/>
        <w:ind w:left="634" w:right="1153"/>
        <w:jc w:val="left"/>
      </w:pPr>
      <w:r>
        <w:rPr/>
        <w:t>全路信通软件由北京市经济和信息化委员会认定为软件企业，并颁发编号为京</w:t>
      </w:r>
    </w:p>
    <w:p>
      <w:pPr>
        <w:pStyle w:val="BodyText"/>
        <w:spacing w:line="350" w:lineRule="auto" w:before="145"/>
        <w:ind w:right="1049"/>
        <w:jc w:val="left"/>
      </w:pPr>
      <w:r>
        <w:rPr>
          <w:rFonts w:ascii="宋体" w:hAnsi="宋体" w:cs="宋体" w:eastAsia="宋体" w:hint="default"/>
          <w:spacing w:val="-2"/>
        </w:rPr>
        <w:t>R-2011-0302</w:t>
      </w:r>
      <w:r>
        <w:rPr>
          <w:spacing w:val="-2"/>
        </w:rPr>
        <w:t>的软件企业认定证书，根据财政部、国家税务总局下发的财税</w:t>
      </w:r>
      <w:r>
        <w:rPr>
          <w:rFonts w:ascii="宋体" w:hAnsi="宋体" w:cs="宋体" w:eastAsia="宋体" w:hint="default"/>
          <w:spacing w:val="-2"/>
        </w:rPr>
        <w:t>[2012]27</w:t>
      </w:r>
      <w:r>
        <w:rPr>
          <w:spacing w:val="-2"/>
        </w:rPr>
        <w:t>号《关于</w:t>
      </w:r>
      <w:r>
        <w:rPr>
          <w:spacing w:val="-105"/>
        </w:rPr>
        <w:t> </w:t>
      </w:r>
      <w:r>
        <w:rPr>
          <w:spacing w:val="-105"/>
        </w:rPr>
      </w:r>
      <w:r>
        <w:rPr/>
        <w:t>进一步鼓励软件产业和集成电路产业发展企业所得税政策的通知》，公司自获利年度起享受 所得税“两免三减半”的优惠政策，公司从</w:t>
      </w:r>
      <w:r>
        <w:rPr>
          <w:rFonts w:ascii="宋体" w:hAnsi="宋体" w:cs="宋体" w:eastAsia="宋体" w:hint="default"/>
        </w:rPr>
        <w:t>2012</w:t>
      </w:r>
      <w:r>
        <w:rPr/>
        <w:t>年度开始获利，</w:t>
      </w:r>
      <w:r>
        <w:rPr>
          <w:rFonts w:ascii="宋体" w:hAnsi="宋体" w:cs="宋体" w:eastAsia="宋体" w:hint="default"/>
        </w:rPr>
        <w:t>2012-2013</w:t>
      </w:r>
      <w:r>
        <w:rPr/>
        <w:t>年度免征所得税。 </w:t>
      </w:r>
      <w:r>
        <w:rPr>
          <w:rFonts w:ascii="宋体" w:hAnsi="宋体" w:cs="宋体" w:eastAsia="宋体" w:hint="default"/>
        </w:rPr>
        <w:t>2014-2016</w:t>
      </w:r>
      <w:r>
        <w:rPr/>
        <w:t>年度所得税适用税率为</w:t>
      </w:r>
      <w:r>
        <w:rPr>
          <w:rFonts w:ascii="宋体" w:hAnsi="宋体" w:cs="宋体" w:eastAsia="宋体" w:hint="default"/>
        </w:rPr>
        <w:t>12.5%</w:t>
      </w:r>
      <w:r>
        <w:rPr/>
        <w:t>。</w:t>
      </w:r>
    </w:p>
    <w:p>
      <w:pPr>
        <w:pStyle w:val="BodyText"/>
        <w:spacing w:line="352" w:lineRule="auto" w:before="35"/>
        <w:ind w:right="1132" w:firstLine="480"/>
        <w:jc w:val="both"/>
        <w:rPr>
          <w:rFonts w:ascii="宋体" w:hAnsi="宋体" w:cs="宋体" w:eastAsia="宋体" w:hint="default"/>
        </w:rPr>
      </w:pPr>
      <w:r>
        <w:rPr/>
        <w:t>国铁路阳</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30</w:t>
      </w:r>
      <w:r>
        <w:rPr/>
        <w:t>日经北京市科学技术委员会认证为高新技术企业，高新技术企业 </w:t>
      </w:r>
      <w:r>
        <w:rPr>
          <w:spacing w:val="-11"/>
        </w:rPr>
        <w:t>证书编号：</w:t>
      </w:r>
      <w:r>
        <w:rPr>
          <w:rFonts w:ascii="宋体" w:hAnsi="宋体" w:cs="宋体" w:eastAsia="宋体" w:hint="default"/>
          <w:spacing w:val="-11"/>
        </w:rPr>
        <w:t>GR201411001516</w:t>
      </w:r>
      <w:r>
        <w:rPr>
          <w:spacing w:val="-11"/>
        </w:rPr>
        <w:t>。根据《中华人民共和国企业所得税法》的规定，国铁路阳</w:t>
      </w:r>
      <w:r>
        <w:rPr>
          <w:rFonts w:ascii="宋体" w:hAnsi="宋体" w:cs="宋体" w:eastAsia="宋体" w:hint="default"/>
          <w:spacing w:val="-11"/>
        </w:rPr>
        <w:t>2014-2016</w:t>
      </w:r>
      <w:r>
        <w:rPr>
          <w:rFonts w:ascii="宋体" w:hAnsi="宋体" w:cs="宋体" w:eastAsia="宋体" w:hint="default"/>
          <w:spacing w:val="-90"/>
        </w:rPr>
        <w:t> </w:t>
      </w:r>
      <w:r>
        <w:rPr/>
        <w:t>年度所得税适用税率为</w:t>
      </w:r>
      <w:r>
        <w:rPr>
          <w:rFonts w:ascii="宋体" w:hAnsi="宋体" w:cs="宋体" w:eastAsia="宋体" w:hint="default"/>
        </w:rPr>
        <w:t>15%</w:t>
      </w:r>
    </w:p>
    <w:p>
      <w:pPr>
        <w:pStyle w:val="BodyText"/>
        <w:spacing w:line="352" w:lineRule="auto" w:before="32"/>
        <w:ind w:left="154" w:right="1152" w:firstLine="480"/>
        <w:jc w:val="left"/>
      </w:pPr>
      <w:r>
        <w:rPr/>
        <w:t>天津信通为符合条件的小型微利企业，根据《中华人民共和国企业所得税法》的规定， 所得税适用税率为 </w:t>
      </w:r>
      <w:r>
        <w:rPr>
          <w:rFonts w:ascii="宋体" w:hAnsi="宋体" w:cs="宋体" w:eastAsia="宋体" w:hint="default"/>
        </w:rPr>
        <w:t>20%</w:t>
      </w:r>
      <w:r>
        <w:rPr/>
        <w:t>。</w:t>
      </w:r>
    </w:p>
    <w:p>
      <w:pPr>
        <w:pStyle w:val="BodyText"/>
        <w:spacing w:line="350" w:lineRule="auto" w:before="32"/>
        <w:ind w:right="1169" w:firstLine="480"/>
        <w:jc w:val="left"/>
      </w:pPr>
      <w:r>
        <w:rPr/>
        <w:t>路阳软件由北京市经济和信息化委员会认定为软件企业，并颁发编号为京</w:t>
      </w:r>
      <w:r>
        <w:rPr>
          <w:rFonts w:ascii="宋体" w:hAnsi="宋体" w:cs="宋体" w:eastAsia="宋体" w:hint="default"/>
        </w:rPr>
        <w:t>R-2012-0024 </w:t>
      </w:r>
      <w:r>
        <w:rPr/>
        <w:t>的软件企业认定证书，根据财政部、国家税务总局下发的财税</w:t>
      </w:r>
      <w:r>
        <w:rPr>
          <w:rFonts w:ascii="宋体" w:hAnsi="宋体" w:cs="宋体" w:eastAsia="宋体" w:hint="default"/>
        </w:rPr>
        <w:t>[2012]27</w:t>
      </w:r>
      <w:r>
        <w:rPr/>
        <w:t>号《关于进一步鼓励 软件产业和集成电路产业发展企业所得税政策的通知》，公司自获利年度起享受所得税“两 免三减半”的优惠政策，公司</w:t>
      </w:r>
      <w:r>
        <w:rPr>
          <w:rFonts w:ascii="宋体" w:hAnsi="宋体" w:cs="宋体" w:eastAsia="宋体" w:hint="default"/>
        </w:rPr>
        <w:t>2012</w:t>
      </w:r>
      <w:r>
        <w:rPr/>
        <w:t>年度开始获利，</w:t>
      </w:r>
      <w:r>
        <w:rPr>
          <w:rFonts w:ascii="宋体" w:hAnsi="宋体" w:cs="宋体" w:eastAsia="宋体" w:hint="default"/>
        </w:rPr>
        <w:t>2012-2013</w:t>
      </w:r>
      <w:r>
        <w:rPr/>
        <w:t>年度免征所得税，</w:t>
      </w:r>
      <w:r>
        <w:rPr>
          <w:rFonts w:ascii="宋体" w:hAnsi="宋体" w:cs="宋体" w:eastAsia="宋体" w:hint="default"/>
        </w:rPr>
        <w:t>2014-2016</w:t>
      </w:r>
      <w:r>
        <w:rPr/>
        <w:t>年 度所得税适用税率为</w:t>
      </w:r>
      <w:r>
        <w:rPr>
          <w:rFonts w:ascii="宋体" w:hAnsi="宋体" w:cs="宋体" w:eastAsia="宋体" w:hint="default"/>
        </w:rPr>
        <w:t>12.5%</w:t>
      </w:r>
      <w:r>
        <w:rPr/>
        <w:t>。</w:t>
      </w:r>
    </w:p>
    <w:p>
      <w:pPr>
        <w:pStyle w:val="Heading2"/>
        <w:spacing w:line="240" w:lineRule="auto" w:before="36"/>
        <w:ind w:right="1153"/>
        <w:jc w:val="left"/>
        <w:rPr>
          <w:b w:val="0"/>
          <w:bCs w:val="0"/>
        </w:rPr>
      </w:pPr>
      <w:r>
        <w:rPr/>
        <w:t>七、合并财务报表项目注释</w:t>
      </w:r>
      <w:r>
        <w:rPr>
          <w:b w:val="0"/>
          <w:bCs w:val="0"/>
        </w:rPr>
      </w:r>
    </w:p>
    <w:p>
      <w:pPr>
        <w:pStyle w:val="Heading2"/>
        <w:spacing w:line="240" w:lineRule="auto" w:before="145"/>
        <w:ind w:right="1153"/>
        <w:jc w:val="left"/>
        <w:rPr>
          <w:b w:val="0"/>
          <w:bCs w:val="0"/>
        </w:rPr>
      </w:pPr>
      <w:r>
        <w:rPr>
          <w:rFonts w:ascii="Times New Roman" w:hAnsi="Times New Roman" w:cs="Times New Roman" w:eastAsia="Times New Roman" w:hint="default"/>
        </w:rPr>
        <w:t>1</w:t>
      </w:r>
      <w:r>
        <w:rPr/>
        <w:t>、货币资金</w:t>
      </w:r>
      <w:r>
        <w:rPr>
          <w:b w:val="0"/>
          <w:bCs w:val="0"/>
        </w:rPr>
      </w:r>
    </w:p>
    <w:p>
      <w:pPr>
        <w:spacing w:before="65"/>
        <w:ind w:left="0" w:right="130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3166"/>
        <w:gridCol w:w="3202"/>
        <w:gridCol w:w="3191"/>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69,827.97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82,050.81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804,732,862.72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827,514,812.27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14,268,176.51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13,568,818.42</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819,070,867.20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841,165,681.50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9"/>
        <w:ind w:left="693" w:right="1873"/>
        <w:jc w:val="left"/>
      </w:pPr>
      <w:r>
        <w:rPr/>
        <w:pict>
          <v:shape style="position:absolute;margin-left:51.060001pt;margin-top:74.565628pt;width:493.5pt;height:104.7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21"/>
                    <w:gridCol w:w="2816"/>
                    <w:gridCol w:w="2818"/>
                  </w:tblGrid>
                  <w:tr>
                    <w:trPr>
                      <w:trHeight w:val="358" w:hRule="exact"/>
                    </w:trPr>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525" w:val="left" w:leader="none"/>
                          </w:tabs>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67" w:hRule="exact"/>
                    </w:trPr>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Arial" w:hAnsi="Arial" w:cs="Arial" w:eastAsia="Arial" w:hint="default"/>
                            <w:sz w:val="21"/>
                            <w:szCs w:val="21"/>
                          </w:rPr>
                        </w:pPr>
                        <w:r>
                          <w:rPr>
                            <w:rFonts w:ascii="Arial"/>
                            <w:spacing w:val="-1"/>
                            <w:w w:val="80"/>
                            <w:sz w:val="21"/>
                          </w:rPr>
                          <w:t>1,882,244.60</w:t>
                        </w:r>
                        <w:r>
                          <w:rPr>
                            <w:rFonts w:ascii="Arial"/>
                            <w:spacing w:val="-1"/>
                            <w:sz w:val="21"/>
                          </w:rPr>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w:hAnsi="Arial" w:cs="Arial" w:eastAsia="Arial" w:hint="default"/>
                            <w:sz w:val="21"/>
                            <w:szCs w:val="21"/>
                          </w:rPr>
                        </w:pPr>
                        <w:r>
                          <w:rPr>
                            <w:rFonts w:ascii="Arial"/>
                            <w:spacing w:val="-1"/>
                            <w:w w:val="80"/>
                            <w:sz w:val="21"/>
                          </w:rPr>
                          <w:t>800,000.00</w:t>
                        </w:r>
                        <w:r>
                          <w:rPr>
                            <w:rFonts w:ascii="Arial"/>
                            <w:spacing w:val="-1"/>
                            <w:sz w:val="21"/>
                          </w:rPr>
                        </w:r>
                      </w:p>
                    </w:tc>
                  </w:tr>
                  <w:tr>
                    <w:trPr>
                      <w:trHeight w:val="362" w:hRule="exact"/>
                    </w:trPr>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Arial" w:hAnsi="Arial" w:cs="Arial" w:eastAsia="Arial" w:hint="default"/>
                            <w:sz w:val="21"/>
                            <w:szCs w:val="21"/>
                          </w:rPr>
                        </w:pPr>
                        <w:r>
                          <w:rPr>
                            <w:rFonts w:ascii="Arial"/>
                            <w:spacing w:val="-1"/>
                            <w:w w:val="80"/>
                            <w:sz w:val="21"/>
                          </w:rPr>
                          <w:t>12,385,931.91</w:t>
                        </w:r>
                        <w:r>
                          <w:rPr>
                            <w:rFonts w:ascii="Arial"/>
                            <w:spacing w:val="-1"/>
                            <w:sz w:val="21"/>
                          </w:rPr>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spacing w:val="-1"/>
                            <w:w w:val="80"/>
                            <w:sz w:val="21"/>
                          </w:rPr>
                          <w:t>12,768,818.42</w:t>
                        </w:r>
                        <w:r>
                          <w:rPr>
                            <w:rFonts w:ascii="Arial"/>
                            <w:spacing w:val="-1"/>
                            <w:sz w:val="21"/>
                          </w:rPr>
                        </w:r>
                      </w:p>
                    </w:tc>
                  </w:tr>
                  <w:tr>
                    <w:trPr>
                      <w:trHeight w:val="362" w:hRule="exact"/>
                    </w:trPr>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Arial" w:hAnsi="Arial" w:cs="Arial" w:eastAsia="Arial" w:hint="default"/>
                            <w:sz w:val="21"/>
                            <w:szCs w:val="21"/>
                          </w:rPr>
                        </w:pPr>
                        <w:r>
                          <w:rPr>
                            <w:rFonts w:ascii="Arial"/>
                            <w:spacing w:val="-1"/>
                            <w:w w:val="80"/>
                            <w:sz w:val="21"/>
                          </w:rPr>
                          <w:t>14,268,176.51</w:t>
                        </w:r>
                        <w:r>
                          <w:rPr>
                            <w:rFonts w:ascii="Arial"/>
                            <w:spacing w:val="-1"/>
                            <w:sz w:val="21"/>
                          </w:rPr>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spacing w:val="-1"/>
                            <w:w w:val="80"/>
                            <w:sz w:val="21"/>
                          </w:rPr>
                          <w:t>13,568,818.42</w:t>
                        </w:r>
                        <w:r>
                          <w:rPr>
                            <w:rFonts w:ascii="Arial"/>
                            <w:spacing w:val="-1"/>
                            <w:sz w:val="21"/>
                          </w:rPr>
                        </w:r>
                      </w:p>
                    </w:tc>
                  </w:tr>
                  <w:tr>
                    <w:trPr>
                      <w:trHeight w:val="635" w:hRule="exact"/>
                    </w:trPr>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33"/>
                          <w:ind w:left="1265" w:right="109" w:hanging="1155"/>
                          <w:jc w:val="left"/>
                          <w:rPr>
                            <w:rFonts w:ascii="宋体" w:hAnsi="宋体" w:cs="宋体" w:eastAsia="宋体" w:hint="default"/>
                            <w:sz w:val="21"/>
                            <w:szCs w:val="21"/>
                          </w:rPr>
                        </w:pPr>
                        <w:r>
                          <w:rPr>
                            <w:rFonts w:ascii="宋体" w:hAnsi="宋体" w:cs="宋体" w:eastAsia="宋体" w:hint="default"/>
                            <w:sz w:val="21"/>
                            <w:szCs w:val="21"/>
                          </w:rPr>
                          <w:t>其中：不属于现金及现金等价物的期限超过 三个月的受限资金</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w w:val="80"/>
                            <w:sz w:val="21"/>
                          </w:rPr>
                          <w:t>10,981,478.58</w:t>
                        </w:r>
                        <w:r>
                          <w:rPr>
                            <w:rFonts w:ascii="Arial"/>
                            <w:spacing w:val="-1"/>
                            <w:sz w:val="21"/>
                          </w:rPr>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w w:val="80"/>
                            <w:sz w:val="21"/>
                          </w:rPr>
                          <w:t>12,406,468.42</w:t>
                        </w:r>
                        <w:r>
                          <w:rPr>
                            <w:rFonts w:ascii="Arial"/>
                            <w:sz w:val="21"/>
                          </w:rPr>
                        </w:r>
                      </w:p>
                    </w:tc>
                  </w:tr>
                </w:tbl>
                <w:p>
                  <w:pPr/>
                </w:p>
              </w:txbxContent>
            </v:textbox>
            <w10:wrap type="none"/>
          </v:shape>
        </w:pict>
      </w:r>
      <w:r>
        <w:rPr/>
        <w:t>其他说明 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日止，本公司不存在质押、冻结，或有潜在收回风险的款项。 其中受限制的货币资金明细如下：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20" w:right="0"/>
        </w:sectPr>
      </w:pPr>
    </w:p>
    <w:p>
      <w:pPr>
        <w:pStyle w:val="Heading2"/>
        <w:spacing w:line="331" w:lineRule="auto"/>
        <w:ind w:left="693" w:right="40" w:firstLine="2"/>
        <w:jc w:val="left"/>
        <w:rPr>
          <w:rFonts w:ascii="宋体" w:hAnsi="宋体" w:cs="宋体" w:eastAsia="宋体" w:hint="default"/>
          <w:b w:val="0"/>
          <w:bCs w:val="0"/>
        </w:rPr>
      </w:pPr>
      <w:r>
        <w:rPr>
          <w:rFonts w:ascii="Times New Roman" w:hAnsi="Times New Roman" w:cs="Times New Roman" w:eastAsia="Times New Roman" w:hint="default"/>
          <w:w w:val="95"/>
        </w:rPr>
        <w:t>2</w:t>
      </w:r>
      <w:r>
        <w:rPr>
          <w:w w:val="95"/>
        </w:rPr>
        <w:t>、以公允价值计量且其变动计入当期损益的金融资产 </w:t>
      </w:r>
      <w:r>
        <w:rPr>
          <w:spacing w:val="29"/>
          <w:w w:val="95"/>
        </w:rPr>
        <w:t> </w:t>
      </w:r>
      <w:r>
        <w:rPr>
          <w:rFonts w:ascii="宋体" w:hAnsi="宋体" w:cs="宋体" w:eastAsia="宋体" w:hint="default"/>
          <w:b w:val="0"/>
          <w:bCs w:val="0"/>
        </w:rPr>
        <w:t>无</w:t>
      </w:r>
    </w:p>
    <w:p>
      <w:pPr>
        <w:pStyle w:val="Heading2"/>
        <w:spacing w:line="240" w:lineRule="auto" w:before="55"/>
        <w:ind w:left="696" w:right="40"/>
        <w:jc w:val="left"/>
        <w:rPr>
          <w:b w:val="0"/>
          <w:bCs w:val="0"/>
        </w:rPr>
      </w:pPr>
      <w:r>
        <w:rPr>
          <w:rFonts w:ascii="Times New Roman" w:hAnsi="Times New Roman" w:cs="Times New Roman" w:eastAsia="Times New Roman" w:hint="default"/>
        </w:rPr>
        <w:t>3</w:t>
      </w:r>
      <w:r>
        <w:rPr/>
        <w:t>、衍生金融资产</w:t>
      </w:r>
      <w:r>
        <w:rPr>
          <w:b w:val="0"/>
          <w:bCs w:val="0"/>
        </w:rPr>
      </w:r>
    </w:p>
    <w:p>
      <w:pPr>
        <w:spacing w:line="350" w:lineRule="auto" w:before="127"/>
        <w:ind w:left="696" w:right="3602" w:hanging="3"/>
        <w:jc w:val="left"/>
        <w:rPr>
          <w:rFonts w:ascii="宋体" w:hAnsi="宋体" w:cs="宋体" w:eastAsia="宋体"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4</w:t>
      </w:r>
      <w:r>
        <w:rPr>
          <w:rFonts w:ascii="宋体" w:hAnsi="宋体" w:cs="宋体" w:eastAsia="宋体" w:hint="default"/>
          <w:b/>
          <w:bCs/>
          <w:sz w:val="24"/>
          <w:szCs w:val="24"/>
        </w:rPr>
        <w:t>、应收票据</w:t>
      </w:r>
      <w:r>
        <w:rPr>
          <w:rFonts w:ascii="宋体" w:hAnsi="宋体" w:cs="宋体" w:eastAsia="宋体" w:hint="default"/>
          <w:sz w:val="24"/>
          <w:szCs w:val="24"/>
        </w:rPr>
      </w:r>
    </w:p>
    <w:p>
      <w:pPr>
        <w:pStyle w:val="Heading2"/>
        <w:spacing w:line="240" w:lineRule="auto" w:before="36"/>
        <w:ind w:left="696" w:right="40"/>
        <w:jc w:val="left"/>
        <w:rPr>
          <w:b w:val="0"/>
          <w:bCs w:val="0"/>
        </w:rPr>
      </w:pPr>
      <w:r>
        <w:rPr/>
        <w:t>（</w:t>
      </w:r>
      <w:r>
        <w:rPr>
          <w:rFonts w:ascii="宋体" w:hAnsi="宋体" w:cs="宋体" w:eastAsia="宋体" w:hint="default"/>
        </w:rPr>
        <w:t>1</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spacing w:before="0"/>
        <w:ind w:left="69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20" w:right="0"/>
          <w:cols w:num="2" w:equalWidth="0">
            <w:col w:w="6355" w:space="1861"/>
            <w:col w:w="2774"/>
          </w:cols>
        </w:sectPr>
      </w:pPr>
    </w:p>
    <w:p>
      <w:pPr>
        <w:spacing w:line="240" w:lineRule="auto" w:before="0"/>
        <w:rPr>
          <w:rFonts w:ascii="宋体" w:hAnsi="宋体" w:cs="宋体" w:eastAsia="宋体" w:hint="default"/>
          <w:sz w:val="7"/>
          <w:szCs w:val="7"/>
        </w:rPr>
      </w:pPr>
    </w:p>
    <w:tbl>
      <w:tblPr>
        <w:tblW w:w="0" w:type="auto"/>
        <w:jc w:val="left"/>
        <w:tblInd w:w="254" w:type="dxa"/>
        <w:tblLayout w:type="fixed"/>
        <w:tblCellMar>
          <w:top w:w="0" w:type="dxa"/>
          <w:left w:w="0" w:type="dxa"/>
          <w:bottom w:w="0" w:type="dxa"/>
          <w:right w:w="0" w:type="dxa"/>
        </w:tblCellMar>
        <w:tblLook w:val="01E0"/>
      </w:tblPr>
      <w:tblGrid>
        <w:gridCol w:w="3166"/>
        <w:gridCol w:w="3202"/>
        <w:gridCol w:w="3191"/>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9,646,200.00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8,810,426.23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20,141,077.43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7,809,697.40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29,787,277.43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16,620,123.63</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20" w:right="0"/>
        </w:sectPr>
      </w:pPr>
    </w:p>
    <w:p>
      <w:pPr>
        <w:pStyle w:val="Heading2"/>
        <w:spacing w:line="350" w:lineRule="auto"/>
        <w:ind w:left="693" w:right="3565" w:firstLine="2"/>
        <w:jc w:val="left"/>
        <w:rPr>
          <w:rFonts w:ascii="宋体" w:hAnsi="宋体" w:cs="宋体" w:eastAsia="宋体" w:hint="default"/>
          <w:b w:val="0"/>
          <w:bCs w:val="0"/>
        </w:rPr>
      </w:pPr>
      <w:r>
        <w:rPr>
          <w:w w:val="95"/>
        </w:rPr>
        <w:t>（</w:t>
      </w:r>
      <w:r>
        <w:rPr>
          <w:rFonts w:ascii="宋体" w:hAnsi="宋体" w:cs="宋体" w:eastAsia="宋体" w:hint="default"/>
          <w:w w:val="95"/>
        </w:rPr>
        <w:t>2</w:t>
      </w:r>
      <w:r>
        <w:rPr>
          <w:w w:val="95"/>
        </w:rPr>
        <w:t>）期末公司已质押的应收票据</w:t>
      </w:r>
      <w:r>
        <w:rPr>
          <w:spacing w:val="45"/>
          <w:w w:val="95"/>
        </w:rPr>
        <w:t> </w:t>
      </w:r>
      <w:r>
        <w:rPr>
          <w:rFonts w:ascii="宋体" w:hAnsi="宋体" w:cs="宋体" w:eastAsia="宋体" w:hint="default"/>
          <w:b w:val="0"/>
          <w:bCs w:val="0"/>
        </w:rPr>
        <w:t>无</w:t>
      </w:r>
    </w:p>
    <w:p>
      <w:pPr>
        <w:pStyle w:val="Heading2"/>
        <w:spacing w:line="240" w:lineRule="auto" w:before="36"/>
        <w:ind w:left="696" w:right="0"/>
        <w:jc w:val="left"/>
        <w:rPr>
          <w:b w:val="0"/>
          <w:bCs w:val="0"/>
        </w:rPr>
      </w:pPr>
      <w:r>
        <w:rPr>
          <w:w w:val="95"/>
        </w:rPr>
        <w:t>（</w:t>
      </w:r>
      <w:r>
        <w:rPr>
          <w:rFonts w:ascii="宋体" w:hAnsi="宋体" w:cs="宋体" w:eastAsia="宋体" w:hint="default"/>
          <w:w w:val="95"/>
        </w:rPr>
        <w:t>3</w:t>
      </w:r>
      <w:r>
        <w:rPr>
          <w:w w:val="95"/>
        </w:rPr>
        <w:t>）期末公司已背书或贴现且在资产负债表日尚未到期的应收票据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spacing w:before="0"/>
        <w:ind w:left="69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20" w:right="0"/>
          <w:cols w:num="2" w:equalWidth="0">
            <w:col w:w="7801" w:space="414"/>
            <w:col w:w="2775"/>
          </w:cols>
        </w:sectPr>
      </w:pPr>
    </w:p>
    <w:p>
      <w:pPr>
        <w:spacing w:line="240" w:lineRule="auto" w:before="0"/>
        <w:rPr>
          <w:rFonts w:ascii="宋体" w:hAnsi="宋体" w:cs="宋体" w:eastAsia="宋体" w:hint="default"/>
          <w:sz w:val="7"/>
          <w:szCs w:val="7"/>
        </w:rPr>
      </w:pPr>
    </w:p>
    <w:tbl>
      <w:tblPr>
        <w:tblW w:w="0" w:type="auto"/>
        <w:jc w:val="left"/>
        <w:tblInd w:w="254" w:type="dxa"/>
        <w:tblLayout w:type="fixed"/>
        <w:tblCellMar>
          <w:top w:w="0" w:type="dxa"/>
          <w:left w:w="0" w:type="dxa"/>
          <w:bottom w:w="0" w:type="dxa"/>
          <w:right w:w="0" w:type="dxa"/>
        </w:tblCellMar>
        <w:tblLook w:val="01E0"/>
      </w:tblPr>
      <w:tblGrid>
        <w:gridCol w:w="3166"/>
        <w:gridCol w:w="3202"/>
        <w:gridCol w:w="3191"/>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2"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3,441,178.00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17,293,023.75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1,202,000.00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4,800,000.00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4,643,178.00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22,093,023.75</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20" w:right="0"/>
        </w:sectPr>
      </w:pPr>
    </w:p>
    <w:p>
      <w:pPr>
        <w:pStyle w:val="Heading2"/>
        <w:spacing w:line="350" w:lineRule="auto"/>
        <w:ind w:left="693" w:right="53" w:firstLine="2"/>
        <w:jc w:val="left"/>
        <w:rPr>
          <w:rFonts w:ascii="宋体" w:hAnsi="宋体" w:cs="宋体" w:eastAsia="宋体" w:hint="default"/>
          <w:b w:val="0"/>
          <w:bCs w:val="0"/>
        </w:rPr>
      </w:pPr>
      <w:r>
        <w:rPr>
          <w:w w:val="95"/>
        </w:rPr>
        <w:t>（</w:t>
      </w:r>
      <w:r>
        <w:rPr>
          <w:rFonts w:ascii="宋体" w:hAnsi="宋体" w:cs="宋体" w:eastAsia="宋体" w:hint="default"/>
          <w:w w:val="95"/>
        </w:rPr>
        <w:t>4</w:t>
      </w:r>
      <w:r>
        <w:rPr>
          <w:w w:val="95"/>
        </w:rPr>
        <w:t>）期末公司因出票人未履约而将其转应收账款的票据 </w:t>
      </w:r>
      <w:r>
        <w:rPr>
          <w:spacing w:val="41"/>
          <w:w w:val="95"/>
        </w:rPr>
        <w:t> </w:t>
      </w:r>
      <w:r>
        <w:rPr>
          <w:rFonts w:ascii="宋体" w:hAnsi="宋体" w:cs="宋体" w:eastAsia="宋体" w:hint="default"/>
          <w:b w:val="0"/>
          <w:bCs w:val="0"/>
        </w:rPr>
        <w:t>无</w:t>
      </w:r>
    </w:p>
    <w:p>
      <w:pPr>
        <w:pStyle w:val="Heading2"/>
        <w:spacing w:line="240" w:lineRule="auto" w:before="36"/>
        <w:ind w:left="696" w:right="53"/>
        <w:jc w:val="left"/>
        <w:rPr>
          <w:b w:val="0"/>
          <w:bCs w:val="0"/>
        </w:rPr>
      </w:pPr>
      <w:r>
        <w:rPr>
          <w:rFonts w:ascii="宋体" w:hAnsi="宋体" w:cs="宋体" w:eastAsia="宋体" w:hint="default"/>
        </w:rPr>
        <w:t>5</w:t>
      </w:r>
      <w:r>
        <w:rPr/>
        <w:t>、应收账款</w:t>
      </w:r>
      <w:r>
        <w:rPr>
          <w:b w:val="0"/>
          <w:bCs w:val="0"/>
        </w:rPr>
      </w:r>
    </w:p>
    <w:p>
      <w:pPr>
        <w:pStyle w:val="Heading2"/>
        <w:spacing w:line="240" w:lineRule="auto" w:before="145"/>
        <w:ind w:left="696" w:right="53"/>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0"/>
        <w:ind w:left="69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20" w:right="0"/>
          <w:cols w:num="2" w:equalWidth="0">
            <w:col w:w="6597" w:space="1618"/>
            <w:col w:w="2775"/>
          </w:cols>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537"/>
        <w:gridCol w:w="1004"/>
        <w:gridCol w:w="851"/>
        <w:gridCol w:w="851"/>
        <w:gridCol w:w="992"/>
        <w:gridCol w:w="991"/>
        <w:gridCol w:w="992"/>
        <w:gridCol w:w="851"/>
        <w:gridCol w:w="850"/>
        <w:gridCol w:w="709"/>
        <w:gridCol w:w="992"/>
      </w:tblGrid>
      <w:tr>
        <w:trPr>
          <w:trHeight w:val="397" w:hRule="exact"/>
        </w:trPr>
        <w:tc>
          <w:tcPr>
            <w:tcW w:w="1537" w:type="dxa"/>
            <w:vMerge w:val="restart"/>
            <w:tcBorders>
              <w:top w:val="single" w:sz="4" w:space="0" w:color="000000"/>
              <w:left w:val="single" w:sz="4" w:space="0" w:color="000000"/>
              <w:right w:val="single" w:sz="4" w:space="0" w:color="000000"/>
            </w:tcBorders>
            <w:shd w:val="clear" w:color="auto" w:fill="D2D2D2"/>
          </w:tcPr>
          <w:p>
            <w:pPr/>
          </w:p>
        </w:tc>
        <w:tc>
          <w:tcPr>
            <w:tcW w:w="469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66" w:hRule="exact"/>
        </w:trPr>
        <w:tc>
          <w:tcPr>
            <w:tcW w:w="1537" w:type="dxa"/>
            <w:vMerge/>
            <w:tcBorders>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5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9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5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37" w:type="dxa"/>
            <w:vMerge/>
            <w:tcBorders>
              <w:left w:val="single" w:sz="4" w:space="0" w:color="000000"/>
              <w:bottom w:val="nil" w:sz="6" w:space="0" w:color="auto"/>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9" w:space="0" w:color="D2D2D2"/>
              <w:right w:val="single" w:sz="22" w:space="0" w:color="D2D2D2"/>
            </w:tcBorders>
          </w:tcPr>
          <w:p>
            <w:pPr>
              <w:pStyle w:val="TableParagraph"/>
              <w:spacing w:line="261" w:lineRule="exact"/>
              <w:ind w:left="6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44" w:right="32" w:hanging="210"/>
              <w:jc w:val="left"/>
              <w:rPr>
                <w:rFonts w:ascii="宋体" w:hAnsi="宋体" w:cs="宋体" w:eastAsia="宋体" w:hint="default"/>
                <w:sz w:val="21"/>
                <w:szCs w:val="21"/>
              </w:rPr>
            </w:pPr>
            <w:r>
              <w:rPr>
                <w:rFonts w:ascii="宋体" w:hAnsi="宋体" w:cs="宋体" w:eastAsia="宋体" w:hint="default"/>
                <w:sz w:val="21"/>
                <w:szCs w:val="21"/>
              </w:rPr>
              <w:t>计提比 例</w:t>
            </w:r>
          </w:p>
        </w:tc>
        <w:tc>
          <w:tcPr>
            <w:tcW w:w="992" w:type="dxa"/>
            <w:vMerge w:val="restart"/>
            <w:tcBorders>
              <w:top w:val="nil" w:sz="6" w:space="0" w:color="auto"/>
              <w:left w:val="single" w:sz="9" w:space="0" w:color="D2D2D2"/>
              <w:right w:val="single" w:sz="10" w:space="0" w:color="D2D2D2"/>
            </w:tcBorders>
          </w:tcPr>
          <w:p>
            <w:pPr>
              <w:pStyle w:val="TableParagraph"/>
              <w:spacing w:line="261" w:lineRule="exact"/>
              <w:ind w:left="6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1" w:hRule="exact"/>
        </w:trPr>
        <w:tc>
          <w:tcPr>
            <w:tcW w:w="1537" w:type="dxa"/>
            <w:vMerge w:val="restart"/>
            <w:tcBorders>
              <w:top w:val="nil" w:sz="6" w:space="0" w:color="auto"/>
              <w:left w:val="single" w:sz="4" w:space="0" w:color="000000"/>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9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1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91" w:type="dxa"/>
            <w:vMerge/>
            <w:tcBorders>
              <w:left w:val="single" w:sz="9" w:space="0" w:color="D2D2D2"/>
              <w:bottom w:val="nil" w:sz="6" w:space="0" w:color="auto"/>
              <w:right w:val="single" w:sz="22" w:space="0" w:color="D2D2D2"/>
            </w:tcBorders>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9" w:type="dxa"/>
            <w:vMerge/>
            <w:tcBorders>
              <w:left w:val="single" w:sz="4" w:space="0" w:color="000000"/>
              <w:right w:val="single" w:sz="4" w:space="0" w:color="000000"/>
            </w:tcBorders>
            <w:shd w:val="clear" w:color="auto" w:fill="D2D2D2"/>
          </w:tcPr>
          <w:p>
            <w:pPr/>
          </w:p>
        </w:tc>
        <w:tc>
          <w:tcPr>
            <w:tcW w:w="992" w:type="dxa"/>
            <w:vMerge/>
            <w:tcBorders>
              <w:left w:val="single" w:sz="9" w:space="0" w:color="D2D2D2"/>
              <w:bottom w:val="nil" w:sz="6" w:space="0" w:color="auto"/>
              <w:right w:val="single" w:sz="10" w:space="0" w:color="D2D2D2"/>
            </w:tcBorders>
          </w:tcPr>
          <w:p>
            <w:pPr/>
          </w:p>
        </w:tc>
      </w:tr>
      <w:tr>
        <w:trPr>
          <w:trHeight w:val="202" w:hRule="exact"/>
        </w:trPr>
        <w:tc>
          <w:tcPr>
            <w:tcW w:w="1537"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37"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43"/>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备的应收账款</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21"/>
                <w:szCs w:val="21"/>
              </w:rPr>
            </w:pPr>
            <w:r>
              <w:rPr>
                <w:rFonts w:ascii="宋体"/>
                <w:sz w:val="21"/>
              </w:rPr>
              <w:t>563,378,</w:t>
            </w:r>
          </w:p>
          <w:p>
            <w:pPr>
              <w:pStyle w:val="TableParagraph"/>
              <w:spacing w:line="240" w:lineRule="auto" w:before="38"/>
              <w:ind w:left="330" w:right="0"/>
              <w:jc w:val="left"/>
              <w:rPr>
                <w:rFonts w:ascii="宋体" w:hAnsi="宋体" w:cs="宋体" w:eastAsia="宋体" w:hint="default"/>
                <w:sz w:val="21"/>
                <w:szCs w:val="21"/>
              </w:rPr>
            </w:pPr>
            <w:r>
              <w:rPr>
                <w:rFonts w:ascii="宋体"/>
                <w:sz w:val="21"/>
              </w:rPr>
              <w:t>429.21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83" w:right="0"/>
              <w:jc w:val="left"/>
              <w:rPr>
                <w:rFonts w:ascii="宋体" w:hAnsi="宋体" w:cs="宋体" w:eastAsia="宋体" w:hint="default"/>
                <w:sz w:val="21"/>
                <w:szCs w:val="21"/>
              </w:rPr>
            </w:pPr>
            <w:r>
              <w:rPr>
                <w:rFonts w:ascii="宋体"/>
                <w:sz w:val="21"/>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1" w:right="0"/>
              <w:jc w:val="center"/>
              <w:rPr>
                <w:rFonts w:ascii="宋体" w:hAnsi="宋体" w:cs="宋体" w:eastAsia="宋体" w:hint="default"/>
                <w:sz w:val="21"/>
                <w:szCs w:val="21"/>
              </w:rPr>
            </w:pPr>
            <w:r>
              <w:rPr>
                <w:rFonts w:ascii="宋体"/>
                <w:sz w:val="21"/>
              </w:rPr>
              <w:t>87,327,</w:t>
            </w:r>
          </w:p>
          <w:p>
            <w:pPr>
              <w:pStyle w:val="TableParagraph"/>
              <w:spacing w:line="240" w:lineRule="auto" w:before="38"/>
              <w:ind w:left="165" w:right="0"/>
              <w:jc w:val="center"/>
              <w:rPr>
                <w:rFonts w:ascii="宋体" w:hAnsi="宋体" w:cs="宋体" w:eastAsia="宋体" w:hint="default"/>
                <w:sz w:val="21"/>
                <w:szCs w:val="21"/>
              </w:rPr>
            </w:pPr>
            <w:r>
              <w:rPr>
                <w:rFonts w:ascii="宋体"/>
                <w:sz w:val="21"/>
              </w:rPr>
              <w:t>521.62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28" w:right="0"/>
              <w:jc w:val="left"/>
              <w:rPr>
                <w:rFonts w:ascii="宋体" w:hAnsi="宋体" w:cs="宋体" w:eastAsia="宋体" w:hint="default"/>
                <w:sz w:val="21"/>
                <w:szCs w:val="21"/>
              </w:rPr>
            </w:pPr>
            <w:r>
              <w:rPr>
                <w:rFonts w:ascii="宋体"/>
                <w:sz w:val="21"/>
              </w:rPr>
              <w:t>15.50%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476,050,</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907.59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521,490,</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273.30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83" w:right="0"/>
              <w:jc w:val="left"/>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0" w:right="0"/>
              <w:jc w:val="center"/>
              <w:rPr>
                <w:rFonts w:ascii="宋体" w:hAnsi="宋体" w:cs="宋体" w:eastAsia="宋体" w:hint="default"/>
                <w:sz w:val="21"/>
                <w:szCs w:val="21"/>
              </w:rPr>
            </w:pPr>
            <w:r>
              <w:rPr>
                <w:rFonts w:ascii="宋体"/>
                <w:sz w:val="21"/>
              </w:rPr>
              <w:t>63,632,</w:t>
            </w:r>
          </w:p>
          <w:p>
            <w:pPr>
              <w:pStyle w:val="TableParagraph"/>
              <w:spacing w:line="240" w:lineRule="auto" w:before="38"/>
              <w:ind w:left="164" w:right="0"/>
              <w:jc w:val="center"/>
              <w:rPr>
                <w:rFonts w:ascii="宋体" w:hAnsi="宋体" w:cs="宋体" w:eastAsia="宋体" w:hint="default"/>
                <w:sz w:val="21"/>
                <w:szCs w:val="21"/>
              </w:rPr>
            </w:pPr>
            <w:r>
              <w:rPr>
                <w:rFonts w:ascii="宋体"/>
                <w:sz w:val="21"/>
              </w:rPr>
              <w:t>714.58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6" w:right="0"/>
              <w:jc w:val="left"/>
              <w:rPr>
                <w:rFonts w:ascii="宋体" w:hAnsi="宋体" w:cs="宋体" w:eastAsia="宋体" w:hint="default"/>
                <w:sz w:val="21"/>
                <w:szCs w:val="21"/>
              </w:rPr>
            </w:pPr>
            <w:r>
              <w:rPr>
                <w:rFonts w:ascii="宋体"/>
                <w:sz w:val="21"/>
              </w:rPr>
              <w:t>12.20%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8" w:right="0"/>
              <w:jc w:val="left"/>
              <w:rPr>
                <w:rFonts w:ascii="宋体" w:hAnsi="宋体" w:cs="宋体" w:eastAsia="宋体" w:hint="default"/>
                <w:sz w:val="21"/>
                <w:szCs w:val="21"/>
              </w:rPr>
            </w:pPr>
            <w:r>
              <w:rPr>
                <w:rFonts w:ascii="宋体"/>
                <w:sz w:val="21"/>
              </w:rPr>
              <w:t>457,857,</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558.72</w:t>
            </w:r>
          </w:p>
        </w:tc>
      </w:tr>
      <w:tr>
        <w:trPr>
          <w:trHeight w:val="161" w:hRule="exact"/>
        </w:trPr>
        <w:tc>
          <w:tcPr>
            <w:tcW w:w="15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0" w:space="0" w:color="D2D2D2"/>
              <w:right w:val="single" w:sz="4" w:space="0" w:color="000000"/>
            </w:tcBorders>
          </w:tcPr>
          <w:p>
            <w:pPr>
              <w:pStyle w:val="TableParagraph"/>
              <w:spacing w:line="240" w:lineRule="auto" w:before="26"/>
              <w:ind w:left="124" w:right="0"/>
              <w:jc w:val="left"/>
              <w:rPr>
                <w:rFonts w:ascii="宋体" w:hAnsi="宋体" w:cs="宋体" w:eastAsia="宋体" w:hint="default"/>
                <w:sz w:val="21"/>
                <w:szCs w:val="21"/>
              </w:rPr>
            </w:pPr>
            <w:r>
              <w:rPr>
                <w:rFonts w:ascii="宋体"/>
                <w:sz w:val="21"/>
              </w:rPr>
              <w:t>563,378,</w:t>
            </w:r>
          </w:p>
          <w:p>
            <w:pPr>
              <w:pStyle w:val="TableParagraph"/>
              <w:spacing w:line="240" w:lineRule="auto" w:before="38"/>
              <w:ind w:left="334" w:right="0"/>
              <w:jc w:val="left"/>
              <w:rPr>
                <w:rFonts w:ascii="宋体" w:hAnsi="宋体" w:cs="宋体" w:eastAsia="宋体" w:hint="default"/>
                <w:sz w:val="21"/>
                <w:szCs w:val="21"/>
              </w:rPr>
            </w:pPr>
            <w:r>
              <w:rPr>
                <w:rFonts w:ascii="宋体"/>
                <w:sz w:val="21"/>
              </w:rPr>
              <w:t>429.21</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3" w:right="0"/>
              <w:jc w:val="left"/>
              <w:rPr>
                <w:rFonts w:ascii="宋体" w:hAnsi="宋体" w:cs="宋体" w:eastAsia="宋体" w:hint="default"/>
                <w:sz w:val="21"/>
                <w:szCs w:val="21"/>
              </w:rPr>
            </w:pPr>
            <w:r>
              <w:rPr>
                <w:rFonts w:ascii="宋体"/>
                <w:sz w:val="21"/>
              </w:rPr>
              <w:t>100.00%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26"/>
              <w:ind w:left="61" w:right="0"/>
              <w:jc w:val="center"/>
              <w:rPr>
                <w:rFonts w:ascii="宋体" w:hAnsi="宋体" w:cs="宋体" w:eastAsia="宋体" w:hint="default"/>
                <w:sz w:val="21"/>
                <w:szCs w:val="21"/>
              </w:rPr>
            </w:pPr>
            <w:r>
              <w:rPr>
                <w:rFonts w:ascii="宋体"/>
                <w:sz w:val="21"/>
              </w:rPr>
              <w:t>87,327,</w:t>
            </w:r>
          </w:p>
          <w:p>
            <w:pPr>
              <w:pStyle w:val="TableParagraph"/>
              <w:spacing w:line="240" w:lineRule="auto" w:before="38"/>
              <w:ind w:left="165" w:right="0"/>
              <w:jc w:val="center"/>
              <w:rPr>
                <w:rFonts w:ascii="宋体" w:hAnsi="宋体" w:cs="宋体" w:eastAsia="宋体" w:hint="default"/>
                <w:sz w:val="21"/>
                <w:szCs w:val="21"/>
              </w:rPr>
            </w:pPr>
            <w:r>
              <w:rPr>
                <w:rFonts w:ascii="宋体"/>
                <w:sz w:val="21"/>
              </w:rPr>
              <w:t>521.62</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8" w:right="0"/>
              <w:jc w:val="left"/>
              <w:rPr>
                <w:rFonts w:ascii="宋体" w:hAnsi="宋体" w:cs="宋体" w:eastAsia="宋体" w:hint="default"/>
                <w:sz w:val="21"/>
                <w:szCs w:val="21"/>
              </w:rPr>
            </w:pPr>
            <w:r>
              <w:rPr>
                <w:rFonts w:ascii="宋体"/>
                <w:sz w:val="21"/>
              </w:rPr>
              <w:t>15.50%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476,050,</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907.59</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521,490,</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273.30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3" w:right="0"/>
              <w:jc w:val="left"/>
              <w:rPr>
                <w:rFonts w:ascii="宋体" w:hAnsi="宋体" w:cs="宋体" w:eastAsia="宋体" w:hint="default"/>
                <w:sz w:val="21"/>
                <w:szCs w:val="21"/>
              </w:rPr>
            </w:pPr>
            <w:r>
              <w:rPr>
                <w:rFonts w:ascii="宋体"/>
                <w:sz w:val="21"/>
              </w:rPr>
              <w:t>100.00%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6"/>
              <w:ind w:left="60" w:right="0"/>
              <w:jc w:val="center"/>
              <w:rPr>
                <w:rFonts w:ascii="宋体" w:hAnsi="宋体" w:cs="宋体" w:eastAsia="宋体" w:hint="default"/>
                <w:sz w:val="21"/>
                <w:szCs w:val="21"/>
              </w:rPr>
            </w:pPr>
            <w:r>
              <w:rPr>
                <w:rFonts w:ascii="宋体"/>
                <w:sz w:val="21"/>
              </w:rPr>
              <w:t>63,632,</w:t>
            </w:r>
          </w:p>
          <w:p>
            <w:pPr>
              <w:pStyle w:val="TableParagraph"/>
              <w:spacing w:line="240" w:lineRule="auto" w:before="38"/>
              <w:ind w:left="164" w:right="0"/>
              <w:jc w:val="center"/>
              <w:rPr>
                <w:rFonts w:ascii="宋体" w:hAnsi="宋体" w:cs="宋体" w:eastAsia="宋体" w:hint="default"/>
                <w:sz w:val="21"/>
                <w:szCs w:val="21"/>
              </w:rPr>
            </w:pPr>
            <w:r>
              <w:rPr>
                <w:rFonts w:ascii="宋体"/>
                <w:sz w:val="21"/>
              </w:rPr>
              <w:t>714.58</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6" w:right="0"/>
              <w:jc w:val="left"/>
              <w:rPr>
                <w:rFonts w:ascii="宋体" w:hAnsi="宋体" w:cs="宋体" w:eastAsia="宋体" w:hint="default"/>
                <w:sz w:val="21"/>
                <w:szCs w:val="21"/>
              </w:rPr>
            </w:pPr>
            <w:r>
              <w:rPr>
                <w:rFonts w:ascii="宋体"/>
                <w:sz w:val="21"/>
              </w:rPr>
              <w:t>12.20%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6"/>
              <w:ind w:left="118" w:right="0"/>
              <w:jc w:val="left"/>
              <w:rPr>
                <w:rFonts w:ascii="宋体" w:hAnsi="宋体" w:cs="宋体" w:eastAsia="宋体" w:hint="default"/>
                <w:sz w:val="21"/>
                <w:szCs w:val="21"/>
              </w:rPr>
            </w:pPr>
            <w:r>
              <w:rPr>
                <w:rFonts w:ascii="宋体"/>
                <w:sz w:val="21"/>
              </w:rPr>
              <w:t>457,857,</w:t>
            </w:r>
          </w:p>
          <w:p>
            <w:pPr>
              <w:pStyle w:val="TableParagraph"/>
              <w:spacing w:line="240" w:lineRule="auto" w:before="38"/>
              <w:ind w:left="328" w:right="0"/>
              <w:jc w:val="left"/>
              <w:rPr>
                <w:rFonts w:ascii="宋体" w:hAnsi="宋体" w:cs="宋体" w:eastAsia="宋体" w:hint="default"/>
                <w:sz w:val="21"/>
                <w:szCs w:val="21"/>
              </w:rPr>
            </w:pPr>
            <w:r>
              <w:rPr>
                <w:rFonts w:ascii="宋体"/>
                <w:sz w:val="21"/>
              </w:rPr>
              <w:t>558.72</w:t>
            </w:r>
          </w:p>
        </w:tc>
      </w:tr>
      <w:tr>
        <w:trPr>
          <w:trHeight w:val="392" w:hRule="exact"/>
        </w:trPr>
        <w:tc>
          <w:tcPr>
            <w:tcW w:w="15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04" w:type="dxa"/>
            <w:vMerge/>
            <w:tcBorders>
              <w:left w:val="single" w:sz="10"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161" w:hRule="exact"/>
        </w:trPr>
        <w:tc>
          <w:tcPr>
            <w:tcW w:w="15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10"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540" w:right="0"/>
        </w:sectPr>
      </w:pPr>
    </w:p>
    <w:p>
      <w:pPr>
        <w:pStyle w:val="BodyText"/>
        <w:spacing w:line="240" w:lineRule="auto" w:before="26"/>
        <w:ind w:left="1074" w:right="-20"/>
        <w:jc w:val="left"/>
      </w:pPr>
      <w:r>
        <w:rPr/>
        <w:t>期末单项金额重大并单项计提坏账准备的应收账款：</w:t>
      </w:r>
    </w:p>
    <w:p>
      <w:pPr>
        <w:pStyle w:val="BodyText"/>
        <w:spacing w:line="350" w:lineRule="auto" w:before="146"/>
        <w:ind w:left="1074" w:right="220"/>
        <w:jc w:val="left"/>
      </w:pPr>
      <w:r>
        <w:rPr/>
        <w:t>□ 适用 √ 不适用 组合中，按账龄分析法计提坏账准备的应收账款：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0"/>
        <w:ind w:left="1055" w:right="1110" w:firstLine="0"/>
        <w:jc w:val="center"/>
        <w:rPr>
          <w:rFonts w:ascii="宋体" w:hAnsi="宋体" w:cs="宋体" w:eastAsia="宋体" w:hint="default"/>
          <w:sz w:val="21"/>
          <w:szCs w:val="21"/>
        </w:rPr>
      </w:pPr>
      <w:r>
        <w:rPr>
          <w:rFonts w:ascii="宋体" w:hAnsi="宋体" w:cs="宋体" w:eastAsia="宋体" w:hint="default"/>
          <w:sz w:val="21"/>
          <w:szCs w:val="21"/>
        </w:rPr>
        <w:t>单位： 元</w:t>
      </w:r>
    </w:p>
    <w:p>
      <w:pPr>
        <w:spacing w:after="0"/>
        <w:jc w:val="center"/>
        <w:rPr>
          <w:rFonts w:ascii="宋体" w:hAnsi="宋体" w:cs="宋体" w:eastAsia="宋体" w:hint="default"/>
          <w:sz w:val="21"/>
          <w:szCs w:val="21"/>
        </w:rPr>
        <w:sectPr>
          <w:type w:val="continuous"/>
          <w:pgSz w:w="11910" w:h="16840"/>
          <w:pgMar w:top="1060" w:bottom="1160" w:left="540" w:right="0"/>
          <w:cols w:num="2" w:equalWidth="0">
            <w:col w:w="6595" w:space="1621"/>
            <w:col w:w="3154"/>
          </w:cols>
        </w:sectPr>
      </w:pPr>
    </w:p>
    <w:p>
      <w:pPr>
        <w:spacing w:line="240" w:lineRule="auto" w:before="0"/>
        <w:rPr>
          <w:rFonts w:ascii="宋体" w:hAnsi="宋体" w:cs="宋体" w:eastAsia="宋体" w:hint="default"/>
          <w:sz w:val="7"/>
          <w:szCs w:val="7"/>
        </w:rPr>
      </w:pPr>
    </w:p>
    <w:tbl>
      <w:tblPr>
        <w:tblW w:w="0" w:type="auto"/>
        <w:jc w:val="left"/>
        <w:tblInd w:w="635" w:type="dxa"/>
        <w:tblLayout w:type="fixed"/>
        <w:tblCellMar>
          <w:top w:w="0" w:type="dxa"/>
          <w:left w:w="0" w:type="dxa"/>
          <w:bottom w:w="0" w:type="dxa"/>
          <w:right w:w="0" w:type="dxa"/>
        </w:tblCellMar>
        <w:tblLook w:val="01E0"/>
      </w:tblPr>
      <w:tblGrid>
        <w:gridCol w:w="2382"/>
        <w:gridCol w:w="2392"/>
        <w:gridCol w:w="2392"/>
        <w:gridCol w:w="2393"/>
      </w:tblGrid>
      <w:tr>
        <w:trPr>
          <w:trHeight w:val="206" w:hRule="exact"/>
        </w:trPr>
        <w:tc>
          <w:tcPr>
            <w:tcW w:w="23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1" w:hRule="exact"/>
        </w:trPr>
        <w:tc>
          <w:tcPr>
            <w:tcW w:w="23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2"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7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11" w:hRule="exact"/>
        </w:trPr>
        <w:tc>
          <w:tcPr>
            <w:tcW w:w="23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346,084,442.37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17,304,222.12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346,084,442.37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17,304,222.12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96,250,927.85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9,625,092.79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59,122,705.71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17,736,811.71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30.00%</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61,920,353.28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42,661,395.00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68.90%</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38,087,874.27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22,852,724.56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60.00%</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20,119,042.86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16,095,234.29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80.00%</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3,713,436.15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3,713,436.15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563,378,429.21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87,327,521.62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15.50%</w:t>
            </w:r>
          </w:p>
        </w:tc>
      </w:tr>
    </w:tbl>
    <w:p>
      <w:pPr>
        <w:spacing w:line="240" w:lineRule="auto" w:before="10"/>
        <w:rPr>
          <w:rFonts w:ascii="宋体" w:hAnsi="宋体" w:cs="宋体" w:eastAsia="宋体" w:hint="default"/>
          <w:sz w:val="4"/>
          <w:szCs w:val="4"/>
        </w:rPr>
      </w:pPr>
    </w:p>
    <w:p>
      <w:pPr>
        <w:pStyle w:val="Heading2"/>
        <w:spacing w:line="240" w:lineRule="auto"/>
        <w:ind w:left="1076" w:right="0"/>
        <w:jc w:val="left"/>
        <w:rPr>
          <w:b w:val="0"/>
          <w:bCs w:val="0"/>
        </w:rPr>
      </w:pPr>
      <w:r>
        <w:rPr/>
        <w:t>（</w:t>
      </w:r>
      <w:r>
        <w:rPr>
          <w:rFonts w:ascii="宋体" w:hAnsi="宋体" w:cs="宋体" w:eastAsia="宋体" w:hint="default"/>
        </w:rPr>
        <w:t>2</w:t>
      </w:r>
      <w:r>
        <w:rPr/>
        <w:t>）本期计提、收回或转回的坏账准备情况</w:t>
      </w:r>
      <w:r>
        <w:rPr>
          <w:b w:val="0"/>
          <w:bCs w:val="0"/>
        </w:rPr>
      </w:r>
    </w:p>
    <w:p>
      <w:pPr>
        <w:pStyle w:val="BodyText"/>
        <w:spacing w:line="240" w:lineRule="auto" w:before="146"/>
        <w:ind w:left="1073" w:right="0"/>
        <w:jc w:val="left"/>
      </w:pPr>
      <w:r>
        <w:rPr/>
        <w:t>本期计提坏账准备金额</w:t>
      </w:r>
      <w:r>
        <w:rPr>
          <w:spacing w:val="-60"/>
        </w:rPr>
        <w:t> </w:t>
      </w:r>
      <w:r>
        <w:rPr>
          <w:rFonts w:ascii="宋体" w:hAnsi="宋体" w:cs="宋体" w:eastAsia="宋体" w:hint="default"/>
        </w:rPr>
        <w:t>23,694,807.04</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w:t>
      </w:r>
      <w:r>
        <w:rPr>
          <w:rFonts w:ascii="宋体" w:hAnsi="宋体" w:cs="宋体" w:eastAsia="宋体" w:hint="default"/>
          <w:spacing w:val="-60"/>
        </w:rPr>
        <w:t> </w:t>
      </w:r>
      <w:r>
        <w:rPr/>
        <w:t>元。</w:t>
      </w:r>
    </w:p>
    <w:p>
      <w:pPr>
        <w:pStyle w:val="Heading2"/>
        <w:spacing w:line="350" w:lineRule="auto" w:before="145"/>
        <w:ind w:left="1073" w:right="6523" w:firstLine="2"/>
        <w:jc w:val="left"/>
        <w:rPr>
          <w:rFonts w:ascii="宋体" w:hAnsi="宋体" w:cs="宋体" w:eastAsia="宋体" w:hint="default"/>
          <w:b w:val="0"/>
          <w:bCs w:val="0"/>
        </w:rPr>
      </w:pPr>
      <w:r>
        <w:rPr>
          <w:w w:val="95"/>
        </w:rPr>
        <w:t>（</w:t>
      </w:r>
      <w:r>
        <w:rPr>
          <w:rFonts w:ascii="宋体" w:hAnsi="宋体" w:cs="宋体" w:eastAsia="宋体" w:hint="default"/>
          <w:w w:val="95"/>
        </w:rPr>
        <w:t>3</w:t>
      </w:r>
      <w:r>
        <w:rPr>
          <w:w w:val="95"/>
        </w:rPr>
        <w:t>）本期实际核销的应收账款情况</w:t>
      </w:r>
      <w:r>
        <w:rPr>
          <w:spacing w:val="56"/>
          <w:w w:val="95"/>
        </w:rPr>
        <w:t> </w:t>
      </w:r>
      <w:r>
        <w:rPr>
          <w:rFonts w:ascii="宋体" w:hAnsi="宋体" w:cs="宋体" w:eastAsia="宋体" w:hint="default"/>
          <w:b w:val="0"/>
          <w:bCs w:val="0"/>
        </w:rPr>
        <w:t>无</w:t>
      </w:r>
    </w:p>
    <w:p>
      <w:pPr>
        <w:pStyle w:val="Heading2"/>
        <w:spacing w:line="240" w:lineRule="auto" w:before="36"/>
        <w:ind w:left="1076" w:right="0"/>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4"/>
          <w:szCs w:val="4"/>
        </w:rPr>
      </w:pPr>
    </w:p>
    <w:tbl>
      <w:tblPr>
        <w:tblW w:w="0" w:type="auto"/>
        <w:jc w:val="left"/>
        <w:tblInd w:w="801" w:type="dxa"/>
        <w:tblLayout w:type="fixed"/>
        <w:tblCellMar>
          <w:top w:w="0" w:type="dxa"/>
          <w:left w:w="0" w:type="dxa"/>
          <w:bottom w:w="0" w:type="dxa"/>
          <w:right w:w="0" w:type="dxa"/>
        </w:tblCellMar>
        <w:tblLook w:val="01E0"/>
      </w:tblPr>
      <w:tblGrid>
        <w:gridCol w:w="4112"/>
        <w:gridCol w:w="1559"/>
        <w:gridCol w:w="1560"/>
        <w:gridCol w:w="1984"/>
      </w:tblGrid>
      <w:tr>
        <w:trPr>
          <w:trHeight w:val="171" w:hRule="exact"/>
        </w:trPr>
        <w:tc>
          <w:tcPr>
            <w:tcW w:w="4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92" w:right="39" w:hanging="53"/>
              <w:jc w:val="left"/>
              <w:rPr>
                <w:rFonts w:ascii="宋体" w:hAnsi="宋体" w:cs="宋体" w:eastAsia="宋体" w:hint="default"/>
                <w:sz w:val="21"/>
                <w:szCs w:val="21"/>
              </w:rPr>
            </w:pPr>
            <w:r>
              <w:rPr>
                <w:rFonts w:ascii="宋体" w:hAnsi="宋体" w:cs="宋体" w:eastAsia="宋体" w:hint="default"/>
                <w:sz w:val="21"/>
                <w:szCs w:val="21"/>
              </w:rPr>
              <w:t>占应收账款期末 余额的比例</w:t>
            </w:r>
            <w:r>
              <w:rPr>
                <w:rFonts w:ascii="宋体" w:hAnsi="宋体" w:cs="宋体" w:eastAsia="宋体" w:hint="default"/>
                <w:sz w:val="21"/>
                <w:szCs w:val="21"/>
              </w:rPr>
              <w:t>(%)</w:t>
            </w:r>
          </w:p>
        </w:tc>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1"/>
              <w:ind w:left="252"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488" w:hRule="exact"/>
        </w:trPr>
        <w:tc>
          <w:tcPr>
            <w:tcW w:w="41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0" w:lineRule="exact"/>
              <w:ind w:left="35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0" w:type="dxa"/>
            <w:vMerge/>
            <w:tcBorders>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r>
      <w:tr>
        <w:trPr>
          <w:trHeight w:val="337"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中国铁建电气化局集团有限公司</w:t>
            </w:r>
          </w:p>
        </w:tc>
        <w:tc>
          <w:tcPr>
            <w:tcW w:w="1559"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4"/>
              <w:jc w:val="right"/>
              <w:rPr>
                <w:rFonts w:ascii="宋体" w:hAnsi="宋体" w:cs="宋体" w:eastAsia="宋体" w:hint="default"/>
                <w:sz w:val="21"/>
                <w:szCs w:val="21"/>
              </w:rPr>
            </w:pPr>
            <w:r>
              <w:rPr>
                <w:rFonts w:ascii="宋体"/>
                <w:spacing w:val="-1"/>
                <w:sz w:val="21"/>
              </w:rPr>
              <w:t>57,536,321.77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z w:val="21"/>
              </w:rPr>
              <w:t>10.21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2,876,816.09</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西安铁路局</w:t>
            </w:r>
          </w:p>
        </w:tc>
        <w:tc>
          <w:tcPr>
            <w:tcW w:w="1559" w:type="dxa"/>
            <w:tcBorders>
              <w:top w:val="single" w:sz="4" w:space="0" w:color="000000"/>
              <w:left w:val="single" w:sz="6"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20,582,120.00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3.65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1,029,106.00</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北京全路通信信号研究设计院集团有限公司</w:t>
            </w:r>
          </w:p>
        </w:tc>
        <w:tc>
          <w:tcPr>
            <w:tcW w:w="1559" w:type="dxa"/>
            <w:tcBorders>
              <w:top w:val="single" w:sz="4" w:space="0" w:color="000000"/>
              <w:left w:val="single" w:sz="6"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19,901,863.81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3.53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1,231,740.24</w:t>
            </w:r>
          </w:p>
        </w:tc>
      </w:tr>
    </w:tbl>
    <w:p>
      <w:pPr>
        <w:spacing w:after="0" w:line="271" w:lineRule="exact"/>
        <w:jc w:val="right"/>
        <w:rPr>
          <w:rFonts w:ascii="宋体" w:hAnsi="宋体" w:cs="宋体" w:eastAsia="宋体" w:hint="default"/>
          <w:sz w:val="21"/>
          <w:szCs w:val="21"/>
        </w:rPr>
        <w:sectPr>
          <w:type w:val="continuous"/>
          <w:pgSz w:w="11910" w:h="16840"/>
          <w:pgMar w:top="1060" w:bottom="1160" w:left="540" w:right="0"/>
        </w:sectPr>
      </w:pPr>
    </w:p>
    <w:p>
      <w:pPr>
        <w:spacing w:line="240" w:lineRule="auto" w:before="12"/>
        <w:rPr>
          <w:rFonts w:ascii="宋体" w:hAnsi="宋体" w:cs="宋体" w:eastAsia="宋体" w:hint="default"/>
          <w:b/>
          <w:bCs/>
          <w:sz w:val="28"/>
          <w:szCs w:val="28"/>
        </w:rPr>
      </w:pPr>
    </w:p>
    <w:tbl>
      <w:tblPr>
        <w:tblW w:w="0" w:type="auto"/>
        <w:jc w:val="left"/>
        <w:tblInd w:w="361" w:type="dxa"/>
        <w:tblLayout w:type="fixed"/>
        <w:tblCellMar>
          <w:top w:w="0" w:type="dxa"/>
          <w:left w:w="0" w:type="dxa"/>
          <w:bottom w:w="0" w:type="dxa"/>
          <w:right w:w="0" w:type="dxa"/>
        </w:tblCellMar>
        <w:tblLook w:val="01E0"/>
      </w:tblPr>
      <w:tblGrid>
        <w:gridCol w:w="4112"/>
        <w:gridCol w:w="1559"/>
        <w:gridCol w:w="1560"/>
        <w:gridCol w:w="1984"/>
      </w:tblGrid>
      <w:tr>
        <w:trPr>
          <w:trHeight w:val="337"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北京西南交大盛阳科技有限公司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
              <w:jc w:val="right"/>
              <w:rPr>
                <w:rFonts w:ascii="宋体" w:hAnsi="宋体" w:cs="宋体" w:eastAsia="宋体" w:hint="default"/>
                <w:sz w:val="21"/>
                <w:szCs w:val="21"/>
              </w:rPr>
            </w:pPr>
            <w:r>
              <w:rPr>
                <w:rFonts w:ascii="宋体"/>
                <w:spacing w:val="-1"/>
                <w:sz w:val="21"/>
              </w:rPr>
              <w:t>19,864,667.24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
              <w:jc w:val="right"/>
              <w:rPr>
                <w:rFonts w:ascii="宋体" w:hAnsi="宋体" w:cs="宋体" w:eastAsia="宋体" w:hint="default"/>
                <w:sz w:val="21"/>
                <w:szCs w:val="21"/>
              </w:rPr>
            </w:pPr>
            <w:r>
              <w:rPr>
                <w:rFonts w:ascii="宋体"/>
                <w:sz w:val="21"/>
              </w:rPr>
              <w:t>3.53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2,552,342.17</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国电南瑞科技股份有限公司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pacing w:val="-1"/>
                <w:sz w:val="21"/>
              </w:rPr>
              <w:t>14,528,659.61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2.58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2"/>
              <w:jc w:val="right"/>
              <w:rPr>
                <w:rFonts w:ascii="宋体" w:hAnsi="宋体" w:cs="宋体" w:eastAsia="宋体" w:hint="default"/>
                <w:sz w:val="21"/>
                <w:szCs w:val="21"/>
              </w:rPr>
            </w:pPr>
            <w:r>
              <w:rPr>
                <w:rFonts w:ascii="宋体"/>
                <w:spacing w:val="-1"/>
                <w:sz w:val="21"/>
              </w:rPr>
              <w:t>4,358,597.88</w:t>
            </w:r>
          </w:p>
        </w:tc>
      </w:tr>
      <w:tr>
        <w:trPr>
          <w:trHeight w:val="34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
              <w:jc w:val="right"/>
              <w:rPr>
                <w:rFonts w:ascii="宋体" w:hAnsi="宋体" w:cs="宋体" w:eastAsia="宋体" w:hint="default"/>
                <w:sz w:val="21"/>
                <w:szCs w:val="21"/>
              </w:rPr>
            </w:pPr>
            <w:r>
              <w:rPr>
                <w:rFonts w:ascii="宋体"/>
                <w:sz w:val="21"/>
              </w:rPr>
              <w:t>132,413,632.43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z w:val="21"/>
              </w:rPr>
              <w:t>23.50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
              <w:jc w:val="right"/>
              <w:rPr>
                <w:rFonts w:ascii="宋体" w:hAnsi="宋体" w:cs="宋体" w:eastAsia="宋体" w:hint="default"/>
                <w:sz w:val="21"/>
                <w:szCs w:val="21"/>
              </w:rPr>
            </w:pPr>
            <w:r>
              <w:rPr>
                <w:rFonts w:ascii="宋体"/>
                <w:spacing w:val="-1"/>
                <w:sz w:val="21"/>
              </w:rPr>
              <w:t>12,048,602.38</w:t>
            </w:r>
          </w:p>
        </w:tc>
      </w:tr>
    </w:tbl>
    <w:p>
      <w:pPr>
        <w:spacing w:line="240" w:lineRule="auto" w:before="10"/>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352" w:lineRule="auto"/>
        <w:ind w:left="633" w:right="960" w:firstLine="2"/>
        <w:jc w:val="left"/>
        <w:rPr>
          <w:rFonts w:ascii="宋体" w:hAnsi="宋体" w:cs="宋体" w:eastAsia="宋体" w:hint="default"/>
          <w:b w:val="0"/>
          <w:bCs w:val="0"/>
        </w:rPr>
      </w:pPr>
      <w:r>
        <w:rPr>
          <w:w w:val="95"/>
        </w:rPr>
        <w:t>（</w:t>
      </w:r>
      <w:r>
        <w:rPr>
          <w:rFonts w:ascii="宋体" w:hAnsi="宋体" w:cs="宋体" w:eastAsia="宋体" w:hint="default"/>
          <w:w w:val="95"/>
        </w:rPr>
        <w:t>5</w:t>
      </w:r>
      <w:r>
        <w:rPr>
          <w:w w:val="95"/>
        </w:rPr>
        <w:t>）因金融资产转移而终止确认的应收账款</w:t>
      </w:r>
      <w:r>
        <w:rPr>
          <w:spacing w:val="101"/>
          <w:w w:val="95"/>
        </w:rPr>
        <w:t> </w:t>
      </w:r>
      <w:r>
        <w:rPr>
          <w:rFonts w:ascii="宋体" w:hAnsi="宋体" w:cs="宋体" w:eastAsia="宋体" w:hint="default"/>
          <w:b w:val="0"/>
          <w:bCs w:val="0"/>
        </w:rPr>
        <w:t>无</w:t>
      </w:r>
    </w:p>
    <w:p>
      <w:pPr>
        <w:pStyle w:val="Heading2"/>
        <w:spacing w:line="350" w:lineRule="auto" w:before="32"/>
        <w:ind w:left="633" w:right="41" w:firstLine="2"/>
        <w:jc w:val="left"/>
        <w:rPr>
          <w:rFonts w:ascii="宋体" w:hAnsi="宋体" w:cs="宋体" w:eastAsia="宋体" w:hint="default"/>
          <w:b w:val="0"/>
          <w:bCs w:val="0"/>
        </w:rPr>
      </w:pPr>
      <w:r>
        <w:rPr>
          <w:w w:val="95"/>
        </w:rPr>
        <w:t>（</w:t>
      </w:r>
      <w:r>
        <w:rPr>
          <w:rFonts w:ascii="宋体" w:hAnsi="宋体" w:cs="宋体" w:eastAsia="宋体" w:hint="default"/>
          <w:w w:val="95"/>
        </w:rPr>
        <w:t>6</w:t>
      </w:r>
      <w:r>
        <w:rPr>
          <w:w w:val="95"/>
        </w:rPr>
        <w:t>）转移应收账款且继续涉入形成的资产、负债金额 </w:t>
      </w:r>
      <w:r>
        <w:rPr>
          <w:spacing w:val="30"/>
          <w:w w:val="95"/>
        </w:rPr>
        <w:t> </w:t>
      </w:r>
      <w:r>
        <w:rPr>
          <w:rFonts w:ascii="宋体" w:hAnsi="宋体" w:cs="宋体" w:eastAsia="宋体" w:hint="default"/>
          <w:b w:val="0"/>
          <w:bCs w:val="0"/>
        </w:rPr>
        <w:t>无</w:t>
      </w:r>
    </w:p>
    <w:p>
      <w:pPr>
        <w:pStyle w:val="Heading2"/>
        <w:spacing w:line="240" w:lineRule="auto" w:before="36"/>
        <w:ind w:right="960"/>
        <w:jc w:val="left"/>
        <w:rPr>
          <w:b w:val="0"/>
          <w:bCs w:val="0"/>
        </w:rPr>
      </w:pPr>
      <w:r>
        <w:rPr>
          <w:rFonts w:ascii="宋体" w:hAnsi="宋体" w:cs="宋体" w:eastAsia="宋体" w:hint="default"/>
        </w:rPr>
        <w:t>6</w:t>
      </w:r>
      <w:r>
        <w:rPr/>
        <w:t>、预付款项</w:t>
      </w:r>
      <w:r>
        <w:rPr>
          <w:b w:val="0"/>
          <w:bCs w:val="0"/>
        </w:rPr>
      </w:r>
    </w:p>
    <w:p>
      <w:pPr>
        <w:pStyle w:val="Heading2"/>
        <w:spacing w:line="240" w:lineRule="auto" w:before="145"/>
        <w:ind w:right="960"/>
        <w:jc w:val="left"/>
        <w:rPr>
          <w:b w:val="0"/>
          <w:bCs w:val="0"/>
        </w:rPr>
      </w:pPr>
      <w:r>
        <w:rPr/>
        <w:t>（</w:t>
      </w:r>
      <w:r>
        <w:rPr>
          <w:rFonts w:ascii="宋体" w:hAnsi="宋体" w:cs="宋体" w:eastAsia="宋体" w:hint="default"/>
        </w:rPr>
        <w:t>1</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6296" w:space="1919"/>
            <w:col w:w="2715"/>
          </w:cols>
        </w:sectPr>
      </w:pPr>
    </w:p>
    <w:p>
      <w:pPr>
        <w:spacing w:line="240" w:lineRule="auto" w:before="0"/>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11,294,309.44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20,601,035.93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93.35%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2,877,127.70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809,802.00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581,575.00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126,270.00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76,689.00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z w:val="21"/>
              </w:rPr>
              <w:t>14,297,707.14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z w:val="21"/>
              </w:rPr>
              <w:t>22,069,101.93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26"/>
        <w:ind w:left="634" w:right="1153"/>
        <w:jc w:val="left"/>
      </w:pP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年且金额重要的预付款项未及时结算原因的说明：</w:t>
      </w:r>
    </w:p>
    <w:p>
      <w:pPr>
        <w:spacing w:line="240" w:lineRule="auto" w:before="5"/>
        <w:rPr>
          <w:rFonts w:ascii="宋体" w:hAnsi="宋体" w:cs="宋体" w:eastAsia="宋体" w:hint="default"/>
          <w:sz w:val="4"/>
          <w:szCs w:val="4"/>
        </w:rPr>
      </w:pPr>
    </w:p>
    <w:tbl>
      <w:tblPr>
        <w:tblW w:w="0" w:type="auto"/>
        <w:jc w:val="left"/>
        <w:tblInd w:w="434" w:type="dxa"/>
        <w:tblLayout w:type="fixed"/>
        <w:tblCellMar>
          <w:top w:w="0" w:type="dxa"/>
          <w:left w:w="0" w:type="dxa"/>
          <w:bottom w:w="0" w:type="dxa"/>
          <w:right w:w="0" w:type="dxa"/>
        </w:tblCellMar>
        <w:tblLook w:val="01E0"/>
      </w:tblPr>
      <w:tblGrid>
        <w:gridCol w:w="4051"/>
        <w:gridCol w:w="1750"/>
        <w:gridCol w:w="1534"/>
        <w:gridCol w:w="1734"/>
      </w:tblGrid>
      <w:tr>
        <w:trPr>
          <w:trHeight w:val="36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50"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b/>
                <w:bCs/>
                <w:sz w:val="21"/>
                <w:szCs w:val="21"/>
              </w:rPr>
              <w:t>未及时结算原因</w:t>
            </w:r>
            <w:r>
              <w:rPr>
                <w:rFonts w:ascii="宋体" w:hAnsi="宋体" w:cs="宋体" w:eastAsia="宋体" w:hint="default"/>
                <w:sz w:val="21"/>
                <w:szCs w:val="21"/>
              </w:rPr>
            </w:r>
          </w:p>
        </w:tc>
      </w:tr>
      <w:tr>
        <w:trPr>
          <w:trHeight w:val="40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中铁建电气化局集团科技有限公司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w w:val="80"/>
                <w:sz w:val="21"/>
              </w:rPr>
              <w:t>800,000.00</w:t>
            </w:r>
            <w:r>
              <w:rPr>
                <w:rFonts w:ascii="Arial"/>
                <w:spacing w:val="-1"/>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6" w:right="0"/>
              <w:jc w:val="left"/>
              <w:rPr>
                <w:rFonts w:ascii="宋体" w:hAnsi="宋体" w:cs="宋体" w:eastAsia="宋体" w:hint="default"/>
                <w:sz w:val="21"/>
                <w:szCs w:val="21"/>
              </w:rPr>
            </w:pPr>
            <w:r>
              <w:rPr>
                <w:rFonts w:ascii="Arial" w:hAnsi="Arial" w:cs="Arial" w:eastAsia="Arial" w:hint="default"/>
                <w:w w:val="95"/>
                <w:sz w:val="21"/>
                <w:szCs w:val="21"/>
              </w:rPr>
              <w:t>1-2</w:t>
            </w:r>
            <w:r>
              <w:rPr>
                <w:rFonts w:ascii="Arial" w:hAnsi="Arial" w:cs="Arial" w:eastAsia="Arial" w:hint="default"/>
                <w:spacing w:val="-33"/>
                <w:w w:val="95"/>
                <w:sz w:val="21"/>
                <w:szCs w:val="21"/>
              </w:rPr>
              <w:t> </w:t>
            </w:r>
            <w:r>
              <w:rPr>
                <w:rFonts w:ascii="宋体" w:hAnsi="宋体" w:cs="宋体" w:eastAsia="宋体" w:hint="default"/>
                <w:w w:val="95"/>
                <w:sz w:val="21"/>
                <w:szCs w:val="21"/>
              </w:rPr>
              <w:t>年</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广州铁路</w:t>
            </w:r>
            <w:r>
              <w:rPr>
                <w:rFonts w:ascii="Times New Roman" w:hAnsi="Times New Roman" w:cs="Times New Roman" w:eastAsia="Times New Roman" w:hint="default"/>
                <w:sz w:val="21"/>
                <w:szCs w:val="21"/>
              </w:rPr>
              <w:t>(</w:t>
            </w:r>
            <w:r>
              <w:rPr>
                <w:rFonts w:ascii="宋体" w:hAnsi="宋体" w:cs="宋体" w:eastAsia="宋体" w:hint="default"/>
                <w:sz w:val="21"/>
                <w:szCs w:val="21"/>
              </w:rPr>
              <w:t>集团</w:t>
            </w:r>
            <w:r>
              <w:rPr>
                <w:rFonts w:ascii="Times New Roman" w:hAnsi="Times New Roman" w:cs="Times New Roman" w:eastAsia="Times New Roman" w:hint="default"/>
                <w:sz w:val="21"/>
                <w:szCs w:val="21"/>
              </w:rPr>
              <w:t>)</w:t>
            </w:r>
            <w:r>
              <w:rPr>
                <w:rFonts w:ascii="宋体" w:hAnsi="宋体" w:cs="宋体" w:eastAsia="宋体" w:hint="default"/>
                <w:sz w:val="21"/>
                <w:szCs w:val="21"/>
              </w:rPr>
              <w:t>公司财务集中核算管理所</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w w:val="80"/>
                <w:sz w:val="21"/>
              </w:rPr>
              <w:t>350,000.00</w:t>
            </w:r>
            <w:r>
              <w:rPr>
                <w:rFonts w:ascii="Arial"/>
                <w:spacing w:val="-1"/>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06" w:right="0"/>
              <w:jc w:val="left"/>
              <w:rPr>
                <w:rFonts w:ascii="宋体" w:hAnsi="宋体" w:cs="宋体" w:eastAsia="宋体" w:hint="default"/>
                <w:sz w:val="21"/>
                <w:szCs w:val="21"/>
              </w:rPr>
            </w:pPr>
            <w:r>
              <w:rPr>
                <w:rFonts w:ascii="Arial" w:hAnsi="Arial" w:cs="Arial" w:eastAsia="Arial" w:hint="default"/>
                <w:w w:val="95"/>
                <w:sz w:val="21"/>
                <w:szCs w:val="21"/>
              </w:rPr>
              <w:t>1-2</w:t>
            </w:r>
            <w:r>
              <w:rPr>
                <w:rFonts w:ascii="Arial" w:hAnsi="Arial" w:cs="Arial" w:eastAsia="Arial" w:hint="default"/>
                <w:spacing w:val="-33"/>
                <w:w w:val="95"/>
                <w:sz w:val="21"/>
                <w:szCs w:val="21"/>
              </w:rPr>
              <w:t> </w:t>
            </w:r>
            <w:r>
              <w:rPr>
                <w:rFonts w:ascii="宋体" w:hAnsi="宋体" w:cs="宋体" w:eastAsia="宋体" w:hint="default"/>
                <w:w w:val="95"/>
                <w:sz w:val="21"/>
                <w:szCs w:val="21"/>
              </w:rPr>
              <w:t>年</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中铁电气化局集团物资贸易有限公司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w w:val="80"/>
                <w:sz w:val="21"/>
              </w:rPr>
              <w:t>303,000.00</w:t>
            </w:r>
            <w:r>
              <w:rPr>
                <w:rFonts w:ascii="Arial"/>
                <w:spacing w:val="-1"/>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06" w:right="0"/>
              <w:jc w:val="left"/>
              <w:rPr>
                <w:rFonts w:ascii="宋体" w:hAnsi="宋体" w:cs="宋体" w:eastAsia="宋体" w:hint="default"/>
                <w:sz w:val="21"/>
                <w:szCs w:val="21"/>
              </w:rPr>
            </w:pPr>
            <w:r>
              <w:rPr>
                <w:rFonts w:ascii="Arial" w:hAnsi="Arial" w:cs="Arial" w:eastAsia="Arial" w:hint="default"/>
                <w:w w:val="95"/>
                <w:sz w:val="21"/>
                <w:szCs w:val="21"/>
              </w:rPr>
              <w:t>1-2</w:t>
            </w:r>
            <w:r>
              <w:rPr>
                <w:rFonts w:ascii="Arial" w:hAnsi="Arial" w:cs="Arial" w:eastAsia="Arial" w:hint="default"/>
                <w:spacing w:val="-33"/>
                <w:w w:val="95"/>
                <w:sz w:val="21"/>
                <w:szCs w:val="21"/>
              </w:rPr>
              <w:t> </w:t>
            </w:r>
            <w:r>
              <w:rPr>
                <w:rFonts w:ascii="宋体" w:hAnsi="宋体" w:cs="宋体" w:eastAsia="宋体" w:hint="default"/>
                <w:w w:val="95"/>
                <w:sz w:val="21"/>
                <w:szCs w:val="21"/>
              </w:rPr>
              <w:t>年</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北京铁通康达铁路通信信号设备有限公司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w w:val="80"/>
                <w:sz w:val="21"/>
              </w:rPr>
              <w:t>256,231.00</w:t>
            </w:r>
            <w:r>
              <w:rPr>
                <w:rFonts w:ascii="Arial"/>
                <w:spacing w:val="-1"/>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06" w:right="0"/>
              <w:jc w:val="left"/>
              <w:rPr>
                <w:rFonts w:ascii="宋体" w:hAnsi="宋体" w:cs="宋体" w:eastAsia="宋体" w:hint="default"/>
                <w:sz w:val="21"/>
                <w:szCs w:val="21"/>
              </w:rPr>
            </w:pPr>
            <w:r>
              <w:rPr>
                <w:rFonts w:ascii="Arial" w:hAnsi="Arial" w:cs="Arial" w:eastAsia="Arial" w:hint="default"/>
                <w:w w:val="95"/>
                <w:sz w:val="21"/>
                <w:szCs w:val="21"/>
              </w:rPr>
              <w:t>1-2</w:t>
            </w:r>
            <w:r>
              <w:rPr>
                <w:rFonts w:ascii="Arial" w:hAnsi="Arial" w:cs="Arial" w:eastAsia="Arial" w:hint="default"/>
                <w:spacing w:val="-33"/>
                <w:w w:val="95"/>
                <w:sz w:val="21"/>
                <w:szCs w:val="21"/>
              </w:rPr>
              <w:t> </w:t>
            </w:r>
            <w:r>
              <w:rPr>
                <w:rFonts w:ascii="宋体" w:hAnsi="宋体" w:cs="宋体" w:eastAsia="宋体" w:hint="default"/>
                <w:w w:val="95"/>
                <w:sz w:val="21"/>
                <w:szCs w:val="21"/>
              </w:rPr>
              <w:t>年</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中国神华国际工程有限公司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21"/>
                <w:szCs w:val="21"/>
              </w:rPr>
            </w:pPr>
            <w:r>
              <w:rPr>
                <w:rFonts w:ascii="Arial"/>
                <w:spacing w:val="-1"/>
                <w:w w:val="80"/>
                <w:sz w:val="21"/>
              </w:rPr>
              <w:t>241,000.00</w:t>
            </w:r>
            <w:r>
              <w:rPr>
                <w:rFonts w:ascii="Arial"/>
                <w:spacing w:val="-1"/>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06" w:right="0"/>
              <w:jc w:val="left"/>
              <w:rPr>
                <w:rFonts w:ascii="宋体" w:hAnsi="宋体" w:cs="宋体" w:eastAsia="宋体" w:hint="default"/>
                <w:sz w:val="21"/>
                <w:szCs w:val="21"/>
              </w:rPr>
            </w:pPr>
            <w:r>
              <w:rPr>
                <w:rFonts w:ascii="Arial" w:hAnsi="Arial" w:cs="Arial" w:eastAsia="Arial" w:hint="default"/>
                <w:w w:val="95"/>
                <w:sz w:val="21"/>
                <w:szCs w:val="21"/>
              </w:rPr>
              <w:t>1-2</w:t>
            </w:r>
            <w:r>
              <w:rPr>
                <w:rFonts w:ascii="Arial" w:hAnsi="Arial" w:cs="Arial" w:eastAsia="Arial" w:hint="default"/>
                <w:spacing w:val="-33"/>
                <w:w w:val="95"/>
                <w:sz w:val="21"/>
                <w:szCs w:val="21"/>
              </w:rPr>
              <w:t> </w:t>
            </w:r>
            <w:r>
              <w:rPr>
                <w:rFonts w:ascii="宋体" w:hAnsi="宋体" w:cs="宋体" w:eastAsia="宋体" w:hint="default"/>
                <w:w w:val="95"/>
                <w:sz w:val="21"/>
                <w:szCs w:val="21"/>
              </w:rPr>
              <w:t>年</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362" w:hRule="exact"/>
        </w:trPr>
        <w:tc>
          <w:tcPr>
            <w:tcW w:w="4051"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21"/>
                <w:szCs w:val="21"/>
              </w:rPr>
            </w:pPr>
            <w:r>
              <w:rPr>
                <w:rFonts w:ascii="Arial"/>
                <w:spacing w:val="-1"/>
                <w:w w:val="80"/>
                <w:sz w:val="21"/>
              </w:rPr>
              <w:t>1,950,231.00</w:t>
            </w:r>
            <w:r>
              <w:rPr>
                <w:rFonts w:ascii="Arial"/>
                <w:spacing w:val="-1"/>
                <w:sz w:val="21"/>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240" w:lineRule="auto"/>
        <w:ind w:right="1153"/>
        <w:jc w:val="left"/>
        <w:rPr>
          <w:b w:val="0"/>
          <w:bCs w:val="0"/>
        </w:rPr>
      </w:pPr>
      <w:r>
        <w:rPr/>
        <w:t>（</w:t>
      </w:r>
      <w:r>
        <w:rPr>
          <w:rFonts w:ascii="宋体" w:hAnsi="宋体" w:cs="宋体" w:eastAsia="宋体" w:hint="default"/>
        </w:rPr>
        <w:t>2</w:t>
      </w:r>
      <w:r>
        <w:rPr/>
        <w:t>）按预付对象归集的期末余额前五名的预付款情况</w:t>
      </w:r>
      <w:r>
        <w:rPr>
          <w:b w:val="0"/>
          <w:bCs w:val="0"/>
        </w:rPr>
      </w:r>
    </w:p>
    <w:p>
      <w:pPr>
        <w:spacing w:line="240" w:lineRule="auto" w:before="6"/>
        <w:rPr>
          <w:rFonts w:ascii="宋体" w:hAnsi="宋体" w:cs="宋体" w:eastAsia="宋体" w:hint="default"/>
          <w:b/>
          <w:bCs/>
          <w:sz w:val="4"/>
          <w:szCs w:val="4"/>
        </w:rPr>
      </w:pPr>
    </w:p>
    <w:tbl>
      <w:tblPr>
        <w:tblW w:w="0" w:type="auto"/>
        <w:jc w:val="left"/>
        <w:tblInd w:w="314" w:type="dxa"/>
        <w:tblLayout w:type="fixed"/>
        <w:tblCellMar>
          <w:top w:w="0" w:type="dxa"/>
          <w:left w:w="0" w:type="dxa"/>
          <w:bottom w:w="0" w:type="dxa"/>
          <w:right w:w="0" w:type="dxa"/>
        </w:tblCellMar>
        <w:tblLook w:val="01E0"/>
      </w:tblPr>
      <w:tblGrid>
        <w:gridCol w:w="4026"/>
        <w:gridCol w:w="1481"/>
        <w:gridCol w:w="1416"/>
        <w:gridCol w:w="1050"/>
        <w:gridCol w:w="1334"/>
      </w:tblGrid>
      <w:tr>
        <w:trPr>
          <w:trHeight w:val="634"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3" w:right="0"/>
              <w:jc w:val="left"/>
              <w:rPr>
                <w:rFonts w:ascii="宋体" w:hAnsi="宋体" w:cs="宋体" w:eastAsia="宋体" w:hint="default"/>
                <w:sz w:val="21"/>
                <w:szCs w:val="21"/>
              </w:rPr>
            </w:pPr>
            <w:r>
              <w:rPr>
                <w:rFonts w:ascii="宋体" w:hAnsi="宋体" w:cs="宋体" w:eastAsia="宋体" w:hint="default"/>
                <w:b/>
                <w:bCs/>
                <w:sz w:val="21"/>
                <w:szCs w:val="21"/>
              </w:rPr>
              <w:t>期末金额</w:t>
            </w:r>
            <w:r>
              <w:rPr>
                <w:rFonts w:ascii="宋体" w:hAnsi="宋体" w:cs="宋体" w:eastAsia="宋体"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147" w:right="70" w:hanging="77"/>
              <w:jc w:val="left"/>
              <w:rPr>
                <w:rFonts w:ascii="Trebuchet MS" w:hAnsi="Trebuchet MS" w:cs="Trebuchet MS" w:eastAsia="Trebuchet MS" w:hint="default"/>
                <w:sz w:val="21"/>
                <w:szCs w:val="21"/>
              </w:rPr>
            </w:pPr>
            <w:r>
              <w:rPr>
                <w:rFonts w:ascii="宋体" w:hAnsi="宋体" w:cs="宋体" w:eastAsia="宋体" w:hint="default"/>
                <w:b/>
                <w:bCs/>
                <w:sz w:val="21"/>
                <w:szCs w:val="21"/>
              </w:rPr>
              <w:t>占预付账款总</w:t>
            </w:r>
            <w:r>
              <w:rPr>
                <w:rFonts w:ascii="宋体" w:hAnsi="宋体" w:cs="宋体" w:eastAsia="宋体" w:hint="default"/>
                <w:b/>
                <w:bCs/>
                <w:w w:val="99"/>
                <w:sz w:val="21"/>
                <w:szCs w:val="21"/>
              </w:rPr>
              <w:t> </w:t>
            </w:r>
            <w:r>
              <w:rPr>
                <w:rFonts w:ascii="宋体" w:hAnsi="宋体" w:cs="宋体" w:eastAsia="宋体" w:hint="default"/>
                <w:b/>
                <w:bCs/>
                <w:sz w:val="21"/>
                <w:szCs w:val="21"/>
              </w:rPr>
              <w:t>额的比例</w:t>
            </w:r>
            <w:r>
              <w:rPr>
                <w:rFonts w:ascii="Trebuchet MS" w:hAnsi="Trebuchet MS" w:cs="Trebuchet MS" w:eastAsia="Trebuchet MS" w:hint="default"/>
                <w:b/>
                <w:bCs/>
                <w:sz w:val="21"/>
                <w:szCs w:val="21"/>
              </w:rPr>
              <w:t>(%)</w:t>
            </w:r>
            <w:r>
              <w:rPr>
                <w:rFonts w:ascii="Trebuchet MS" w:hAnsi="Trebuchet MS" w:cs="Trebuchet MS" w:eastAsia="Trebuchet MS" w:hint="default"/>
                <w:sz w:val="21"/>
                <w:szCs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309" w:right="200" w:hanging="106"/>
              <w:jc w:val="left"/>
              <w:rPr>
                <w:rFonts w:ascii="宋体" w:hAnsi="宋体" w:cs="宋体" w:eastAsia="宋体" w:hint="default"/>
                <w:sz w:val="21"/>
                <w:szCs w:val="21"/>
              </w:rPr>
            </w:pPr>
            <w:r>
              <w:rPr>
                <w:rFonts w:ascii="宋体" w:hAnsi="宋体" w:cs="宋体" w:eastAsia="宋体" w:hint="default"/>
                <w:b/>
                <w:bCs/>
                <w:sz w:val="21"/>
                <w:szCs w:val="21"/>
              </w:rPr>
              <w:t>预付款</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时间</w:t>
            </w:r>
            <w:r>
              <w:rPr>
                <w:rFonts w:ascii="宋体" w:hAnsi="宋体" w:cs="宋体" w:eastAsia="宋体" w:hint="default"/>
                <w:sz w:val="21"/>
                <w:szCs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未结算原因</w:t>
            </w:r>
            <w:r>
              <w:rPr>
                <w:rFonts w:ascii="宋体" w:hAnsi="宋体" w:cs="宋体" w:eastAsia="宋体" w:hint="default"/>
                <w:sz w:val="21"/>
                <w:szCs w:val="21"/>
              </w:rPr>
            </w:r>
          </w:p>
        </w:tc>
      </w:tr>
      <w:tr>
        <w:trPr>
          <w:trHeight w:val="362"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中铁建电气化局集团科技有限公司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Arial" w:hAnsi="Arial" w:cs="Arial" w:eastAsia="Arial" w:hint="default"/>
                <w:sz w:val="21"/>
                <w:szCs w:val="21"/>
              </w:rPr>
            </w:pPr>
            <w:r>
              <w:rPr>
                <w:rFonts w:ascii="Arial"/>
                <w:spacing w:val="-1"/>
                <w:w w:val="80"/>
                <w:sz w:val="21"/>
              </w:rPr>
              <w:t>2,250,000.00</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w w:val="80"/>
                <w:sz w:val="21"/>
              </w:rPr>
              <w:t>15.74</w:t>
            </w:r>
            <w:r>
              <w:rPr>
                <w:rFonts w:ascii="Arial"/>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30"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27"/>
                <w:sz w:val="21"/>
                <w:szCs w:val="21"/>
              </w:rPr>
              <w:t> </w:t>
            </w:r>
            <w:r>
              <w:rPr>
                <w:rFonts w:ascii="宋体" w:hAnsi="宋体" w:cs="宋体" w:eastAsia="宋体" w:hint="default"/>
                <w:sz w:val="21"/>
                <w:szCs w:val="21"/>
              </w:rPr>
              <w:t>年以内</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362"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西安融盛铁路成套设备有限责任公司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Arial" w:hAnsi="Arial" w:cs="Arial" w:eastAsia="Arial" w:hint="default"/>
                <w:sz w:val="21"/>
                <w:szCs w:val="21"/>
              </w:rPr>
            </w:pPr>
            <w:r>
              <w:rPr>
                <w:rFonts w:ascii="Arial"/>
                <w:spacing w:val="-1"/>
                <w:w w:val="80"/>
                <w:sz w:val="21"/>
              </w:rPr>
              <w:t>1,724,723.50</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w w:val="80"/>
                <w:sz w:val="21"/>
              </w:rPr>
              <w:t>12.06</w:t>
            </w:r>
            <w:r>
              <w:rPr>
                <w:rFonts w:ascii="Arial"/>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3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27"/>
                <w:sz w:val="21"/>
                <w:szCs w:val="21"/>
              </w:rPr>
              <w:t> </w:t>
            </w:r>
            <w:r>
              <w:rPr>
                <w:rFonts w:ascii="宋体" w:hAnsi="宋体" w:cs="宋体" w:eastAsia="宋体" w:hint="default"/>
                <w:sz w:val="21"/>
                <w:szCs w:val="21"/>
              </w:rPr>
              <w:t>年以内</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363"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北京铁通康达铁路通信信号设备有限公司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Arial" w:hAnsi="Arial" w:cs="Arial" w:eastAsia="Arial" w:hint="default"/>
                <w:sz w:val="21"/>
                <w:szCs w:val="21"/>
              </w:rPr>
            </w:pPr>
            <w:r>
              <w:rPr>
                <w:rFonts w:ascii="Arial"/>
                <w:spacing w:val="-1"/>
                <w:w w:val="80"/>
                <w:sz w:val="21"/>
              </w:rPr>
              <w:t>1,457,400.00</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w w:val="80"/>
                <w:sz w:val="21"/>
              </w:rPr>
              <w:t>10.19</w:t>
            </w:r>
            <w:r>
              <w:rPr>
                <w:rFonts w:ascii="Arial"/>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0"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27"/>
                <w:sz w:val="21"/>
                <w:szCs w:val="21"/>
              </w:rPr>
              <w:t> </w:t>
            </w:r>
            <w:r>
              <w:rPr>
                <w:rFonts w:ascii="宋体" w:hAnsi="宋体" w:cs="宋体" w:eastAsia="宋体" w:hint="default"/>
                <w:sz w:val="21"/>
                <w:szCs w:val="21"/>
              </w:rPr>
              <w:t>年以内</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362"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中铁电气化局集团物资贸易有限公司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spacing w:val="-1"/>
                <w:w w:val="80"/>
                <w:sz w:val="21"/>
              </w:rPr>
              <w:t>725,000.00</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w w:val="80"/>
                <w:sz w:val="21"/>
              </w:rPr>
              <w:t>5.07</w:t>
            </w:r>
            <w:r>
              <w:rPr>
                <w:rFonts w:ascii="Arial"/>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30"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27"/>
                <w:sz w:val="21"/>
                <w:szCs w:val="21"/>
              </w:rPr>
              <w:t> </w:t>
            </w:r>
            <w:r>
              <w:rPr>
                <w:rFonts w:ascii="宋体" w:hAnsi="宋体" w:cs="宋体" w:eastAsia="宋体" w:hint="default"/>
                <w:sz w:val="21"/>
                <w:szCs w:val="21"/>
              </w:rPr>
              <w:t>年以内</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362"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镇江市东奇电器有限公司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spacing w:val="-1"/>
                <w:w w:val="80"/>
                <w:sz w:val="21"/>
              </w:rPr>
              <w:t>721,178.00</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w w:val="80"/>
                <w:sz w:val="21"/>
              </w:rPr>
              <w:t>5.04</w:t>
            </w:r>
            <w:r>
              <w:rPr>
                <w:rFonts w:ascii="Arial"/>
                <w:sz w:val="21"/>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3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27"/>
                <w:sz w:val="21"/>
                <w:szCs w:val="21"/>
              </w:rPr>
              <w:t> </w:t>
            </w:r>
            <w:r>
              <w:rPr>
                <w:rFonts w:ascii="宋体" w:hAnsi="宋体" w:cs="宋体" w:eastAsia="宋体" w:hint="default"/>
                <w:sz w:val="21"/>
                <w:szCs w:val="21"/>
              </w:rPr>
              <w:t>年以内</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所购货物未到</w:t>
            </w:r>
          </w:p>
        </w:tc>
      </w:tr>
      <w:tr>
        <w:trPr>
          <w:trHeight w:val="362"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spacing w:val="-1"/>
                <w:w w:val="80"/>
                <w:sz w:val="21"/>
              </w:rPr>
              <w:t>6,878,301.50</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w w:val="80"/>
                <w:sz w:val="21"/>
              </w:rPr>
              <w:t>48.10</w:t>
            </w:r>
            <w:r>
              <w:rPr>
                <w:rFonts w:ascii="Arial"/>
                <w:sz w:val="21"/>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宋体" w:hAnsi="宋体" w:cs="宋体" w:eastAsia="宋体" w:hint="default"/>
          <w:b/>
          <w:bCs/>
          <w:sz w:val="20"/>
          <w:szCs w:val="20"/>
        </w:rPr>
      </w:pPr>
    </w:p>
    <w:p>
      <w:pPr>
        <w:pStyle w:val="Heading2"/>
        <w:spacing w:line="240" w:lineRule="auto" w:before="199"/>
        <w:ind w:left="936" w:right="1117"/>
        <w:jc w:val="left"/>
        <w:rPr>
          <w:b w:val="0"/>
          <w:bCs w:val="0"/>
        </w:rPr>
      </w:pPr>
      <w:r>
        <w:rPr/>
        <w:t>其他说明：</w:t>
      </w:r>
      <w:r>
        <w:rPr>
          <w:b w:val="0"/>
          <w:bCs w:val="0"/>
        </w:rPr>
      </w:r>
    </w:p>
    <w:p>
      <w:pPr>
        <w:pStyle w:val="BodyText"/>
        <w:spacing w:line="352" w:lineRule="auto" w:before="145"/>
        <w:ind w:left="454" w:right="1117" w:firstLine="480"/>
        <w:jc w:val="left"/>
      </w:pPr>
      <w:r>
        <w:rPr/>
        <w:t>期末预付款项中无持本公司</w:t>
      </w:r>
      <w:r>
        <w:rPr>
          <w:spacing w:val="-56"/>
        </w:rPr>
        <w:t> </w:t>
      </w:r>
      <w:r>
        <w:rPr>
          <w:rFonts w:ascii="宋体" w:hAnsi="宋体" w:cs="宋体" w:eastAsia="宋体" w:hint="default"/>
          <w:spacing w:val="-5"/>
        </w:rPr>
        <w:t>5</w:t>
      </w:r>
      <w:r>
        <w:rPr>
          <w:spacing w:val="-5"/>
        </w:rPr>
        <w:t>％以上（含</w:t>
      </w:r>
      <w:r>
        <w:rPr>
          <w:spacing w:val="-56"/>
        </w:rPr>
        <w:t> </w:t>
      </w:r>
      <w:r>
        <w:rPr>
          <w:rFonts w:ascii="宋体" w:hAnsi="宋体" w:cs="宋体" w:eastAsia="宋体" w:hint="default"/>
          <w:spacing w:val="-3"/>
        </w:rPr>
        <w:t>5</w:t>
      </w:r>
      <w:r>
        <w:rPr>
          <w:spacing w:val="-3"/>
        </w:rPr>
        <w:t>％）表决权股份的股东单位欠款，无预付其他</w:t>
      </w:r>
      <w:r>
        <w:rPr/>
        <w:t> 关联方款项。</w:t>
      </w:r>
    </w:p>
    <w:p>
      <w:pPr>
        <w:pStyle w:val="Heading2"/>
        <w:spacing w:line="350" w:lineRule="auto" w:before="33"/>
        <w:ind w:left="934" w:right="8944" w:firstLine="2"/>
        <w:jc w:val="left"/>
        <w:rPr>
          <w:rFonts w:ascii="宋体" w:hAnsi="宋体" w:cs="宋体" w:eastAsia="宋体" w:hint="default"/>
          <w:b w:val="0"/>
          <w:bCs w:val="0"/>
        </w:rPr>
      </w:pPr>
      <w:r>
        <w:rPr>
          <w:rFonts w:ascii="宋体" w:hAnsi="宋体" w:cs="宋体" w:eastAsia="宋体" w:hint="default"/>
        </w:rPr>
        <w:t>7</w:t>
      </w:r>
      <w:r>
        <w:rPr/>
        <w:t>、应收利息</w:t>
      </w:r>
      <w:r>
        <w:rPr>
          <w:w w:val="99"/>
        </w:rPr>
        <w:t> </w:t>
      </w:r>
      <w:r>
        <w:rPr>
          <w:rFonts w:ascii="宋体" w:hAnsi="宋体" w:cs="宋体" w:eastAsia="宋体" w:hint="default"/>
          <w:b w:val="0"/>
          <w:bCs w:val="0"/>
        </w:rPr>
        <w:t>无 </w:t>
      </w:r>
      <w:r>
        <w:rPr>
          <w:rFonts w:ascii="宋体" w:hAnsi="宋体" w:cs="宋体" w:eastAsia="宋体" w:hint="default"/>
        </w:rPr>
        <w:t>8</w:t>
      </w:r>
      <w:r>
        <w:rPr/>
        <w:t>、应收股利</w:t>
      </w:r>
      <w:r>
        <w:rPr>
          <w:w w:val="99"/>
        </w:rPr>
        <w:t> </w:t>
      </w:r>
      <w:r>
        <w:rPr>
          <w:rFonts w:ascii="宋体" w:hAnsi="宋体" w:cs="宋体" w:eastAsia="宋体" w:hint="default"/>
          <w:b w:val="0"/>
          <w:bCs w:val="0"/>
        </w:rPr>
        <w:t>无</w:t>
      </w:r>
    </w:p>
    <w:p>
      <w:pPr>
        <w:pStyle w:val="Heading2"/>
        <w:spacing w:line="240" w:lineRule="auto" w:before="35"/>
        <w:ind w:left="936" w:right="1117"/>
        <w:jc w:val="left"/>
        <w:rPr>
          <w:b w:val="0"/>
          <w:bCs w:val="0"/>
        </w:rPr>
      </w:pPr>
      <w:r>
        <w:rPr>
          <w:rFonts w:ascii="宋体" w:hAnsi="宋体" w:cs="宋体" w:eastAsia="宋体" w:hint="default"/>
        </w:rPr>
        <w:t>9</w:t>
      </w:r>
      <w:r>
        <w:rPr/>
        <w:t>、其他应收款</w:t>
      </w:r>
      <w:r>
        <w:rPr>
          <w:b w:val="0"/>
          <w:bCs w:val="0"/>
        </w:rPr>
      </w:r>
    </w:p>
    <w:p>
      <w:pPr>
        <w:pStyle w:val="Heading2"/>
        <w:spacing w:line="240" w:lineRule="auto" w:before="146"/>
        <w:ind w:left="936" w:right="1117"/>
        <w:jc w:val="left"/>
        <w:rPr>
          <w:b w:val="0"/>
          <w:bCs w:val="0"/>
        </w:rPr>
      </w:pPr>
      <w:r>
        <w:rPr/>
        <w:t>（</w:t>
      </w:r>
      <w:r>
        <w:rPr>
          <w:rFonts w:ascii="宋体" w:hAnsi="宋体" w:cs="宋体" w:eastAsia="宋体" w:hint="default"/>
        </w:rPr>
        <w:t>1</w:t>
      </w:r>
      <w:r>
        <w:rPr/>
        <w:t>）其他应收款分类披露</w:t>
      </w:r>
      <w:r>
        <w:rPr>
          <w:b w:val="0"/>
          <w:bCs w:val="0"/>
        </w:rPr>
      </w:r>
    </w:p>
    <w:p>
      <w:pPr>
        <w:spacing w:before="10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691"/>
        <w:gridCol w:w="851"/>
        <w:gridCol w:w="850"/>
        <w:gridCol w:w="851"/>
        <w:gridCol w:w="992"/>
        <w:gridCol w:w="850"/>
        <w:gridCol w:w="852"/>
        <w:gridCol w:w="850"/>
        <w:gridCol w:w="709"/>
        <w:gridCol w:w="991"/>
        <w:gridCol w:w="852"/>
      </w:tblGrid>
      <w:tr>
        <w:trPr>
          <w:trHeight w:val="402"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43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7"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0"/>
              <w:ind w:right="8"/>
              <w:jc w:val="center"/>
              <w:rPr>
                <w:rFonts w:ascii="宋体" w:hAnsi="宋体" w:cs="宋体" w:eastAsia="宋体" w:hint="default"/>
                <w:sz w:val="21"/>
                <w:szCs w:val="21"/>
              </w:rPr>
            </w:pPr>
            <w:r>
              <w:rPr>
                <w:rFonts w:ascii="宋体" w:hAnsi="宋体" w:cs="宋体" w:eastAsia="宋体" w:hint="default"/>
                <w:sz w:val="21"/>
                <w:szCs w:val="21"/>
              </w:rPr>
              <w:t>类别</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0"/>
              <w:ind w:left="314" w:right="103" w:hanging="210"/>
              <w:jc w:val="left"/>
              <w:rPr>
                <w:rFonts w:ascii="宋体" w:hAnsi="宋体" w:cs="宋体" w:eastAsia="宋体" w:hint="default"/>
                <w:sz w:val="21"/>
                <w:szCs w:val="21"/>
              </w:rPr>
            </w:pPr>
            <w:r>
              <w:rPr>
                <w:rFonts w:ascii="宋体" w:hAnsi="宋体" w:cs="宋体" w:eastAsia="宋体" w:hint="default"/>
                <w:sz w:val="21"/>
                <w:szCs w:val="21"/>
              </w:rPr>
              <w:t>账面价 值</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0"/>
              <w:ind w:left="316" w:right="103" w:hanging="210"/>
              <w:jc w:val="left"/>
              <w:rPr>
                <w:rFonts w:ascii="宋体" w:hAnsi="宋体" w:cs="宋体" w:eastAsia="宋体" w:hint="default"/>
                <w:sz w:val="21"/>
                <w:szCs w:val="21"/>
              </w:rPr>
            </w:pPr>
            <w:r>
              <w:rPr>
                <w:rFonts w:ascii="宋体" w:hAnsi="宋体" w:cs="宋体" w:eastAsia="宋体" w:hint="default"/>
                <w:sz w:val="21"/>
                <w:szCs w:val="21"/>
              </w:rPr>
              <w:t>账面价 值</w:t>
            </w:r>
          </w:p>
        </w:tc>
      </w:tr>
      <w:tr>
        <w:trPr>
          <w:trHeight w:val="407"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8"/>
              <w:jc w:val="right"/>
              <w:rPr>
                <w:rFonts w:ascii="宋体" w:hAnsi="宋体" w:cs="宋体" w:eastAsia="宋体" w:hint="default"/>
                <w:sz w:val="21"/>
                <w:szCs w:val="21"/>
              </w:rPr>
            </w:pPr>
            <w:r>
              <w:rPr>
                <w:rFonts w:ascii="宋体" w:hAnsi="宋体" w:cs="宋体" w:eastAsia="宋体" w:hint="default"/>
                <w:sz w:val="21"/>
                <w:szCs w:val="21"/>
              </w:rPr>
              <w:t>计提比例</w:t>
            </w: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8"/>
              <w:jc w:val="right"/>
              <w:rPr>
                <w:rFonts w:ascii="宋体" w:hAnsi="宋体" w:cs="宋体" w:eastAsia="宋体" w:hint="default"/>
                <w:sz w:val="21"/>
                <w:szCs w:val="21"/>
              </w:rPr>
            </w:pPr>
            <w:r>
              <w:rPr>
                <w:rFonts w:ascii="宋体" w:hAnsi="宋体" w:cs="宋体" w:eastAsia="宋体" w:hint="default"/>
                <w:sz w:val="21"/>
                <w:szCs w:val="21"/>
              </w:rPr>
              <w:t>计提比例</w:t>
            </w:r>
          </w:p>
        </w:tc>
        <w:tc>
          <w:tcPr>
            <w:tcW w:w="85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198"/>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备的其他应收款</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21"/>
                <w:szCs w:val="21"/>
              </w:rPr>
            </w:pPr>
            <w:r>
              <w:rPr>
                <w:rFonts w:ascii="Times New Roman"/>
                <w:sz w:val="21"/>
              </w:rPr>
              <w:t>8,972,17</w:t>
            </w:r>
          </w:p>
          <w:p>
            <w:pPr>
              <w:pStyle w:val="TableParagraph"/>
              <w:spacing w:line="240" w:lineRule="auto" w:before="70"/>
              <w:ind w:left="439" w:right="0"/>
              <w:jc w:val="left"/>
              <w:rPr>
                <w:rFonts w:ascii="Times New Roman" w:hAnsi="Times New Roman" w:cs="Times New Roman" w:eastAsia="Times New Roman" w:hint="default"/>
                <w:sz w:val="21"/>
                <w:szCs w:val="21"/>
              </w:rPr>
            </w:pPr>
            <w:r>
              <w:rPr>
                <w:rFonts w:ascii="Times New Roman"/>
                <w:sz w:val="21"/>
              </w:rPr>
              <w:t>9.01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766,380.</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8.54%</w:t>
            </w:r>
          </w:p>
        </w:tc>
        <w:tc>
          <w:tcPr>
            <w:tcW w:w="850"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Times New Roman" w:hAnsi="Times New Roman" w:cs="Times New Roman" w:eastAsia="Times New Roman" w:hint="default"/>
                <w:sz w:val="21"/>
                <w:szCs w:val="21"/>
              </w:rPr>
            </w:pPr>
            <w:r>
              <w:rPr>
                <w:rFonts w:ascii="Times New Roman"/>
                <w:sz w:val="21"/>
              </w:rPr>
              <w:t>8,205,79</w:t>
            </w:r>
          </w:p>
          <w:p>
            <w:pPr>
              <w:pStyle w:val="TableParagraph"/>
              <w:spacing w:line="240" w:lineRule="auto" w:before="70"/>
              <w:ind w:left="450" w:right="0"/>
              <w:jc w:val="left"/>
              <w:rPr>
                <w:rFonts w:ascii="Times New Roman" w:hAnsi="Times New Roman" w:cs="Times New Roman" w:eastAsia="Times New Roman" w:hint="default"/>
                <w:sz w:val="21"/>
                <w:szCs w:val="21"/>
              </w:rPr>
            </w:pPr>
            <w:r>
              <w:rPr>
                <w:rFonts w:ascii="Times New Roman"/>
                <w:sz w:val="21"/>
              </w:rPr>
              <w:t>8.65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5" w:right="0"/>
              <w:jc w:val="left"/>
              <w:rPr>
                <w:rFonts w:ascii="Times New Roman" w:hAnsi="Times New Roman" w:cs="Times New Roman" w:eastAsia="Times New Roman" w:hint="default"/>
                <w:sz w:val="21"/>
                <w:szCs w:val="21"/>
              </w:rPr>
            </w:pPr>
            <w:r>
              <w:rPr>
                <w:rFonts w:ascii="Times New Roman"/>
                <w:sz w:val="21"/>
              </w:rPr>
              <w:t>48,294,9</w:t>
            </w:r>
          </w:p>
          <w:p>
            <w:pPr>
              <w:pStyle w:val="TableParagraph"/>
              <w:spacing w:line="240" w:lineRule="auto" w:before="70"/>
              <w:ind w:left="346" w:right="0"/>
              <w:jc w:val="left"/>
              <w:rPr>
                <w:rFonts w:ascii="Times New Roman" w:hAnsi="Times New Roman" w:cs="Times New Roman" w:eastAsia="Times New Roman" w:hint="default"/>
                <w:sz w:val="21"/>
                <w:szCs w:val="21"/>
              </w:rPr>
            </w:pPr>
            <w:r>
              <w:rPr>
                <w:rFonts w:ascii="Times New Roman"/>
                <w:sz w:val="21"/>
              </w:rPr>
              <w:t>61.36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585,07</w:t>
            </w:r>
          </w:p>
          <w:p>
            <w:pPr>
              <w:pStyle w:val="TableParagraph"/>
              <w:spacing w:line="240" w:lineRule="auto" w:before="70"/>
              <w:ind w:left="308" w:right="0"/>
              <w:jc w:val="left"/>
              <w:rPr>
                <w:rFonts w:ascii="Times New Roman" w:hAnsi="Times New Roman" w:cs="Times New Roman" w:eastAsia="Times New Roman" w:hint="default"/>
                <w:sz w:val="21"/>
                <w:szCs w:val="21"/>
              </w:rPr>
            </w:pPr>
            <w:r>
              <w:rPr>
                <w:rFonts w:ascii="Times New Roman"/>
                <w:sz w:val="21"/>
              </w:rPr>
              <w:t>2.48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1.21%</w:t>
            </w:r>
          </w:p>
        </w:tc>
        <w:tc>
          <w:tcPr>
            <w:tcW w:w="852"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5" w:right="0"/>
              <w:jc w:val="left"/>
              <w:rPr>
                <w:rFonts w:ascii="Times New Roman" w:hAnsi="Times New Roman" w:cs="Times New Roman" w:eastAsia="Times New Roman" w:hint="default"/>
                <w:sz w:val="21"/>
                <w:szCs w:val="21"/>
              </w:rPr>
            </w:pPr>
            <w:r>
              <w:rPr>
                <w:rFonts w:ascii="Times New Roman"/>
                <w:sz w:val="21"/>
              </w:rPr>
              <w:t>47,709,8</w:t>
            </w:r>
          </w:p>
          <w:p>
            <w:pPr>
              <w:pStyle w:val="TableParagraph"/>
              <w:spacing w:line="240" w:lineRule="auto" w:before="70"/>
              <w:ind w:left="346" w:right="0"/>
              <w:jc w:val="left"/>
              <w:rPr>
                <w:rFonts w:ascii="Times New Roman" w:hAnsi="Times New Roman" w:cs="Times New Roman" w:eastAsia="Times New Roman" w:hint="default"/>
                <w:sz w:val="21"/>
                <w:szCs w:val="21"/>
              </w:rPr>
            </w:pPr>
            <w:r>
              <w:rPr>
                <w:rFonts w:ascii="Times New Roman"/>
                <w:sz w:val="21"/>
              </w:rPr>
              <w:t>88.88</w:t>
            </w:r>
          </w:p>
        </w:tc>
      </w:tr>
      <w:tr>
        <w:trPr>
          <w:trHeight w:val="161"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10" w:space="0" w:color="D2D2D2"/>
              <w:right w:val="single" w:sz="4" w:space="0" w:color="000000"/>
            </w:tcBorders>
          </w:tcPr>
          <w:p>
            <w:pPr>
              <w:pStyle w:val="TableParagraph"/>
              <w:spacing w:line="240" w:lineRule="auto" w:before="75"/>
              <w:ind w:left="77" w:right="0"/>
              <w:jc w:val="left"/>
              <w:rPr>
                <w:rFonts w:ascii="Times New Roman" w:hAnsi="Times New Roman" w:cs="Times New Roman" w:eastAsia="Times New Roman" w:hint="default"/>
                <w:sz w:val="21"/>
                <w:szCs w:val="21"/>
              </w:rPr>
            </w:pPr>
            <w:r>
              <w:rPr>
                <w:rFonts w:ascii="Times New Roman"/>
                <w:sz w:val="21"/>
              </w:rPr>
              <w:t>8,972,17</w:t>
            </w:r>
          </w:p>
          <w:p>
            <w:pPr>
              <w:pStyle w:val="TableParagraph"/>
              <w:spacing w:line="240" w:lineRule="auto" w:before="70"/>
              <w:ind w:left="444" w:right="0"/>
              <w:jc w:val="left"/>
              <w:rPr>
                <w:rFonts w:ascii="Times New Roman" w:hAnsi="Times New Roman" w:cs="Times New Roman" w:eastAsia="Times New Roman" w:hint="default"/>
                <w:sz w:val="21"/>
                <w:szCs w:val="21"/>
              </w:rPr>
            </w:pPr>
            <w:r>
              <w:rPr>
                <w:rFonts w:ascii="Times New Roman"/>
                <w:sz w:val="21"/>
              </w:rPr>
              <w:t>9.01</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100.00%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766,380.</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z w:val="21"/>
              </w:rPr>
              <w:t>36</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17" w:right="0"/>
              <w:jc w:val="left"/>
              <w:rPr>
                <w:rFonts w:ascii="Times New Roman" w:hAnsi="Times New Roman" w:cs="Times New Roman" w:eastAsia="Times New Roman" w:hint="default"/>
                <w:sz w:val="21"/>
                <w:szCs w:val="21"/>
              </w:rPr>
            </w:pPr>
            <w:r>
              <w:rPr>
                <w:rFonts w:ascii="Times New Roman"/>
                <w:sz w:val="21"/>
              </w:rPr>
              <w:t>8.54%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75"/>
              <w:ind w:left="82" w:right="0"/>
              <w:jc w:val="left"/>
              <w:rPr>
                <w:rFonts w:ascii="Times New Roman" w:hAnsi="Times New Roman" w:cs="Times New Roman" w:eastAsia="Times New Roman" w:hint="default"/>
                <w:sz w:val="21"/>
                <w:szCs w:val="21"/>
              </w:rPr>
            </w:pPr>
            <w:r>
              <w:rPr>
                <w:rFonts w:ascii="Times New Roman"/>
                <w:sz w:val="21"/>
              </w:rPr>
              <w:t>8,205,79</w:t>
            </w:r>
          </w:p>
          <w:p>
            <w:pPr>
              <w:pStyle w:val="TableParagraph"/>
              <w:spacing w:line="240" w:lineRule="auto" w:before="70"/>
              <w:ind w:left="450" w:right="0"/>
              <w:jc w:val="left"/>
              <w:rPr>
                <w:rFonts w:ascii="Times New Roman" w:hAnsi="Times New Roman" w:cs="Times New Roman" w:eastAsia="Times New Roman" w:hint="default"/>
                <w:sz w:val="21"/>
                <w:szCs w:val="21"/>
              </w:rPr>
            </w:pPr>
            <w:r>
              <w:rPr>
                <w:rFonts w:ascii="Times New Roman"/>
                <w:sz w:val="21"/>
              </w:rPr>
              <w:t>8.65</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75"/>
              <w:ind w:left="85" w:right="0"/>
              <w:jc w:val="left"/>
              <w:rPr>
                <w:rFonts w:ascii="Times New Roman" w:hAnsi="Times New Roman" w:cs="Times New Roman" w:eastAsia="Times New Roman" w:hint="default"/>
                <w:sz w:val="21"/>
                <w:szCs w:val="21"/>
              </w:rPr>
            </w:pPr>
            <w:r>
              <w:rPr>
                <w:rFonts w:ascii="Times New Roman"/>
                <w:sz w:val="21"/>
              </w:rPr>
              <w:t>48,294,9</w:t>
            </w:r>
          </w:p>
          <w:p>
            <w:pPr>
              <w:pStyle w:val="TableParagraph"/>
              <w:spacing w:line="240" w:lineRule="auto" w:before="70"/>
              <w:ind w:left="346" w:right="0"/>
              <w:jc w:val="left"/>
              <w:rPr>
                <w:rFonts w:ascii="Times New Roman" w:hAnsi="Times New Roman" w:cs="Times New Roman" w:eastAsia="Times New Roman" w:hint="default"/>
                <w:sz w:val="21"/>
                <w:szCs w:val="21"/>
              </w:rPr>
            </w:pPr>
            <w:r>
              <w:rPr>
                <w:rFonts w:ascii="Times New Roman"/>
                <w:sz w:val="21"/>
              </w:rPr>
              <w:t>61.36</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100.00%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75"/>
              <w:ind w:left="98" w:right="0"/>
              <w:jc w:val="left"/>
              <w:rPr>
                <w:rFonts w:ascii="Times New Roman" w:hAnsi="Times New Roman" w:cs="Times New Roman" w:eastAsia="Times New Roman" w:hint="default"/>
                <w:sz w:val="21"/>
                <w:szCs w:val="21"/>
              </w:rPr>
            </w:pPr>
            <w:r>
              <w:rPr>
                <w:rFonts w:ascii="Times New Roman"/>
                <w:sz w:val="21"/>
              </w:rPr>
              <w:t>585,07</w:t>
            </w:r>
          </w:p>
          <w:p>
            <w:pPr>
              <w:pStyle w:val="TableParagraph"/>
              <w:spacing w:line="240" w:lineRule="auto" w:before="70"/>
              <w:ind w:left="308" w:right="0"/>
              <w:jc w:val="left"/>
              <w:rPr>
                <w:rFonts w:ascii="Times New Roman" w:hAnsi="Times New Roman" w:cs="Times New Roman" w:eastAsia="Times New Roman" w:hint="default"/>
                <w:sz w:val="21"/>
                <w:szCs w:val="21"/>
              </w:rPr>
            </w:pPr>
            <w:r>
              <w:rPr>
                <w:rFonts w:ascii="Times New Roman"/>
                <w:sz w:val="21"/>
              </w:rPr>
              <w:t>2.48</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16" w:right="0"/>
              <w:jc w:val="left"/>
              <w:rPr>
                <w:rFonts w:ascii="Times New Roman" w:hAnsi="Times New Roman" w:cs="Times New Roman" w:eastAsia="Times New Roman" w:hint="default"/>
                <w:sz w:val="21"/>
                <w:szCs w:val="21"/>
              </w:rPr>
            </w:pPr>
            <w:r>
              <w:rPr>
                <w:rFonts w:ascii="Times New Roman"/>
                <w:sz w:val="21"/>
              </w:rPr>
              <w:t>1.21%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75"/>
              <w:ind w:left="85" w:right="0"/>
              <w:jc w:val="left"/>
              <w:rPr>
                <w:rFonts w:ascii="Times New Roman" w:hAnsi="Times New Roman" w:cs="Times New Roman" w:eastAsia="Times New Roman" w:hint="default"/>
                <w:sz w:val="21"/>
                <w:szCs w:val="21"/>
              </w:rPr>
            </w:pPr>
            <w:r>
              <w:rPr>
                <w:rFonts w:ascii="Times New Roman"/>
                <w:sz w:val="21"/>
              </w:rPr>
              <w:t>47,709,8</w:t>
            </w:r>
          </w:p>
          <w:p>
            <w:pPr>
              <w:pStyle w:val="TableParagraph"/>
              <w:spacing w:line="240" w:lineRule="auto" w:before="70"/>
              <w:ind w:left="346" w:right="0"/>
              <w:jc w:val="left"/>
              <w:rPr>
                <w:rFonts w:ascii="Times New Roman" w:hAnsi="Times New Roman" w:cs="Times New Roman" w:eastAsia="Times New Roman" w:hint="default"/>
                <w:sz w:val="21"/>
                <w:szCs w:val="21"/>
              </w:rPr>
            </w:pPr>
            <w:r>
              <w:rPr>
                <w:rFonts w:ascii="Times New Roman"/>
                <w:sz w:val="21"/>
              </w:rPr>
              <w:t>88.88</w:t>
            </w:r>
          </w:p>
        </w:tc>
      </w:tr>
      <w:tr>
        <w:trPr>
          <w:trHeight w:val="393"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1"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161"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680" w:right="0"/>
        </w:sectPr>
      </w:pPr>
    </w:p>
    <w:p>
      <w:pPr>
        <w:pStyle w:val="Heading2"/>
        <w:spacing w:line="240" w:lineRule="auto"/>
        <w:ind w:left="936" w:right="0"/>
        <w:jc w:val="left"/>
        <w:rPr>
          <w:b w:val="0"/>
          <w:bCs w:val="0"/>
        </w:rPr>
      </w:pPr>
      <w:r>
        <w:rPr>
          <w:w w:val="95"/>
        </w:rPr>
        <w:t>期末单项金额重大并单项计提坏账准备的其他应收款：</w:t>
      </w:r>
      <w:r>
        <w:rPr>
          <w:b w:val="0"/>
          <w:bCs w:val="0"/>
        </w:rPr>
      </w:r>
    </w:p>
    <w:p>
      <w:pPr>
        <w:spacing w:line="352" w:lineRule="auto" w:before="145"/>
        <w:ind w:left="936" w:right="0"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组合中，按账龄分析法计提坏账准备的其他应收款：</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spacing w:before="0"/>
        <w:ind w:left="9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680" w:right="0"/>
          <w:cols w:num="2" w:equalWidth="0">
            <w:col w:w="6715" w:space="1500"/>
            <w:col w:w="3015"/>
          </w:cols>
        </w:sectPr>
      </w:pPr>
    </w:p>
    <w:p>
      <w:pPr>
        <w:spacing w:line="240" w:lineRule="auto" w:before="0"/>
        <w:rPr>
          <w:rFonts w:ascii="宋体" w:hAnsi="宋体" w:cs="宋体" w:eastAsia="宋体" w:hint="default"/>
          <w:sz w:val="7"/>
          <w:szCs w:val="7"/>
        </w:rPr>
      </w:pPr>
    </w:p>
    <w:tbl>
      <w:tblPr>
        <w:tblW w:w="0" w:type="auto"/>
        <w:jc w:val="left"/>
        <w:tblInd w:w="4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6,897,344.94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344,867.24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6,897,344.94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344,867.24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947,364.15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94,736.42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105,749.00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31,724.70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484,040.00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295,052.00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60.96%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471,600.00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282,960.00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10,700.00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6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58" w:right="0"/>
              <w:jc w:val="left"/>
              <w:rPr>
                <w:rFonts w:ascii="Times New Roman" w:hAnsi="Times New Roman" w:cs="Times New Roman" w:eastAsia="Times New Roman" w:hint="default"/>
                <w:sz w:val="21"/>
                <w:szCs w:val="21"/>
              </w:rPr>
            </w:pPr>
            <w:r>
              <w:rPr>
                <w:rFonts w:ascii="Times New Roman"/>
                <w:sz w:val="21"/>
              </w:rPr>
              <w:t>8,434,498.09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14" w:right="0"/>
              <w:jc w:val="left"/>
              <w:rPr>
                <w:rFonts w:ascii="Times New Roman" w:hAnsi="Times New Roman" w:cs="Times New Roman" w:eastAsia="Times New Roman" w:hint="default"/>
                <w:sz w:val="21"/>
                <w:szCs w:val="21"/>
              </w:rPr>
            </w:pPr>
            <w:r>
              <w:rPr>
                <w:rFonts w:ascii="Times New Roman"/>
                <w:sz w:val="21"/>
              </w:rPr>
              <w:t>766,380.36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9.09%</w:t>
            </w:r>
          </w:p>
        </w:tc>
      </w:tr>
    </w:tbl>
    <w:p>
      <w:pPr>
        <w:spacing w:line="240" w:lineRule="auto" w:before="10"/>
        <w:rPr>
          <w:rFonts w:ascii="宋体" w:hAnsi="宋体" w:cs="宋体" w:eastAsia="宋体" w:hint="default"/>
          <w:sz w:val="4"/>
          <w:szCs w:val="4"/>
        </w:rPr>
      </w:pPr>
    </w:p>
    <w:p>
      <w:pPr>
        <w:pStyle w:val="Heading2"/>
        <w:spacing w:line="240" w:lineRule="auto"/>
        <w:ind w:right="1153"/>
        <w:jc w:val="left"/>
        <w:rPr>
          <w:b w:val="0"/>
          <w:bCs w:val="0"/>
        </w:rPr>
      </w:pPr>
      <w:r>
        <w:rPr/>
        <w:t>组合中，采用余额百分比法计提坏账准备的其他应收款：</w:t>
      </w:r>
      <w:r>
        <w:rPr>
          <w:b w:val="0"/>
          <w:bCs w:val="0"/>
        </w:rPr>
      </w:r>
    </w:p>
    <w:p>
      <w:pPr>
        <w:spacing w:line="350" w:lineRule="auto" w:before="146"/>
        <w:ind w:left="636" w:right="4153"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组合中，采用其他方法计提坏账准备的其他应收款：</w:t>
      </w:r>
      <w:r>
        <w:rPr>
          <w:rFonts w:ascii="宋体" w:hAnsi="宋体" w:cs="宋体" w:eastAsia="宋体" w:hint="default"/>
          <w:sz w:val="24"/>
          <w:szCs w:val="24"/>
        </w:rPr>
      </w:r>
    </w:p>
    <w:p>
      <w:pPr>
        <w:pStyle w:val="BodyText"/>
        <w:spacing w:line="240" w:lineRule="auto" w:before="35"/>
        <w:ind w:left="633" w:right="1153"/>
        <w:jc w:val="left"/>
      </w:pPr>
      <w:r>
        <w:rPr/>
        <w:t>□ 适用 √ 不适用</w:t>
      </w:r>
    </w:p>
    <w:p>
      <w:pPr>
        <w:pStyle w:val="Heading2"/>
        <w:spacing w:line="240" w:lineRule="auto" w:before="146"/>
        <w:ind w:right="1153"/>
        <w:jc w:val="left"/>
        <w:rPr>
          <w:b w:val="0"/>
          <w:bCs w:val="0"/>
        </w:rPr>
      </w:pPr>
      <w:r>
        <w:rPr/>
        <w:t>（</w:t>
      </w:r>
      <w:r>
        <w:rPr>
          <w:rFonts w:ascii="宋体" w:hAnsi="宋体" w:cs="宋体" w:eastAsia="宋体" w:hint="default"/>
        </w:rPr>
        <w:t>2</w:t>
      </w:r>
      <w:r>
        <w:rPr/>
        <w:t>）本期计提、收回或转回的坏账准备情况</w:t>
      </w:r>
      <w:r>
        <w:rPr>
          <w:b w:val="0"/>
          <w:bCs w:val="0"/>
        </w:rPr>
      </w:r>
    </w:p>
    <w:p>
      <w:pPr>
        <w:pStyle w:val="BodyText"/>
        <w:spacing w:line="240" w:lineRule="auto" w:before="145"/>
        <w:ind w:left="633" w:right="1153"/>
        <w:jc w:val="left"/>
      </w:pPr>
      <w:r>
        <w:rPr/>
        <w:t>本期计提坏账准备金额</w:t>
      </w:r>
      <w:r>
        <w:rPr>
          <w:spacing w:val="-60"/>
        </w:rPr>
        <w:t> </w:t>
      </w:r>
      <w:r>
        <w:rPr>
          <w:rFonts w:ascii="宋体" w:hAnsi="宋体" w:cs="宋体" w:eastAsia="宋体" w:hint="default"/>
        </w:rPr>
        <w:t>181,307.88</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w:t>
      </w:r>
    </w:p>
    <w:p>
      <w:pPr>
        <w:pStyle w:val="Heading2"/>
        <w:spacing w:line="352" w:lineRule="auto" w:before="145"/>
        <w:ind w:left="633" w:right="6304" w:firstLine="2"/>
        <w:jc w:val="left"/>
        <w:rPr>
          <w:rFonts w:ascii="宋体" w:hAnsi="宋体" w:cs="宋体" w:eastAsia="宋体" w:hint="default"/>
          <w:b w:val="0"/>
          <w:bCs w:val="0"/>
        </w:rPr>
      </w:pPr>
      <w:r>
        <w:rPr>
          <w:w w:val="95"/>
        </w:rPr>
        <w:t>（</w:t>
      </w:r>
      <w:r>
        <w:rPr>
          <w:rFonts w:ascii="宋体" w:hAnsi="宋体" w:cs="宋体" w:eastAsia="宋体" w:hint="default"/>
          <w:w w:val="95"/>
        </w:rPr>
        <w:t>3</w:t>
      </w:r>
      <w:r>
        <w:rPr>
          <w:w w:val="95"/>
        </w:rPr>
        <w:t>）本期实际核销的其他应收款情况</w:t>
      </w:r>
      <w:r>
        <w:rPr>
          <w:spacing w:val="67"/>
          <w:w w:val="95"/>
        </w:rPr>
        <w:t> </w:t>
      </w:r>
      <w:r>
        <w:rPr>
          <w:rFonts w:ascii="宋体" w:hAnsi="宋体" w:cs="宋体" w:eastAsia="宋体" w:hint="default"/>
          <w:b w:val="0"/>
          <w:bCs w:val="0"/>
        </w:rPr>
        <w:t>无</w:t>
      </w:r>
    </w:p>
    <w:p>
      <w:pPr>
        <w:pStyle w:val="Heading2"/>
        <w:spacing w:line="240" w:lineRule="auto" w:before="32"/>
        <w:ind w:right="1153"/>
        <w:jc w:val="left"/>
        <w:rPr>
          <w:b w:val="0"/>
          <w:bCs w:val="0"/>
        </w:rPr>
      </w:pPr>
      <w:r>
        <w:rPr/>
        <w:t>（</w:t>
      </w:r>
      <w:r>
        <w:rPr>
          <w:rFonts w:ascii="宋体" w:hAnsi="宋体" w:cs="宋体" w:eastAsia="宋体" w:hint="default"/>
        </w:rPr>
        <w:t>4</w:t>
      </w:r>
      <w:r>
        <w:rPr/>
        <w:t>）其他应收款按款项性质分类情况</w:t>
      </w:r>
      <w:r>
        <w:rPr>
          <w:b w:val="0"/>
          <w:bCs w:val="0"/>
        </w:rPr>
      </w:r>
    </w:p>
    <w:p>
      <w:pPr>
        <w:spacing w:before="83"/>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3,342,740.19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4,018,047.62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4,597,802.48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1,248,534.51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代缴代扣款项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537,680.92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487,319.30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39,473,684.00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2,174,736.00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493,955.42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892,639.93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8,972,179.01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48,294,961.36</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0"/>
        <w:jc w:val="left"/>
        <w:rPr>
          <w:b w:val="0"/>
          <w:bCs w:val="0"/>
        </w:rPr>
      </w:pPr>
      <w:r>
        <w:rPr>
          <w:w w:val="95"/>
        </w:rPr>
        <w:t>（</w:t>
      </w:r>
      <w:r>
        <w:rPr>
          <w:rFonts w:ascii="宋体" w:hAnsi="宋体" w:cs="宋体" w:eastAsia="宋体" w:hint="default"/>
          <w:w w:val="95"/>
        </w:rPr>
        <w:t>5</w:t>
      </w:r>
      <w:r>
        <w:rPr>
          <w:w w:val="95"/>
        </w:rPr>
        <w:t>）按欠款方归集的期末余额前五名的其他应收款情况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6537" w:space="1676"/>
            <w:col w:w="2717"/>
          </w:cols>
        </w:sectPr>
      </w:pP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3681"/>
        <w:gridCol w:w="1025"/>
        <w:gridCol w:w="1528"/>
        <w:gridCol w:w="1320"/>
        <w:gridCol w:w="793"/>
        <w:gridCol w:w="1321"/>
      </w:tblGrid>
      <w:tr>
        <w:trPr>
          <w:trHeight w:val="1452" w:hRule="exact"/>
        </w:trPr>
        <w:tc>
          <w:tcPr>
            <w:tcW w:w="3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402" w:right="188" w:hanging="212"/>
              <w:jc w:val="left"/>
              <w:rPr>
                <w:rFonts w:ascii="宋体" w:hAnsi="宋体" w:cs="宋体" w:eastAsia="宋体" w:hint="default"/>
                <w:sz w:val="21"/>
                <w:szCs w:val="21"/>
              </w:rPr>
            </w:pPr>
            <w:r>
              <w:rPr>
                <w:rFonts w:ascii="宋体" w:hAnsi="宋体" w:cs="宋体" w:eastAsia="宋体" w:hint="default"/>
                <w:b/>
                <w:bCs/>
                <w:sz w:val="21"/>
                <w:szCs w:val="21"/>
              </w:rPr>
              <w:t>款项性</w:t>
            </w:r>
            <w:r>
              <w:rPr>
                <w:rFonts w:ascii="宋体" w:hAnsi="宋体" w:cs="宋体" w:eastAsia="宋体" w:hint="default"/>
                <w:b/>
                <w:bCs/>
                <w:spacing w:val="1"/>
                <w:w w:val="99"/>
                <w:sz w:val="21"/>
                <w:szCs w:val="21"/>
              </w:rPr>
              <w:t> </w:t>
            </w:r>
            <w:r>
              <w:rPr>
                <w:rFonts w:ascii="宋体" w:hAnsi="宋体" w:cs="宋体" w:eastAsia="宋体" w:hint="default"/>
                <w:b/>
                <w:bCs/>
                <w:sz w:val="21"/>
                <w:szCs w:val="21"/>
              </w:rPr>
              <w:t>质</w:t>
            </w:r>
            <w:r>
              <w:rPr>
                <w:rFonts w:ascii="宋体" w:hAnsi="宋体" w:cs="宋体" w:eastAsia="宋体" w:hint="default"/>
                <w:sz w:val="21"/>
                <w:szCs w:val="21"/>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75" w:right="72"/>
              <w:jc w:val="both"/>
              <w:rPr>
                <w:rFonts w:ascii="Trebuchet MS" w:hAnsi="Trebuchet MS" w:cs="Trebuchet MS" w:eastAsia="Trebuchet MS" w:hint="default"/>
                <w:sz w:val="21"/>
                <w:szCs w:val="21"/>
              </w:rPr>
            </w:pPr>
            <w:r>
              <w:rPr>
                <w:rFonts w:ascii="宋体" w:hAnsi="宋体" w:cs="宋体" w:eastAsia="宋体" w:hint="default"/>
                <w:b/>
                <w:bCs/>
                <w:sz w:val="21"/>
                <w:szCs w:val="21"/>
              </w:rPr>
              <w:t>占其他</w:t>
            </w:r>
            <w:r>
              <w:rPr>
                <w:rFonts w:ascii="宋体" w:hAnsi="宋体" w:cs="宋体" w:eastAsia="宋体" w:hint="default"/>
                <w:b/>
                <w:bCs/>
                <w:spacing w:val="1"/>
                <w:w w:val="99"/>
                <w:sz w:val="21"/>
                <w:szCs w:val="21"/>
              </w:rPr>
              <w:t> </w:t>
            </w:r>
            <w:r>
              <w:rPr>
                <w:rFonts w:ascii="宋体" w:hAnsi="宋体" w:cs="宋体" w:eastAsia="宋体" w:hint="default"/>
                <w:b/>
                <w:bCs/>
                <w:sz w:val="21"/>
                <w:szCs w:val="21"/>
              </w:rPr>
              <w:t>应收款</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期末余</w:t>
            </w:r>
            <w:r>
              <w:rPr>
                <w:rFonts w:ascii="宋体" w:hAnsi="宋体" w:cs="宋体" w:eastAsia="宋体" w:hint="default"/>
                <w:b/>
                <w:bCs/>
                <w:spacing w:val="1"/>
                <w:w w:val="99"/>
                <w:sz w:val="21"/>
                <w:szCs w:val="21"/>
              </w:rPr>
              <w:t> </w:t>
            </w:r>
            <w:r>
              <w:rPr>
                <w:rFonts w:ascii="宋体" w:hAnsi="宋体" w:cs="宋体" w:eastAsia="宋体" w:hint="default"/>
                <w:b/>
                <w:bCs/>
                <w:sz w:val="21"/>
                <w:szCs w:val="21"/>
              </w:rPr>
              <w:t>额的比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例</w:t>
            </w:r>
            <w:r>
              <w:rPr>
                <w:rFonts w:ascii="Trebuchet MS" w:hAnsi="Trebuchet MS" w:cs="Trebuchet MS" w:eastAsia="Trebuchet MS" w:hint="default"/>
                <w:b/>
                <w:bCs/>
                <w:sz w:val="21"/>
                <w:szCs w:val="21"/>
              </w:rPr>
              <w:t>(%)</w:t>
            </w:r>
            <w:r>
              <w:rPr>
                <w:rFonts w:ascii="Trebuchet MS" w:hAnsi="Trebuchet MS" w:cs="Trebuchet MS" w:eastAsia="Trebuchet MS" w:hint="default"/>
                <w:sz w:val="21"/>
                <w:szCs w:val="21"/>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2"/>
              <w:ind w:left="233" w:right="23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62" w:hRule="exact"/>
        </w:trPr>
        <w:tc>
          <w:tcPr>
            <w:tcW w:w="3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浙江中成建工集团有限公司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9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spacing w:val="-1"/>
                <w:w w:val="80"/>
                <w:sz w:val="21"/>
              </w:rPr>
              <w:t>1,504,900.00</w:t>
            </w:r>
            <w:r>
              <w:rPr>
                <w:rFonts w:ascii="Arial"/>
                <w:spacing w:val="-1"/>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27"/>
                <w:sz w:val="21"/>
                <w:szCs w:val="21"/>
              </w:rPr>
              <w:t> </w:t>
            </w:r>
            <w:r>
              <w:rPr>
                <w:rFonts w:ascii="宋体" w:hAnsi="宋体" w:cs="宋体" w:eastAsia="宋体" w:hint="default"/>
                <w:sz w:val="21"/>
                <w:szCs w:val="21"/>
              </w:rPr>
              <w:t>年以内</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w w:val="80"/>
                <w:sz w:val="21"/>
              </w:rPr>
              <w:t>16.77</w:t>
            </w:r>
            <w:r>
              <w:rPr>
                <w:rFonts w:ascii="Arial"/>
                <w:sz w:val="21"/>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spacing w:val="-1"/>
                <w:w w:val="80"/>
                <w:sz w:val="21"/>
              </w:rPr>
              <w:t>75,245.00</w:t>
            </w:r>
            <w:r>
              <w:rPr>
                <w:rFonts w:ascii="Arial"/>
                <w:spacing w:val="-1"/>
                <w:sz w:val="21"/>
              </w:rPr>
            </w:r>
          </w:p>
        </w:tc>
      </w:tr>
      <w:tr>
        <w:trPr>
          <w:trHeight w:val="362" w:hRule="exact"/>
        </w:trPr>
        <w:tc>
          <w:tcPr>
            <w:tcW w:w="3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中铁电气化局集团物资贸易有限公司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9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21"/>
                <w:szCs w:val="21"/>
              </w:rPr>
            </w:pPr>
            <w:r>
              <w:rPr>
                <w:rFonts w:ascii="Arial"/>
                <w:spacing w:val="-1"/>
                <w:w w:val="80"/>
                <w:sz w:val="21"/>
              </w:rPr>
              <w:t>460,109.00</w:t>
            </w:r>
            <w:r>
              <w:rPr>
                <w:rFonts w:ascii="Arial"/>
                <w:spacing w:val="-1"/>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27"/>
                <w:sz w:val="21"/>
                <w:szCs w:val="21"/>
              </w:rPr>
              <w:t> </w:t>
            </w:r>
            <w:r>
              <w:rPr>
                <w:rFonts w:ascii="宋体" w:hAnsi="宋体" w:cs="宋体" w:eastAsia="宋体" w:hint="default"/>
                <w:sz w:val="21"/>
                <w:szCs w:val="21"/>
              </w:rPr>
              <w:t>年以内</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w w:val="80"/>
                <w:sz w:val="21"/>
              </w:rPr>
              <w:t>5.13</w:t>
            </w:r>
            <w:r>
              <w:rPr>
                <w:rFonts w:ascii="Arial"/>
                <w:sz w:val="21"/>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spacing w:val="-1"/>
                <w:w w:val="80"/>
                <w:sz w:val="21"/>
              </w:rPr>
              <w:t>23,005.45</w:t>
            </w:r>
            <w:r>
              <w:rPr>
                <w:rFonts w:ascii="Arial"/>
                <w:spacing w:val="-1"/>
                <w:sz w:val="21"/>
              </w:rPr>
            </w:r>
          </w:p>
        </w:tc>
      </w:tr>
      <w:tr>
        <w:trPr>
          <w:trHeight w:val="362" w:hRule="exact"/>
        </w:trPr>
        <w:tc>
          <w:tcPr>
            <w:tcW w:w="3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北京西南交大盛阳科技有限公司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9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21"/>
                <w:szCs w:val="21"/>
              </w:rPr>
            </w:pPr>
            <w:r>
              <w:rPr>
                <w:rFonts w:ascii="Arial"/>
                <w:spacing w:val="-1"/>
                <w:w w:val="80"/>
                <w:sz w:val="21"/>
              </w:rPr>
              <w:t>424,476.48</w:t>
            </w:r>
            <w:r>
              <w:rPr>
                <w:rFonts w:ascii="Arial"/>
                <w:spacing w:val="-1"/>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27"/>
                <w:sz w:val="21"/>
                <w:szCs w:val="21"/>
              </w:rPr>
              <w:t> </w:t>
            </w:r>
            <w:r>
              <w:rPr>
                <w:rFonts w:ascii="宋体" w:hAnsi="宋体" w:cs="宋体" w:eastAsia="宋体" w:hint="default"/>
                <w:sz w:val="21"/>
                <w:szCs w:val="21"/>
              </w:rPr>
              <w:t>年以内</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w w:val="80"/>
                <w:sz w:val="21"/>
              </w:rPr>
              <w:t>4.73</w:t>
            </w:r>
            <w:r>
              <w:rPr>
                <w:rFonts w:ascii="Arial"/>
                <w:sz w:val="21"/>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spacing w:val="-1"/>
                <w:w w:val="80"/>
                <w:sz w:val="21"/>
              </w:rPr>
              <w:t>21,223.82</w:t>
            </w:r>
            <w:r>
              <w:rPr>
                <w:rFonts w:ascii="Arial"/>
                <w:spacing w:val="-1"/>
                <w:sz w:val="21"/>
              </w:rPr>
            </w:r>
          </w:p>
        </w:tc>
      </w:tr>
      <w:tr>
        <w:trPr>
          <w:trHeight w:val="362" w:hRule="exact"/>
        </w:trPr>
        <w:tc>
          <w:tcPr>
            <w:tcW w:w="3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天津市双港经济发展管理服务中心</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9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21"/>
                <w:szCs w:val="21"/>
              </w:rPr>
            </w:pPr>
            <w:r>
              <w:rPr>
                <w:rFonts w:ascii="Arial"/>
                <w:spacing w:val="-1"/>
                <w:w w:val="80"/>
                <w:sz w:val="21"/>
              </w:rPr>
              <w:t>300,000.00</w:t>
            </w:r>
            <w:r>
              <w:rPr>
                <w:rFonts w:ascii="Arial"/>
                <w:spacing w:val="-1"/>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Arial" w:hAnsi="Arial" w:cs="Arial" w:eastAsia="Arial" w:hint="default"/>
                <w:w w:val="95"/>
                <w:sz w:val="21"/>
                <w:szCs w:val="21"/>
              </w:rPr>
              <w:t>3-4</w:t>
            </w:r>
            <w:r>
              <w:rPr>
                <w:rFonts w:ascii="Arial" w:hAnsi="Arial" w:cs="Arial" w:eastAsia="Arial" w:hint="default"/>
                <w:spacing w:val="-33"/>
                <w:w w:val="95"/>
                <w:sz w:val="21"/>
                <w:szCs w:val="21"/>
              </w:rPr>
              <w:t> </w:t>
            </w:r>
            <w:r>
              <w:rPr>
                <w:rFonts w:ascii="宋体" w:hAnsi="宋体" w:cs="宋体" w:eastAsia="宋体" w:hint="default"/>
                <w:w w:val="95"/>
                <w:sz w:val="21"/>
                <w:szCs w:val="21"/>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w w:val="80"/>
                <w:sz w:val="21"/>
              </w:rPr>
              <w:t>3.34</w:t>
            </w:r>
            <w:r>
              <w:rPr>
                <w:rFonts w:ascii="Arial"/>
                <w:sz w:val="21"/>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Arial" w:hAnsi="Arial" w:cs="Arial" w:eastAsia="Arial" w:hint="default"/>
                <w:sz w:val="21"/>
                <w:szCs w:val="21"/>
              </w:rPr>
            </w:pPr>
            <w:r>
              <w:rPr>
                <w:rFonts w:ascii="Arial"/>
                <w:spacing w:val="-1"/>
                <w:w w:val="80"/>
                <w:sz w:val="21"/>
              </w:rPr>
              <w:t>180,000.00</w:t>
            </w:r>
            <w:r>
              <w:rPr>
                <w:rFonts w:ascii="Arial"/>
                <w:spacing w:val="-1"/>
                <w:sz w:val="21"/>
              </w:rPr>
            </w:r>
          </w:p>
        </w:tc>
      </w:tr>
      <w:tr>
        <w:trPr>
          <w:trHeight w:val="362" w:hRule="exact"/>
        </w:trPr>
        <w:tc>
          <w:tcPr>
            <w:tcW w:w="3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广州铁路（集团）公司工程管理所</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9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21"/>
                <w:szCs w:val="21"/>
              </w:rPr>
            </w:pPr>
            <w:r>
              <w:rPr>
                <w:rFonts w:ascii="Arial"/>
                <w:spacing w:val="-1"/>
                <w:w w:val="80"/>
                <w:sz w:val="21"/>
              </w:rPr>
              <w:t>290,000.00</w:t>
            </w:r>
            <w:r>
              <w:rPr>
                <w:rFonts w:ascii="Arial"/>
                <w:spacing w:val="-1"/>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27"/>
                <w:sz w:val="21"/>
                <w:szCs w:val="21"/>
              </w:rPr>
              <w:t> </w:t>
            </w:r>
            <w:r>
              <w:rPr>
                <w:rFonts w:ascii="宋体" w:hAnsi="宋体" w:cs="宋体" w:eastAsia="宋体" w:hint="default"/>
                <w:sz w:val="21"/>
                <w:szCs w:val="21"/>
              </w:rPr>
              <w:t>年以内</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w w:val="80"/>
                <w:sz w:val="21"/>
              </w:rPr>
              <w:t>3.23</w:t>
            </w:r>
            <w:r>
              <w:rPr>
                <w:rFonts w:ascii="Arial"/>
                <w:sz w:val="21"/>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spacing w:val="-1"/>
                <w:w w:val="80"/>
                <w:sz w:val="21"/>
              </w:rPr>
              <w:t>14,500.00</w:t>
            </w:r>
            <w:r>
              <w:rPr>
                <w:rFonts w:ascii="Arial"/>
                <w:spacing w:val="-1"/>
                <w:sz w:val="21"/>
              </w:rPr>
            </w:r>
          </w:p>
        </w:tc>
      </w:tr>
      <w:tr>
        <w:trPr>
          <w:trHeight w:val="363" w:hRule="exact"/>
        </w:trPr>
        <w:tc>
          <w:tcPr>
            <w:tcW w:w="3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2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spacing w:val="-1"/>
                <w:w w:val="80"/>
                <w:sz w:val="21"/>
              </w:rPr>
              <w:t>2,979,485.48</w:t>
            </w:r>
            <w:r>
              <w:rPr>
                <w:rFonts w:ascii="Arial"/>
                <w:spacing w:val="-1"/>
                <w:sz w:val="21"/>
              </w:rPr>
            </w:r>
          </w:p>
        </w:tc>
        <w:tc>
          <w:tcPr>
            <w:tcW w:w="132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w w:val="80"/>
                <w:sz w:val="21"/>
              </w:rPr>
              <w:t>33.2</w:t>
            </w:r>
            <w:r>
              <w:rPr>
                <w:rFonts w:ascii="Arial"/>
                <w:sz w:val="21"/>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Arial" w:hAnsi="Arial" w:cs="Arial" w:eastAsia="Arial" w:hint="default"/>
                <w:sz w:val="21"/>
                <w:szCs w:val="21"/>
              </w:rPr>
            </w:pPr>
            <w:r>
              <w:rPr>
                <w:rFonts w:ascii="Arial"/>
                <w:spacing w:val="-1"/>
                <w:w w:val="80"/>
                <w:sz w:val="21"/>
              </w:rPr>
              <w:t>313,974.27</w:t>
            </w:r>
            <w:r>
              <w:rPr>
                <w:rFonts w:ascii="Arial"/>
                <w:spacing w:val="-1"/>
                <w:sz w:val="21"/>
              </w:rPr>
            </w:r>
          </w:p>
        </w:tc>
      </w:tr>
    </w:tbl>
    <w:p>
      <w:pPr>
        <w:spacing w:after="0" w:line="240" w:lineRule="auto"/>
        <w:jc w:val="right"/>
        <w:rPr>
          <w:rFonts w:ascii="Arial" w:hAnsi="Arial" w:cs="Arial" w:eastAsia="Arial" w:hint="default"/>
          <w:sz w:val="21"/>
          <w:szCs w:val="21"/>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20" w:right="0"/>
        </w:sectPr>
      </w:pPr>
    </w:p>
    <w:p>
      <w:pPr>
        <w:pStyle w:val="Heading2"/>
        <w:spacing w:line="350" w:lineRule="auto" w:before="199"/>
        <w:ind w:left="694" w:right="2590" w:firstLine="2"/>
        <w:jc w:val="left"/>
        <w:rPr>
          <w:rFonts w:ascii="宋体" w:hAnsi="宋体" w:cs="宋体" w:eastAsia="宋体" w:hint="default"/>
          <w:b w:val="0"/>
          <w:bCs w:val="0"/>
        </w:rPr>
      </w:pPr>
      <w:r>
        <w:rPr>
          <w:w w:val="95"/>
        </w:rPr>
        <w:t>（</w:t>
      </w:r>
      <w:r>
        <w:rPr>
          <w:rFonts w:ascii="宋体" w:hAnsi="宋体" w:cs="宋体" w:eastAsia="宋体" w:hint="default"/>
          <w:w w:val="95"/>
        </w:rPr>
        <w:t>6</w:t>
      </w:r>
      <w:r>
        <w:rPr>
          <w:w w:val="95"/>
        </w:rPr>
        <w:t>）涉及政府补助的应收款项</w:t>
      </w:r>
      <w:r>
        <w:rPr>
          <w:spacing w:val="34"/>
          <w:w w:val="95"/>
        </w:rPr>
        <w:t> </w:t>
      </w:r>
      <w:r>
        <w:rPr>
          <w:rFonts w:ascii="宋体" w:hAnsi="宋体" w:cs="宋体" w:eastAsia="宋体" w:hint="default"/>
          <w:b w:val="0"/>
          <w:bCs w:val="0"/>
        </w:rPr>
        <w:t>无</w:t>
      </w:r>
    </w:p>
    <w:p>
      <w:pPr>
        <w:pStyle w:val="Heading2"/>
        <w:spacing w:line="350" w:lineRule="auto" w:before="36"/>
        <w:ind w:left="693" w:right="968" w:firstLine="2"/>
        <w:jc w:val="left"/>
        <w:rPr>
          <w:rFonts w:ascii="宋体" w:hAnsi="宋体" w:cs="宋体" w:eastAsia="宋体" w:hint="default"/>
          <w:b w:val="0"/>
          <w:bCs w:val="0"/>
        </w:rPr>
      </w:pPr>
      <w:r>
        <w:rPr>
          <w:w w:val="95"/>
        </w:rPr>
        <w:t>（</w:t>
      </w:r>
      <w:r>
        <w:rPr>
          <w:rFonts w:ascii="宋体" w:hAnsi="宋体" w:cs="宋体" w:eastAsia="宋体" w:hint="default"/>
          <w:w w:val="95"/>
        </w:rPr>
        <w:t>7</w:t>
      </w:r>
      <w:r>
        <w:rPr>
          <w:w w:val="95"/>
        </w:rPr>
        <w:t>）因金融资产转移而终止确认的其他应收款</w:t>
      </w:r>
      <w:r>
        <w:rPr>
          <w:spacing w:val="112"/>
          <w:w w:val="95"/>
        </w:rPr>
        <w:t> </w:t>
      </w:r>
      <w:r>
        <w:rPr>
          <w:rFonts w:ascii="宋体" w:hAnsi="宋体" w:cs="宋体" w:eastAsia="宋体" w:hint="default"/>
          <w:b w:val="0"/>
          <w:bCs w:val="0"/>
        </w:rPr>
        <w:t>无</w:t>
      </w:r>
    </w:p>
    <w:p>
      <w:pPr>
        <w:pStyle w:val="Heading2"/>
        <w:spacing w:line="352" w:lineRule="auto" w:before="35"/>
        <w:ind w:left="693" w:right="53" w:firstLine="2"/>
        <w:jc w:val="left"/>
        <w:rPr>
          <w:rFonts w:ascii="宋体" w:hAnsi="宋体" w:cs="宋体" w:eastAsia="宋体" w:hint="default"/>
          <w:b w:val="0"/>
          <w:bCs w:val="0"/>
        </w:rPr>
      </w:pPr>
      <w:r>
        <w:rPr>
          <w:w w:val="95"/>
        </w:rPr>
        <w:t>（</w:t>
      </w:r>
      <w:r>
        <w:rPr>
          <w:rFonts w:ascii="宋体" w:hAnsi="宋体" w:cs="宋体" w:eastAsia="宋体" w:hint="default"/>
          <w:w w:val="95"/>
        </w:rPr>
        <w:t>8</w:t>
      </w:r>
      <w:r>
        <w:rPr>
          <w:w w:val="95"/>
        </w:rPr>
        <w:t>）转移其他应收款且继续涉入形成的资产、负债金额 </w:t>
      </w:r>
      <w:r>
        <w:rPr>
          <w:spacing w:val="41"/>
          <w:w w:val="95"/>
        </w:rPr>
        <w:t> </w:t>
      </w:r>
      <w:r>
        <w:rPr>
          <w:rFonts w:ascii="宋体" w:hAnsi="宋体" w:cs="宋体" w:eastAsia="宋体" w:hint="default"/>
          <w:b w:val="0"/>
          <w:bCs w:val="0"/>
        </w:rPr>
        <w:t>无</w:t>
      </w:r>
    </w:p>
    <w:p>
      <w:pPr>
        <w:pStyle w:val="Heading2"/>
        <w:spacing w:line="240" w:lineRule="auto" w:before="32"/>
        <w:ind w:left="696" w:right="53"/>
        <w:jc w:val="left"/>
        <w:rPr>
          <w:b w:val="0"/>
          <w:bCs w:val="0"/>
        </w:rPr>
      </w:pPr>
      <w:r>
        <w:rPr>
          <w:rFonts w:ascii="宋体" w:hAnsi="宋体" w:cs="宋体" w:eastAsia="宋体" w:hint="default"/>
        </w:rPr>
        <w:t>10</w:t>
      </w:r>
      <w:r>
        <w:rPr/>
        <w:t>、存货</w:t>
      </w:r>
      <w:r>
        <w:rPr>
          <w:b w:val="0"/>
          <w:bCs w:val="0"/>
        </w:rPr>
      </w:r>
    </w:p>
    <w:p>
      <w:pPr>
        <w:pStyle w:val="Heading2"/>
        <w:spacing w:line="240" w:lineRule="auto" w:before="145"/>
        <w:ind w:left="696" w:right="53"/>
        <w:jc w:val="left"/>
        <w:rPr>
          <w:b w:val="0"/>
          <w:bCs w:val="0"/>
        </w:rPr>
      </w:pPr>
      <w:r>
        <w:rPr/>
        <w:t>（</w:t>
      </w:r>
      <w:r>
        <w:rPr>
          <w:rFonts w:ascii="宋体" w:hAnsi="宋体" w:cs="宋体" w:eastAsia="宋体" w:hint="default"/>
        </w:rPr>
        <w:t>1</w:t>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53"/>
        <w:ind w:left="69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20" w:right="0"/>
          <w:cols w:num="2" w:equalWidth="0">
            <w:col w:w="6597" w:space="1618"/>
            <w:col w:w="2775"/>
          </w:cols>
        </w:sectPr>
      </w:pPr>
    </w:p>
    <w:p>
      <w:pPr>
        <w:spacing w:line="240" w:lineRule="auto" w:before="1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419"/>
        <w:gridCol w:w="1560"/>
        <w:gridCol w:w="993"/>
        <w:gridCol w:w="1559"/>
        <w:gridCol w:w="1592"/>
        <w:gridCol w:w="1146"/>
        <w:gridCol w:w="1589"/>
      </w:tblGrid>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59,202,627.20</w:t>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59,202,627.20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30,969,361.09</w:t>
            </w:r>
          </w:p>
        </w:tc>
        <w:tc>
          <w:tcPr>
            <w:tcW w:w="114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30,969,361.09</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60,574,262.31</w:t>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60,574,262.31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36,734,355.98</w:t>
            </w:r>
          </w:p>
        </w:tc>
        <w:tc>
          <w:tcPr>
            <w:tcW w:w="114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36,734,355.98</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75,619,580.83</w:t>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75,619,580.83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98,005,942.38</w:t>
            </w:r>
          </w:p>
        </w:tc>
        <w:tc>
          <w:tcPr>
            <w:tcW w:w="114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98,005,942.38</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22,990,368.25</w:t>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22,990,368.25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12,746,789.13</w:t>
            </w:r>
          </w:p>
        </w:tc>
        <w:tc>
          <w:tcPr>
            <w:tcW w:w="114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12,746,789.13</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1,316,951.49</w:t>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1,316,951.49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1,677,677.19</w:t>
            </w:r>
          </w:p>
        </w:tc>
        <w:tc>
          <w:tcPr>
            <w:tcW w:w="114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1,677,677.19</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219,703,790.08</w:t>
            </w:r>
          </w:p>
        </w:tc>
        <w:tc>
          <w:tcPr>
            <w:tcW w:w="99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219,703,790.08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z w:val="21"/>
              </w:rPr>
              <w:t>180,134,125.77</w:t>
            </w:r>
          </w:p>
        </w:tc>
        <w:tc>
          <w:tcPr>
            <w:tcW w:w="114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sz w:val="21"/>
              </w:rPr>
              <w:t>180,134,125.77</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20" w:right="0"/>
        </w:sectPr>
      </w:pPr>
    </w:p>
    <w:p>
      <w:pPr>
        <w:pStyle w:val="Heading2"/>
        <w:spacing w:line="350" w:lineRule="auto"/>
        <w:ind w:left="693" w:right="3351" w:firstLine="2"/>
        <w:jc w:val="left"/>
        <w:rPr>
          <w:rFonts w:ascii="宋体" w:hAnsi="宋体" w:cs="宋体" w:eastAsia="宋体" w:hint="default"/>
          <w:b w:val="0"/>
          <w:bCs w:val="0"/>
        </w:rPr>
      </w:pPr>
      <w:r>
        <w:rPr/>
        <w:t>（</w:t>
      </w:r>
      <w:r>
        <w:rPr>
          <w:rFonts w:ascii="宋体" w:hAnsi="宋体" w:cs="宋体" w:eastAsia="宋体" w:hint="default"/>
        </w:rPr>
        <w:t>2</w:t>
      </w:r>
      <w:r>
        <w:rPr/>
        <w:t>）存货跌价准备</w:t>
      </w:r>
      <w:r>
        <w:rPr>
          <w:w w:val="99"/>
        </w:rPr>
        <w:t> </w:t>
      </w:r>
      <w:r>
        <w:rPr>
          <w:rFonts w:ascii="宋体" w:hAnsi="宋体" w:cs="宋体" w:eastAsia="宋体" w:hint="default"/>
          <w:b w:val="0"/>
          <w:bCs w:val="0"/>
        </w:rPr>
        <w:t>无</w:t>
      </w:r>
    </w:p>
    <w:p>
      <w:pPr>
        <w:pStyle w:val="Heading2"/>
        <w:spacing w:line="352" w:lineRule="auto" w:before="35"/>
        <w:ind w:left="693" w:right="29" w:firstLine="2"/>
        <w:jc w:val="left"/>
        <w:rPr>
          <w:rFonts w:ascii="宋体" w:hAnsi="宋体" w:cs="宋体" w:eastAsia="宋体" w:hint="default"/>
          <w:b w:val="0"/>
          <w:bCs w:val="0"/>
        </w:rPr>
      </w:pPr>
      <w:r>
        <w:rPr>
          <w:w w:val="95"/>
        </w:rPr>
        <w:t>（</w:t>
      </w:r>
      <w:r>
        <w:rPr>
          <w:rFonts w:ascii="宋体" w:hAnsi="宋体" w:cs="宋体" w:eastAsia="宋体" w:hint="default"/>
          <w:w w:val="95"/>
        </w:rPr>
        <w:t>3</w:t>
      </w:r>
      <w:r>
        <w:rPr>
          <w:w w:val="95"/>
        </w:rPr>
        <w:t>）存货期末余额含有借款费用资本化金额的说明 </w:t>
      </w:r>
      <w:r>
        <w:rPr>
          <w:spacing w:val="19"/>
          <w:w w:val="95"/>
        </w:rPr>
        <w:t> </w:t>
      </w:r>
      <w:r>
        <w:rPr>
          <w:rFonts w:ascii="宋体" w:hAnsi="宋体" w:cs="宋体" w:eastAsia="宋体" w:hint="default"/>
          <w:b w:val="0"/>
          <w:bCs w:val="0"/>
        </w:rPr>
        <w:t>无</w:t>
      </w:r>
    </w:p>
    <w:p>
      <w:pPr>
        <w:pStyle w:val="Heading2"/>
        <w:spacing w:line="350" w:lineRule="auto" w:before="32"/>
        <w:ind w:left="693" w:right="257" w:firstLine="2"/>
        <w:jc w:val="left"/>
        <w:rPr>
          <w:rFonts w:ascii="宋体" w:hAnsi="宋体" w:cs="宋体" w:eastAsia="宋体" w:hint="default"/>
          <w:b w:val="0"/>
          <w:bCs w:val="0"/>
        </w:rPr>
      </w:pPr>
      <w:r>
        <w:rPr>
          <w:w w:val="95"/>
        </w:rPr>
        <w:t>（</w:t>
      </w:r>
      <w:r>
        <w:rPr>
          <w:rFonts w:ascii="宋体" w:hAnsi="宋体" w:cs="宋体" w:eastAsia="宋体" w:hint="default"/>
          <w:w w:val="95"/>
        </w:rPr>
        <w:t>4</w:t>
      </w:r>
      <w:r>
        <w:rPr>
          <w:w w:val="95"/>
        </w:rPr>
        <w:t>）期末建造合同形成的已完工未结算资产情况 </w:t>
      </w:r>
      <w:r>
        <w:rPr>
          <w:spacing w:val="8"/>
          <w:w w:val="95"/>
        </w:rPr>
        <w:t> </w:t>
      </w:r>
      <w:r>
        <w:rPr>
          <w:rFonts w:ascii="宋体" w:hAnsi="宋体" w:cs="宋体" w:eastAsia="宋体" w:hint="default"/>
          <w:b w:val="0"/>
          <w:bCs w:val="0"/>
        </w:rPr>
        <w:t>无</w:t>
      </w:r>
    </w:p>
    <w:p>
      <w:pPr>
        <w:pStyle w:val="Heading2"/>
        <w:spacing w:line="350" w:lineRule="auto" w:before="36"/>
        <w:ind w:left="693" w:right="2452" w:firstLine="2"/>
        <w:jc w:val="left"/>
        <w:rPr>
          <w:rFonts w:ascii="宋体" w:hAnsi="宋体" w:cs="宋体" w:eastAsia="宋体" w:hint="default"/>
          <w:b w:val="0"/>
          <w:bCs w:val="0"/>
        </w:rPr>
      </w:pPr>
      <w:r>
        <w:rPr>
          <w:rFonts w:ascii="宋体" w:hAnsi="宋体" w:cs="宋体" w:eastAsia="宋体" w:hint="default"/>
          <w:w w:val="95"/>
        </w:rPr>
        <w:t>11</w:t>
      </w:r>
      <w:r>
        <w:rPr>
          <w:w w:val="95"/>
        </w:rPr>
        <w:t>、划分为持有待售的资产</w:t>
      </w:r>
      <w:r>
        <w:rPr>
          <w:spacing w:val="17"/>
          <w:w w:val="95"/>
        </w:rPr>
        <w:t> </w:t>
      </w:r>
      <w:r>
        <w:rPr>
          <w:rFonts w:ascii="宋体" w:hAnsi="宋体" w:cs="宋体" w:eastAsia="宋体" w:hint="default"/>
          <w:b w:val="0"/>
          <w:bCs w:val="0"/>
        </w:rPr>
        <w:t>无</w:t>
      </w:r>
    </w:p>
    <w:p>
      <w:pPr>
        <w:pStyle w:val="Heading2"/>
        <w:spacing w:line="352" w:lineRule="auto" w:before="35"/>
        <w:ind w:left="693" w:right="2223" w:firstLine="2"/>
        <w:jc w:val="left"/>
        <w:rPr>
          <w:rFonts w:ascii="宋体" w:hAnsi="宋体" w:cs="宋体" w:eastAsia="宋体" w:hint="default"/>
          <w:b w:val="0"/>
          <w:bCs w:val="0"/>
        </w:rPr>
      </w:pPr>
      <w:r>
        <w:rPr>
          <w:rFonts w:ascii="宋体" w:hAnsi="宋体" w:cs="宋体" w:eastAsia="宋体" w:hint="default"/>
          <w:w w:val="95"/>
        </w:rPr>
        <w:t>12</w:t>
      </w:r>
      <w:r>
        <w:rPr>
          <w:w w:val="95"/>
        </w:rPr>
        <w:t>、一年内到期的非流动资产</w:t>
      </w:r>
      <w:r>
        <w:rPr>
          <w:spacing w:val="28"/>
          <w:w w:val="95"/>
        </w:rPr>
        <w:t> </w:t>
      </w:r>
      <w:r>
        <w:rPr>
          <w:rFonts w:ascii="宋体" w:hAnsi="宋体" w:cs="宋体" w:eastAsia="宋体" w:hint="default"/>
          <w:b w:val="0"/>
          <w:bCs w:val="0"/>
        </w:rPr>
        <w:t>无</w:t>
      </w:r>
    </w:p>
    <w:p>
      <w:pPr>
        <w:pStyle w:val="Heading2"/>
        <w:spacing w:line="240" w:lineRule="auto" w:before="32"/>
        <w:ind w:left="696" w:right="3351"/>
        <w:jc w:val="left"/>
        <w:rPr>
          <w:b w:val="0"/>
          <w:bCs w:val="0"/>
        </w:rPr>
      </w:pPr>
      <w:r>
        <w:rPr>
          <w:rFonts w:ascii="宋体" w:hAnsi="宋体" w:cs="宋体" w:eastAsia="宋体" w:hint="default"/>
        </w:rPr>
        <w:t>13</w:t>
      </w:r>
      <w:r>
        <w:rPr/>
        <w:t>、其他流动资产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before="0"/>
        <w:ind w:left="69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20" w:right="0"/>
          <w:cols w:num="2" w:equalWidth="0">
            <w:col w:w="6115" w:space="1890"/>
            <w:col w:w="2985"/>
          </w:cols>
        </w:sectPr>
      </w:pPr>
    </w:p>
    <w:p>
      <w:pPr>
        <w:spacing w:line="240" w:lineRule="auto" w:before="0"/>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3164"/>
        <w:gridCol w:w="3203"/>
        <w:gridCol w:w="3191"/>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待抵扣税金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056" w:right="0"/>
              <w:jc w:val="left"/>
              <w:rPr>
                <w:rFonts w:ascii="Times New Roman" w:hAnsi="Times New Roman" w:cs="Times New Roman" w:eastAsia="Times New Roman" w:hint="default"/>
                <w:sz w:val="21"/>
                <w:szCs w:val="21"/>
              </w:rPr>
            </w:pPr>
            <w:r>
              <w:rPr>
                <w:rFonts w:ascii="Times New Roman"/>
                <w:sz w:val="21"/>
              </w:rPr>
              <w:t>4,988,961.71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6" w:right="0"/>
              <w:jc w:val="left"/>
              <w:rPr>
                <w:rFonts w:ascii="Times New Roman" w:hAnsi="Times New Roman" w:cs="Times New Roman" w:eastAsia="Times New Roman" w:hint="default"/>
                <w:sz w:val="21"/>
                <w:szCs w:val="21"/>
              </w:rPr>
            </w:pPr>
            <w:r>
              <w:rPr>
                <w:rFonts w:ascii="Times New Roman"/>
                <w:sz w:val="21"/>
              </w:rPr>
              <w:t>5,775,157.58</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60" w:left="920" w:right="0"/>
        </w:sectPr>
      </w:pPr>
    </w:p>
    <w:p>
      <w:pPr>
        <w:spacing w:line="240" w:lineRule="auto" w:before="6"/>
        <w:rPr>
          <w:rFonts w:ascii="宋体" w:hAnsi="宋体" w:cs="宋体" w:eastAsia="宋体" w:hint="default"/>
          <w:sz w:val="28"/>
          <w:szCs w:val="28"/>
        </w:rPr>
      </w:pPr>
    </w:p>
    <w:tbl>
      <w:tblPr>
        <w:tblW w:w="0" w:type="auto"/>
        <w:jc w:val="left"/>
        <w:tblInd w:w="28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所得税预缴税额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314,638.01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131,873.19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5,303,599.72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5,907,030.77</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840" w:right="0"/>
        </w:sectPr>
      </w:pPr>
    </w:p>
    <w:p>
      <w:pPr>
        <w:pStyle w:val="Heading2"/>
        <w:spacing w:line="240" w:lineRule="auto"/>
        <w:ind w:left="776" w:right="0"/>
        <w:jc w:val="left"/>
        <w:rPr>
          <w:b w:val="0"/>
          <w:bCs w:val="0"/>
        </w:rPr>
      </w:pPr>
      <w:r>
        <w:rPr>
          <w:rFonts w:ascii="宋体" w:hAnsi="宋体" w:cs="宋体" w:eastAsia="宋体" w:hint="default"/>
        </w:rPr>
        <w:t>14</w:t>
      </w:r>
      <w:r>
        <w:rPr/>
        <w:t>、可供出售金融资产</w:t>
      </w:r>
      <w:r>
        <w:rPr>
          <w:b w:val="0"/>
          <w:bCs w:val="0"/>
        </w:rPr>
      </w:r>
    </w:p>
    <w:p>
      <w:pPr>
        <w:pStyle w:val="Heading2"/>
        <w:spacing w:line="240" w:lineRule="auto" w:before="147"/>
        <w:ind w:left="776" w:right="0"/>
        <w:jc w:val="left"/>
        <w:rPr>
          <w:b w:val="0"/>
          <w:bCs w:val="0"/>
        </w:rPr>
      </w:pPr>
      <w:r>
        <w:rPr>
          <w:w w:val="95"/>
        </w:rPr>
        <w:t>（</w:t>
      </w:r>
      <w:r>
        <w:rPr>
          <w:rFonts w:ascii="宋体" w:hAnsi="宋体" w:cs="宋体" w:eastAsia="宋体" w:hint="default"/>
          <w:w w:val="95"/>
        </w:rPr>
        <w:t>1</w:t>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spacing w:before="0"/>
        <w:ind w:left="77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840" w:right="0"/>
          <w:cols w:num="2" w:equalWidth="0">
            <w:col w:w="3787" w:space="4425"/>
            <w:col w:w="2858"/>
          </w:cols>
        </w:sectPr>
      </w:pPr>
    </w:p>
    <w:p>
      <w:pPr>
        <w:spacing w:line="240" w:lineRule="auto" w:before="0"/>
        <w:rPr>
          <w:rFonts w:ascii="宋体" w:hAnsi="宋体" w:cs="宋体" w:eastAsia="宋体" w:hint="default"/>
          <w:sz w:val="7"/>
          <w:szCs w:val="7"/>
        </w:rPr>
      </w:pPr>
    </w:p>
    <w:tbl>
      <w:tblPr>
        <w:tblW w:w="0" w:type="auto"/>
        <w:jc w:val="left"/>
        <w:tblInd w:w="334" w:type="dxa"/>
        <w:tblLayout w:type="fixed"/>
        <w:tblCellMar>
          <w:top w:w="0" w:type="dxa"/>
          <w:left w:w="0" w:type="dxa"/>
          <w:bottom w:w="0" w:type="dxa"/>
          <w:right w:w="0" w:type="dxa"/>
        </w:tblCellMar>
        <w:tblLook w:val="01E0"/>
      </w:tblPr>
      <w:tblGrid>
        <w:gridCol w:w="1989"/>
        <w:gridCol w:w="1402"/>
        <w:gridCol w:w="990"/>
        <w:gridCol w:w="1421"/>
        <w:gridCol w:w="1276"/>
        <w:gridCol w:w="1114"/>
        <w:gridCol w:w="1368"/>
      </w:tblGrid>
      <w:tr>
        <w:trPr>
          <w:trHeight w:val="205"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3813" w:type="dxa"/>
            <w:gridSpan w:val="3"/>
            <w:vMerge/>
            <w:tcBorders>
              <w:left w:val="single" w:sz="4" w:space="0" w:color="000000"/>
              <w:bottom w:val="single" w:sz="4" w:space="0" w:color="000000"/>
              <w:right w:val="single" w:sz="4" w:space="0" w:color="000000"/>
            </w:tcBorders>
            <w:shd w:val="clear" w:color="auto" w:fill="D2D2D2"/>
          </w:tcPr>
          <w:p>
            <w:pPr/>
          </w:p>
        </w:tc>
        <w:tc>
          <w:tcPr>
            <w:tcW w:w="3758"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6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3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2" w:type="dxa"/>
            <w:vMerge/>
            <w:tcBorders>
              <w:left w:val="single" w:sz="4" w:space="0" w:color="000000"/>
              <w:bottom w:val="single" w:sz="4" w:space="0" w:color="000000"/>
              <w:right w:val="single" w:sz="4" w:space="0" w:color="000000"/>
            </w:tcBorders>
            <w:shd w:val="clear" w:color="auto" w:fill="D2D2D2"/>
          </w:tcPr>
          <w:p>
            <w:pPr/>
          </w:p>
        </w:tc>
        <w:tc>
          <w:tcPr>
            <w:tcW w:w="990"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4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50,000,000.00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5,000,000.00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4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50,000,000.00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5,000,000.00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5,000,000.00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5,000,000.00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840" w:right="0"/>
        </w:sectPr>
      </w:pPr>
    </w:p>
    <w:p>
      <w:pPr>
        <w:pStyle w:val="Heading2"/>
        <w:spacing w:line="350" w:lineRule="auto"/>
        <w:ind w:left="773" w:right="4" w:firstLine="2"/>
        <w:jc w:val="left"/>
        <w:rPr>
          <w:rFonts w:ascii="宋体" w:hAnsi="宋体" w:cs="宋体" w:eastAsia="宋体" w:hint="default"/>
          <w:b w:val="0"/>
          <w:bCs w:val="0"/>
        </w:rPr>
      </w:pPr>
      <w:r>
        <w:rPr>
          <w:w w:val="95"/>
        </w:rPr>
        <w:t>（</w:t>
      </w:r>
      <w:r>
        <w:rPr>
          <w:rFonts w:ascii="宋体" w:hAnsi="宋体" w:cs="宋体" w:eastAsia="宋体" w:hint="default"/>
          <w:w w:val="95"/>
        </w:rPr>
        <w:t>2</w:t>
      </w:r>
      <w:r>
        <w:rPr>
          <w:w w:val="95"/>
        </w:rPr>
        <w:t>）期末按公允价值计量的可供出售金融资产</w:t>
      </w:r>
      <w:r>
        <w:rPr>
          <w:spacing w:val="112"/>
          <w:w w:val="95"/>
        </w:rPr>
        <w:t> </w:t>
      </w:r>
      <w:r>
        <w:rPr>
          <w:rFonts w:ascii="宋体" w:hAnsi="宋体" w:cs="宋体" w:eastAsia="宋体" w:hint="default"/>
          <w:b w:val="0"/>
          <w:bCs w:val="0"/>
        </w:rPr>
        <w:t>无</w:t>
      </w:r>
    </w:p>
    <w:p>
      <w:pPr>
        <w:pStyle w:val="Heading2"/>
        <w:spacing w:line="240" w:lineRule="auto" w:before="36"/>
        <w:ind w:left="776" w:right="4"/>
        <w:jc w:val="left"/>
        <w:rPr>
          <w:b w:val="0"/>
          <w:bCs w:val="0"/>
        </w:rPr>
      </w:pPr>
      <w:r>
        <w:rPr/>
        <w:t>（</w:t>
      </w:r>
      <w:r>
        <w:rPr>
          <w:rFonts w:ascii="宋体" w:hAnsi="宋体" w:cs="宋体" w:eastAsia="宋体" w:hint="default"/>
        </w:rPr>
        <w:t>3</w:t>
      </w:r>
      <w:r>
        <w:rPr/>
        <w:t>）期末按成本计量的可供出售金融资产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spacing w:before="0"/>
        <w:ind w:left="77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840" w:right="0"/>
          <w:cols w:num="2" w:equalWidth="0">
            <w:col w:w="5713" w:space="2232"/>
            <w:col w:w="3125"/>
          </w:cols>
        </w:sectPr>
      </w:pP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703"/>
        <w:gridCol w:w="566"/>
        <w:gridCol w:w="1277"/>
        <w:gridCol w:w="567"/>
        <w:gridCol w:w="1276"/>
        <w:gridCol w:w="708"/>
        <w:gridCol w:w="568"/>
        <w:gridCol w:w="567"/>
        <w:gridCol w:w="709"/>
        <w:gridCol w:w="1181"/>
        <w:gridCol w:w="870"/>
      </w:tblGrid>
      <w:tr>
        <w:trPr>
          <w:trHeight w:val="322" w:hRule="exact"/>
        </w:trPr>
        <w:tc>
          <w:tcPr>
            <w:tcW w:w="17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368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146"/>
              <w:ind w:left="59" w:right="59"/>
              <w:jc w:val="left"/>
              <w:rPr>
                <w:rFonts w:ascii="宋体" w:hAnsi="宋体" w:cs="宋体" w:eastAsia="宋体" w:hint="default"/>
                <w:sz w:val="21"/>
                <w:szCs w:val="21"/>
              </w:rPr>
            </w:pPr>
            <w:r>
              <w:rPr>
                <w:rFonts w:ascii="宋体" w:hAnsi="宋体" w:cs="宋体" w:eastAsia="宋体" w:hint="default"/>
                <w:sz w:val="21"/>
                <w:szCs w:val="21"/>
              </w:rPr>
              <w:t>在被投资单 位持股比例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146"/>
              <w:ind w:left="113" w:right="114"/>
              <w:jc w:val="left"/>
              <w:rPr>
                <w:rFonts w:ascii="宋体" w:hAnsi="宋体" w:cs="宋体" w:eastAsia="宋体" w:hint="default"/>
                <w:sz w:val="21"/>
                <w:szCs w:val="21"/>
              </w:rPr>
            </w:pPr>
            <w:r>
              <w:rPr>
                <w:rFonts w:ascii="宋体" w:hAnsi="宋体" w:cs="宋体" w:eastAsia="宋体" w:hint="default"/>
                <w:sz w:val="21"/>
                <w:szCs w:val="21"/>
              </w:rPr>
              <w:t>本期现 金红利</w:t>
            </w:r>
          </w:p>
        </w:tc>
      </w:tr>
      <w:tr>
        <w:trPr>
          <w:trHeight w:val="634"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68"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68"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37"/>
              <w:ind w:left="68" w:right="0"/>
              <w:jc w:val="left"/>
              <w:rPr>
                <w:rFonts w:ascii="宋体" w:hAnsi="宋体" w:cs="宋体" w:eastAsia="宋体" w:hint="default"/>
                <w:sz w:val="21"/>
                <w:szCs w:val="21"/>
              </w:rPr>
            </w:pPr>
            <w:r>
              <w:rPr>
                <w:rFonts w:ascii="宋体" w:hAnsi="宋体" w:cs="宋体" w:eastAsia="宋体" w:hint="default"/>
                <w:sz w:val="21"/>
                <w:szCs w:val="21"/>
              </w:rPr>
              <w:t>减少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39"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69"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37"/>
              <w:ind w:left="69"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68"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37"/>
              <w:ind w:left="68" w:right="0"/>
              <w:jc w:val="left"/>
              <w:rPr>
                <w:rFonts w:ascii="宋体" w:hAnsi="宋体" w:cs="宋体" w:eastAsia="宋体" w:hint="default"/>
                <w:sz w:val="21"/>
                <w:szCs w:val="21"/>
              </w:rPr>
            </w:pPr>
            <w:r>
              <w:rPr>
                <w:rFonts w:ascii="宋体" w:hAnsi="宋体" w:cs="宋体" w:eastAsia="宋体" w:hint="default"/>
                <w:sz w:val="21"/>
                <w:szCs w:val="21"/>
              </w:rPr>
              <w:t>减少</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40"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北京七彩通达传</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媒股份有限公司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 w:right="0"/>
              <w:jc w:val="center"/>
              <w:rPr>
                <w:rFonts w:ascii="Times New Roman" w:hAnsi="Times New Roman" w:cs="Times New Roman" w:eastAsia="Times New Roman" w:hint="default"/>
                <w:sz w:val="21"/>
                <w:szCs w:val="21"/>
              </w:rPr>
            </w:pPr>
            <w:r>
              <w:rPr>
                <w:rFonts w:ascii="Times New Roman"/>
                <w:sz w:val="21"/>
              </w:rPr>
              <w:t>50,000,000.00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21"/>
                <w:szCs w:val="21"/>
              </w:rPr>
            </w:pPr>
            <w:r>
              <w:rPr>
                <w:rFonts w:ascii="Times New Roman"/>
                <w:sz w:val="21"/>
              </w:rPr>
              <w:t>50,000,000.00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04" w:right="0"/>
              <w:jc w:val="left"/>
              <w:rPr>
                <w:rFonts w:ascii="Times New Roman" w:hAnsi="Times New Roman" w:cs="Times New Roman" w:eastAsia="Times New Roman" w:hint="default"/>
                <w:sz w:val="21"/>
                <w:szCs w:val="21"/>
              </w:rPr>
            </w:pPr>
            <w:r>
              <w:rPr>
                <w:rFonts w:ascii="Times New Roman"/>
                <w:sz w:val="21"/>
              </w:rPr>
              <w:t>8.79%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 w:right="0"/>
              <w:jc w:val="center"/>
              <w:rPr>
                <w:rFonts w:ascii="Times New Roman" w:hAnsi="Times New Roman" w:cs="Times New Roman" w:eastAsia="Times New Roman" w:hint="default"/>
                <w:sz w:val="21"/>
                <w:szCs w:val="21"/>
              </w:rPr>
            </w:pPr>
            <w:r>
              <w:rPr>
                <w:rFonts w:ascii="Times New Roman"/>
                <w:sz w:val="21"/>
              </w:rPr>
              <w:t>50,000,000.00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 w:right="0"/>
              <w:jc w:val="center"/>
              <w:rPr>
                <w:rFonts w:ascii="Times New Roman" w:hAnsi="Times New Roman" w:cs="Times New Roman" w:eastAsia="Times New Roman" w:hint="default"/>
                <w:sz w:val="21"/>
                <w:szCs w:val="21"/>
              </w:rPr>
            </w:pPr>
            <w:r>
              <w:rPr>
                <w:rFonts w:ascii="Times New Roman"/>
                <w:sz w:val="21"/>
              </w:rPr>
              <w:t>50,000,000.00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350" w:lineRule="auto"/>
        <w:ind w:left="773" w:right="5129" w:firstLine="2"/>
        <w:jc w:val="left"/>
        <w:rPr>
          <w:rFonts w:ascii="宋体" w:hAnsi="宋体" w:cs="宋体" w:eastAsia="宋体" w:hint="default"/>
          <w:b w:val="0"/>
          <w:bCs w:val="0"/>
        </w:rPr>
      </w:pPr>
      <w:r>
        <w:rPr>
          <w:w w:val="95"/>
        </w:rPr>
        <w:t>（</w:t>
      </w:r>
      <w:r>
        <w:rPr>
          <w:rFonts w:ascii="宋体" w:hAnsi="宋体" w:cs="宋体" w:eastAsia="宋体" w:hint="default"/>
          <w:w w:val="95"/>
        </w:rPr>
        <w:t>4</w:t>
      </w:r>
      <w:r>
        <w:rPr>
          <w:w w:val="95"/>
        </w:rPr>
        <w:t>）报告期内可供出售金融资产减值的变动情况 </w:t>
      </w:r>
      <w:r>
        <w:rPr>
          <w:spacing w:val="8"/>
          <w:w w:val="95"/>
        </w:rPr>
        <w:t> </w:t>
      </w:r>
      <w:r>
        <w:rPr>
          <w:rFonts w:ascii="宋体" w:hAnsi="宋体" w:cs="宋体" w:eastAsia="宋体" w:hint="default"/>
          <w:b w:val="0"/>
          <w:bCs w:val="0"/>
        </w:rPr>
        <w:t>无</w:t>
      </w:r>
    </w:p>
    <w:p>
      <w:pPr>
        <w:pStyle w:val="Heading2"/>
        <w:spacing w:line="352" w:lineRule="auto" w:before="35"/>
        <w:ind w:left="293" w:right="1004" w:firstLine="482"/>
        <w:jc w:val="left"/>
        <w:rPr>
          <w:b w:val="0"/>
          <w:bCs w:val="0"/>
        </w:rPr>
      </w:pPr>
      <w:r>
        <w:rPr>
          <w:w w:val="95"/>
        </w:rPr>
        <w:t>（</w:t>
      </w:r>
      <w:r>
        <w:rPr>
          <w:rFonts w:ascii="宋体" w:hAnsi="宋体" w:cs="宋体" w:eastAsia="宋体" w:hint="default"/>
          <w:w w:val="95"/>
        </w:rPr>
        <w:t>5</w:t>
      </w:r>
      <w:r>
        <w:rPr>
          <w:w w:val="95"/>
        </w:rPr>
        <w:t>）可供出售权益工具期末公允价值严重下跌或非暂时性下跌但未计提减值准备的相</w:t>
      </w:r>
      <w:r>
        <w:rPr>
          <w:w w:val="99"/>
        </w:rPr>
        <w:t> </w:t>
      </w:r>
      <w:r>
        <w:rPr/>
        <w:t>关说明</w:t>
      </w:r>
      <w:r>
        <w:rPr>
          <w:b w:val="0"/>
          <w:bCs w:val="0"/>
        </w:rPr>
      </w:r>
    </w:p>
    <w:p>
      <w:pPr>
        <w:pStyle w:val="BodyText"/>
        <w:spacing w:line="240" w:lineRule="auto" w:before="32"/>
        <w:ind w:left="773" w:right="1004"/>
        <w:jc w:val="left"/>
      </w:pPr>
      <w:r>
        <w:rPr/>
        <w:t>公司于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spacing w:val="-3"/>
        </w:rPr>
        <w:t>日与北京七彩通达传媒股份有限公司签署《北京七彩通达传媒股</w:t>
      </w:r>
    </w:p>
    <w:p>
      <w:pPr>
        <w:pStyle w:val="BodyText"/>
        <w:spacing w:line="240" w:lineRule="auto" w:before="145"/>
        <w:ind w:left="293" w:right="1004"/>
        <w:jc w:val="left"/>
      </w:pPr>
      <w:r>
        <w:rPr>
          <w:spacing w:val="-4"/>
        </w:rPr>
        <w:t>份有限公司投资协议》，本公司出资</w:t>
      </w:r>
      <w:r>
        <w:rPr>
          <w:spacing w:val="-57"/>
        </w:rPr>
        <w:t> </w:t>
      </w:r>
      <w:r>
        <w:rPr>
          <w:rFonts w:ascii="宋体" w:hAnsi="宋体" w:cs="宋体" w:eastAsia="宋体" w:hint="default"/>
        </w:rPr>
        <w:t>1</w:t>
      </w:r>
      <w:r>
        <w:rPr>
          <w:rFonts w:ascii="宋体" w:hAnsi="宋体" w:cs="宋体" w:eastAsia="宋体" w:hint="default"/>
          <w:spacing w:val="-57"/>
        </w:rPr>
        <w:t> </w:t>
      </w:r>
      <w:r>
        <w:rPr/>
        <w:t>亿元认购其注册资本</w:t>
      </w:r>
      <w:r>
        <w:rPr>
          <w:spacing w:val="-57"/>
        </w:rPr>
        <w:t> </w:t>
      </w:r>
      <w:r>
        <w:rPr>
          <w:rFonts w:ascii="宋体" w:hAnsi="宋体" w:cs="宋体" w:eastAsia="宋体" w:hint="default"/>
        </w:rPr>
        <w:t>300.03</w:t>
      </w:r>
      <w:r>
        <w:rPr>
          <w:rFonts w:ascii="宋体" w:hAnsi="宋体" w:cs="宋体" w:eastAsia="宋体" w:hint="default"/>
          <w:spacing w:val="-57"/>
        </w:rPr>
        <w:t> </w:t>
      </w:r>
      <w:r>
        <w:rPr>
          <w:spacing w:val="-3"/>
        </w:rPr>
        <w:t>万元，占被投资单位总股</w:t>
      </w:r>
    </w:p>
    <w:p>
      <w:pPr>
        <w:pStyle w:val="BodyText"/>
        <w:spacing w:line="350" w:lineRule="auto" w:before="146"/>
        <w:ind w:left="294" w:right="1127"/>
        <w:jc w:val="left"/>
      </w:pPr>
      <w:r>
        <w:rPr/>
        <w:t>本的</w:t>
      </w:r>
      <w:r>
        <w:rPr>
          <w:spacing w:val="-60"/>
        </w:rPr>
        <w:t> </w:t>
      </w:r>
      <w:r>
        <w:rPr>
          <w:rFonts w:ascii="宋体" w:hAnsi="宋体" w:cs="宋体" w:eastAsia="宋体" w:hint="default"/>
          <w:spacing w:val="-5"/>
        </w:rPr>
        <w:t>8.79%</w:t>
      </w:r>
      <w:r>
        <w:rPr>
          <w:spacing w:val="-5"/>
        </w:rPr>
        <w:t>，公司于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日出资</w:t>
      </w:r>
      <w:r>
        <w:rPr>
          <w:spacing w:val="-60"/>
        </w:rPr>
        <w:t> </w:t>
      </w:r>
      <w:r>
        <w:rPr>
          <w:rFonts w:ascii="宋体" w:hAnsi="宋体" w:cs="宋体" w:eastAsia="宋体" w:hint="default"/>
        </w:rPr>
        <w:t>5,000.00</w:t>
      </w:r>
      <w:r>
        <w:rPr>
          <w:rFonts w:ascii="宋体" w:hAnsi="宋体" w:cs="宋体" w:eastAsia="宋体" w:hint="default"/>
          <w:spacing w:val="-60"/>
        </w:rPr>
        <w:t> </w:t>
      </w:r>
      <w:r>
        <w:rPr>
          <w:spacing w:val="-5"/>
        </w:rPr>
        <w:t>万元，被投资单位已于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7 </w:t>
      </w:r>
      <w:r>
        <w:rPr/>
        <w:t>日完成工商登记变更手续。</w:t>
      </w:r>
    </w:p>
    <w:p>
      <w:pPr>
        <w:pStyle w:val="Heading2"/>
        <w:spacing w:line="352" w:lineRule="auto" w:before="35"/>
        <w:ind w:left="774" w:right="8101" w:firstLine="2"/>
        <w:jc w:val="left"/>
        <w:rPr>
          <w:rFonts w:ascii="宋体" w:hAnsi="宋体" w:cs="宋体" w:eastAsia="宋体" w:hint="default"/>
          <w:b w:val="0"/>
          <w:bCs w:val="0"/>
        </w:rPr>
      </w:pPr>
      <w:r>
        <w:rPr>
          <w:rFonts w:ascii="宋体" w:hAnsi="宋体" w:cs="宋体" w:eastAsia="宋体" w:hint="default"/>
        </w:rPr>
        <w:t>15</w:t>
      </w:r>
      <w:r>
        <w:rPr/>
        <w:t>、持有至到期投资</w:t>
      </w:r>
      <w:r>
        <w:rPr>
          <w:w w:val="99"/>
        </w:rPr>
        <w:t> </w:t>
      </w:r>
      <w:r>
        <w:rPr>
          <w:rFonts w:ascii="宋体" w:hAnsi="宋体" w:cs="宋体" w:eastAsia="宋体" w:hint="default"/>
          <w:b w:val="0"/>
          <w:bCs w:val="0"/>
        </w:rPr>
        <w:t>无</w:t>
      </w:r>
    </w:p>
    <w:p>
      <w:pPr>
        <w:pStyle w:val="Heading2"/>
        <w:spacing w:line="350" w:lineRule="auto" w:before="33"/>
        <w:ind w:left="774" w:right="8582" w:firstLine="2"/>
        <w:jc w:val="left"/>
        <w:rPr>
          <w:rFonts w:ascii="宋体" w:hAnsi="宋体" w:cs="宋体" w:eastAsia="宋体" w:hint="default"/>
          <w:b w:val="0"/>
          <w:bCs w:val="0"/>
        </w:rPr>
      </w:pPr>
      <w:r>
        <w:rPr>
          <w:rFonts w:ascii="宋体" w:hAnsi="宋体" w:cs="宋体" w:eastAsia="宋体" w:hint="default"/>
        </w:rPr>
        <w:t>16</w:t>
      </w:r>
      <w:r>
        <w:rPr/>
        <w:t>、长期应收款</w:t>
      </w:r>
      <w:r>
        <w:rPr>
          <w:w w:val="99"/>
        </w:rPr>
        <w:t> </w:t>
      </w:r>
      <w:r>
        <w:rPr>
          <w:rFonts w:ascii="宋体" w:hAnsi="宋体" w:cs="宋体" w:eastAsia="宋体" w:hint="default"/>
          <w:b w:val="0"/>
          <w:bCs w:val="0"/>
        </w:rPr>
        <w:t>无</w:t>
      </w:r>
    </w:p>
    <w:p>
      <w:pPr>
        <w:pStyle w:val="Heading2"/>
        <w:spacing w:line="240" w:lineRule="auto" w:before="36"/>
        <w:ind w:left="776" w:right="5129"/>
        <w:jc w:val="left"/>
        <w:rPr>
          <w:b w:val="0"/>
          <w:bCs w:val="0"/>
        </w:rPr>
      </w:pPr>
      <w:r>
        <w:rPr>
          <w:rFonts w:ascii="宋体" w:hAnsi="宋体" w:cs="宋体" w:eastAsia="宋体" w:hint="default"/>
        </w:rPr>
        <w:t>17</w:t>
      </w:r>
      <w:r>
        <w:rPr/>
        <w:t>、长期股权投资</w:t>
      </w:r>
      <w:r>
        <w:rPr>
          <w:b w:val="0"/>
          <w:bCs w:val="0"/>
        </w:rPr>
      </w:r>
    </w:p>
    <w:p>
      <w:pPr>
        <w:spacing w:after="0" w:line="240" w:lineRule="auto"/>
        <w:jc w:val="left"/>
        <w:sectPr>
          <w:type w:val="continuous"/>
          <w:pgSz w:w="11910" w:h="16840"/>
          <w:pgMar w:top="1060" w:bottom="1160" w:left="840" w:right="0"/>
        </w:sectPr>
      </w:pPr>
    </w:p>
    <w:p>
      <w:pPr>
        <w:spacing w:line="240" w:lineRule="auto" w:before="9"/>
        <w:rPr>
          <w:rFonts w:ascii="宋体" w:hAnsi="宋体" w:cs="宋体" w:eastAsia="宋体" w:hint="default"/>
          <w:b/>
          <w:bCs/>
          <w:sz w:val="24"/>
          <w:szCs w:val="24"/>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276"/>
        <w:gridCol w:w="568"/>
        <w:gridCol w:w="1417"/>
        <w:gridCol w:w="568"/>
        <w:gridCol w:w="1134"/>
        <w:gridCol w:w="142"/>
        <w:gridCol w:w="568"/>
        <w:gridCol w:w="619"/>
        <w:gridCol w:w="798"/>
        <w:gridCol w:w="142"/>
        <w:gridCol w:w="657"/>
        <w:gridCol w:w="619"/>
        <w:gridCol w:w="1417"/>
        <w:gridCol w:w="709"/>
      </w:tblGrid>
      <w:tr>
        <w:trPr>
          <w:trHeight w:val="322"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68" w:right="67"/>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666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146"/>
              <w:ind w:left="33" w:right="35"/>
              <w:jc w:val="both"/>
              <w:rPr>
                <w:rFonts w:ascii="宋体" w:hAnsi="宋体" w:cs="宋体" w:eastAsia="宋体" w:hint="default"/>
                <w:sz w:val="21"/>
                <w:szCs w:val="21"/>
              </w:rPr>
            </w:pPr>
            <w:r>
              <w:rPr>
                <w:rFonts w:ascii="宋体" w:hAnsi="宋体" w:cs="宋体" w:eastAsia="宋体" w:hint="default"/>
                <w:sz w:val="21"/>
                <w:szCs w:val="21"/>
              </w:rPr>
              <w:t>减值准 备期末 余额</w:t>
            </w:r>
          </w:p>
        </w:tc>
      </w:tr>
      <w:tr>
        <w:trPr>
          <w:trHeight w:val="94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追加投资</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69" w:right="66"/>
              <w:jc w:val="left"/>
              <w:rPr>
                <w:rFonts w:ascii="宋体" w:hAnsi="宋体" w:cs="宋体" w:eastAsia="宋体" w:hint="default"/>
                <w:sz w:val="21"/>
                <w:szCs w:val="21"/>
              </w:rPr>
            </w:pPr>
            <w:r>
              <w:rPr>
                <w:rFonts w:ascii="宋体" w:hAnsi="宋体" w:cs="宋体" w:eastAsia="宋体" w:hint="default"/>
                <w:sz w:val="21"/>
                <w:szCs w:val="21"/>
              </w:rPr>
              <w:t>减少 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6" w:right="0"/>
              <w:jc w:val="left"/>
              <w:rPr>
                <w:rFonts w:ascii="宋体" w:hAnsi="宋体" w:cs="宋体" w:eastAsia="宋体" w:hint="default"/>
                <w:sz w:val="21"/>
                <w:szCs w:val="21"/>
              </w:rPr>
            </w:pPr>
            <w:r>
              <w:rPr>
                <w:rFonts w:ascii="宋体" w:hAnsi="宋体" w:cs="宋体" w:eastAsia="宋体" w:hint="default"/>
                <w:sz w:val="21"/>
                <w:szCs w:val="21"/>
              </w:rPr>
              <w:t>权益法下确</w:t>
            </w:r>
          </w:p>
          <w:p>
            <w:pPr>
              <w:pStyle w:val="TableParagraph"/>
              <w:spacing w:line="273" w:lineRule="auto" w:before="37"/>
              <w:ind w:left="456" w:right="36" w:hanging="421"/>
              <w:jc w:val="left"/>
              <w:rPr>
                <w:rFonts w:ascii="宋体" w:hAnsi="宋体" w:cs="宋体" w:eastAsia="宋体" w:hint="default"/>
                <w:sz w:val="21"/>
                <w:szCs w:val="21"/>
              </w:rPr>
            </w:pPr>
            <w:r>
              <w:rPr>
                <w:rFonts w:ascii="宋体" w:hAnsi="宋体" w:cs="宋体" w:eastAsia="宋体" w:hint="default"/>
                <w:sz w:val="21"/>
                <w:szCs w:val="21"/>
              </w:rPr>
              <w:t>认的投资损 益</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3" w:right="0"/>
              <w:jc w:val="left"/>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73" w:lineRule="auto" w:before="37"/>
              <w:ind w:left="139" w:right="35" w:hanging="106"/>
              <w:jc w:val="left"/>
              <w:rPr>
                <w:rFonts w:ascii="宋体" w:hAnsi="宋体" w:cs="宋体" w:eastAsia="宋体" w:hint="default"/>
                <w:sz w:val="21"/>
                <w:szCs w:val="21"/>
              </w:rPr>
            </w:pPr>
            <w:r>
              <w:rPr>
                <w:rFonts w:ascii="宋体" w:hAnsi="宋体" w:cs="宋体" w:eastAsia="宋体" w:hint="default"/>
                <w:sz w:val="21"/>
                <w:szCs w:val="21"/>
              </w:rPr>
              <w:t>合收益 调整</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auto" w:before="37"/>
              <w:ind w:left="94" w:right="92"/>
              <w:jc w:val="left"/>
              <w:rPr>
                <w:rFonts w:ascii="宋体" w:hAnsi="宋体" w:cs="宋体" w:eastAsia="宋体" w:hint="default"/>
                <w:sz w:val="21"/>
                <w:szCs w:val="21"/>
              </w:rPr>
            </w:pPr>
            <w:r>
              <w:rPr>
                <w:rFonts w:ascii="宋体" w:hAnsi="宋体" w:cs="宋体" w:eastAsia="宋体" w:hint="default"/>
                <w:sz w:val="21"/>
                <w:szCs w:val="21"/>
              </w:rPr>
              <w:t>权益 变动</w:t>
            </w:r>
          </w:p>
        </w:tc>
        <w:tc>
          <w:tcPr>
            <w:tcW w:w="9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3" w:lineRule="auto" w:before="37"/>
              <w:ind w:left="150" w:right="42" w:hanging="105"/>
              <w:jc w:val="left"/>
              <w:rPr>
                <w:rFonts w:ascii="宋体" w:hAnsi="宋体" w:cs="宋体" w:eastAsia="宋体" w:hint="default"/>
                <w:sz w:val="21"/>
                <w:szCs w:val="21"/>
              </w:rPr>
            </w:pPr>
            <w:r>
              <w:rPr>
                <w:rFonts w:ascii="宋体" w:hAnsi="宋体" w:cs="宋体" w:eastAsia="宋体" w:hint="default"/>
                <w:sz w:val="21"/>
                <w:szCs w:val="21"/>
              </w:rPr>
              <w:t>现金股利 或利润</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2"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auto" w:before="37"/>
              <w:ind w:left="112" w:right="112"/>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7"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063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2" w:hRule="exact"/>
        </w:trPr>
        <w:tc>
          <w:tcPr>
            <w:tcW w:w="1063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94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飞天联合</w:t>
            </w:r>
            <w:r>
              <w:rPr>
                <w:rFonts w:ascii="Times New Roman" w:hAnsi="Times New Roman" w:cs="Times New Roman" w:eastAsia="Times New Roman" w:hint="default"/>
                <w:sz w:val="21"/>
                <w:szCs w:val="21"/>
              </w:rPr>
              <w:t>(</w:t>
            </w:r>
            <w:r>
              <w:rPr>
                <w:rFonts w:ascii="宋体" w:hAnsi="宋体" w:cs="宋体" w:eastAsia="宋体" w:hint="default"/>
                <w:sz w:val="21"/>
                <w:szCs w:val="21"/>
              </w:rPr>
              <w:t>北</w:t>
            </w:r>
          </w:p>
          <w:p>
            <w:pPr>
              <w:pStyle w:val="TableParagraph"/>
              <w:spacing w:line="256" w:lineRule="auto" w:before="21"/>
              <w:ind w:left="22" w:right="123"/>
              <w:jc w:val="left"/>
              <w:rPr>
                <w:rFonts w:ascii="宋体" w:hAnsi="宋体" w:cs="宋体" w:eastAsia="宋体" w:hint="default"/>
                <w:sz w:val="21"/>
                <w:szCs w:val="21"/>
              </w:rPr>
            </w:pPr>
            <w:r>
              <w:rPr>
                <w:rFonts w:ascii="宋体" w:hAnsi="宋体" w:cs="宋体" w:eastAsia="宋体" w:hint="default"/>
                <w:sz w:val="21"/>
                <w:szCs w:val="21"/>
              </w:rPr>
              <w:t>京</w:t>
            </w:r>
            <w:r>
              <w:rPr>
                <w:rFonts w:ascii="Times New Roman" w:hAnsi="Times New Roman" w:cs="Times New Roman" w:eastAsia="Times New Roman" w:hint="default"/>
                <w:sz w:val="21"/>
                <w:szCs w:val="21"/>
              </w:rPr>
              <w:t>)</w:t>
            </w:r>
            <w:r>
              <w:rPr>
                <w:rFonts w:ascii="宋体" w:hAnsi="宋体" w:cs="宋体" w:eastAsia="宋体" w:hint="default"/>
                <w:sz w:val="21"/>
                <w:szCs w:val="21"/>
              </w:rPr>
              <w:t>系统技术 有限公司</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55" w:right="0"/>
              <w:jc w:val="center"/>
              <w:rPr>
                <w:rFonts w:ascii="Times New Roman" w:hAnsi="Times New Roman" w:cs="Times New Roman" w:eastAsia="Times New Roman" w:hint="default"/>
                <w:sz w:val="21"/>
                <w:szCs w:val="21"/>
              </w:rPr>
            </w:pPr>
            <w:r>
              <w:rPr>
                <w:rFonts w:ascii="Times New Roman"/>
                <w:sz w:val="21"/>
              </w:rPr>
              <w:t>55,793,684.00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8" w:right="0"/>
              <w:jc w:val="left"/>
              <w:rPr>
                <w:rFonts w:ascii="Times New Roman" w:hAnsi="Times New Roman" w:cs="Times New Roman" w:eastAsia="Times New Roman" w:hint="default"/>
                <w:sz w:val="21"/>
                <w:szCs w:val="21"/>
              </w:rPr>
            </w:pPr>
            <w:r>
              <w:rPr>
                <w:rFonts w:ascii="Times New Roman"/>
                <w:sz w:val="21"/>
              </w:rPr>
              <w:t>-429,627.57</w:t>
            </w:r>
          </w:p>
        </w:tc>
        <w:tc>
          <w:tcPr>
            <w:tcW w:w="56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gridSpan w:val="2"/>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55,364,056.43</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北京赛弗网</w:t>
            </w:r>
          </w:p>
          <w:p>
            <w:pPr>
              <w:pStyle w:val="TableParagraph"/>
              <w:spacing w:line="273" w:lineRule="auto" w:before="37"/>
              <w:ind w:left="22" w:right="191"/>
              <w:jc w:val="left"/>
              <w:rPr>
                <w:rFonts w:ascii="宋体" w:hAnsi="宋体" w:cs="宋体" w:eastAsia="宋体" w:hint="default"/>
                <w:sz w:val="21"/>
                <w:szCs w:val="21"/>
              </w:rPr>
            </w:pPr>
            <w:r>
              <w:rPr>
                <w:rFonts w:ascii="宋体" w:hAnsi="宋体" w:cs="宋体" w:eastAsia="宋体" w:hint="default"/>
                <w:sz w:val="21"/>
                <w:szCs w:val="21"/>
              </w:rPr>
              <w:t>络科技有限 责任公司</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55" w:right="0"/>
              <w:jc w:val="center"/>
              <w:rPr>
                <w:rFonts w:ascii="Times New Roman" w:hAnsi="Times New Roman" w:cs="Times New Roman" w:eastAsia="Times New Roman" w:hint="default"/>
                <w:sz w:val="21"/>
                <w:szCs w:val="21"/>
              </w:rPr>
            </w:pPr>
            <w:r>
              <w:rPr>
                <w:rFonts w:ascii="Times New Roman"/>
                <w:sz w:val="21"/>
              </w:rPr>
              <w:t>78,928,300.00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70" w:right="0"/>
              <w:jc w:val="left"/>
              <w:rPr>
                <w:rFonts w:ascii="Times New Roman" w:hAnsi="Times New Roman" w:cs="Times New Roman" w:eastAsia="Times New Roman" w:hint="default"/>
                <w:sz w:val="21"/>
                <w:szCs w:val="21"/>
              </w:rPr>
            </w:pPr>
            <w:r>
              <w:rPr>
                <w:rFonts w:ascii="Times New Roman"/>
                <w:sz w:val="21"/>
              </w:rPr>
              <w:t>-1,806,537.47</w:t>
            </w:r>
          </w:p>
        </w:tc>
        <w:tc>
          <w:tcPr>
            <w:tcW w:w="56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gridSpan w:val="2"/>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77,121,762.53</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1" w:right="0"/>
              <w:jc w:val="center"/>
              <w:rPr>
                <w:rFonts w:ascii="Times New Roman" w:hAnsi="Times New Roman" w:cs="Times New Roman" w:eastAsia="Times New Roman" w:hint="default"/>
                <w:sz w:val="21"/>
                <w:szCs w:val="21"/>
              </w:rPr>
            </w:pPr>
            <w:r>
              <w:rPr>
                <w:rFonts w:ascii="Times New Roman"/>
                <w:sz w:val="21"/>
              </w:rPr>
              <w:t>134,721,984.00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0" w:right="0"/>
              <w:jc w:val="left"/>
              <w:rPr>
                <w:rFonts w:ascii="Times New Roman" w:hAnsi="Times New Roman" w:cs="Times New Roman" w:eastAsia="Times New Roman" w:hint="default"/>
                <w:sz w:val="21"/>
                <w:szCs w:val="21"/>
              </w:rPr>
            </w:pPr>
            <w:r>
              <w:rPr>
                <w:rFonts w:ascii="Times New Roman"/>
                <w:sz w:val="21"/>
              </w:rPr>
              <w:t>-2,236,165.04</w:t>
            </w:r>
          </w:p>
        </w:tc>
        <w:tc>
          <w:tcPr>
            <w:tcW w:w="56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gridSpan w:val="2"/>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132,485,818.96</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1" w:right="0"/>
              <w:jc w:val="center"/>
              <w:rPr>
                <w:rFonts w:ascii="Times New Roman" w:hAnsi="Times New Roman" w:cs="Times New Roman" w:eastAsia="Times New Roman" w:hint="default"/>
                <w:sz w:val="21"/>
                <w:szCs w:val="21"/>
              </w:rPr>
            </w:pPr>
            <w:r>
              <w:rPr>
                <w:rFonts w:ascii="Times New Roman"/>
                <w:sz w:val="21"/>
              </w:rPr>
              <w:t>134,721,984.00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0" w:right="0"/>
              <w:jc w:val="left"/>
              <w:rPr>
                <w:rFonts w:ascii="Times New Roman" w:hAnsi="Times New Roman" w:cs="Times New Roman" w:eastAsia="Times New Roman" w:hint="default"/>
                <w:sz w:val="21"/>
                <w:szCs w:val="21"/>
              </w:rPr>
            </w:pPr>
            <w:r>
              <w:rPr>
                <w:rFonts w:ascii="Times New Roman"/>
                <w:sz w:val="21"/>
              </w:rPr>
              <w:t>-2,236,165.04</w:t>
            </w:r>
          </w:p>
        </w:tc>
        <w:tc>
          <w:tcPr>
            <w:tcW w:w="568"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gridSpan w:val="2"/>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132,485,818.96</w:t>
            </w:r>
          </w:p>
        </w:tc>
        <w:tc>
          <w:tcPr>
            <w:tcW w:w="7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240" w:lineRule="auto"/>
        <w:ind w:left="1096" w:right="1573"/>
        <w:jc w:val="left"/>
        <w:rPr>
          <w:b w:val="0"/>
          <w:bCs w:val="0"/>
        </w:rPr>
      </w:pPr>
      <w:r>
        <w:rPr/>
        <w:t>其他说明</w:t>
      </w:r>
      <w:r>
        <w:rPr>
          <w:b w:val="0"/>
          <w:bCs w:val="0"/>
        </w:rPr>
      </w:r>
    </w:p>
    <w:p>
      <w:pPr>
        <w:pStyle w:val="BodyText"/>
        <w:spacing w:line="240" w:lineRule="auto" w:before="145"/>
        <w:ind w:left="1093" w:right="996"/>
        <w:jc w:val="left"/>
      </w:pPr>
      <w:r>
        <w:rPr/>
        <w:t>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日召开总经理办公会，审议并通过了《河南辉煌科技股份有限公</w:t>
      </w:r>
    </w:p>
    <w:p>
      <w:pPr>
        <w:pStyle w:val="BodyText"/>
        <w:spacing w:line="350" w:lineRule="auto" w:before="146"/>
        <w:ind w:left="613" w:right="1152"/>
        <w:jc w:val="left"/>
      </w:pPr>
      <w:r>
        <w:rPr/>
        <w:t>司及飞天联合（北京）系统技术有限公司投资合作备忘录》，公司以自有资金</w:t>
      </w:r>
      <w:r>
        <w:rPr>
          <w:spacing w:val="-59"/>
        </w:rPr>
        <w:t> </w:t>
      </w:r>
      <w:r>
        <w:rPr>
          <w:rFonts w:ascii="宋体" w:hAnsi="宋体" w:cs="宋体" w:eastAsia="宋体" w:hint="default"/>
        </w:rPr>
        <w:t>500</w:t>
      </w:r>
      <w:r>
        <w:rPr>
          <w:rFonts w:ascii="宋体" w:hAnsi="宋体" w:cs="宋体" w:eastAsia="宋体" w:hint="default"/>
          <w:spacing w:val="-60"/>
        </w:rPr>
        <w:t> </w:t>
      </w:r>
      <w:r>
        <w:rPr/>
        <w:t>万元对飞 天联合（北京）系统技术有限公司投资，取得飞天联合</w:t>
      </w:r>
      <w:r>
        <w:rPr>
          <w:spacing w:val="-60"/>
        </w:rPr>
        <w:t> </w:t>
      </w:r>
      <w:r>
        <w:rPr>
          <w:rFonts w:ascii="宋体" w:hAnsi="宋体" w:cs="宋体" w:eastAsia="宋体" w:hint="default"/>
        </w:rPr>
        <w:t>5%</w:t>
      </w:r>
      <w:r>
        <w:rPr/>
        <w:t>的股权。</w:t>
      </w:r>
    </w:p>
    <w:p>
      <w:pPr>
        <w:pStyle w:val="BodyText"/>
        <w:spacing w:line="240" w:lineRule="auto" w:before="35"/>
        <w:ind w:left="1093" w:right="996"/>
        <w:jc w:val="left"/>
      </w:pPr>
      <w:r>
        <w:rPr/>
        <w:t>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spacing w:val="-3"/>
        </w:rPr>
        <w:t>日召开第五届董事会第八次会议，审议并通过了《关于对参股子</w:t>
      </w:r>
    </w:p>
    <w:p>
      <w:pPr>
        <w:pStyle w:val="BodyText"/>
        <w:spacing w:line="350" w:lineRule="auto" w:before="146"/>
        <w:ind w:left="614" w:right="1119"/>
        <w:jc w:val="left"/>
      </w:pPr>
      <w:r>
        <w:rPr>
          <w:spacing w:val="-3"/>
        </w:rPr>
        <w:t>公司增资的议案》。本公司以自有资金</w:t>
      </w:r>
      <w:r>
        <w:rPr>
          <w:spacing w:val="-51"/>
        </w:rPr>
        <w:t> </w:t>
      </w:r>
      <w:r>
        <w:rPr>
          <w:rFonts w:ascii="宋体" w:hAnsi="宋体" w:cs="宋体" w:eastAsia="宋体" w:hint="default"/>
        </w:rPr>
        <w:t>3,947.3684</w:t>
      </w:r>
      <w:r>
        <w:rPr>
          <w:rFonts w:ascii="宋体" w:hAnsi="宋体" w:cs="宋体" w:eastAsia="宋体" w:hint="default"/>
          <w:spacing w:val="-51"/>
        </w:rPr>
        <w:t> </w:t>
      </w:r>
      <w:r>
        <w:rPr>
          <w:spacing w:val="-3"/>
        </w:rPr>
        <w:t>万元对飞天联合（北京）系统技术有限公</w:t>
      </w:r>
      <w:r>
        <w:rPr/>
        <w:t> 司增资，增资完成后，本公司共取得飞天联合</w:t>
      </w:r>
      <w:r>
        <w:rPr>
          <w:spacing w:val="-60"/>
        </w:rPr>
        <w:t> </w:t>
      </w:r>
      <w:r>
        <w:rPr>
          <w:rFonts w:ascii="宋体" w:hAnsi="宋体" w:cs="宋体" w:eastAsia="宋体" w:hint="default"/>
        </w:rPr>
        <w:t>20%</w:t>
      </w:r>
      <w:r>
        <w:rPr/>
        <w:t>的股权。</w:t>
      </w:r>
    </w:p>
    <w:p>
      <w:pPr>
        <w:pStyle w:val="BodyText"/>
        <w:spacing w:line="240" w:lineRule="auto" w:before="35"/>
        <w:ind w:left="1093" w:right="996"/>
        <w:jc w:val="left"/>
      </w:pPr>
      <w:r>
        <w:rPr/>
        <w:t>公司于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spacing w:val="-3"/>
        </w:rPr>
        <w:t>日召开第五届董事会第十次会议，审议并通过了《关于受让参股子</w:t>
      </w:r>
    </w:p>
    <w:p>
      <w:pPr>
        <w:pStyle w:val="BodyText"/>
        <w:spacing w:line="350" w:lineRule="auto" w:before="146"/>
        <w:ind w:left="613" w:right="1116"/>
        <w:jc w:val="left"/>
      </w:pPr>
      <w:r>
        <w:rPr>
          <w:spacing w:val="-3"/>
        </w:rPr>
        <w:t>公司股权的议案》。公司于</w:t>
      </w:r>
      <w:r>
        <w:rPr>
          <w:spacing w:val="-58"/>
        </w:rPr>
        <w:t> </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w:t>
      </w:r>
      <w:r>
        <w:rPr>
          <w:spacing w:val="-58"/>
        </w:rPr>
        <w:t> </w:t>
      </w:r>
      <w:r>
        <w:rPr>
          <w:rFonts w:ascii="宋体" w:hAnsi="宋体" w:cs="宋体" w:eastAsia="宋体" w:hint="default"/>
        </w:rPr>
        <w:t>1</w:t>
      </w:r>
      <w:r>
        <w:rPr>
          <w:rFonts w:ascii="宋体" w:hAnsi="宋体" w:cs="宋体" w:eastAsia="宋体" w:hint="default"/>
          <w:spacing w:val="-58"/>
        </w:rPr>
        <w:t> </w:t>
      </w:r>
      <w:r>
        <w:rPr>
          <w:spacing w:val="-3"/>
        </w:rPr>
        <w:t>日与赵勇先生签署了《飞天联合（北京）系统技术</w:t>
      </w:r>
      <w:r>
        <w:rPr/>
        <w:t> 有限公司股权转让协议》，以自有资金</w:t>
      </w:r>
      <w:r>
        <w:rPr>
          <w:spacing w:val="-60"/>
        </w:rPr>
        <w:t> </w:t>
      </w:r>
      <w:r>
        <w:rPr>
          <w:rFonts w:ascii="宋体" w:hAnsi="宋体" w:cs="宋体" w:eastAsia="宋体" w:hint="default"/>
        </w:rPr>
        <w:t>1,132</w:t>
      </w:r>
      <w:r>
        <w:rPr>
          <w:rFonts w:ascii="宋体" w:hAnsi="宋体" w:cs="宋体" w:eastAsia="宋体" w:hint="default"/>
          <w:spacing w:val="-60"/>
        </w:rPr>
        <w:t> </w:t>
      </w:r>
      <w:r>
        <w:rPr/>
        <w:t>万元受让赵勇先生持有的飞天联合</w:t>
      </w:r>
      <w:r>
        <w:rPr>
          <w:spacing w:val="-60"/>
        </w:rPr>
        <w:t> </w:t>
      </w:r>
      <w:r>
        <w:rPr>
          <w:rFonts w:ascii="宋体" w:hAnsi="宋体" w:cs="宋体" w:eastAsia="宋体" w:hint="default"/>
        </w:rPr>
        <w:t>2.83%</w:t>
      </w:r>
      <w:r>
        <w:rPr/>
        <w:t>的股 权，本次股权受让后本公司共计持有飞天联合</w:t>
      </w:r>
      <w:r>
        <w:rPr>
          <w:spacing w:val="-68"/>
        </w:rPr>
        <w:t> </w:t>
      </w:r>
      <w:r>
        <w:rPr>
          <w:rFonts w:ascii="宋体" w:hAnsi="宋体" w:cs="宋体" w:eastAsia="宋体" w:hint="default"/>
        </w:rPr>
        <w:t>22.83%</w:t>
      </w:r>
      <w:r>
        <w:rPr/>
        <w:t>的股权，</w:t>
      </w:r>
      <w:r>
        <w:rPr>
          <w:spacing w:val="-40"/>
        </w:rPr>
        <w:t> </w:t>
      </w:r>
      <w:r>
        <w:rPr/>
        <w:t>因持股比例超过</w:t>
      </w:r>
      <w:r>
        <w:rPr>
          <w:spacing w:val="-68"/>
        </w:rPr>
        <w:t> </w:t>
      </w:r>
      <w:r>
        <w:rPr>
          <w:rFonts w:ascii="宋体" w:hAnsi="宋体" w:cs="宋体" w:eastAsia="宋体" w:hint="default"/>
          <w:spacing w:val="-4"/>
        </w:rPr>
        <w:t>20%</w:t>
      </w:r>
      <w:r>
        <w:rPr>
          <w:spacing w:val="-4"/>
        </w:rPr>
        <w:t>，同时公</w:t>
      </w:r>
      <w:r>
        <w:rPr/>
        <w:t> 司总经理谢春生担任其董事，构成重大影响，采用权益法核算，</w:t>
      </w:r>
      <w:r>
        <w:rPr>
          <w:rFonts w:ascii="宋体" w:hAnsi="宋体" w:cs="宋体" w:eastAsia="宋体" w:hint="default"/>
        </w:rPr>
        <w:t>2015</w:t>
      </w:r>
      <w:r>
        <w:rPr>
          <w:rFonts w:ascii="宋体" w:hAnsi="宋体" w:cs="宋体" w:eastAsia="宋体" w:hint="default"/>
          <w:spacing w:val="-83"/>
        </w:rPr>
        <w:t> </w:t>
      </w:r>
      <w:r>
        <w:rPr/>
        <w:t>年度公司按照飞天联合</w:t>
      </w:r>
    </w:p>
    <w:p>
      <w:pPr>
        <w:pStyle w:val="BodyText"/>
        <w:spacing w:line="350" w:lineRule="auto" w:before="35"/>
        <w:ind w:left="613" w:right="1130"/>
        <w:jc w:val="left"/>
      </w:pPr>
      <w:r>
        <w:rPr/>
        <w:t>（北京）系统技术有限公司经可辨认净资产公允价值摊销调整后实现的净利润的</w:t>
      </w:r>
      <w:r>
        <w:rPr>
          <w:spacing w:val="-79"/>
        </w:rPr>
        <w:t> </w:t>
      </w:r>
      <w:r>
        <w:rPr>
          <w:rFonts w:ascii="宋体" w:hAnsi="宋体" w:cs="宋体" w:eastAsia="宋体" w:hint="default"/>
        </w:rPr>
        <w:t>22.83%</w:t>
      </w:r>
      <w:r>
        <w:rPr/>
        <w:t>确认 投资收益为</w:t>
      </w:r>
      <w:r>
        <w:rPr>
          <w:rFonts w:ascii="宋体" w:hAnsi="宋体" w:cs="宋体" w:eastAsia="宋体" w:hint="default"/>
        </w:rPr>
        <w:t>-429,627.57</w:t>
      </w:r>
      <w:r>
        <w:rPr>
          <w:rFonts w:ascii="宋体" w:hAnsi="宋体" w:cs="宋体" w:eastAsia="宋体" w:hint="default"/>
          <w:spacing w:val="-60"/>
        </w:rPr>
        <w:t> </w:t>
      </w:r>
      <w:r>
        <w:rPr/>
        <w:t>元。</w:t>
      </w:r>
    </w:p>
    <w:p>
      <w:pPr>
        <w:pStyle w:val="BodyText"/>
        <w:spacing w:line="240" w:lineRule="auto"/>
        <w:ind w:left="1093" w:right="996"/>
        <w:jc w:val="left"/>
      </w:pPr>
      <w:r>
        <w:rPr/>
        <w:t>公司于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spacing w:val="-3"/>
        </w:rPr>
        <w:t>日召开总经理办公会，审议并通过了《关于对北京赛弗网络科技有</w:t>
      </w:r>
    </w:p>
    <w:p>
      <w:pPr>
        <w:pStyle w:val="BodyText"/>
        <w:spacing w:line="350" w:lineRule="auto" w:before="145"/>
        <w:ind w:left="613" w:right="996"/>
        <w:jc w:val="left"/>
      </w:pPr>
      <w:r>
        <w:rPr>
          <w:spacing w:val="-5"/>
        </w:rPr>
        <w:t>限责任公司增资的议案》。公司以自有资金</w:t>
      </w:r>
      <w:r>
        <w:rPr>
          <w:spacing w:val="-54"/>
        </w:rPr>
        <w:t> </w:t>
      </w:r>
      <w:r>
        <w:rPr>
          <w:rFonts w:ascii="宋体" w:hAnsi="宋体" w:cs="宋体" w:eastAsia="宋体" w:hint="default"/>
        </w:rPr>
        <w:t>450</w:t>
      </w:r>
      <w:r>
        <w:rPr>
          <w:rFonts w:ascii="宋体" w:hAnsi="宋体" w:cs="宋体" w:eastAsia="宋体" w:hint="default"/>
          <w:spacing w:val="-54"/>
        </w:rPr>
        <w:t> </w:t>
      </w:r>
      <w:r>
        <w:rPr/>
        <w:t>万元对北京赛弗网络科技有限责任公司投资， 取得赛弗科技</w:t>
      </w:r>
      <w:r>
        <w:rPr>
          <w:spacing w:val="-60"/>
        </w:rPr>
        <w:t> </w:t>
      </w:r>
      <w:r>
        <w:rPr>
          <w:rFonts w:ascii="宋体" w:hAnsi="宋体" w:cs="宋体" w:eastAsia="宋体" w:hint="default"/>
        </w:rPr>
        <w:t>3%</w:t>
      </w:r>
      <w:r>
        <w:rPr/>
        <w:t>的股权。</w:t>
      </w:r>
    </w:p>
    <w:p>
      <w:pPr>
        <w:pStyle w:val="BodyText"/>
        <w:spacing w:line="240" w:lineRule="auto"/>
        <w:ind w:left="1094" w:right="996"/>
        <w:jc w:val="left"/>
      </w:pPr>
      <w:r>
        <w:rPr/>
        <w:t>公司于</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16</w:t>
      </w:r>
      <w:r>
        <w:rPr>
          <w:rFonts w:ascii="宋体" w:hAnsi="宋体" w:cs="宋体" w:eastAsia="宋体" w:hint="default"/>
          <w:spacing w:val="-59"/>
        </w:rPr>
        <w:t> </w:t>
      </w:r>
      <w:r>
        <w:rPr/>
        <w:t>日召开第五届董事会第十一</w:t>
      </w:r>
      <w:r>
        <w:rPr>
          <w:spacing w:val="3"/>
        </w:rPr>
        <w:t> </w:t>
      </w:r>
      <w:r>
        <w:rPr>
          <w:spacing w:val="-6"/>
        </w:rPr>
        <w:t>次会议，审议并通过了《关于对参股</w:t>
      </w:r>
    </w:p>
    <w:p>
      <w:pPr>
        <w:pStyle w:val="BodyText"/>
        <w:spacing w:line="240" w:lineRule="auto" w:before="145"/>
        <w:ind w:left="613" w:right="996"/>
        <w:jc w:val="left"/>
      </w:pPr>
      <w:r>
        <w:rPr>
          <w:spacing w:val="-3"/>
        </w:rPr>
        <w:t>子公司追加投资的议案》，公司以自筹资金</w:t>
      </w:r>
      <w:r>
        <w:rPr>
          <w:spacing w:val="-74"/>
        </w:rPr>
        <w:t> </w:t>
      </w:r>
      <w:r>
        <w:rPr>
          <w:rFonts w:ascii="宋体" w:hAnsi="宋体" w:cs="宋体" w:eastAsia="宋体" w:hint="default"/>
        </w:rPr>
        <w:t>7,988.83</w:t>
      </w:r>
      <w:r>
        <w:rPr>
          <w:rFonts w:ascii="宋体" w:hAnsi="宋体" w:cs="宋体" w:eastAsia="宋体" w:hint="default"/>
          <w:spacing w:val="-74"/>
        </w:rPr>
        <w:t> </w:t>
      </w:r>
      <w:r>
        <w:rPr/>
        <w:t>万元对赛弗科技增资，本次股权增资后</w:t>
      </w:r>
    </w:p>
    <w:p>
      <w:pPr>
        <w:spacing w:after="0" w:line="240" w:lineRule="auto"/>
        <w:jc w:val="left"/>
        <w:sectPr>
          <w:pgSz w:w="11910" w:h="16840"/>
          <w:pgMar w:header="747" w:footer="979" w:top="1060" w:bottom="1160" w:left="520" w:right="0"/>
        </w:sectPr>
      </w:pPr>
    </w:p>
    <w:p>
      <w:pPr>
        <w:spacing w:line="240" w:lineRule="auto" w:before="0"/>
        <w:rPr>
          <w:rFonts w:ascii="宋体" w:hAnsi="宋体" w:cs="宋体" w:eastAsia="宋体" w:hint="default"/>
          <w:sz w:val="20"/>
          <w:szCs w:val="20"/>
        </w:rPr>
      </w:pPr>
    </w:p>
    <w:p>
      <w:pPr>
        <w:pStyle w:val="BodyText"/>
        <w:spacing w:line="352" w:lineRule="auto" w:before="199"/>
        <w:ind w:left="193" w:right="1131"/>
        <w:jc w:val="both"/>
      </w:pPr>
      <w:r>
        <w:rPr/>
        <w:t>本公司共持有其</w:t>
      </w:r>
      <w:r>
        <w:rPr>
          <w:spacing w:val="-69"/>
        </w:rPr>
        <w:t> </w:t>
      </w:r>
      <w:r>
        <w:rPr>
          <w:rFonts w:ascii="宋体" w:hAnsi="宋体" w:cs="宋体" w:eastAsia="宋体" w:hint="default"/>
        </w:rPr>
        <w:t>31%</w:t>
      </w:r>
      <w:r>
        <w:rPr/>
        <w:t>的股权，因持股比例超过</w:t>
      </w:r>
      <w:r>
        <w:rPr>
          <w:spacing w:val="-69"/>
        </w:rPr>
        <w:t> </w:t>
      </w:r>
      <w:r>
        <w:rPr>
          <w:rFonts w:ascii="宋体" w:hAnsi="宋体" w:cs="宋体" w:eastAsia="宋体" w:hint="default"/>
          <w:spacing w:val="-3"/>
        </w:rPr>
        <w:t>20%</w:t>
      </w:r>
      <w:r>
        <w:rPr>
          <w:spacing w:val="-3"/>
        </w:rPr>
        <w:t>，同时公司总经理谢春生担任其董事，构成</w:t>
      </w:r>
      <w:r>
        <w:rPr/>
        <w:t> 重大影响，采用权益法核算，</w:t>
      </w:r>
      <w:r>
        <w:rPr>
          <w:rFonts w:ascii="宋体" w:hAnsi="宋体" w:cs="宋体" w:eastAsia="宋体" w:hint="default"/>
        </w:rPr>
        <w:t>2015</w:t>
      </w:r>
      <w:r>
        <w:rPr>
          <w:rFonts w:ascii="宋体" w:hAnsi="宋体" w:cs="宋体" w:eastAsia="宋体" w:hint="default"/>
          <w:spacing w:val="-80"/>
        </w:rPr>
        <w:t> </w:t>
      </w:r>
      <w:r>
        <w:rPr/>
        <w:t>年度公司按照赛弗科技经可辨认净资产公允价值摊销调整 后实现的净利润的</w:t>
      </w:r>
      <w:r>
        <w:rPr>
          <w:spacing w:val="-60"/>
        </w:rPr>
        <w:t> </w:t>
      </w:r>
      <w:r>
        <w:rPr>
          <w:rFonts w:ascii="宋体" w:hAnsi="宋体" w:cs="宋体" w:eastAsia="宋体" w:hint="default"/>
        </w:rPr>
        <w:t>31%</w:t>
      </w:r>
      <w:r>
        <w:rPr/>
        <w:t>确认投资收益为</w:t>
      </w:r>
      <w:r>
        <w:rPr>
          <w:rFonts w:ascii="宋体" w:hAnsi="宋体" w:cs="宋体" w:eastAsia="宋体" w:hint="default"/>
        </w:rPr>
        <w:t>-1,806,537.47</w:t>
      </w:r>
      <w:r>
        <w:rPr>
          <w:rFonts w:ascii="宋体" w:hAnsi="宋体" w:cs="宋体" w:eastAsia="宋体" w:hint="default"/>
          <w:spacing w:val="-60"/>
        </w:rPr>
        <w:t> </w:t>
      </w:r>
      <w:r>
        <w:rPr/>
        <w:t>元。</w:t>
      </w:r>
    </w:p>
    <w:p>
      <w:pPr>
        <w:pStyle w:val="Heading2"/>
        <w:spacing w:line="240" w:lineRule="auto" w:before="33"/>
        <w:ind w:left="676" w:right="0"/>
        <w:jc w:val="left"/>
        <w:rPr>
          <w:b w:val="0"/>
          <w:bCs w:val="0"/>
        </w:rPr>
      </w:pPr>
      <w:r>
        <w:rPr>
          <w:rFonts w:ascii="宋体" w:hAnsi="宋体" w:cs="宋体" w:eastAsia="宋体" w:hint="default"/>
        </w:rPr>
        <w:t>18</w:t>
      </w:r>
      <w:r>
        <w:rPr/>
        <w:t>、投资性房地产</w:t>
      </w:r>
      <w:r>
        <w:rPr>
          <w:b w:val="0"/>
          <w:bCs w:val="0"/>
        </w:rPr>
      </w:r>
    </w:p>
    <w:p>
      <w:pPr>
        <w:spacing w:line="352" w:lineRule="auto" w:before="145"/>
        <w:ind w:left="676" w:right="8233"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19</w:t>
      </w:r>
      <w:r>
        <w:rPr>
          <w:rFonts w:ascii="宋体" w:hAnsi="宋体" w:cs="宋体" w:eastAsia="宋体" w:hint="default"/>
          <w:b/>
          <w:bCs/>
          <w:sz w:val="24"/>
          <w:szCs w:val="24"/>
        </w:rPr>
        <w:t>、固定资产</w:t>
      </w:r>
      <w:r>
        <w:rPr>
          <w:rFonts w:ascii="宋体" w:hAnsi="宋体" w:cs="宋体" w:eastAsia="宋体" w:hint="default"/>
          <w:sz w:val="24"/>
          <w:szCs w:val="24"/>
        </w:rPr>
      </w:r>
    </w:p>
    <w:p>
      <w:pPr>
        <w:pStyle w:val="Heading2"/>
        <w:spacing w:line="240" w:lineRule="auto" w:before="32"/>
        <w:ind w:left="676" w:right="0"/>
        <w:jc w:val="left"/>
        <w:rPr>
          <w:b w:val="0"/>
          <w:bCs w:val="0"/>
        </w:rPr>
      </w:pPr>
      <w:r>
        <w:rPr/>
        <w:t>（</w:t>
      </w:r>
      <w:r>
        <w:rPr>
          <w:rFonts w:ascii="宋体" w:hAnsi="宋体" w:cs="宋体" w:eastAsia="宋体" w:hint="default"/>
        </w:rPr>
        <w:t>1</w:t>
      </w:r>
      <w:r>
        <w:rPr/>
        <w:t>）固定资产情况</w:t>
      </w:r>
      <w:r>
        <w:rPr>
          <w:b w:val="0"/>
          <w:bCs w:val="0"/>
        </w:rPr>
      </w:r>
    </w:p>
    <w:p>
      <w:pPr>
        <w:spacing w:before="83"/>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2694"/>
        <w:gridCol w:w="1559"/>
        <w:gridCol w:w="1417"/>
        <w:gridCol w:w="1419"/>
        <w:gridCol w:w="1276"/>
        <w:gridCol w:w="1417"/>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14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17"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1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27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1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417" w:type="dxa"/>
            <w:tcBorders>
              <w:top w:val="single" w:sz="4" w:space="0" w:color="000000"/>
              <w:left w:val="single" w:sz="13" w:space="0" w:color="D6D6D6"/>
              <w:bottom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49,965,129.66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91,561,970.25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10,304,245.19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6,116,055.43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157,947,400.53</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445,518.81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145,228.57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590,747.38</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445,518.81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145,228.57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590,747.38</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455"/>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）在建工程转入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455"/>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）企业合并增加</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143,386.00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17,847.00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161,233.00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143,386.00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17,847.00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161,233.00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49,965,129.66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92,007,489.06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10,160,859.19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6,243,437.00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158,376,914.91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12,431,635.16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44,221,552.69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7,655,590.19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4,787,102.27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69,095,880.31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1,657,408.37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16,379,513.14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1,183,410.69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668,147.00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19,888,479.20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1,657,408.37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16,379,513.14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1,183,410.69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668,147.00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19,888,479.20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139,084.42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16,954.65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156,039.07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139,084.42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16,954.65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156,039.07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14,089,043.53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60,601,065.83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8,699,916.46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5,438,294.62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88,828,320.44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35,876,086.13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31,406,423.23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1,460,942.73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805,142.38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69,548,594.47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37,533,494.50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47,340,417.56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2,648,655.00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1,328,953.16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88,851,520.22</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40" w:right="0"/>
        </w:sectPr>
      </w:pPr>
    </w:p>
    <w:p>
      <w:pPr>
        <w:spacing w:line="240" w:lineRule="auto" w:before="0"/>
        <w:rPr>
          <w:rFonts w:ascii="宋体" w:hAnsi="宋体" w:cs="宋体" w:eastAsia="宋体" w:hint="default"/>
          <w:sz w:val="20"/>
          <w:szCs w:val="20"/>
        </w:rPr>
      </w:pPr>
    </w:p>
    <w:p>
      <w:pPr>
        <w:pStyle w:val="Heading2"/>
        <w:spacing w:line="350" w:lineRule="auto" w:before="199"/>
        <w:ind w:left="874" w:right="7017" w:firstLine="2"/>
        <w:jc w:val="left"/>
        <w:rPr>
          <w:rFonts w:ascii="宋体" w:hAnsi="宋体" w:cs="宋体" w:eastAsia="宋体" w:hint="default"/>
          <w:b w:val="0"/>
          <w:bCs w:val="0"/>
        </w:rPr>
      </w:pPr>
      <w:r>
        <w:rPr/>
        <w:t>（</w:t>
      </w:r>
      <w:r>
        <w:rPr>
          <w:rFonts w:ascii="宋体" w:hAnsi="宋体" w:cs="宋体" w:eastAsia="宋体" w:hint="default"/>
        </w:rPr>
        <w:t>2</w:t>
      </w:r>
      <w:r>
        <w:rPr/>
        <w:t>）暂时闲置的固定资产情况</w:t>
      </w:r>
      <w:r>
        <w:rPr>
          <w:spacing w:val="1"/>
          <w:w w:val="99"/>
        </w:rPr>
        <w:t> </w:t>
      </w:r>
      <w:r>
        <w:rPr>
          <w:rFonts w:ascii="宋体" w:hAnsi="宋体" w:cs="宋体" w:eastAsia="宋体" w:hint="default"/>
          <w:b w:val="0"/>
          <w:bCs w:val="0"/>
        </w:rPr>
        <w:t>无</w:t>
      </w:r>
    </w:p>
    <w:p>
      <w:pPr>
        <w:pStyle w:val="Heading2"/>
        <w:spacing w:line="350" w:lineRule="auto" w:before="36"/>
        <w:ind w:left="874" w:right="6064" w:firstLine="2"/>
        <w:jc w:val="left"/>
        <w:rPr>
          <w:rFonts w:ascii="宋体" w:hAnsi="宋体" w:cs="宋体" w:eastAsia="宋体" w:hint="default"/>
          <w:b w:val="0"/>
          <w:bCs w:val="0"/>
        </w:rPr>
      </w:pPr>
      <w:r>
        <w:rPr>
          <w:w w:val="95"/>
        </w:rPr>
        <w:t>（</w:t>
      </w:r>
      <w:r>
        <w:rPr>
          <w:rFonts w:ascii="宋体" w:hAnsi="宋体" w:cs="宋体" w:eastAsia="宋体" w:hint="default"/>
          <w:w w:val="95"/>
        </w:rPr>
        <w:t>3</w:t>
      </w:r>
      <w:r>
        <w:rPr>
          <w:w w:val="95"/>
        </w:rPr>
        <w:t>）通过融资租赁租入的固定资产情况</w:t>
      </w:r>
      <w:r>
        <w:rPr>
          <w:spacing w:val="79"/>
          <w:w w:val="95"/>
        </w:rPr>
        <w:t> </w:t>
      </w:r>
      <w:r>
        <w:rPr>
          <w:rFonts w:ascii="宋体" w:hAnsi="宋体" w:cs="宋体" w:eastAsia="宋体" w:hint="default"/>
          <w:b w:val="0"/>
          <w:bCs w:val="0"/>
        </w:rPr>
        <w:t>无</w:t>
      </w:r>
    </w:p>
    <w:p>
      <w:pPr>
        <w:pStyle w:val="Heading2"/>
        <w:spacing w:line="352" w:lineRule="auto" w:before="35"/>
        <w:ind w:left="874" w:right="6522" w:firstLine="2"/>
        <w:jc w:val="left"/>
        <w:rPr>
          <w:rFonts w:ascii="宋体" w:hAnsi="宋体" w:cs="宋体" w:eastAsia="宋体" w:hint="default"/>
          <w:b w:val="0"/>
          <w:bCs w:val="0"/>
        </w:rPr>
      </w:pPr>
      <w:r>
        <w:rPr>
          <w:w w:val="95"/>
        </w:rPr>
        <w:t>（</w:t>
      </w:r>
      <w:r>
        <w:rPr>
          <w:rFonts w:ascii="宋体" w:hAnsi="宋体" w:cs="宋体" w:eastAsia="宋体" w:hint="default"/>
          <w:w w:val="95"/>
        </w:rPr>
        <w:t>4</w:t>
      </w:r>
      <w:r>
        <w:rPr>
          <w:w w:val="95"/>
        </w:rPr>
        <w:t>）通过经营租赁租出的固定资产</w:t>
      </w:r>
      <w:r>
        <w:rPr>
          <w:spacing w:val="56"/>
          <w:w w:val="95"/>
        </w:rPr>
        <w:t> </w:t>
      </w:r>
      <w:r>
        <w:rPr>
          <w:rFonts w:ascii="宋体" w:hAnsi="宋体" w:cs="宋体" w:eastAsia="宋体" w:hint="default"/>
          <w:b w:val="0"/>
          <w:bCs w:val="0"/>
        </w:rPr>
        <w:t>无</w:t>
      </w:r>
    </w:p>
    <w:p>
      <w:pPr>
        <w:pStyle w:val="Heading2"/>
        <w:spacing w:line="350" w:lineRule="auto" w:before="32"/>
        <w:ind w:left="876" w:right="6293"/>
        <w:jc w:val="left"/>
        <w:rPr>
          <w:rFonts w:ascii="宋体" w:hAnsi="宋体" w:cs="宋体" w:eastAsia="宋体" w:hint="default"/>
          <w:b w:val="0"/>
          <w:bCs w:val="0"/>
        </w:rPr>
      </w:pPr>
      <w:r>
        <w:rPr>
          <w:w w:val="95"/>
        </w:rPr>
        <w:t>（</w:t>
      </w:r>
      <w:r>
        <w:rPr>
          <w:rFonts w:ascii="宋体" w:hAnsi="宋体" w:cs="宋体" w:eastAsia="宋体" w:hint="default"/>
          <w:w w:val="95"/>
        </w:rPr>
        <w:t>5</w:t>
      </w:r>
      <w:r>
        <w:rPr>
          <w:w w:val="95"/>
        </w:rPr>
        <w:t>）未办妥产权证书的固定资产情况</w:t>
      </w:r>
      <w:r>
        <w:rPr>
          <w:spacing w:val="70"/>
          <w:w w:val="95"/>
        </w:rPr>
        <w:t> </w:t>
      </w:r>
      <w:r>
        <w:rPr>
          <w:spacing w:val="70"/>
          <w:w w:val="95"/>
        </w:rPr>
      </w:r>
      <w:r>
        <w:rPr>
          <w:rFonts w:ascii="宋体" w:hAnsi="宋体" w:cs="宋体" w:eastAsia="宋体" w:hint="default"/>
          <w:b w:val="0"/>
          <w:bCs w:val="0"/>
        </w:rPr>
        <w:t>无</w:t>
      </w:r>
    </w:p>
    <w:p>
      <w:pPr>
        <w:pStyle w:val="Heading2"/>
        <w:spacing w:line="240" w:lineRule="auto" w:before="36"/>
        <w:ind w:left="876" w:right="1120"/>
        <w:jc w:val="left"/>
        <w:rPr>
          <w:b w:val="0"/>
          <w:bCs w:val="0"/>
        </w:rPr>
      </w:pPr>
      <w:r>
        <w:rPr/>
        <w:t>（</w:t>
      </w:r>
      <w:r>
        <w:rPr>
          <w:rFonts w:ascii="宋体" w:hAnsi="宋体" w:cs="宋体" w:eastAsia="宋体" w:hint="default"/>
        </w:rPr>
        <w:t>6</w:t>
      </w:r>
      <w:r>
        <w:rPr/>
        <w:t>）其他</w:t>
      </w:r>
      <w:r>
        <w:rPr>
          <w:b w:val="0"/>
          <w:bCs w:val="0"/>
        </w:rPr>
      </w:r>
    </w:p>
    <w:p>
      <w:pPr>
        <w:pStyle w:val="BodyText"/>
        <w:spacing w:line="240" w:lineRule="auto" w:before="145"/>
        <w:ind w:left="874" w:right="1120"/>
        <w:jc w:val="left"/>
      </w:pPr>
      <w:r>
        <w:rPr/>
        <w:t>①本期计提的折旧额为</w:t>
      </w:r>
      <w:r>
        <w:rPr>
          <w:spacing w:val="-60"/>
        </w:rPr>
        <w:t> </w:t>
      </w:r>
      <w:r>
        <w:rPr>
          <w:rFonts w:ascii="宋体" w:hAnsi="宋体" w:cs="宋体" w:eastAsia="宋体" w:hint="default"/>
        </w:rPr>
        <w:t>19,888,479.20</w:t>
      </w:r>
      <w:r>
        <w:rPr>
          <w:rFonts w:ascii="宋体" w:hAnsi="宋体" w:cs="宋体" w:eastAsia="宋体" w:hint="default"/>
          <w:spacing w:val="-60"/>
        </w:rPr>
        <w:t> </w:t>
      </w:r>
      <w:r>
        <w:rPr/>
        <w:t>元。</w:t>
      </w:r>
    </w:p>
    <w:p>
      <w:pPr>
        <w:pStyle w:val="BodyText"/>
        <w:spacing w:line="240" w:lineRule="auto" w:before="145"/>
        <w:ind w:left="874" w:right="1120"/>
        <w:jc w:val="left"/>
      </w:pPr>
      <w:r>
        <w:rPr/>
        <w:t>②本期无在建工程完工转入固定资产。</w:t>
      </w:r>
    </w:p>
    <w:p>
      <w:pPr>
        <w:pStyle w:val="BodyText"/>
        <w:spacing w:line="240" w:lineRule="auto" w:before="146"/>
        <w:ind w:left="874" w:right="1120"/>
        <w:jc w:val="left"/>
      </w:pPr>
      <w:r>
        <w:rPr/>
        <w:t>③期末固定资产不存在抵押、减值、未办妥产权证书的情况。</w:t>
      </w:r>
    </w:p>
    <w:p>
      <w:pPr>
        <w:pStyle w:val="BodyText"/>
        <w:spacing w:line="240" w:lineRule="auto" w:before="145"/>
        <w:ind w:left="873" w:right="0"/>
        <w:jc w:val="left"/>
      </w:pPr>
      <w:r>
        <w:rPr/>
        <w:t>④期末固定资产中母公司电子设备原值</w:t>
      </w:r>
      <w:r>
        <w:rPr>
          <w:spacing w:val="-60"/>
        </w:rPr>
        <w:t> </w:t>
      </w:r>
      <w:r>
        <w:rPr>
          <w:rFonts w:ascii="宋体" w:hAnsi="宋体" w:cs="宋体" w:eastAsia="宋体" w:hint="default"/>
        </w:rPr>
        <w:t>21,452,703.92</w:t>
      </w:r>
      <w:r>
        <w:rPr>
          <w:rFonts w:ascii="宋体" w:hAnsi="宋体" w:cs="宋体" w:eastAsia="宋体" w:hint="default"/>
          <w:spacing w:val="-60"/>
        </w:rPr>
        <w:t> </w:t>
      </w:r>
      <w:r>
        <w:rPr>
          <w:spacing w:val="-14"/>
        </w:rPr>
        <w:t>元，累计折旧</w:t>
      </w:r>
      <w:r>
        <w:rPr>
          <w:spacing w:val="-60"/>
        </w:rPr>
        <w:t> </w:t>
      </w:r>
      <w:r>
        <w:rPr>
          <w:rFonts w:ascii="宋体" w:hAnsi="宋体" w:cs="宋体" w:eastAsia="宋体" w:hint="default"/>
        </w:rPr>
        <w:t>14,629,619.45</w:t>
      </w:r>
      <w:r>
        <w:rPr>
          <w:rFonts w:ascii="宋体" w:hAnsi="宋体" w:cs="宋体" w:eastAsia="宋体" w:hint="default"/>
          <w:spacing w:val="-60"/>
        </w:rPr>
        <w:t> </w:t>
      </w:r>
      <w:r>
        <w:rPr/>
        <w:t>元，</w:t>
      </w:r>
    </w:p>
    <w:p>
      <w:pPr>
        <w:spacing w:line="352" w:lineRule="auto" w:before="145"/>
        <w:ind w:left="876" w:right="7753" w:hanging="483"/>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pacing w:val="-60"/>
          <w:sz w:val="24"/>
          <w:szCs w:val="24"/>
        </w:rPr>
        <w:t> </w:t>
      </w:r>
      <w:r>
        <w:rPr>
          <w:rFonts w:ascii="宋体" w:hAnsi="宋体" w:cs="宋体" w:eastAsia="宋体" w:hint="default"/>
          <w:sz w:val="24"/>
          <w:szCs w:val="24"/>
        </w:rPr>
        <w:t>6,823,084.47</w:t>
      </w:r>
      <w:r>
        <w:rPr>
          <w:rFonts w:ascii="宋体" w:hAnsi="宋体" w:cs="宋体" w:eastAsia="宋体" w:hint="default"/>
          <w:spacing w:val="-60"/>
          <w:sz w:val="24"/>
          <w:szCs w:val="24"/>
        </w:rPr>
        <w:t> </w:t>
      </w:r>
      <w:r>
        <w:rPr>
          <w:rFonts w:ascii="宋体" w:hAnsi="宋体" w:cs="宋体" w:eastAsia="宋体" w:hint="default"/>
          <w:sz w:val="24"/>
          <w:szCs w:val="24"/>
        </w:rPr>
        <w:t>元。 </w:t>
      </w:r>
      <w:r>
        <w:rPr>
          <w:rFonts w:ascii="宋体" w:hAnsi="宋体" w:cs="宋体" w:eastAsia="宋体" w:hint="default"/>
          <w:b/>
          <w:bCs/>
          <w:sz w:val="24"/>
          <w:szCs w:val="24"/>
        </w:rPr>
        <w:t>20</w:t>
      </w:r>
      <w:r>
        <w:rPr>
          <w:rFonts w:ascii="宋体" w:hAnsi="宋体" w:cs="宋体" w:eastAsia="宋体" w:hint="default"/>
          <w:b/>
          <w:bCs/>
          <w:sz w:val="24"/>
          <w:szCs w:val="24"/>
        </w:rPr>
        <w:t>、在建工程</w:t>
      </w:r>
      <w:r>
        <w:rPr>
          <w:rFonts w:ascii="宋体" w:hAnsi="宋体" w:cs="宋体" w:eastAsia="宋体" w:hint="default"/>
          <w:sz w:val="24"/>
          <w:szCs w:val="24"/>
        </w:rPr>
      </w:r>
    </w:p>
    <w:p>
      <w:pPr>
        <w:pStyle w:val="Heading2"/>
        <w:spacing w:line="240" w:lineRule="auto" w:before="33"/>
        <w:ind w:left="876" w:right="1120"/>
        <w:jc w:val="left"/>
        <w:rPr>
          <w:b w:val="0"/>
          <w:bCs w:val="0"/>
        </w:rPr>
      </w:pPr>
      <w:r>
        <w:rPr/>
        <w:t>（</w:t>
      </w:r>
      <w:r>
        <w:rPr>
          <w:rFonts w:ascii="宋体" w:hAnsi="宋体" w:cs="宋体" w:eastAsia="宋体" w:hint="default"/>
        </w:rPr>
        <w:t>1</w:t>
      </w:r>
      <w:r>
        <w:rPr/>
        <w:t>）在建工程情况</w:t>
      </w:r>
      <w:r>
        <w:rPr>
          <w:b w:val="0"/>
          <w:bCs w:val="0"/>
        </w:rPr>
      </w:r>
    </w:p>
    <w:p>
      <w:pPr>
        <w:spacing w:before="83"/>
        <w:ind w:left="0" w:right="130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772"/>
        <w:gridCol w:w="1620"/>
        <w:gridCol w:w="993"/>
        <w:gridCol w:w="1702"/>
        <w:gridCol w:w="1560"/>
        <w:gridCol w:w="991"/>
        <w:gridCol w:w="1559"/>
      </w:tblGrid>
      <w:tr>
        <w:trPr>
          <w:trHeight w:val="206"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431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1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14" w:type="dxa"/>
            <w:gridSpan w:val="3"/>
            <w:vMerge/>
            <w:tcBorders>
              <w:left w:val="single" w:sz="4" w:space="0" w:color="000000"/>
              <w:bottom w:val="single" w:sz="4" w:space="0" w:color="000000"/>
              <w:right w:val="single" w:sz="4" w:space="0" w:color="000000"/>
            </w:tcBorders>
            <w:shd w:val="clear" w:color="auto" w:fill="D2D2D2"/>
          </w:tcPr>
          <w:p>
            <w:pPr/>
          </w:p>
        </w:tc>
        <w:tc>
          <w:tcPr>
            <w:tcW w:w="4110"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2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5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0"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工程主体</w:t>
            </w:r>
            <w:r>
              <w:rPr>
                <w:rFonts w:ascii="宋体" w:hAnsi="宋体" w:cs="宋体" w:eastAsia="宋体" w:hint="default"/>
                <w:sz w:val="21"/>
                <w:szCs w:val="21"/>
              </w:rPr>
              <w:t>--</w:t>
            </w:r>
            <w:r>
              <w:rPr>
                <w:rFonts w:ascii="宋体" w:hAnsi="宋体" w:cs="宋体" w:eastAsia="宋体" w:hint="default"/>
                <w:sz w:val="21"/>
                <w:szCs w:val="21"/>
              </w:rPr>
              <w:t>新厂区</w:t>
            </w:r>
          </w:p>
        </w:tc>
        <w:tc>
          <w:tcPr>
            <w:tcW w:w="16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20,030,415.99</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20,030,415.99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5,728,574.72</w:t>
            </w:r>
          </w:p>
        </w:tc>
        <w:tc>
          <w:tcPr>
            <w:tcW w:w="99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5,728,574.72</w:t>
            </w:r>
          </w:p>
        </w:tc>
      </w:tr>
      <w:tr>
        <w:trPr>
          <w:trHeight w:val="102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69"/>
              <w:jc w:val="both"/>
              <w:rPr>
                <w:rFonts w:ascii="宋体" w:hAnsi="宋体" w:cs="宋体" w:eastAsia="宋体" w:hint="default"/>
                <w:sz w:val="21"/>
                <w:szCs w:val="21"/>
              </w:rPr>
            </w:pPr>
            <w:r>
              <w:rPr>
                <w:rFonts w:ascii="宋体" w:hAnsi="宋体" w:cs="宋体" w:eastAsia="宋体" w:hint="default"/>
                <w:sz w:val="21"/>
                <w:szCs w:val="21"/>
              </w:rPr>
              <w:t>北斗铁路列车卫星 定位与辅助预警系 统应用示范</w:t>
            </w:r>
          </w:p>
        </w:tc>
        <w:tc>
          <w:tcPr>
            <w:tcW w:w="16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21"/>
                <w:szCs w:val="21"/>
              </w:rPr>
            </w:pPr>
            <w:r>
              <w:rPr>
                <w:rFonts w:ascii="宋体"/>
                <w:sz w:val="21"/>
              </w:rPr>
              <w:t>3,474,497.76</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3,474,497.76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1,676,017.34</w:t>
            </w:r>
          </w:p>
        </w:tc>
        <w:tc>
          <w:tcPr>
            <w:tcW w:w="99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1,676,017.34</w:t>
            </w:r>
          </w:p>
        </w:tc>
      </w:tr>
      <w:tr>
        <w:trPr>
          <w:trHeight w:val="102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69"/>
              <w:jc w:val="both"/>
              <w:rPr>
                <w:rFonts w:ascii="宋体" w:hAnsi="宋体" w:cs="宋体" w:eastAsia="宋体" w:hint="default"/>
                <w:sz w:val="21"/>
                <w:szCs w:val="21"/>
              </w:rPr>
            </w:pPr>
            <w:r>
              <w:rPr>
                <w:rFonts w:ascii="宋体" w:hAnsi="宋体" w:cs="宋体" w:eastAsia="宋体" w:hint="default"/>
                <w:sz w:val="21"/>
                <w:szCs w:val="21"/>
              </w:rPr>
              <w:t>轨道交通信息集成 与网络化运营调度 指挥系统</w:t>
            </w:r>
          </w:p>
        </w:tc>
        <w:tc>
          <w:tcPr>
            <w:tcW w:w="16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3,067,539.94</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z w:val="21"/>
              </w:rPr>
              <w:t>3,067,539.94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宋体" w:hAnsi="宋体" w:cs="宋体" w:eastAsia="宋体" w:hint="default"/>
                <w:sz w:val="21"/>
                <w:szCs w:val="21"/>
              </w:rPr>
            </w:pPr>
            <w:r>
              <w:rPr>
                <w:rFonts w:ascii="宋体"/>
                <w:sz w:val="21"/>
              </w:rPr>
              <w:t>915,932.31</w:t>
            </w:r>
          </w:p>
        </w:tc>
        <w:tc>
          <w:tcPr>
            <w:tcW w:w="99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21"/>
                <w:szCs w:val="21"/>
              </w:rPr>
            </w:pPr>
            <w:r>
              <w:rPr>
                <w:rFonts w:ascii="宋体"/>
                <w:sz w:val="21"/>
              </w:rPr>
              <w:t>915,932.31</w:t>
            </w:r>
          </w:p>
        </w:tc>
      </w:tr>
      <w:tr>
        <w:trPr>
          <w:trHeight w:val="714"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69"/>
              <w:jc w:val="left"/>
              <w:rPr>
                <w:rFonts w:ascii="宋体" w:hAnsi="宋体" w:cs="宋体" w:eastAsia="宋体" w:hint="default"/>
                <w:sz w:val="21"/>
                <w:szCs w:val="21"/>
              </w:rPr>
            </w:pPr>
            <w:r>
              <w:rPr>
                <w:rFonts w:ascii="宋体" w:hAnsi="宋体" w:cs="宋体" w:eastAsia="宋体" w:hint="default"/>
                <w:sz w:val="21"/>
                <w:szCs w:val="21"/>
              </w:rPr>
              <w:t>轨道交通运营安全 服务系统</w:t>
            </w:r>
          </w:p>
        </w:tc>
        <w:tc>
          <w:tcPr>
            <w:tcW w:w="16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65,714,746.12</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65,714,746.12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57,738,925.36</w:t>
            </w:r>
          </w:p>
        </w:tc>
        <w:tc>
          <w:tcPr>
            <w:tcW w:w="99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57,738,925.36</w:t>
            </w:r>
          </w:p>
        </w:tc>
      </w:tr>
      <w:tr>
        <w:trPr>
          <w:trHeight w:val="714"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69"/>
              <w:jc w:val="left"/>
              <w:rPr>
                <w:rFonts w:ascii="宋体" w:hAnsi="宋体" w:cs="宋体" w:eastAsia="宋体" w:hint="default"/>
                <w:sz w:val="21"/>
                <w:szCs w:val="21"/>
              </w:rPr>
            </w:pPr>
            <w:r>
              <w:rPr>
                <w:rFonts w:ascii="宋体" w:hAnsi="宋体" w:cs="宋体" w:eastAsia="宋体" w:hint="default"/>
                <w:sz w:val="21"/>
                <w:szCs w:val="21"/>
              </w:rPr>
              <w:t>轨道交通信号智能 电源产业化项目</w:t>
            </w:r>
          </w:p>
        </w:tc>
        <w:tc>
          <w:tcPr>
            <w:tcW w:w="16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39,379,866.50</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39,379,866.50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2,191,914.74</w:t>
            </w:r>
          </w:p>
        </w:tc>
        <w:tc>
          <w:tcPr>
            <w:tcW w:w="99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2,191,914.74</w:t>
            </w: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131,667,066.31</w:t>
            </w:r>
          </w:p>
        </w:tc>
        <w:tc>
          <w:tcPr>
            <w:tcW w:w="9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131,667,066.31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68,251,364.47</w:t>
            </w:r>
          </w:p>
        </w:tc>
        <w:tc>
          <w:tcPr>
            <w:tcW w:w="99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68,251,364.47</w:t>
            </w:r>
          </w:p>
        </w:tc>
      </w:tr>
    </w:tbl>
    <w:p>
      <w:pPr>
        <w:spacing w:after="0" w:line="240" w:lineRule="auto"/>
        <w:jc w:val="right"/>
        <w:rPr>
          <w:rFonts w:ascii="宋体" w:hAnsi="宋体" w:cs="宋体" w:eastAsia="宋体" w:hint="default"/>
          <w:sz w:val="21"/>
          <w:szCs w:val="21"/>
        </w:rPr>
        <w:sectPr>
          <w:pgSz w:w="11910" w:h="16840"/>
          <w:pgMar w:header="747" w:footer="979" w:top="1060" w:bottom="1160" w:left="74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740" w:right="0"/>
        </w:sectPr>
      </w:pPr>
    </w:p>
    <w:p>
      <w:pPr>
        <w:pStyle w:val="Heading2"/>
        <w:spacing w:line="240" w:lineRule="auto" w:before="199"/>
        <w:ind w:left="876" w:right="0"/>
        <w:jc w:val="left"/>
        <w:rPr>
          <w:b w:val="0"/>
          <w:bCs w:val="0"/>
        </w:rPr>
      </w:pPr>
      <w:r>
        <w:rPr>
          <w:w w:val="95"/>
        </w:rPr>
        <w:t>（</w:t>
      </w:r>
      <w:r>
        <w:rPr>
          <w:rFonts w:ascii="宋体" w:hAnsi="宋体" w:cs="宋体" w:eastAsia="宋体" w:hint="default"/>
          <w:w w:val="95"/>
        </w:rPr>
        <w:t>2</w:t>
      </w:r>
      <w:r>
        <w:rPr>
          <w:w w:val="95"/>
        </w:rPr>
        <w:t>）重要在建工程项目本期变动情况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8"/>
        <w:rPr>
          <w:rFonts w:ascii="宋体" w:hAnsi="宋体" w:cs="宋体" w:eastAsia="宋体" w:hint="default"/>
          <w:b/>
          <w:bCs/>
          <w:sz w:val="25"/>
          <w:szCs w:val="25"/>
        </w:rPr>
      </w:pPr>
    </w:p>
    <w:p>
      <w:pPr>
        <w:spacing w:before="0"/>
        <w:ind w:left="87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740" w:right="0"/>
          <w:cols w:num="2" w:equalWidth="0">
            <w:col w:w="4850" w:space="3363"/>
            <w:col w:w="2957"/>
          </w:cols>
        </w:sectPr>
      </w:pPr>
    </w:p>
    <w:p>
      <w:pPr>
        <w:spacing w:line="240" w:lineRule="auto" w:before="0"/>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365"/>
        <w:gridCol w:w="736"/>
        <w:gridCol w:w="736"/>
        <w:gridCol w:w="737"/>
        <w:gridCol w:w="736"/>
        <w:gridCol w:w="736"/>
        <w:gridCol w:w="811"/>
        <w:gridCol w:w="946"/>
        <w:gridCol w:w="690"/>
        <w:gridCol w:w="914"/>
        <w:gridCol w:w="868"/>
        <w:gridCol w:w="914"/>
      </w:tblGrid>
      <w:tr>
        <w:trPr>
          <w:trHeight w:val="1650" w:hRule="exact"/>
        </w:trPr>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1" w:right="182"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1" w:right="183"/>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10" w:right="128"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6" w:right="107"/>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58" w:right="160"/>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1" w:right="18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58" w:right="157"/>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1" w:right="18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03" w:right="229"/>
              <w:jc w:val="left"/>
              <w:rPr>
                <w:rFonts w:ascii="宋体" w:hAnsi="宋体" w:cs="宋体" w:eastAsia="宋体" w:hint="default"/>
                <w:sz w:val="18"/>
                <w:szCs w:val="18"/>
              </w:rPr>
            </w:pPr>
            <w:r>
              <w:rPr>
                <w:rFonts w:ascii="宋体" w:hAnsi="宋体" w:cs="宋体" w:eastAsia="宋体" w:hint="default"/>
                <w:sz w:val="18"/>
                <w:szCs w:val="18"/>
              </w:rPr>
              <w:t>工程主体</w:t>
            </w:r>
            <w:r>
              <w:rPr>
                <w:rFonts w:ascii="Times New Roman" w:hAnsi="Times New Roman" w:cs="Times New Roman" w:eastAsia="Times New Roman" w:hint="default"/>
                <w:sz w:val="18"/>
                <w:szCs w:val="18"/>
              </w:rPr>
              <w:t>--</w:t>
            </w:r>
            <w:r>
              <w:rPr>
                <w:rFonts w:ascii="宋体" w:hAnsi="宋体" w:cs="宋体" w:eastAsia="宋体" w:hint="default"/>
                <w:sz w:val="18"/>
                <w:szCs w:val="18"/>
              </w:rPr>
              <w:t>新 厂区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5,728,</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574.72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14,301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,841.2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20,030,</w:t>
            </w:r>
          </w:p>
          <w:p>
            <w:pPr>
              <w:pStyle w:val="TableParagraph"/>
              <w:spacing w:line="240" w:lineRule="auto" w:before="106"/>
              <w:ind w:left="203" w:right="0"/>
              <w:jc w:val="left"/>
              <w:rPr>
                <w:rFonts w:ascii="Times New Roman" w:hAnsi="Times New Roman" w:cs="Times New Roman" w:eastAsia="Times New Roman" w:hint="default"/>
                <w:sz w:val="18"/>
                <w:szCs w:val="18"/>
              </w:rPr>
            </w:pPr>
            <w:r>
              <w:rPr>
                <w:rFonts w:ascii="Times New Roman"/>
                <w:sz w:val="18"/>
              </w:rPr>
              <w:t>415.99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12.00%</w:t>
            </w:r>
          </w:p>
        </w:tc>
        <w:tc>
          <w:tcPr>
            <w:tcW w:w="690"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58"/>
              <w:jc w:val="left"/>
              <w:rPr>
                <w:rFonts w:ascii="宋体" w:hAnsi="宋体" w:cs="宋体" w:eastAsia="宋体" w:hint="default"/>
                <w:sz w:val="18"/>
                <w:szCs w:val="18"/>
              </w:rPr>
            </w:pPr>
            <w:r>
              <w:rPr>
                <w:rFonts w:ascii="宋体" w:hAnsi="宋体" w:cs="宋体" w:eastAsia="宋体" w:hint="default"/>
                <w:sz w:val="18"/>
                <w:szCs w:val="18"/>
              </w:rPr>
              <w:t>募股资 金</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r>
      <w:tr>
        <w:trPr>
          <w:trHeight w:val="1338" w:hRule="exact"/>
        </w:trPr>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1"/>
              <w:jc w:val="both"/>
              <w:rPr>
                <w:rFonts w:ascii="宋体" w:hAnsi="宋体" w:cs="宋体" w:eastAsia="宋体" w:hint="default"/>
                <w:sz w:val="18"/>
                <w:szCs w:val="18"/>
              </w:rPr>
            </w:pPr>
            <w:r>
              <w:rPr>
                <w:rFonts w:ascii="宋体" w:hAnsi="宋体" w:cs="宋体" w:eastAsia="宋体" w:hint="default"/>
                <w:sz w:val="18"/>
                <w:szCs w:val="18"/>
              </w:rPr>
              <w:t>北斗铁路列车 卫星定位与辅 助预警系统应 用示范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34,013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1,676,</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017.34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1,798,</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480.42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3,474,4</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97.76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11.00%</w:t>
            </w:r>
          </w:p>
        </w:tc>
        <w:tc>
          <w:tcPr>
            <w:tcW w:w="690"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1"/>
              <w:jc w:val="both"/>
              <w:rPr>
                <w:rFonts w:ascii="宋体" w:hAnsi="宋体" w:cs="宋体" w:eastAsia="宋体" w:hint="default"/>
                <w:sz w:val="18"/>
                <w:szCs w:val="18"/>
              </w:rPr>
            </w:pPr>
            <w:r>
              <w:rPr>
                <w:rFonts w:ascii="宋体" w:hAnsi="宋体" w:cs="宋体" w:eastAsia="宋体" w:hint="default"/>
                <w:sz w:val="18"/>
                <w:szCs w:val="18"/>
              </w:rPr>
              <w:t>轨道交通信息 集成与网络化 运营调度指挥 系统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31,000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915,93</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2.31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2,151,</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607.63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3,067,5</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39.94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71"/>
              <w:jc w:val="left"/>
              <w:rPr>
                <w:rFonts w:ascii="宋体" w:hAnsi="宋体" w:cs="宋体" w:eastAsia="宋体" w:hint="default"/>
                <w:sz w:val="18"/>
                <w:szCs w:val="18"/>
              </w:rPr>
            </w:pPr>
            <w:r>
              <w:rPr>
                <w:rFonts w:ascii="宋体" w:hAnsi="宋体" w:cs="宋体" w:eastAsia="宋体" w:hint="default"/>
                <w:sz w:val="18"/>
                <w:szCs w:val="18"/>
              </w:rPr>
              <w:t>轨道交通运营 安全服务系统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240,34</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57,738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,925.3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7,975,</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820.76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65,714,</w:t>
            </w:r>
          </w:p>
          <w:p>
            <w:pPr>
              <w:pStyle w:val="TableParagraph"/>
              <w:spacing w:line="240" w:lineRule="auto" w:before="106"/>
              <w:ind w:left="203" w:right="0"/>
              <w:jc w:val="left"/>
              <w:rPr>
                <w:rFonts w:ascii="Times New Roman" w:hAnsi="Times New Roman" w:cs="Times New Roman" w:eastAsia="Times New Roman" w:hint="default"/>
                <w:sz w:val="18"/>
                <w:szCs w:val="18"/>
              </w:rPr>
            </w:pPr>
            <w:r>
              <w:rPr>
                <w:rFonts w:ascii="Times New Roman"/>
                <w:sz w:val="18"/>
              </w:rPr>
              <w:t>746.12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28.00%</w:t>
            </w:r>
          </w:p>
        </w:tc>
        <w:tc>
          <w:tcPr>
            <w:tcW w:w="690"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58"/>
              <w:jc w:val="left"/>
              <w:rPr>
                <w:rFonts w:ascii="宋体" w:hAnsi="宋体" w:cs="宋体" w:eastAsia="宋体" w:hint="default"/>
                <w:sz w:val="18"/>
                <w:szCs w:val="18"/>
              </w:rPr>
            </w:pPr>
            <w:r>
              <w:rPr>
                <w:rFonts w:ascii="宋体" w:hAnsi="宋体" w:cs="宋体" w:eastAsia="宋体" w:hint="default"/>
                <w:sz w:val="18"/>
                <w:szCs w:val="18"/>
              </w:rPr>
              <w:t>募股资 金</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r>
      <w:tr>
        <w:trPr>
          <w:trHeight w:val="1026" w:hRule="exact"/>
        </w:trPr>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1"/>
              <w:jc w:val="both"/>
              <w:rPr>
                <w:rFonts w:ascii="宋体" w:hAnsi="宋体" w:cs="宋体" w:eastAsia="宋体" w:hint="default"/>
                <w:sz w:val="18"/>
                <w:szCs w:val="18"/>
              </w:rPr>
            </w:pPr>
            <w:r>
              <w:rPr>
                <w:rFonts w:ascii="宋体" w:hAnsi="宋体" w:cs="宋体" w:eastAsia="宋体" w:hint="default"/>
                <w:sz w:val="18"/>
                <w:szCs w:val="18"/>
              </w:rPr>
              <w:t>轨道交通信号 智能电源产业 化项目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2,191,</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914.74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37,187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,951.7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39,379,</w:t>
            </w:r>
          </w:p>
          <w:p>
            <w:pPr>
              <w:pStyle w:val="TableParagraph"/>
              <w:spacing w:line="240" w:lineRule="auto" w:before="106"/>
              <w:ind w:left="203" w:right="0"/>
              <w:jc w:val="left"/>
              <w:rPr>
                <w:rFonts w:ascii="Times New Roman" w:hAnsi="Times New Roman" w:cs="Times New Roman" w:eastAsia="Times New Roman" w:hint="default"/>
                <w:sz w:val="18"/>
                <w:szCs w:val="18"/>
              </w:rPr>
            </w:pPr>
            <w:r>
              <w:rPr>
                <w:rFonts w:ascii="Times New Roman"/>
                <w:sz w:val="18"/>
              </w:rPr>
              <w:t>866.50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68.00%</w:t>
            </w:r>
          </w:p>
        </w:tc>
        <w:tc>
          <w:tcPr>
            <w:tcW w:w="690"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863,35</w:t>
            </w:r>
          </w:p>
          <w:p>
            <w:pPr>
              <w:pStyle w:val="TableParagraph"/>
              <w:spacing w:line="240" w:lineRule="auto" w:before="105"/>
              <w:ind w:left="171"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441"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68,251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,364.4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63,415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,701.8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131,667</w:t>
            </w:r>
          </w:p>
          <w:p>
            <w:pPr>
              <w:pStyle w:val="TableParagraph"/>
              <w:spacing w:line="240" w:lineRule="auto" w:before="106"/>
              <w:ind w:left="158" w:right="0"/>
              <w:jc w:val="left"/>
              <w:rPr>
                <w:rFonts w:ascii="Times New Roman" w:hAnsi="Times New Roman" w:cs="Times New Roman" w:eastAsia="Times New Roman" w:hint="default"/>
                <w:sz w:val="18"/>
                <w:szCs w:val="18"/>
              </w:rPr>
            </w:pPr>
            <w:r>
              <w:rPr>
                <w:rFonts w:ascii="Times New Roman"/>
                <w:sz w:val="18"/>
              </w:rPr>
              <w:t>,066.31</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91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ind w:left="876" w:right="1120"/>
        <w:jc w:val="left"/>
        <w:rPr>
          <w:b w:val="0"/>
          <w:bCs w:val="0"/>
        </w:rPr>
      </w:pPr>
      <w:r>
        <w:rPr/>
        <w:t>（</w:t>
      </w:r>
      <w:r>
        <w:rPr>
          <w:rFonts w:ascii="宋体" w:hAnsi="宋体" w:cs="宋体" w:eastAsia="宋体" w:hint="default"/>
        </w:rPr>
        <w:t>3</w:t>
      </w:r>
      <w:r>
        <w:rPr/>
        <w:t>）本期计提在建工程减值准备情况</w:t>
      </w:r>
      <w:r>
        <w:rPr>
          <w:b w:val="0"/>
          <w:bCs w:val="0"/>
        </w:rPr>
      </w:r>
    </w:p>
    <w:p>
      <w:pPr>
        <w:pStyle w:val="BodyText"/>
        <w:spacing w:line="352" w:lineRule="auto" w:before="145"/>
        <w:ind w:left="876" w:right="1513" w:hanging="3"/>
        <w:jc w:val="left"/>
        <w:rPr>
          <w:rFonts w:ascii="宋体" w:hAnsi="宋体" w:cs="宋体" w:eastAsia="宋体" w:hint="default"/>
        </w:rPr>
      </w:pPr>
      <w:r>
        <w:rPr/>
        <w:t>截止</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日，在建工程不存在减值情况，无需计提在建工程减值准备。 </w:t>
      </w:r>
      <w:r>
        <w:rPr>
          <w:rFonts w:ascii="宋体" w:hAnsi="宋体" w:cs="宋体" w:eastAsia="宋体" w:hint="default"/>
          <w:b/>
          <w:bCs/>
        </w:rPr>
        <w:t>21</w:t>
      </w:r>
      <w:r>
        <w:rPr>
          <w:rFonts w:ascii="宋体" w:hAnsi="宋体" w:cs="宋体" w:eastAsia="宋体" w:hint="default"/>
          <w:b/>
          <w:bCs/>
        </w:rPr>
        <w:t>、工程物资</w:t>
      </w:r>
      <w:r>
        <w:rPr>
          <w:rFonts w:ascii="宋体" w:hAnsi="宋体" w:cs="宋体" w:eastAsia="宋体" w:hint="default"/>
        </w:rPr>
      </w:r>
    </w:p>
    <w:p>
      <w:pPr>
        <w:pStyle w:val="BodyText"/>
        <w:spacing w:line="350" w:lineRule="auto" w:before="32"/>
        <w:ind w:left="876" w:right="1513" w:hanging="3"/>
        <w:jc w:val="left"/>
        <w:rPr>
          <w:rFonts w:ascii="宋体" w:hAnsi="宋体" w:cs="宋体" w:eastAsia="宋体" w:hint="default"/>
        </w:rPr>
      </w:pPr>
      <w:r>
        <w:rPr/>
        <w:t>截止</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日，工程物资不存在减值情况，无需计提工程物资减值准备。 </w:t>
      </w:r>
      <w:r>
        <w:rPr>
          <w:rFonts w:ascii="宋体" w:hAnsi="宋体" w:cs="宋体" w:eastAsia="宋体" w:hint="default"/>
          <w:b/>
          <w:bCs/>
        </w:rPr>
        <w:t>22</w:t>
      </w:r>
      <w:r>
        <w:rPr>
          <w:rFonts w:ascii="宋体" w:hAnsi="宋体" w:cs="宋体" w:eastAsia="宋体" w:hint="default"/>
          <w:b/>
          <w:bCs/>
        </w:rPr>
        <w:t>、固定资产清理</w:t>
      </w:r>
      <w:r>
        <w:rPr>
          <w:rFonts w:ascii="宋体" w:hAnsi="宋体" w:cs="宋体" w:eastAsia="宋体" w:hint="default"/>
        </w:rPr>
      </w:r>
    </w:p>
    <w:p>
      <w:pPr>
        <w:pStyle w:val="Heading2"/>
        <w:spacing w:line="350" w:lineRule="auto" w:before="36"/>
        <w:ind w:left="876" w:right="8101" w:hanging="3"/>
        <w:jc w:val="left"/>
        <w:rPr>
          <w:b w:val="0"/>
          <w:bCs w:val="0"/>
        </w:rPr>
      </w:pPr>
      <w:r>
        <w:rPr>
          <w:rFonts w:ascii="宋体" w:hAnsi="宋体" w:cs="宋体" w:eastAsia="宋体" w:hint="default"/>
          <w:b w:val="0"/>
          <w:bCs w:val="0"/>
        </w:rPr>
        <w:t>无 </w:t>
      </w:r>
      <w:r>
        <w:rPr>
          <w:rFonts w:ascii="宋体" w:hAnsi="宋体" w:cs="宋体" w:eastAsia="宋体" w:hint="default"/>
        </w:rPr>
        <w:t>23</w:t>
      </w:r>
      <w:r>
        <w:rPr/>
        <w:t>、生产性生物资产</w:t>
      </w:r>
      <w:r>
        <w:rPr>
          <w:b w:val="0"/>
          <w:bCs w:val="0"/>
        </w:rPr>
      </w:r>
    </w:p>
    <w:p>
      <w:pPr>
        <w:spacing w:line="352" w:lineRule="auto" w:before="35"/>
        <w:ind w:left="876" w:right="8233"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24</w:t>
      </w:r>
      <w:r>
        <w:rPr>
          <w:rFonts w:ascii="宋体" w:hAnsi="宋体" w:cs="宋体" w:eastAsia="宋体" w:hint="default"/>
          <w:b/>
          <w:bCs/>
          <w:sz w:val="24"/>
          <w:szCs w:val="24"/>
        </w:rPr>
        <w:t>、油气资产</w:t>
      </w:r>
      <w:r>
        <w:rPr>
          <w:rFonts w:ascii="宋体" w:hAnsi="宋体" w:cs="宋体" w:eastAsia="宋体" w:hint="default"/>
          <w:sz w:val="24"/>
          <w:szCs w:val="24"/>
        </w:rPr>
      </w:r>
    </w:p>
    <w:p>
      <w:pPr>
        <w:spacing w:after="0" w:line="352" w:lineRule="auto"/>
        <w:jc w:val="left"/>
        <w:rPr>
          <w:rFonts w:ascii="宋体" w:hAnsi="宋体" w:cs="宋体" w:eastAsia="宋体" w:hint="default"/>
          <w:sz w:val="24"/>
          <w:szCs w:val="24"/>
        </w:rPr>
        <w:sectPr>
          <w:type w:val="continuous"/>
          <w:pgSz w:w="11910" w:h="16840"/>
          <w:pgMar w:top="1060" w:bottom="1160" w:left="740" w:right="0"/>
        </w:sect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spacing w:line="350" w:lineRule="auto" w:before="199"/>
        <w:ind w:left="636" w:right="-9"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25</w:t>
      </w:r>
      <w:r>
        <w:rPr>
          <w:rFonts w:ascii="宋体" w:hAnsi="宋体" w:cs="宋体" w:eastAsia="宋体" w:hint="default"/>
          <w:b/>
          <w:bCs/>
          <w:sz w:val="24"/>
          <w:szCs w:val="24"/>
        </w:rPr>
        <w:t>、无形资产</w:t>
      </w:r>
      <w:r>
        <w:rPr>
          <w:rFonts w:ascii="宋体" w:hAnsi="宋体" w:cs="宋体" w:eastAsia="宋体" w:hint="default"/>
          <w:sz w:val="24"/>
          <w:szCs w:val="24"/>
        </w:rPr>
      </w:r>
    </w:p>
    <w:p>
      <w:pPr>
        <w:pStyle w:val="Heading2"/>
        <w:spacing w:line="240" w:lineRule="auto" w:before="36"/>
        <w:ind w:right="-9"/>
        <w:jc w:val="left"/>
        <w:rPr>
          <w:b w:val="0"/>
          <w:bCs w:val="0"/>
        </w:rPr>
      </w:pPr>
      <w:r>
        <w:rPr>
          <w:w w:val="95"/>
        </w:rPr>
        <w:t>（</w:t>
      </w:r>
      <w:r>
        <w:rPr>
          <w:rFonts w:ascii="宋体" w:hAnsi="宋体" w:cs="宋体" w:eastAsia="宋体" w:hint="default"/>
          <w:w w:val="95"/>
        </w:rPr>
        <w:t>1</w:t>
      </w:r>
      <w:r>
        <w:rPr>
          <w:w w:val="95"/>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685" w:space="5531"/>
            <w:col w:w="2714"/>
          </w:cols>
        </w:sectPr>
      </w:pP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855"/>
        <w:gridCol w:w="1702"/>
        <w:gridCol w:w="1559"/>
        <w:gridCol w:w="1700"/>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8"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56,427,577.83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1,206,013.68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59,233,591.51</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3,149,059.83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3,149,059.83</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3,149,059.83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3,149,059.83</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）内部研发</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11"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）企业合并增加</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56,427,577.83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4,355,073.51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1,600,000.00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62,382,651.34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2,491,711.85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721,889.66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1,159,999.71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4,373,601.22</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1,155,425.76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669,404.05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159,999.96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1,984,829.77</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1,155,425.76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669,404.05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159,999.96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1,984,829.77</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3,647,137.61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1,391,293.71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1,319,999.67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6,358,430.99</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855"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52,780,440.22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2,963,779.80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280,000.33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56,024,220.35</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8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53,935,865.98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sz w:val="21"/>
              </w:rPr>
              <w:t>484,124.02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440,000.29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54,859,990.29</w:t>
            </w:r>
          </w:p>
        </w:tc>
      </w:tr>
    </w:tbl>
    <w:p>
      <w:pPr>
        <w:spacing w:line="240" w:lineRule="auto" w:before="10"/>
        <w:rPr>
          <w:rFonts w:ascii="宋体" w:hAnsi="宋体" w:cs="宋体" w:eastAsia="宋体" w:hint="default"/>
          <w:sz w:val="4"/>
          <w:szCs w:val="4"/>
        </w:rPr>
      </w:pPr>
    </w:p>
    <w:p>
      <w:pPr>
        <w:pStyle w:val="BodyText"/>
        <w:spacing w:line="240" w:lineRule="auto" w:before="26"/>
        <w:ind w:left="634" w:right="1153"/>
        <w:jc w:val="left"/>
      </w:pPr>
      <w:r>
        <w:rPr/>
        <w:t>本期末通过公司内部研发形成的无形资产占无形资产余额的比例</w:t>
      </w:r>
      <w:r>
        <w:rPr>
          <w:spacing w:val="-59"/>
        </w:rPr>
        <w:t> </w:t>
      </w:r>
      <w:r>
        <w:rPr>
          <w:rFonts w:ascii="宋体" w:hAnsi="宋体" w:cs="宋体" w:eastAsia="宋体" w:hint="default"/>
        </w:rPr>
        <w:t>0.00%</w:t>
      </w:r>
      <w:r>
        <w:rPr/>
        <w:t>。</w:t>
      </w:r>
    </w:p>
    <w:p>
      <w:pPr>
        <w:pStyle w:val="Heading2"/>
        <w:spacing w:line="285" w:lineRule="auto" w:before="145"/>
        <w:ind w:left="694" w:right="6193" w:hanging="58"/>
        <w:jc w:val="left"/>
        <w:rPr>
          <w:rFonts w:ascii="宋体" w:hAnsi="宋体" w:cs="宋体" w:eastAsia="宋体" w:hint="default"/>
          <w:b w:val="0"/>
          <w:bCs w:val="0"/>
        </w:rPr>
      </w:pPr>
      <w:r>
        <w:rPr>
          <w:w w:val="95"/>
        </w:rPr>
        <w:t>（</w:t>
      </w:r>
      <w:r>
        <w:rPr>
          <w:rFonts w:ascii="宋体" w:hAnsi="宋体" w:cs="宋体" w:eastAsia="宋体" w:hint="default"/>
          <w:w w:val="95"/>
        </w:rPr>
        <w:t>2</w:t>
      </w:r>
      <w:r>
        <w:rPr>
          <w:w w:val="95"/>
        </w:rPr>
        <w:t>）未办妥产权证书的土地使用权情况</w:t>
      </w:r>
      <w:r>
        <w:rPr>
          <w:spacing w:val="81"/>
          <w:w w:val="95"/>
        </w:rPr>
        <w:t> </w:t>
      </w:r>
      <w:r>
        <w:rPr>
          <w:rFonts w:ascii="宋体" w:hAnsi="宋体" w:cs="宋体" w:eastAsia="宋体" w:hint="default"/>
          <w:b w:val="0"/>
          <w:bCs w:val="0"/>
        </w:rPr>
        <w:t>无</w:t>
      </w:r>
    </w:p>
    <w:p>
      <w:pPr>
        <w:spacing w:after="0" w:line="285" w:lineRule="auto"/>
        <w:jc w:val="left"/>
        <w:rPr>
          <w:rFonts w:ascii="宋体" w:hAnsi="宋体" w:cs="宋体" w:eastAsia="宋体" w:hint="default"/>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left="756" w:right="1120"/>
        <w:jc w:val="left"/>
        <w:rPr>
          <w:b w:val="0"/>
          <w:bCs w:val="0"/>
        </w:rPr>
      </w:pPr>
      <w:r>
        <w:rPr/>
        <w:t>（</w:t>
      </w:r>
      <w:r>
        <w:rPr>
          <w:rFonts w:ascii="宋体" w:hAnsi="宋体" w:cs="宋体" w:eastAsia="宋体" w:hint="default"/>
        </w:rPr>
        <w:t>3</w:t>
      </w:r>
      <w:r>
        <w:rPr/>
        <w:t>）其他说明</w:t>
      </w:r>
      <w:r>
        <w:rPr>
          <w:b w:val="0"/>
          <w:bCs w:val="0"/>
        </w:rPr>
      </w:r>
    </w:p>
    <w:p>
      <w:pPr>
        <w:pStyle w:val="BodyText"/>
        <w:spacing w:line="240" w:lineRule="auto" w:before="145"/>
        <w:ind w:left="874" w:right="1120"/>
        <w:jc w:val="left"/>
      </w:pPr>
      <w:r>
        <w:rPr/>
        <w:t>①本年摊销额为</w:t>
      </w:r>
      <w:r>
        <w:rPr>
          <w:spacing w:val="-61"/>
        </w:rPr>
        <w:t> </w:t>
      </w:r>
      <w:r>
        <w:rPr>
          <w:rFonts w:ascii="宋体" w:hAnsi="宋体" w:cs="宋体" w:eastAsia="宋体" w:hint="default"/>
        </w:rPr>
        <w:t>1,984,829.77</w:t>
      </w:r>
      <w:r>
        <w:rPr>
          <w:rFonts w:ascii="宋体" w:hAnsi="宋体" w:cs="宋体" w:eastAsia="宋体" w:hint="default"/>
          <w:spacing w:val="-60"/>
        </w:rPr>
        <w:t> </w:t>
      </w:r>
      <w:r>
        <w:rPr/>
        <w:t>元；期末无形资产不存在抵押情况。</w:t>
      </w:r>
    </w:p>
    <w:p>
      <w:pPr>
        <w:pStyle w:val="BodyText"/>
        <w:spacing w:line="240" w:lineRule="auto" w:before="146"/>
        <w:ind w:left="873" w:right="1120"/>
        <w:jc w:val="left"/>
      </w:pPr>
      <w:r>
        <w:rPr/>
        <w:t>②期末无形资产可收回金额高于账面价值，不需计提减值准备。</w:t>
      </w:r>
    </w:p>
    <w:p>
      <w:pPr>
        <w:pStyle w:val="BodyText"/>
        <w:spacing w:line="240" w:lineRule="auto" w:before="146"/>
        <w:ind w:left="873" w:right="1120"/>
        <w:jc w:val="left"/>
      </w:pPr>
      <w:r>
        <w:rPr/>
        <w:t>③期末无形资产中母公司软件原值</w:t>
      </w:r>
      <w:r>
        <w:rPr>
          <w:spacing w:val="-60"/>
        </w:rPr>
        <w:t> </w:t>
      </w:r>
      <w:r>
        <w:rPr>
          <w:rFonts w:ascii="宋体" w:hAnsi="宋体" w:cs="宋体" w:eastAsia="宋体" w:hint="default"/>
        </w:rPr>
        <w:t>3,574,218.81</w:t>
      </w:r>
      <w:r>
        <w:rPr>
          <w:rFonts w:ascii="宋体" w:hAnsi="宋体" w:cs="宋体" w:eastAsia="宋体" w:hint="default"/>
          <w:spacing w:val="-60"/>
        </w:rPr>
        <w:t> </w:t>
      </w:r>
      <w:r>
        <w:rPr/>
        <w:t>元，累计摊销</w:t>
      </w:r>
      <w:r>
        <w:rPr>
          <w:spacing w:val="-60"/>
        </w:rPr>
        <w:t> </w:t>
      </w:r>
      <w:r>
        <w:rPr>
          <w:rFonts w:ascii="宋体" w:hAnsi="宋体" w:cs="宋体" w:eastAsia="宋体" w:hint="default"/>
        </w:rPr>
        <w:t>1,013,421.09</w:t>
      </w:r>
      <w:r>
        <w:rPr>
          <w:rFonts w:ascii="宋体" w:hAnsi="宋体" w:cs="宋体" w:eastAsia="宋体" w:hint="default"/>
          <w:spacing w:val="-60"/>
        </w:rPr>
        <w:t> </w:t>
      </w:r>
      <w:r>
        <w:rPr/>
        <w:t>元，账面</w:t>
      </w:r>
    </w:p>
    <w:p>
      <w:pPr>
        <w:pStyle w:val="BodyText"/>
        <w:spacing w:line="240" w:lineRule="auto" w:before="145"/>
        <w:ind w:left="393" w:right="1120"/>
        <w:jc w:val="left"/>
      </w:pPr>
      <w:r>
        <w:rPr/>
        <w:t>价值</w:t>
      </w:r>
      <w:r>
        <w:rPr>
          <w:spacing w:val="-60"/>
        </w:rPr>
        <w:t> </w:t>
      </w:r>
      <w:r>
        <w:rPr>
          <w:rFonts w:ascii="宋体" w:hAnsi="宋体" w:cs="宋体" w:eastAsia="宋体" w:hint="default"/>
        </w:rPr>
        <w:t>2,560,797.72</w:t>
      </w:r>
      <w:r>
        <w:rPr>
          <w:rFonts w:ascii="宋体" w:hAnsi="宋体" w:cs="宋体" w:eastAsia="宋体" w:hint="default"/>
          <w:spacing w:val="-60"/>
        </w:rPr>
        <w:t> </w:t>
      </w:r>
      <w:r>
        <w:rPr/>
        <w:t>元。</w:t>
      </w:r>
    </w:p>
    <w:p>
      <w:pPr>
        <w:pStyle w:val="Heading2"/>
        <w:spacing w:line="350" w:lineRule="auto" w:before="146"/>
        <w:ind w:left="873" w:right="8824" w:firstLine="2"/>
        <w:jc w:val="left"/>
        <w:rPr>
          <w:rFonts w:ascii="宋体" w:hAnsi="宋体" w:cs="宋体" w:eastAsia="宋体" w:hint="default"/>
          <w:b w:val="0"/>
          <w:bCs w:val="0"/>
        </w:rPr>
      </w:pPr>
      <w:r>
        <w:rPr>
          <w:rFonts w:ascii="宋体" w:hAnsi="宋体" w:cs="宋体" w:eastAsia="宋体" w:hint="default"/>
        </w:rPr>
        <w:t>26</w:t>
      </w:r>
      <w:r>
        <w:rPr/>
        <w:t>、开发支出</w:t>
      </w:r>
      <w:r>
        <w:rPr>
          <w:w w:val="99"/>
        </w:rPr>
        <w:t> </w:t>
      </w:r>
      <w:r>
        <w:rPr>
          <w:rFonts w:ascii="宋体" w:hAnsi="宋体" w:cs="宋体" w:eastAsia="宋体" w:hint="default"/>
          <w:b w:val="0"/>
          <w:bCs w:val="0"/>
        </w:rPr>
        <w:t>无</w:t>
      </w:r>
    </w:p>
    <w:p>
      <w:pPr>
        <w:pStyle w:val="Heading2"/>
        <w:spacing w:line="240" w:lineRule="auto" w:before="35"/>
        <w:ind w:left="876" w:right="1120"/>
        <w:jc w:val="left"/>
        <w:rPr>
          <w:b w:val="0"/>
          <w:bCs w:val="0"/>
        </w:rPr>
      </w:pPr>
      <w:r>
        <w:rPr>
          <w:rFonts w:ascii="宋体" w:hAnsi="宋体" w:cs="宋体" w:eastAsia="宋体" w:hint="default"/>
        </w:rPr>
        <w:t>27</w:t>
      </w:r>
      <w:r>
        <w:rPr/>
        <w:t>、商誉</w:t>
      </w:r>
      <w:r>
        <w:rPr>
          <w:b w:val="0"/>
          <w:bCs w:val="0"/>
        </w:rPr>
      </w:r>
    </w:p>
    <w:p>
      <w:pPr>
        <w:pStyle w:val="Heading2"/>
        <w:spacing w:line="240" w:lineRule="auto" w:before="146"/>
        <w:ind w:left="876" w:right="1120"/>
        <w:jc w:val="left"/>
        <w:rPr>
          <w:b w:val="0"/>
          <w:bCs w:val="0"/>
        </w:rPr>
      </w:pPr>
      <w:r>
        <w:rPr/>
        <w:t>（</w:t>
      </w:r>
      <w:r>
        <w:rPr>
          <w:rFonts w:ascii="宋体" w:hAnsi="宋体" w:cs="宋体" w:eastAsia="宋体" w:hint="default"/>
        </w:rPr>
        <w:t>1</w:t>
      </w:r>
      <w:r>
        <w:rPr/>
        <w:t>）商誉账面原值</w:t>
      </w:r>
      <w:r>
        <w:rPr>
          <w:b w:val="0"/>
          <w:bCs w:val="0"/>
        </w:rPr>
      </w:r>
    </w:p>
    <w:p>
      <w:pPr>
        <w:spacing w:before="83"/>
        <w:ind w:left="0" w:right="1130" w:firstLine="0"/>
        <w:jc w:val="right"/>
        <w:rPr>
          <w:rFonts w:ascii="宋体" w:hAnsi="宋体" w:cs="宋体" w:eastAsia="宋体" w:hint="default"/>
          <w:sz w:val="21"/>
          <w:szCs w:val="21"/>
        </w:rPr>
      </w:pPr>
      <w:r>
        <w:rPr>
          <w:rFonts w:ascii="宋体" w:hAnsi="宋体" w:cs="宋体" w:eastAsia="宋体" w:hint="default"/>
          <w:b/>
          <w:bCs/>
          <w:sz w:val="21"/>
          <w:szCs w:val="21"/>
        </w:rPr>
        <w:t>单位：</w:t>
      </w:r>
      <w:r>
        <w:rPr>
          <w:rFonts w:ascii="宋体" w:hAnsi="宋体" w:cs="宋体" w:eastAsia="宋体" w:hint="default"/>
          <w:b/>
          <w:bCs/>
          <w:spacing w:val="-2"/>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b/>
          <w:bCs/>
          <w:sz w:val="7"/>
          <w:szCs w:val="7"/>
        </w:rPr>
      </w:pPr>
    </w:p>
    <w:tbl>
      <w:tblPr>
        <w:tblW w:w="0" w:type="auto"/>
        <w:jc w:val="left"/>
        <w:tblInd w:w="389" w:type="dxa"/>
        <w:tblLayout w:type="fixed"/>
        <w:tblCellMar>
          <w:top w:w="0" w:type="dxa"/>
          <w:left w:w="0" w:type="dxa"/>
          <w:bottom w:w="0" w:type="dxa"/>
          <w:right w:w="0" w:type="dxa"/>
        </w:tblCellMar>
        <w:tblLook w:val="01E0"/>
      </w:tblPr>
      <w:tblGrid>
        <w:gridCol w:w="3402"/>
        <w:gridCol w:w="1560"/>
        <w:gridCol w:w="1417"/>
        <w:gridCol w:w="1419"/>
        <w:gridCol w:w="1771"/>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120"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6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sz w:val="21"/>
              </w:rPr>
              <w:t>107,863,014.60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107,863,014.60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 w:right="0"/>
              <w:jc w:val="center"/>
              <w:rPr>
                <w:rFonts w:ascii="宋体" w:hAnsi="宋体" w:cs="宋体" w:eastAsia="宋体" w:hint="default"/>
                <w:sz w:val="21"/>
                <w:szCs w:val="21"/>
              </w:rPr>
            </w:pPr>
            <w:r>
              <w:rPr>
                <w:rFonts w:ascii="宋体"/>
                <w:sz w:val="21"/>
              </w:rPr>
              <w:t>107,863,014.60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107,863,014.60</w:t>
            </w:r>
          </w:p>
        </w:tc>
      </w:tr>
    </w:tbl>
    <w:p>
      <w:pPr>
        <w:spacing w:line="240" w:lineRule="auto" w:before="2"/>
        <w:rPr>
          <w:rFonts w:ascii="宋体" w:hAnsi="宋体" w:cs="宋体" w:eastAsia="宋体" w:hint="default"/>
          <w:b/>
          <w:bCs/>
          <w:sz w:val="18"/>
          <w:szCs w:val="18"/>
        </w:rPr>
      </w:pPr>
    </w:p>
    <w:p>
      <w:pPr>
        <w:pStyle w:val="Heading2"/>
        <w:spacing w:line="240" w:lineRule="auto"/>
        <w:ind w:left="394" w:right="1120"/>
        <w:jc w:val="left"/>
        <w:rPr>
          <w:b w:val="0"/>
          <w:bCs w:val="0"/>
        </w:rPr>
      </w:pPr>
      <w:bookmarkStart w:name="（2）商誉减值准备" w:id="21"/>
      <w:bookmarkEnd w:id="21"/>
      <w:r>
        <w:rPr>
          <w:b w:val="0"/>
          <w:bCs w:val="0"/>
        </w:rPr>
      </w:r>
      <w:r>
        <w:rPr/>
        <w:t>（</w:t>
      </w:r>
      <w:r>
        <w:rPr>
          <w:rFonts w:ascii="宋体" w:hAnsi="宋体" w:cs="宋体" w:eastAsia="宋体" w:hint="default"/>
        </w:rPr>
        <w:t>2</w:t>
      </w:r>
      <w:r>
        <w:rPr/>
        <w:t>）商誉减值准备</w:t>
      </w:r>
      <w:r>
        <w:rPr>
          <w:b w:val="0"/>
          <w:bCs w:val="0"/>
        </w:rPr>
      </w:r>
    </w:p>
    <w:p>
      <w:pPr>
        <w:spacing w:line="240" w:lineRule="auto" w:before="12"/>
        <w:rPr>
          <w:rFonts w:ascii="宋体" w:hAnsi="宋体" w:cs="宋体" w:eastAsia="宋体" w:hint="default"/>
          <w:b/>
          <w:bCs/>
          <w:sz w:val="21"/>
          <w:szCs w:val="21"/>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3262"/>
        <w:gridCol w:w="1134"/>
        <w:gridCol w:w="2125"/>
        <w:gridCol w:w="1702"/>
        <w:gridCol w:w="1700"/>
      </w:tblGrid>
      <w:tr>
        <w:trPr>
          <w:trHeight w:val="401" w:hRule="exact"/>
        </w:trPr>
        <w:tc>
          <w:tcPr>
            <w:tcW w:w="3262" w:type="dxa"/>
            <w:tcBorders>
              <w:top w:val="single" w:sz="4" w:space="0" w:color="000000"/>
              <w:left w:val="single" w:sz="4" w:space="0" w:color="000000"/>
              <w:bottom w:val="single" w:sz="4" w:space="0" w:color="000000"/>
              <w:right w:val="single" w:sz="13" w:space="0" w:color="D2D2D2"/>
            </w:tcBorders>
            <w:shd w:val="clear" w:color="auto" w:fill="D6D6D6"/>
          </w:tcPr>
          <w:p>
            <w:pPr>
              <w:pStyle w:val="TableParagraph"/>
              <w:spacing w:line="240" w:lineRule="auto" w:before="26"/>
              <w:ind w:left="50"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3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12,648,063.35</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60" w:right="0"/>
              <w:jc w:val="left"/>
              <w:rPr>
                <w:rFonts w:ascii="Times New Roman" w:hAnsi="Times New Roman" w:cs="Times New Roman" w:eastAsia="Times New Roman" w:hint="default"/>
                <w:sz w:val="21"/>
                <w:szCs w:val="21"/>
              </w:rPr>
            </w:pPr>
            <w:r>
              <w:rPr>
                <w:rFonts w:ascii="Times New Roman"/>
                <w:sz w:val="21"/>
              </w:rPr>
              <w:t>12,648,063.35</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12,648,063.35</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60" w:right="0"/>
              <w:jc w:val="left"/>
              <w:rPr>
                <w:rFonts w:ascii="Times New Roman" w:hAnsi="Times New Roman" w:cs="Times New Roman" w:eastAsia="Times New Roman" w:hint="default"/>
                <w:sz w:val="21"/>
                <w:szCs w:val="21"/>
              </w:rPr>
            </w:pPr>
            <w:r>
              <w:rPr>
                <w:rFonts w:ascii="Times New Roman"/>
                <w:sz w:val="21"/>
              </w:rPr>
              <w:t>12,648,063.35</w:t>
            </w:r>
          </w:p>
        </w:tc>
      </w:tr>
    </w:tbl>
    <w:p>
      <w:pPr>
        <w:spacing w:line="240" w:lineRule="auto" w:before="10"/>
        <w:rPr>
          <w:rFonts w:ascii="宋体" w:hAnsi="宋体" w:cs="宋体" w:eastAsia="宋体" w:hint="default"/>
          <w:sz w:val="4"/>
          <w:szCs w:val="4"/>
        </w:rPr>
      </w:pPr>
    </w:p>
    <w:p>
      <w:pPr>
        <w:pStyle w:val="BodyText"/>
        <w:spacing w:line="240" w:lineRule="auto" w:before="26"/>
        <w:ind w:left="874" w:right="1120"/>
        <w:jc w:val="left"/>
      </w:pPr>
      <w:r>
        <w:rPr/>
        <w:t>该商誉为公司于</w:t>
      </w:r>
      <w:r>
        <w:rPr>
          <w:spacing w:val="-60"/>
        </w:rPr>
        <w:t> </w:t>
      </w:r>
      <w:r>
        <w:rPr>
          <w:rFonts w:ascii="宋体" w:hAnsi="宋体" w:cs="宋体" w:eastAsia="宋体" w:hint="default"/>
        </w:rPr>
        <w:t>2011</w:t>
      </w:r>
      <w:r>
        <w:rPr>
          <w:rFonts w:ascii="宋体" w:hAnsi="宋体" w:cs="宋体" w:eastAsia="宋体" w:hint="default"/>
          <w:spacing w:val="-60"/>
        </w:rPr>
        <w:t> </w:t>
      </w:r>
      <w:r>
        <w:rPr/>
        <w:t>年非同一控制下企业合并收购北京国铁路阳技术有限公司</w:t>
      </w:r>
      <w:r>
        <w:rPr>
          <w:rFonts w:ascii="宋体" w:hAnsi="宋体" w:cs="宋体" w:eastAsia="宋体" w:hint="default"/>
        </w:rPr>
        <w:t>(</w:t>
      </w:r>
      <w:r>
        <w:rPr/>
        <w:t>简称国</w:t>
      </w:r>
    </w:p>
    <w:p>
      <w:pPr>
        <w:pStyle w:val="BodyText"/>
        <w:spacing w:line="240" w:lineRule="auto" w:before="145"/>
        <w:ind w:left="393" w:right="0"/>
        <w:jc w:val="left"/>
      </w:pPr>
      <w:r>
        <w:rPr>
          <w:spacing w:val="-3"/>
        </w:rPr>
        <w:t>铁路阳</w:t>
      </w:r>
      <w:r>
        <w:rPr>
          <w:rFonts w:ascii="宋体" w:hAnsi="宋体" w:cs="宋体" w:eastAsia="宋体" w:hint="default"/>
          <w:spacing w:val="-3"/>
        </w:rPr>
        <w:t>)</w:t>
      </w:r>
      <w:r>
        <w:rPr>
          <w:spacing w:val="-3"/>
        </w:rPr>
        <w:t>形成的商誉。在合并日，公司将购买股权支付的合并成本</w:t>
      </w:r>
      <w:r>
        <w:rPr>
          <w:spacing w:val="-58"/>
        </w:rPr>
        <w:t> </w:t>
      </w:r>
      <w:r>
        <w:rPr>
          <w:rFonts w:ascii="宋体" w:hAnsi="宋体" w:cs="宋体" w:eastAsia="宋体" w:hint="default"/>
        </w:rPr>
        <w:t>20,574.84</w:t>
      </w:r>
      <w:r>
        <w:rPr>
          <w:rFonts w:ascii="宋体" w:hAnsi="宋体" w:cs="宋体" w:eastAsia="宋体" w:hint="default"/>
          <w:spacing w:val="-58"/>
        </w:rPr>
        <w:t> </w:t>
      </w:r>
      <w:r>
        <w:rPr/>
        <w:t>万元与应享有国</w:t>
      </w:r>
    </w:p>
    <w:p>
      <w:pPr>
        <w:pStyle w:val="BodyText"/>
        <w:spacing w:line="240" w:lineRule="auto" w:before="145"/>
        <w:ind w:left="393" w:right="1120"/>
        <w:jc w:val="left"/>
      </w:pPr>
      <w:r>
        <w:rPr/>
        <w:t>铁路阳可辨认净资产公允价值份额</w:t>
      </w:r>
      <w:r>
        <w:rPr>
          <w:spacing w:val="-60"/>
        </w:rPr>
        <w:t> </w:t>
      </w:r>
      <w:r>
        <w:rPr>
          <w:rFonts w:ascii="宋体" w:hAnsi="宋体" w:cs="宋体" w:eastAsia="宋体" w:hint="default"/>
        </w:rPr>
        <w:t>9,788.54</w:t>
      </w:r>
      <w:r>
        <w:rPr>
          <w:rFonts w:ascii="宋体" w:hAnsi="宋体" w:cs="宋体" w:eastAsia="宋体" w:hint="default"/>
          <w:spacing w:val="-60"/>
        </w:rPr>
        <w:t> </w:t>
      </w:r>
      <w:r>
        <w:rPr/>
        <w:t>万元之间的差额</w:t>
      </w:r>
      <w:r>
        <w:rPr>
          <w:spacing w:val="-60"/>
        </w:rPr>
        <w:t> </w:t>
      </w:r>
      <w:r>
        <w:rPr>
          <w:rFonts w:ascii="宋体" w:hAnsi="宋体" w:cs="宋体" w:eastAsia="宋体" w:hint="default"/>
        </w:rPr>
        <w:t>10,786.30</w:t>
      </w:r>
      <w:r>
        <w:rPr>
          <w:rFonts w:ascii="宋体" w:hAnsi="宋体" w:cs="宋体" w:eastAsia="宋体" w:hint="default"/>
          <w:spacing w:val="-60"/>
        </w:rPr>
        <w:t> </w:t>
      </w:r>
      <w:r>
        <w:rPr/>
        <w:t>万元确认为商誉。</w:t>
      </w:r>
    </w:p>
    <w:p>
      <w:pPr>
        <w:pStyle w:val="BodyText"/>
        <w:spacing w:line="240" w:lineRule="auto" w:before="146"/>
        <w:ind w:left="873" w:right="0"/>
        <w:jc w:val="left"/>
      </w:pPr>
      <w:r>
        <w:rPr/>
        <w:t>将国铁路阳</w:t>
      </w:r>
      <w:r>
        <w:rPr>
          <w:spacing w:val="-58"/>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spacing w:val="-4"/>
        </w:rPr>
        <w:t>日所有资产认定为一个资产组，来判断与商誉相关的资产组</w:t>
      </w:r>
    </w:p>
    <w:p>
      <w:pPr>
        <w:pStyle w:val="BodyText"/>
        <w:spacing w:line="240" w:lineRule="auto" w:before="145"/>
        <w:ind w:left="393" w:right="1120"/>
        <w:jc w:val="left"/>
        <w:rPr>
          <w:rFonts w:ascii="宋体" w:hAnsi="宋体" w:cs="宋体" w:eastAsia="宋体" w:hint="default"/>
        </w:rPr>
      </w:pPr>
      <w:r>
        <w:rPr/>
        <w:t>是否存在减值迹象。中联资产评估集团有限公司运用“收益法”对国铁路阳截止</w:t>
      </w:r>
      <w:r>
        <w:rPr>
          <w:spacing w:val="-59"/>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p>
    <w:p>
      <w:pPr>
        <w:pStyle w:val="BodyText"/>
        <w:spacing w:line="350" w:lineRule="auto" w:before="145"/>
        <w:ind w:left="393" w:right="998"/>
        <w:jc w:val="left"/>
      </w:pP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3"/>
        </w:rPr>
        <w:t>日的全部权益进行评估，将国铁路阳作为整个资产组预计未来现金流量的现值进行估计</w:t>
      </w:r>
      <w:r>
        <w:rPr>
          <w:rFonts w:ascii="宋体" w:hAnsi="宋体" w:cs="宋体" w:eastAsia="宋体" w:hint="default"/>
          <w:spacing w:val="-3"/>
        </w:rPr>
        <w:t>,</w:t>
      </w:r>
      <w:r>
        <w:rPr>
          <w:rFonts w:ascii="宋体" w:hAnsi="宋体" w:cs="宋体" w:eastAsia="宋体" w:hint="default"/>
          <w:spacing w:val="-118"/>
        </w:rPr>
        <w:t> </w:t>
      </w:r>
      <w:r>
        <w:rPr/>
        <w:t>首先根据公司以往获利能力及营运资金情况估计公司资产的未来获利能力、净现金流量；其 次</w:t>
      </w:r>
      <w:r>
        <w:rPr>
          <w:rFonts w:ascii="宋体" w:hAnsi="宋体" w:cs="宋体" w:eastAsia="宋体" w:hint="default"/>
        </w:rPr>
        <w:t>,</w:t>
      </w:r>
      <w:r>
        <w:rPr/>
        <w:t>按照收益额与折现率口径一致的原则，考虑到本次评估收益额口径为企业自由净现金流 量，折现率按照</w:t>
      </w:r>
      <w:r>
        <w:rPr>
          <w:spacing w:val="-60"/>
        </w:rPr>
        <w:t> </w:t>
      </w:r>
      <w:r>
        <w:rPr>
          <w:rFonts w:ascii="宋体" w:hAnsi="宋体" w:cs="宋体" w:eastAsia="宋体" w:hint="default"/>
        </w:rPr>
        <w:t>12.69%</w:t>
      </w:r>
      <w:r>
        <w:rPr/>
        <w:t>估计出公司股东全部权益价值，确认评估基准日</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pStyle w:val="BodyText"/>
        <w:spacing w:line="240" w:lineRule="auto"/>
        <w:ind w:left="393" w:right="1120"/>
        <w:jc w:val="left"/>
      </w:pPr>
      <w:r>
        <w:rPr/>
        <w:t>国铁路阳全部权益价值为</w:t>
      </w:r>
      <w:r>
        <w:rPr>
          <w:spacing w:val="-60"/>
        </w:rPr>
        <w:t> </w:t>
      </w:r>
      <w:r>
        <w:rPr>
          <w:rFonts w:ascii="宋体" w:hAnsi="宋体" w:cs="宋体" w:eastAsia="宋体" w:hint="default"/>
        </w:rPr>
        <w:t>29,562.12</w:t>
      </w:r>
      <w:r>
        <w:rPr>
          <w:rFonts w:ascii="宋体" w:hAnsi="宋体" w:cs="宋体" w:eastAsia="宋体" w:hint="default"/>
          <w:spacing w:val="-60"/>
        </w:rPr>
        <w:t> </w:t>
      </w:r>
      <w:r>
        <w:rPr/>
        <w:t>万元，并于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日出具编号为中联评咨字</w:t>
      </w:r>
    </w:p>
    <w:p>
      <w:pPr>
        <w:pStyle w:val="BodyText"/>
        <w:spacing w:line="240" w:lineRule="auto" w:before="145"/>
        <w:ind w:left="393" w:right="1120"/>
        <w:jc w:val="left"/>
      </w:pPr>
      <w:r>
        <w:rPr/>
        <w:t>【</w:t>
      </w:r>
      <w:r>
        <w:rPr>
          <w:rFonts w:ascii="宋体" w:hAnsi="宋体" w:cs="宋体" w:eastAsia="宋体" w:hint="default"/>
        </w:rPr>
        <w:t>2016</w:t>
      </w:r>
      <w:r>
        <w:rPr/>
        <w:t>】第</w:t>
      </w:r>
      <w:r>
        <w:rPr>
          <w:spacing w:val="-60"/>
        </w:rPr>
        <w:t> </w:t>
      </w:r>
      <w:r>
        <w:rPr>
          <w:rFonts w:ascii="宋体" w:hAnsi="宋体" w:cs="宋体" w:eastAsia="宋体" w:hint="default"/>
        </w:rPr>
        <w:t>181</w:t>
      </w:r>
      <w:r>
        <w:rPr>
          <w:rFonts w:ascii="宋体" w:hAnsi="宋体" w:cs="宋体" w:eastAsia="宋体" w:hint="default"/>
          <w:spacing w:val="-60"/>
        </w:rPr>
        <w:t> </w:t>
      </w:r>
      <w:r>
        <w:rPr/>
        <w:t>号评估报告。</w:t>
      </w:r>
    </w:p>
    <w:p>
      <w:pPr>
        <w:pStyle w:val="BodyText"/>
        <w:spacing w:line="240" w:lineRule="auto" w:before="145"/>
        <w:ind w:left="873" w:right="1120"/>
        <w:jc w:val="left"/>
        <w:rPr>
          <w:rFonts w:ascii="宋体" w:hAnsi="宋体" w:cs="宋体" w:eastAsia="宋体" w:hint="default"/>
        </w:rPr>
      </w:pPr>
      <w:r>
        <w:rPr/>
        <w:t>由此确定该资产组</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日的可收回金额为</w:t>
      </w:r>
      <w:r>
        <w:rPr>
          <w:spacing w:val="-60"/>
        </w:rPr>
        <w:t> </w:t>
      </w:r>
      <w:r>
        <w:rPr>
          <w:rFonts w:ascii="宋体" w:hAnsi="宋体" w:cs="宋体" w:eastAsia="宋体" w:hint="default"/>
        </w:rPr>
        <w:t>29,562.12</w:t>
      </w:r>
      <w:r>
        <w:rPr>
          <w:rFonts w:ascii="宋体" w:hAnsi="宋体" w:cs="宋体" w:eastAsia="宋体" w:hint="default"/>
          <w:spacing w:val="-60"/>
        </w:rPr>
        <w:t> </w:t>
      </w:r>
      <w:r>
        <w:rPr/>
        <w:t>万元，该资产组</w:t>
      </w:r>
      <w:r>
        <w:rPr>
          <w:spacing w:val="-60"/>
        </w:rPr>
        <w:t> </w:t>
      </w:r>
      <w:r>
        <w:rPr>
          <w:rFonts w:ascii="宋体" w:hAnsi="宋体" w:cs="宋体" w:eastAsia="宋体" w:hint="default"/>
        </w:rPr>
        <w:t>2015</w:t>
      </w:r>
    </w:p>
    <w:p>
      <w:pPr>
        <w:spacing w:after="0" w:line="240" w:lineRule="auto"/>
        <w:jc w:val="left"/>
        <w:rPr>
          <w:rFonts w:ascii="宋体" w:hAnsi="宋体" w:cs="宋体" w:eastAsia="宋体" w:hint="default"/>
        </w:rPr>
        <w:sectPr>
          <w:pgSz w:w="11910" w:h="16840"/>
          <w:pgMar w:header="747" w:footer="979" w:top="1060" w:bottom="1160" w:left="740" w:right="0"/>
        </w:sectPr>
      </w:pPr>
    </w:p>
    <w:p>
      <w:pPr>
        <w:spacing w:line="240" w:lineRule="auto" w:before="0"/>
        <w:rPr>
          <w:rFonts w:ascii="宋体" w:hAnsi="宋体" w:cs="宋体" w:eastAsia="宋体" w:hint="default"/>
          <w:sz w:val="20"/>
          <w:szCs w:val="20"/>
        </w:rPr>
      </w:pPr>
    </w:p>
    <w:p>
      <w:pPr>
        <w:pStyle w:val="BodyText"/>
        <w:spacing w:line="350" w:lineRule="auto" w:before="199"/>
        <w:ind w:left="533" w:right="1117"/>
        <w:jc w:val="left"/>
      </w:pPr>
      <w:r>
        <w:rPr/>
        <w:t>年</w:t>
      </w:r>
      <w:r>
        <w:rPr>
          <w:spacing w:val="-81"/>
        </w:rPr>
        <w:t> </w:t>
      </w:r>
      <w:r>
        <w:rPr>
          <w:rFonts w:ascii="宋体" w:hAnsi="宋体" w:cs="宋体" w:eastAsia="宋体" w:hint="default"/>
        </w:rPr>
        <w:t>12</w:t>
      </w:r>
      <w:r>
        <w:rPr>
          <w:rFonts w:ascii="宋体" w:hAnsi="宋体" w:cs="宋体" w:eastAsia="宋体" w:hint="default"/>
          <w:spacing w:val="-80"/>
        </w:rPr>
        <w:t> </w:t>
      </w:r>
      <w:r>
        <w:rPr/>
        <w:t>月</w:t>
      </w:r>
      <w:r>
        <w:rPr>
          <w:spacing w:val="-81"/>
        </w:rPr>
        <w:t> </w:t>
      </w:r>
      <w:r>
        <w:rPr>
          <w:rFonts w:ascii="宋体" w:hAnsi="宋体" w:cs="宋体" w:eastAsia="宋体" w:hint="default"/>
        </w:rPr>
        <w:t>31</w:t>
      </w:r>
      <w:r>
        <w:rPr>
          <w:rFonts w:ascii="宋体" w:hAnsi="宋体" w:cs="宋体" w:eastAsia="宋体" w:hint="default"/>
          <w:spacing w:val="-81"/>
        </w:rPr>
        <w:t> </w:t>
      </w:r>
      <w:r>
        <w:rPr/>
        <w:t>日的账面价值为</w:t>
      </w:r>
      <w:r>
        <w:rPr>
          <w:spacing w:val="-81"/>
        </w:rPr>
        <w:t> </w:t>
      </w:r>
      <w:r>
        <w:rPr>
          <w:rFonts w:ascii="宋体" w:hAnsi="宋体" w:cs="宋体" w:eastAsia="宋体" w:hint="default"/>
        </w:rPr>
        <w:t>308,269,263.35</w:t>
      </w:r>
      <w:r>
        <w:rPr>
          <w:rFonts w:ascii="宋体" w:hAnsi="宋体" w:cs="宋体" w:eastAsia="宋体" w:hint="default"/>
          <w:spacing w:val="-80"/>
        </w:rPr>
        <w:t> </w:t>
      </w:r>
      <w:r>
        <w:rPr>
          <w:spacing w:val="-8"/>
        </w:rPr>
        <w:t>元，对低于可收回金额的差额部分</w:t>
      </w:r>
      <w:r>
        <w:rPr>
          <w:spacing w:val="-80"/>
        </w:rPr>
        <w:t> </w:t>
      </w:r>
      <w:r>
        <w:rPr>
          <w:rFonts w:ascii="宋体" w:hAnsi="宋体" w:cs="宋体" w:eastAsia="宋体" w:hint="default"/>
        </w:rPr>
        <w:t>12,648,063.35 </w:t>
      </w:r>
      <w:r>
        <w:rPr/>
        <w:t>元计提商誉减值。</w:t>
      </w:r>
    </w:p>
    <w:p>
      <w:pPr>
        <w:pStyle w:val="Heading2"/>
        <w:spacing w:line="350" w:lineRule="auto" w:before="36"/>
        <w:ind w:left="1013" w:right="8342" w:firstLine="2"/>
        <w:jc w:val="left"/>
        <w:rPr>
          <w:rFonts w:ascii="宋体" w:hAnsi="宋体" w:cs="宋体" w:eastAsia="宋体" w:hint="default"/>
          <w:b w:val="0"/>
          <w:bCs w:val="0"/>
        </w:rPr>
      </w:pPr>
      <w:r>
        <w:rPr>
          <w:rFonts w:ascii="宋体" w:hAnsi="宋体" w:cs="宋体" w:eastAsia="宋体" w:hint="default"/>
        </w:rPr>
        <w:t>28</w:t>
      </w:r>
      <w:r>
        <w:rPr/>
        <w:t>、长期待摊费用</w:t>
      </w:r>
      <w:r>
        <w:rPr>
          <w:w w:val="99"/>
        </w:rPr>
        <w:t> </w:t>
      </w:r>
      <w:r>
        <w:rPr>
          <w:rFonts w:ascii="宋体" w:hAnsi="宋体" w:cs="宋体" w:eastAsia="宋体" w:hint="default"/>
          <w:b w:val="0"/>
          <w:bCs w:val="0"/>
        </w:rPr>
        <w:t>无</w:t>
      </w:r>
    </w:p>
    <w:p>
      <w:pPr>
        <w:pStyle w:val="Heading2"/>
        <w:spacing w:line="240" w:lineRule="auto" w:before="35"/>
        <w:ind w:left="1016" w:right="0"/>
        <w:jc w:val="left"/>
        <w:rPr>
          <w:b w:val="0"/>
          <w:bCs w:val="0"/>
        </w:rPr>
      </w:pPr>
      <w:r>
        <w:rPr>
          <w:rFonts w:ascii="宋体" w:hAnsi="宋体" w:cs="宋体" w:eastAsia="宋体" w:hint="default"/>
        </w:rPr>
        <w:t>29</w:t>
      </w:r>
      <w:r>
        <w:rPr/>
        <w:t>、递延所得税资产</w:t>
      </w:r>
      <w:r>
        <w:rPr>
          <w:rFonts w:ascii="宋体" w:hAnsi="宋体" w:cs="宋体" w:eastAsia="宋体" w:hint="default"/>
        </w:rPr>
        <w:t>/</w:t>
      </w:r>
      <w:r>
        <w:rPr/>
        <w:t>递延所得税负债</w:t>
      </w:r>
      <w:r>
        <w:rPr>
          <w:b w:val="0"/>
          <w:bCs w:val="0"/>
        </w:rPr>
      </w:r>
    </w:p>
    <w:p>
      <w:pPr>
        <w:pStyle w:val="Heading2"/>
        <w:spacing w:line="240" w:lineRule="auto" w:before="146"/>
        <w:ind w:left="1016" w:right="0"/>
        <w:jc w:val="left"/>
        <w:rPr>
          <w:b w:val="0"/>
          <w:bCs w:val="0"/>
        </w:rPr>
      </w:pPr>
      <w:r>
        <w:rPr/>
        <w:t>（</w:t>
      </w:r>
      <w:r>
        <w:rPr>
          <w:rFonts w:ascii="宋体" w:hAnsi="宋体" w:cs="宋体" w:eastAsia="宋体" w:hint="default"/>
        </w:rPr>
        <w:t>1</w:t>
      </w:r>
      <w:r>
        <w:rPr/>
        <w:t>）未经抵销的递延所得税资产</w:t>
      </w:r>
      <w:r>
        <w:rPr>
          <w:b w:val="0"/>
          <w:bCs w:val="0"/>
        </w:rPr>
      </w:r>
    </w:p>
    <w:p>
      <w:pPr>
        <w:spacing w:before="83"/>
        <w:ind w:left="0" w:right="133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964"/>
        <w:gridCol w:w="2280"/>
        <w:gridCol w:w="1914"/>
        <w:gridCol w:w="1914"/>
        <w:gridCol w:w="1914"/>
      </w:tblGrid>
      <w:tr>
        <w:trPr>
          <w:trHeight w:val="205" w:hRule="exact"/>
        </w:trPr>
        <w:tc>
          <w:tcPr>
            <w:tcW w:w="1964" w:type="dxa"/>
            <w:tcBorders>
              <w:top w:val="single" w:sz="4" w:space="0" w:color="000000"/>
              <w:left w:val="single" w:sz="4" w:space="0" w:color="000000"/>
              <w:bottom w:val="nil" w:sz="6" w:space="0" w:color="auto"/>
              <w:right w:val="single" w:sz="4" w:space="0" w:color="000000"/>
            </w:tcBorders>
            <w:shd w:val="clear" w:color="auto" w:fill="D2D2D2"/>
          </w:tcPr>
          <w:p>
            <w:pPr/>
          </w:p>
        </w:tc>
        <w:tc>
          <w:tcPr>
            <w:tcW w:w="41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19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194"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64" w:type="dxa"/>
            <w:vMerge/>
            <w:tcBorders>
              <w:left w:val="single" w:sz="4" w:space="0" w:color="000000"/>
              <w:bottom w:val="nil" w:sz="6" w:space="0" w:color="auto"/>
              <w:right w:val="single" w:sz="4" w:space="0" w:color="000000"/>
            </w:tcBorders>
            <w:shd w:val="clear" w:color="auto" w:fill="D2D2D2"/>
          </w:tcPr>
          <w:p>
            <w:pPr/>
          </w:p>
        </w:tc>
        <w:tc>
          <w:tcPr>
            <w:tcW w:w="22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99"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11"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206" w:hRule="exact"/>
        </w:trPr>
        <w:tc>
          <w:tcPr>
            <w:tcW w:w="196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80"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资产减值准备</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88,093,901.98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13,186,162.34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64,217,787.06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9,615,956.36</w:t>
            </w:r>
          </w:p>
        </w:tc>
      </w:tr>
      <w:tr>
        <w:trPr>
          <w:trHeight w:val="402"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24,717,545.29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3,707,631.80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14,453,985.00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2,941,752.90</w:t>
            </w:r>
          </w:p>
        </w:tc>
      </w:tr>
      <w:tr>
        <w:trPr>
          <w:trHeight w:val="402"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73,531,371.22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11,029,705.68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83,314,820.56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12,497,223.08</w:t>
            </w:r>
          </w:p>
        </w:tc>
      </w:tr>
      <w:tr>
        <w:trPr>
          <w:trHeight w:val="402"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45,329,642.48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6,799,446.37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36,909,586.25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5,536,437.94</w:t>
            </w:r>
          </w:p>
        </w:tc>
      </w:tr>
      <w:tr>
        <w:trPr>
          <w:trHeight w:val="402"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231,672,460.97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34,722,946.19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198,896,178.87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30,591,370.28</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600" w:right="0"/>
        </w:sectPr>
      </w:pPr>
    </w:p>
    <w:p>
      <w:pPr>
        <w:pStyle w:val="Heading2"/>
        <w:spacing w:line="240" w:lineRule="auto"/>
        <w:ind w:left="1016" w:right="0"/>
        <w:jc w:val="left"/>
        <w:rPr>
          <w:b w:val="0"/>
          <w:bCs w:val="0"/>
        </w:rPr>
      </w:pPr>
      <w:r>
        <w:rPr>
          <w:w w:val="95"/>
        </w:rPr>
        <w:t>（</w:t>
      </w:r>
      <w:r>
        <w:rPr>
          <w:rFonts w:ascii="宋体" w:hAnsi="宋体" w:cs="宋体" w:eastAsia="宋体" w:hint="default"/>
          <w:w w:val="95"/>
        </w:rPr>
        <w:t>2</w:t>
      </w:r>
      <w:r>
        <w:rPr>
          <w:w w:val="95"/>
        </w:rPr>
        <w:t>）未经抵销的递延所得税负债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01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600" w:right="0"/>
          <w:cols w:num="2" w:equalWidth="0">
            <w:col w:w="4509" w:space="3703"/>
            <w:col w:w="3098"/>
          </w:cols>
        </w:sectPr>
      </w:pPr>
    </w:p>
    <w:p>
      <w:pPr>
        <w:spacing w:line="240" w:lineRule="auto" w:before="0"/>
        <w:rPr>
          <w:rFonts w:ascii="宋体" w:hAnsi="宋体" w:cs="宋体" w:eastAsia="宋体" w:hint="default"/>
          <w:sz w:val="7"/>
          <w:szCs w:val="7"/>
        </w:rPr>
      </w:pPr>
    </w:p>
    <w:tbl>
      <w:tblPr>
        <w:tblW w:w="0" w:type="auto"/>
        <w:jc w:val="left"/>
        <w:tblInd w:w="5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25"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11"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73,211,571.37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10,981,735.71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79,450,333.21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11,917,549.98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73,211,571.37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10,981,735.71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79,450,333.21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11,917,549.98</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600" w:right="0"/>
        </w:sectPr>
      </w:pPr>
    </w:p>
    <w:p>
      <w:pPr>
        <w:pStyle w:val="Heading2"/>
        <w:spacing w:line="240" w:lineRule="auto"/>
        <w:ind w:left="1016" w:right="0"/>
        <w:jc w:val="left"/>
        <w:rPr>
          <w:b w:val="0"/>
          <w:bCs w:val="0"/>
        </w:rPr>
      </w:pPr>
      <w:r>
        <w:rPr>
          <w:w w:val="95"/>
        </w:rPr>
        <w:t>（</w:t>
      </w:r>
      <w:r>
        <w:rPr>
          <w:rFonts w:ascii="宋体" w:hAnsi="宋体" w:cs="宋体" w:eastAsia="宋体" w:hint="default"/>
          <w:w w:val="95"/>
        </w:rPr>
        <w:t>3</w:t>
      </w:r>
      <w:r>
        <w:rPr>
          <w:w w:val="95"/>
        </w:rPr>
        <w:t>）以抵销后净额列示的递延所得税资产或负债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101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600" w:right="0"/>
          <w:cols w:num="2" w:equalWidth="0">
            <w:col w:w="6194" w:space="2019"/>
            <w:col w:w="3097"/>
          </w:cols>
        </w:sectPr>
      </w:pPr>
    </w:p>
    <w:p>
      <w:pPr>
        <w:spacing w:line="240" w:lineRule="auto" w:before="13"/>
        <w:rPr>
          <w:rFonts w:ascii="宋体" w:hAnsi="宋体" w:cs="宋体" w:eastAsia="宋体" w:hint="default"/>
          <w:sz w:val="6"/>
          <w:szCs w:val="6"/>
        </w:rPr>
      </w:pPr>
    </w:p>
    <w:tbl>
      <w:tblPr>
        <w:tblW w:w="0" w:type="auto"/>
        <w:jc w:val="left"/>
        <w:tblInd w:w="540" w:type="dxa"/>
        <w:tblLayout w:type="fixed"/>
        <w:tblCellMar>
          <w:top w:w="0" w:type="dxa"/>
          <w:left w:w="0" w:type="dxa"/>
          <w:bottom w:w="0" w:type="dxa"/>
          <w:right w:w="0" w:type="dxa"/>
        </w:tblCellMar>
        <w:tblLook w:val="01E0"/>
      </w:tblPr>
      <w:tblGrid>
        <w:gridCol w:w="1901"/>
        <w:gridCol w:w="1917"/>
        <w:gridCol w:w="1984"/>
        <w:gridCol w:w="1845"/>
        <w:gridCol w:w="2125"/>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3" w:right="111"/>
              <w:jc w:val="left"/>
              <w:rPr>
                <w:rFonts w:ascii="宋体" w:hAnsi="宋体" w:cs="宋体" w:eastAsia="宋体" w:hint="default"/>
                <w:sz w:val="21"/>
                <w:szCs w:val="21"/>
              </w:rPr>
            </w:pPr>
            <w:r>
              <w:rPr>
                <w:rFonts w:ascii="宋体" w:hAnsi="宋体" w:cs="宋体" w:eastAsia="宋体" w:hint="default"/>
                <w:sz w:val="21"/>
                <w:szCs w:val="21"/>
              </w:rPr>
              <w:t>递延所得税资产和 负债期末互抵金额</w:t>
            </w:r>
          </w:p>
        </w:tc>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46" w:right="41" w:hanging="105"/>
              <w:jc w:val="left"/>
              <w:rPr>
                <w:rFonts w:ascii="宋体" w:hAnsi="宋体" w:cs="宋体" w:eastAsia="宋体" w:hint="default"/>
                <w:sz w:val="21"/>
                <w:szCs w:val="21"/>
              </w:rPr>
            </w:pPr>
            <w:r>
              <w:rPr>
                <w:rFonts w:ascii="宋体" w:hAnsi="宋体" w:cs="宋体" w:eastAsia="宋体" w:hint="default"/>
                <w:sz w:val="21"/>
                <w:szCs w:val="21"/>
              </w:rPr>
              <w:t>抵销后递延所得税资 产或负债期末余额</w:t>
            </w:r>
          </w:p>
        </w:tc>
        <w:tc>
          <w:tcPr>
            <w:tcW w:w="184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77" w:right="75"/>
              <w:jc w:val="left"/>
              <w:rPr>
                <w:rFonts w:ascii="宋体" w:hAnsi="宋体" w:cs="宋体" w:eastAsia="宋体" w:hint="default"/>
                <w:sz w:val="21"/>
                <w:szCs w:val="21"/>
              </w:rPr>
            </w:pPr>
            <w:r>
              <w:rPr>
                <w:rFonts w:ascii="宋体" w:hAnsi="宋体" w:cs="宋体" w:eastAsia="宋体" w:hint="default"/>
                <w:sz w:val="21"/>
                <w:szCs w:val="21"/>
              </w:rPr>
              <w:t>递延所得税资产和 负债期初互抵金额</w:t>
            </w:r>
          </w:p>
        </w:tc>
        <w:tc>
          <w:tcPr>
            <w:tcW w:w="212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17" w:right="113" w:hanging="106"/>
              <w:jc w:val="left"/>
              <w:rPr>
                <w:rFonts w:ascii="宋体" w:hAnsi="宋体" w:cs="宋体" w:eastAsia="宋体" w:hint="default"/>
                <w:sz w:val="21"/>
                <w:szCs w:val="21"/>
              </w:rPr>
            </w:pPr>
            <w:r>
              <w:rPr>
                <w:rFonts w:ascii="宋体" w:hAnsi="宋体" w:cs="宋体" w:eastAsia="宋体" w:hint="default"/>
                <w:sz w:val="21"/>
                <w:szCs w:val="21"/>
              </w:rPr>
              <w:t>抵销后递延所得税资 产或负债期初余额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7" w:type="dxa"/>
            <w:vMerge/>
            <w:tcBorders>
              <w:left w:val="single" w:sz="4" w:space="0" w:color="000000"/>
              <w:right w:val="single" w:sz="4" w:space="0" w:color="000000"/>
            </w:tcBorders>
            <w:shd w:val="clear" w:color="auto" w:fill="D2D2D2"/>
          </w:tcPr>
          <w:p>
            <w:pPr/>
          </w:p>
        </w:tc>
        <w:tc>
          <w:tcPr>
            <w:tcW w:w="1984" w:type="dxa"/>
            <w:vMerge/>
            <w:tcBorders>
              <w:left w:val="single" w:sz="4" w:space="0" w:color="000000"/>
              <w:right w:val="single" w:sz="4" w:space="0" w:color="000000"/>
            </w:tcBorders>
            <w:shd w:val="clear" w:color="auto" w:fill="D2D2D2"/>
          </w:tcPr>
          <w:p>
            <w:pPr/>
          </w:p>
        </w:tc>
        <w:tc>
          <w:tcPr>
            <w:tcW w:w="1845" w:type="dxa"/>
            <w:vMerge/>
            <w:tcBorders>
              <w:left w:val="single" w:sz="4" w:space="0" w:color="000000"/>
              <w:right w:val="single" w:sz="4" w:space="0" w:color="000000"/>
            </w:tcBorders>
            <w:shd w:val="clear" w:color="auto" w:fill="D2D2D2"/>
          </w:tcPr>
          <w:p>
            <w:pPr/>
          </w:p>
        </w:tc>
        <w:tc>
          <w:tcPr>
            <w:tcW w:w="2125"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1845" w:type="dxa"/>
            <w:vMerge/>
            <w:tcBorders>
              <w:left w:val="single" w:sz="4" w:space="0" w:color="000000"/>
              <w:bottom w:val="single" w:sz="4" w:space="0" w:color="000000"/>
              <w:right w:val="single" w:sz="4" w:space="0" w:color="000000"/>
            </w:tcBorders>
            <w:shd w:val="clear" w:color="auto" w:fill="D2D2D2"/>
          </w:tcPr>
          <w:p>
            <w:pPr/>
          </w:p>
        </w:tc>
        <w:tc>
          <w:tcPr>
            <w:tcW w:w="212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34,722,946.19</w:t>
            </w:r>
          </w:p>
        </w:tc>
        <w:tc>
          <w:tcPr>
            <w:tcW w:w="1845"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30,591,370.28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10,981,735.71</w:t>
            </w:r>
          </w:p>
        </w:tc>
        <w:tc>
          <w:tcPr>
            <w:tcW w:w="1845"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11,917,549.98</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600" w:right="0"/>
        </w:sectPr>
      </w:pPr>
    </w:p>
    <w:p>
      <w:pPr>
        <w:pStyle w:val="Heading2"/>
        <w:spacing w:line="240" w:lineRule="auto"/>
        <w:ind w:left="1016" w:right="0"/>
        <w:jc w:val="left"/>
        <w:rPr>
          <w:b w:val="0"/>
          <w:bCs w:val="0"/>
        </w:rPr>
      </w:pPr>
      <w:r>
        <w:rPr>
          <w:w w:val="95"/>
        </w:rPr>
        <w:t>（</w:t>
      </w:r>
      <w:r>
        <w:rPr>
          <w:rFonts w:ascii="宋体" w:hAnsi="宋体" w:cs="宋体" w:eastAsia="宋体" w:hint="default"/>
          <w:w w:val="95"/>
        </w:rPr>
        <w:t>4</w:t>
      </w:r>
      <w:r>
        <w:rPr>
          <w:w w:val="95"/>
        </w:rPr>
        <w:t>）未确认递延所得税资产明细</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997" w:right="1111"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600" w:right="0"/>
          <w:cols w:num="2" w:equalWidth="0">
            <w:col w:w="4509" w:space="3838"/>
            <w:col w:w="2963"/>
          </w:cols>
        </w:sectPr>
      </w:pPr>
    </w:p>
    <w:p>
      <w:pPr>
        <w:spacing w:line="240" w:lineRule="auto" w:before="1"/>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4,467,664.47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1,466,725.60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4,467,664.47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1,466,725.60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60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240" w:lineRule="auto" w:before="199"/>
        <w:ind w:right="0"/>
        <w:jc w:val="left"/>
        <w:rPr>
          <w:b w:val="0"/>
          <w:bCs w:val="0"/>
        </w:rPr>
      </w:pPr>
      <w:r>
        <w:rPr>
          <w:w w:val="95"/>
        </w:rPr>
        <w:t>（</w:t>
      </w:r>
      <w:r>
        <w:rPr>
          <w:rFonts w:ascii="宋体" w:hAnsi="宋体" w:cs="宋体" w:eastAsia="宋体" w:hint="default"/>
          <w:w w:val="95"/>
        </w:rPr>
        <w:t>5</w:t>
      </w:r>
      <w:r>
        <w:rPr>
          <w:w w:val="95"/>
        </w:rPr>
        <w:t>）未确认递延所得税资产的可抵扣亏损将于以下年度到期</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before="151"/>
        <w:ind w:left="636"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018" w:space="1329"/>
            <w:col w:w="2583"/>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1"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291,666.96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291,666.96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405,508.43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405,508.43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769,550.21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769,550.21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3,000,938.87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4,467,664.47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1,466,725.60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r>
        <w:rPr>
          <w:rFonts w:ascii="宋体" w:hAnsi="宋体" w:cs="宋体" w:eastAsia="宋体" w:hint="default"/>
          <w:w w:val="95"/>
        </w:rPr>
        <w:t>30</w:t>
      </w:r>
      <w:r>
        <w:rPr>
          <w:w w:val="95"/>
        </w:rPr>
        <w:t>、其他非流动资产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805" w:space="5407"/>
            <w:col w:w="2718"/>
          </w:cols>
        </w:sectPr>
      </w:pP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13" w:space="0" w:color="D2D2D2"/>
            </w:tcBorders>
            <w:shd w:val="clear" w:color="auto" w:fill="D6D6D6"/>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预付工程及设备款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890,157.99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688,075.74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890,157.99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688,075.74</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9"/>
        <w:jc w:val="left"/>
        <w:rPr>
          <w:b w:val="0"/>
          <w:bCs w:val="0"/>
        </w:rPr>
      </w:pPr>
      <w:r>
        <w:rPr>
          <w:rFonts w:ascii="宋体" w:hAnsi="宋体" w:cs="宋体" w:eastAsia="宋体" w:hint="default"/>
        </w:rPr>
        <w:t>31</w:t>
      </w:r>
      <w:r>
        <w:rPr/>
        <w:t>、短期借款</w:t>
      </w:r>
      <w:r>
        <w:rPr>
          <w:b w:val="0"/>
          <w:bCs w:val="0"/>
        </w:rPr>
      </w:r>
    </w:p>
    <w:p>
      <w:pPr>
        <w:pStyle w:val="Heading2"/>
        <w:spacing w:line="240" w:lineRule="auto" w:before="145"/>
        <w:ind w:right="-9"/>
        <w:jc w:val="left"/>
        <w:rPr>
          <w:b w:val="0"/>
          <w:bCs w:val="0"/>
        </w:rPr>
      </w:pPr>
      <w:r>
        <w:rPr>
          <w:w w:val="95"/>
        </w:rPr>
        <w:t>（</w:t>
      </w:r>
      <w:r>
        <w:rPr>
          <w:rFonts w:ascii="宋体" w:hAnsi="宋体" w:cs="宋体" w:eastAsia="宋体" w:hint="default"/>
          <w:w w:val="95"/>
        </w:rPr>
        <w:t>1</w:t>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spacing w:before="0"/>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685" w:space="5528"/>
            <w:col w:w="2717"/>
          </w:cols>
        </w:sectPr>
      </w:pP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350" w:lineRule="auto"/>
        <w:ind w:left="633" w:right="2013" w:firstLine="2"/>
        <w:jc w:val="left"/>
        <w:rPr>
          <w:rFonts w:ascii="宋体" w:hAnsi="宋体" w:cs="宋体" w:eastAsia="宋体" w:hint="default"/>
          <w:b w:val="0"/>
          <w:bCs w:val="0"/>
        </w:rPr>
      </w:pPr>
      <w:r>
        <w:rPr>
          <w:w w:val="95"/>
        </w:rPr>
        <w:t>（</w:t>
      </w:r>
      <w:r>
        <w:rPr>
          <w:rFonts w:ascii="宋体" w:hAnsi="宋体" w:cs="宋体" w:eastAsia="宋体" w:hint="default"/>
          <w:w w:val="95"/>
        </w:rPr>
        <w:t>2</w:t>
      </w:r>
      <w:r>
        <w:rPr>
          <w:w w:val="95"/>
        </w:rPr>
        <w:t>）已逾期未偿还的短期借款情况</w:t>
      </w:r>
      <w:r>
        <w:rPr>
          <w:spacing w:val="56"/>
          <w:w w:val="95"/>
        </w:rPr>
        <w:t> </w:t>
      </w:r>
      <w:r>
        <w:rPr>
          <w:rFonts w:ascii="宋体" w:hAnsi="宋体" w:cs="宋体" w:eastAsia="宋体" w:hint="default"/>
          <w:b w:val="0"/>
          <w:bCs w:val="0"/>
        </w:rPr>
        <w:t>无</w:t>
      </w:r>
    </w:p>
    <w:p>
      <w:pPr>
        <w:pStyle w:val="Heading2"/>
        <w:spacing w:line="352" w:lineRule="auto" w:before="35"/>
        <w:ind w:left="633" w:right="47" w:firstLine="2"/>
        <w:jc w:val="left"/>
        <w:rPr>
          <w:rFonts w:ascii="宋体" w:hAnsi="宋体" w:cs="宋体" w:eastAsia="宋体" w:hint="default"/>
          <w:b w:val="0"/>
          <w:bCs w:val="0"/>
        </w:rPr>
      </w:pPr>
      <w:r>
        <w:rPr>
          <w:rFonts w:ascii="宋体" w:hAnsi="宋体" w:cs="宋体" w:eastAsia="宋体" w:hint="default"/>
          <w:w w:val="95"/>
        </w:rPr>
        <w:t>32</w:t>
      </w:r>
      <w:r>
        <w:rPr>
          <w:w w:val="95"/>
        </w:rPr>
        <w:t>、以公允价值计量且其变动计入当期损益的金融负债 </w:t>
      </w:r>
      <w:r>
        <w:rPr>
          <w:spacing w:val="35"/>
          <w:w w:val="95"/>
        </w:rPr>
        <w:t> </w:t>
      </w:r>
      <w:r>
        <w:rPr>
          <w:rFonts w:ascii="宋体" w:hAnsi="宋体" w:cs="宋体" w:eastAsia="宋体" w:hint="default"/>
          <w:b w:val="0"/>
          <w:bCs w:val="0"/>
        </w:rPr>
        <w:t>无</w:t>
      </w:r>
    </w:p>
    <w:p>
      <w:pPr>
        <w:pStyle w:val="Heading2"/>
        <w:spacing w:line="240" w:lineRule="auto" w:before="32"/>
        <w:ind w:right="2013"/>
        <w:jc w:val="left"/>
        <w:rPr>
          <w:b w:val="0"/>
          <w:bCs w:val="0"/>
        </w:rPr>
      </w:pPr>
      <w:r>
        <w:rPr>
          <w:rFonts w:ascii="宋体" w:hAnsi="宋体" w:cs="宋体" w:eastAsia="宋体" w:hint="default"/>
        </w:rPr>
        <w:t>33</w:t>
      </w:r>
      <w:r>
        <w:rPr/>
        <w:t>、衍生金融负债</w:t>
      </w:r>
      <w:r>
        <w:rPr>
          <w:b w:val="0"/>
          <w:bCs w:val="0"/>
        </w:rPr>
      </w:r>
    </w:p>
    <w:p>
      <w:pPr>
        <w:spacing w:line="352" w:lineRule="auto" w:before="145"/>
        <w:ind w:left="636" w:right="3723" w:hanging="3"/>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34</w:t>
      </w:r>
      <w:r>
        <w:rPr>
          <w:rFonts w:ascii="宋体" w:hAnsi="宋体" w:cs="宋体" w:eastAsia="宋体" w:hint="default"/>
          <w:b/>
          <w:bCs/>
          <w:sz w:val="24"/>
          <w:szCs w:val="24"/>
        </w:rPr>
        <w:t>、应付票据</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6417" w:space="1798"/>
            <w:col w:w="2715"/>
          </w:cols>
        </w:sectPr>
      </w:pP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4,705,611.49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4,705,611.49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2,000,000.00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9"/>
        <w:jc w:val="left"/>
        <w:rPr>
          <w:b w:val="0"/>
          <w:bCs w:val="0"/>
        </w:rPr>
      </w:pPr>
      <w:r>
        <w:rPr>
          <w:rFonts w:ascii="宋体" w:hAnsi="宋体" w:cs="宋体" w:eastAsia="宋体" w:hint="default"/>
        </w:rPr>
        <w:t>35</w:t>
      </w:r>
      <w:r>
        <w:rPr/>
        <w:t>、应付账款</w:t>
      </w:r>
      <w:r>
        <w:rPr>
          <w:b w:val="0"/>
          <w:bCs w:val="0"/>
        </w:rPr>
      </w:r>
    </w:p>
    <w:p>
      <w:pPr>
        <w:pStyle w:val="Heading2"/>
        <w:spacing w:line="240" w:lineRule="auto" w:before="145"/>
        <w:ind w:right="-9"/>
        <w:jc w:val="left"/>
        <w:rPr>
          <w:b w:val="0"/>
          <w:bCs w:val="0"/>
        </w:rPr>
      </w:pPr>
      <w:r>
        <w:rPr>
          <w:w w:val="95"/>
        </w:rPr>
        <w:t>（</w:t>
      </w:r>
      <w:r>
        <w:rPr>
          <w:rFonts w:ascii="宋体" w:hAnsi="宋体" w:cs="宋体" w:eastAsia="宋体" w:hint="default"/>
          <w:w w:val="95"/>
        </w:rPr>
        <w:t>1</w:t>
      </w:r>
      <w:r>
        <w:rPr>
          <w:w w:val="95"/>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before="0"/>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685" w:space="5528"/>
            <w:col w:w="2717"/>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6D6D6"/>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198,953,489.01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144,277,451.61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4,646,781.00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28,955,233.00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11,400,791.86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16,484,170.23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821,972.10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3,138,544.79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216,683,033.97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194,145,399.63</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10"/>
        <w:jc w:val="left"/>
        <w:rPr>
          <w:b w:val="0"/>
          <w:bCs w:val="0"/>
        </w:rPr>
      </w:pPr>
      <w:r>
        <w:rPr/>
        <w:t>（</w:t>
      </w:r>
      <w:r>
        <w:rPr>
          <w:rFonts w:ascii="宋体" w:hAnsi="宋体" w:cs="宋体" w:eastAsia="宋体" w:hint="default"/>
        </w:rPr>
        <w:t>2</w:t>
      </w:r>
      <w:r>
        <w:rPr/>
        <w:t>）账龄超过</w:t>
      </w:r>
      <w:r>
        <w:rPr>
          <w:spacing w:val="-66"/>
        </w:rPr>
        <w:t> </w:t>
      </w:r>
      <w:r>
        <w:rPr>
          <w:rFonts w:ascii="宋体" w:hAnsi="宋体" w:cs="宋体" w:eastAsia="宋体" w:hint="default"/>
        </w:rPr>
        <w:t>1</w:t>
      </w:r>
      <w:r>
        <w:rPr>
          <w:rFonts w:ascii="宋体" w:hAnsi="宋体" w:cs="宋体" w:eastAsia="宋体" w:hint="default"/>
          <w:spacing w:val="-67"/>
        </w:rPr>
        <w:t> </w:t>
      </w:r>
      <w:r>
        <w:rPr/>
        <w:t>年的重要应付账款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4371" w:space="3842"/>
            <w:col w:w="2717"/>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947"/>
        <w:gridCol w:w="2423"/>
        <w:gridCol w:w="3189"/>
      </w:tblGrid>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79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北京义诚齐力铁路设备科技开发有限公司</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11,559,515.24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上海华铭智能终端设备股份有限公司</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8,145,180.00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郑州华容电气科技有限公司</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6,880,468.00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天津市万博线缆有限公司</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6,354,469.32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南京南瑞集团公司</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5,936,272.05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38,875,904.61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4"/>
          <w:szCs w:val="4"/>
        </w:rPr>
      </w:pPr>
    </w:p>
    <w:p>
      <w:pPr>
        <w:pStyle w:val="BodyText"/>
        <w:spacing w:line="350" w:lineRule="auto" w:before="26"/>
        <w:ind w:left="154" w:right="1114" w:firstLine="480"/>
        <w:jc w:val="left"/>
      </w:pPr>
      <w:r>
        <w:rPr/>
        <w:t>其他说明：期末余额中无应付持本公司</w:t>
      </w:r>
      <w:r>
        <w:rPr>
          <w:spacing w:val="-86"/>
        </w:rPr>
        <w:t> </w:t>
      </w:r>
      <w:r>
        <w:rPr>
          <w:rFonts w:ascii="宋体" w:hAnsi="宋体" w:cs="宋体" w:eastAsia="宋体" w:hint="default"/>
          <w:spacing w:val="-5"/>
        </w:rPr>
        <w:t>5%</w:t>
      </w:r>
      <w:r>
        <w:rPr>
          <w:spacing w:val="-5"/>
        </w:rPr>
        <w:t>以上（含</w:t>
      </w:r>
      <w:r>
        <w:rPr>
          <w:spacing w:val="-86"/>
        </w:rPr>
        <w:t> </w:t>
      </w:r>
      <w:r>
        <w:rPr>
          <w:rFonts w:ascii="宋体" w:hAnsi="宋体" w:cs="宋体" w:eastAsia="宋体" w:hint="default"/>
        </w:rPr>
        <w:t>5%</w:t>
      </w:r>
      <w:r>
        <w:rPr/>
        <w:t>）表决权股份的股东单位及其他关 联单位款项。</w:t>
      </w:r>
    </w:p>
    <w:p>
      <w:pPr>
        <w:pStyle w:val="Heading2"/>
        <w:spacing w:line="240" w:lineRule="auto" w:before="35"/>
        <w:ind w:right="1153"/>
        <w:jc w:val="left"/>
        <w:rPr>
          <w:b w:val="0"/>
          <w:bCs w:val="0"/>
        </w:rPr>
      </w:pPr>
      <w:r>
        <w:rPr>
          <w:rFonts w:ascii="宋体" w:hAnsi="宋体" w:cs="宋体" w:eastAsia="宋体" w:hint="default"/>
        </w:rPr>
        <w:t>36</w:t>
      </w:r>
      <w:r>
        <w:rPr/>
        <w:t>、预收款项</w:t>
      </w:r>
      <w:r>
        <w:rPr>
          <w:b w:val="0"/>
          <w:bCs w:val="0"/>
        </w:rPr>
      </w:r>
    </w:p>
    <w:p>
      <w:pPr>
        <w:pStyle w:val="Heading2"/>
        <w:spacing w:line="240" w:lineRule="auto" w:before="146"/>
        <w:ind w:right="1153"/>
        <w:jc w:val="left"/>
        <w:rPr>
          <w:b w:val="0"/>
          <w:bCs w:val="0"/>
        </w:rPr>
      </w:pPr>
      <w:r>
        <w:rPr/>
        <w:t>（</w:t>
      </w:r>
      <w:r>
        <w:rPr>
          <w:rFonts w:ascii="宋体" w:hAnsi="宋体" w:cs="宋体" w:eastAsia="宋体" w:hint="default"/>
        </w:rPr>
        <w:t>1</w:t>
      </w:r>
      <w:r>
        <w:rPr/>
        <w:t>）预收款项列示</w:t>
      </w:r>
      <w:r>
        <w:rPr>
          <w:b w:val="0"/>
          <w:bCs w:val="0"/>
        </w:rPr>
      </w:r>
    </w:p>
    <w:p>
      <w:pPr>
        <w:spacing w:before="83"/>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73,126,268.07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68,595,440.40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73,126,268.07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68,595,440.40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10"/>
        <w:jc w:val="left"/>
        <w:rPr>
          <w:b w:val="0"/>
          <w:bCs w:val="0"/>
        </w:rPr>
      </w:pPr>
      <w:r>
        <w:rPr/>
        <w:t>（</w:t>
      </w:r>
      <w:r>
        <w:rPr>
          <w:rFonts w:ascii="宋体" w:hAnsi="宋体" w:cs="宋体" w:eastAsia="宋体" w:hint="default"/>
        </w:rPr>
        <w:t>2</w:t>
      </w:r>
      <w:r>
        <w:rPr/>
        <w:t>）账龄超过</w:t>
      </w:r>
      <w:r>
        <w:rPr>
          <w:spacing w:val="-66"/>
        </w:rPr>
        <w:t> </w:t>
      </w:r>
      <w:r>
        <w:rPr>
          <w:rFonts w:ascii="宋体" w:hAnsi="宋体" w:cs="宋体" w:eastAsia="宋体" w:hint="default"/>
        </w:rPr>
        <w:t>1</w:t>
      </w:r>
      <w:r>
        <w:rPr>
          <w:rFonts w:ascii="宋体" w:hAnsi="宋体" w:cs="宋体" w:eastAsia="宋体" w:hint="default"/>
          <w:spacing w:val="-67"/>
        </w:rPr>
        <w:t> </w:t>
      </w:r>
      <w:r>
        <w:rPr/>
        <w:t>年的重要预收款项</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6"/>
          <w:szCs w:val="16"/>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371" w:space="3977"/>
            <w:col w:w="2582"/>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423"/>
        <w:gridCol w:w="2480"/>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9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新疆红淖三铁路有限公司</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3,926,394.00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中铁电气化集团二公司日照港铁路四电工程项目部</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8,390,000.00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项目未完工</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2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z w:val="21"/>
              </w:rPr>
              <w:t>12,316,394.00</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pStyle w:val="Heading2"/>
        <w:spacing w:line="285" w:lineRule="auto"/>
        <w:ind w:left="726" w:right="5233" w:hanging="91"/>
        <w:jc w:val="left"/>
        <w:rPr>
          <w:rFonts w:ascii="宋体" w:hAnsi="宋体" w:cs="宋体" w:eastAsia="宋体" w:hint="default"/>
          <w:b w:val="0"/>
          <w:bCs w:val="0"/>
        </w:rPr>
      </w:pPr>
      <w:r>
        <w:rPr>
          <w:w w:val="95"/>
        </w:rPr>
        <w:t>（</w:t>
      </w:r>
      <w:r>
        <w:rPr>
          <w:rFonts w:ascii="宋体" w:hAnsi="宋体" w:cs="宋体" w:eastAsia="宋体" w:hint="default"/>
          <w:w w:val="95"/>
        </w:rPr>
        <w:t>3</w:t>
      </w:r>
      <w:r>
        <w:rPr>
          <w:w w:val="95"/>
        </w:rPr>
        <w:t>）期末建造合同形成的已结算未完工项目情况 </w:t>
      </w:r>
      <w:r>
        <w:rPr>
          <w:spacing w:val="10"/>
          <w:w w:val="95"/>
        </w:rPr>
        <w:t> </w:t>
      </w:r>
      <w:r>
        <w:rPr>
          <w:rFonts w:ascii="宋体" w:hAnsi="宋体" w:cs="宋体" w:eastAsia="宋体" w:hint="default"/>
          <w:b w:val="0"/>
          <w:bCs w:val="0"/>
        </w:rPr>
        <w:t>无</w:t>
      </w:r>
    </w:p>
    <w:p>
      <w:pPr>
        <w:spacing w:after="0" w:line="285" w:lineRule="auto"/>
        <w:jc w:val="left"/>
        <w:rPr>
          <w:rFonts w:ascii="宋体" w:hAnsi="宋体" w:cs="宋体" w:eastAsia="宋体" w:hint="default"/>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240" w:lineRule="auto" w:before="199"/>
        <w:ind w:right="-19"/>
        <w:jc w:val="left"/>
        <w:rPr>
          <w:b w:val="0"/>
          <w:bCs w:val="0"/>
        </w:rPr>
      </w:pPr>
      <w:r>
        <w:rPr/>
        <w:t>（</w:t>
      </w:r>
      <w:r>
        <w:rPr>
          <w:rFonts w:ascii="宋体" w:hAnsi="宋体" w:cs="宋体" w:eastAsia="宋体" w:hint="default"/>
        </w:rPr>
        <w:t>4</w:t>
      </w:r>
      <w:r>
        <w:rPr/>
        <w:t>）其他说明</w:t>
      </w:r>
      <w:r>
        <w:rPr>
          <w:b w:val="0"/>
          <w:bCs w:val="0"/>
        </w:rPr>
      </w:r>
    </w:p>
    <w:p>
      <w:pPr>
        <w:pStyle w:val="BodyText"/>
        <w:spacing w:line="240" w:lineRule="auto" w:before="145"/>
        <w:ind w:left="634" w:right="-19"/>
        <w:jc w:val="left"/>
      </w:pPr>
      <w:r>
        <w:rPr/>
        <w:t>①期末余额中无预收持本公司</w:t>
      </w:r>
      <w:r>
        <w:rPr>
          <w:spacing w:val="-61"/>
        </w:rPr>
        <w:t> </w:t>
      </w:r>
      <w:r>
        <w:rPr>
          <w:rFonts w:ascii="宋体" w:hAnsi="宋体" w:cs="宋体" w:eastAsia="宋体" w:hint="default"/>
        </w:rPr>
        <w:t>5</w:t>
      </w:r>
      <w:r>
        <w:rPr/>
        <w:t>％以上（含</w:t>
      </w:r>
      <w:r>
        <w:rPr>
          <w:spacing w:val="-60"/>
        </w:rPr>
        <w:t> </w:t>
      </w:r>
      <w:r>
        <w:rPr>
          <w:rFonts w:ascii="宋体" w:hAnsi="宋体" w:cs="宋体" w:eastAsia="宋体" w:hint="default"/>
        </w:rPr>
        <w:t>5</w:t>
      </w:r>
      <w:r>
        <w:rPr/>
        <w:t>％）表决权股份的股东单位款项。</w:t>
      </w:r>
    </w:p>
    <w:p>
      <w:pPr>
        <w:spacing w:line="350" w:lineRule="auto" w:before="146"/>
        <w:ind w:left="636" w:right="4181" w:hanging="3"/>
        <w:jc w:val="left"/>
        <w:rPr>
          <w:rFonts w:ascii="宋体" w:hAnsi="宋体" w:cs="宋体" w:eastAsia="宋体" w:hint="default"/>
          <w:sz w:val="24"/>
          <w:szCs w:val="24"/>
        </w:rPr>
      </w:pPr>
      <w:r>
        <w:rPr>
          <w:rFonts w:ascii="宋体" w:hAnsi="宋体" w:cs="宋体" w:eastAsia="宋体" w:hint="default"/>
          <w:sz w:val="24"/>
          <w:szCs w:val="24"/>
        </w:rPr>
        <w:t>②期末余额中无预收其他关联方款项。 </w:t>
      </w:r>
      <w:r>
        <w:rPr>
          <w:rFonts w:ascii="宋体" w:hAnsi="宋体" w:cs="宋体" w:eastAsia="宋体" w:hint="default"/>
          <w:b/>
          <w:bCs/>
          <w:sz w:val="24"/>
          <w:szCs w:val="24"/>
        </w:rPr>
        <w:t>37</w:t>
      </w:r>
      <w:r>
        <w:rPr>
          <w:rFonts w:ascii="宋体" w:hAnsi="宋体" w:cs="宋体" w:eastAsia="宋体" w:hint="default"/>
          <w:b/>
          <w:bCs/>
          <w:sz w:val="24"/>
          <w:szCs w:val="24"/>
        </w:rPr>
        <w:t>、应付职工薪酬</w:t>
      </w:r>
      <w:r>
        <w:rPr>
          <w:rFonts w:ascii="宋体" w:hAnsi="宋体" w:cs="宋体" w:eastAsia="宋体" w:hint="default"/>
          <w:sz w:val="24"/>
          <w:szCs w:val="24"/>
        </w:rPr>
      </w:r>
    </w:p>
    <w:p>
      <w:pPr>
        <w:pStyle w:val="Heading2"/>
        <w:spacing w:line="240" w:lineRule="auto" w:before="35"/>
        <w:ind w:right="-19"/>
        <w:jc w:val="left"/>
        <w:rPr>
          <w:b w:val="0"/>
          <w:bCs w:val="0"/>
        </w:rPr>
      </w:pPr>
      <w:r>
        <w:rPr/>
        <w:t>（</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6"/>
          <w:szCs w:val="26"/>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915" w:space="40"/>
            <w:col w:w="1975"/>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713"/>
        <w:gridCol w:w="1843"/>
        <w:gridCol w:w="1701"/>
        <w:gridCol w:w="1490"/>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9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2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12,995,612.18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78,945,848.47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71,482,702.49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20,458,758.16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pacing w:val="-2"/>
                <w:sz w:val="21"/>
                <w:szCs w:val="21"/>
              </w:rPr>
              <w:t>二、离职后福利</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设定提存计划</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33,289.20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5,647,156.91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5,648,056.76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32,389.35</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13,028,901.38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84,593,005.38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77,130,759.25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20,491,147.51</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9"/>
        <w:jc w:val="left"/>
        <w:rPr>
          <w:b w:val="0"/>
          <w:bCs w:val="0"/>
        </w:rPr>
      </w:pPr>
      <w:r>
        <w:rPr>
          <w:w w:val="95"/>
        </w:rPr>
        <w:t>（</w:t>
      </w:r>
      <w:r>
        <w:rPr>
          <w:rFonts w:ascii="宋体" w:hAnsi="宋体" w:cs="宋体" w:eastAsia="宋体" w:hint="default"/>
          <w:w w:val="95"/>
        </w:rPr>
        <w:t>2</w:t>
      </w:r>
      <w:r>
        <w:rPr>
          <w:w w:val="95"/>
        </w:rPr>
        <w:t>）短期薪酬列示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685" w:space="5528"/>
            <w:col w:w="2717"/>
          </w:cols>
        </w:sectPr>
      </w:pPr>
    </w:p>
    <w:p>
      <w:pPr>
        <w:spacing w:line="240" w:lineRule="auto" w:before="0"/>
        <w:rPr>
          <w:rFonts w:ascii="宋体" w:hAnsi="宋体" w:cs="宋体" w:eastAsia="宋体" w:hint="default"/>
          <w:sz w:val="7"/>
          <w:szCs w:val="7"/>
        </w:rPr>
      </w:pPr>
    </w:p>
    <w:tbl>
      <w:tblPr>
        <w:tblW w:w="0" w:type="auto"/>
        <w:jc w:val="left"/>
        <w:tblInd w:w="173" w:type="dxa"/>
        <w:tblLayout w:type="fixed"/>
        <w:tblCellMar>
          <w:top w:w="0" w:type="dxa"/>
          <w:left w:w="0" w:type="dxa"/>
          <w:bottom w:w="0" w:type="dxa"/>
          <w:right w:w="0" w:type="dxa"/>
        </w:tblCellMar>
        <w:tblLook w:val="01E0"/>
      </w:tblPr>
      <w:tblGrid>
        <w:gridCol w:w="2804"/>
        <w:gridCol w:w="1697"/>
        <w:gridCol w:w="1650"/>
        <w:gridCol w:w="1731"/>
        <w:gridCol w:w="1664"/>
      </w:tblGrid>
      <w:tr>
        <w:trPr>
          <w:trHeight w:val="402"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0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、工资、奖金、津贴和补贴</w:t>
            </w:r>
          </w:p>
        </w:tc>
        <w:tc>
          <w:tcPr>
            <w:tcW w:w="1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9,276,787.86</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58,043,971.75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60,767,638.10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6,553,121.51</w:t>
            </w:r>
          </w:p>
        </w:tc>
      </w:tr>
      <w:tr>
        <w:trPr>
          <w:trHeight w:val="402"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697" w:type="dxa"/>
            <w:tcBorders>
              <w:top w:val="single" w:sz="4" w:space="0" w:color="000000"/>
              <w:left w:val="single" w:sz="13" w:space="0" w:color="D2D2D2"/>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4,806,808.99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4,806,808.99</w:t>
            </w: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307,293.54</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2,931,073.77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2,932,611.90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305,755.41</w:t>
            </w:r>
          </w:p>
        </w:tc>
      </w:tr>
      <w:tr>
        <w:trPr>
          <w:trHeight w:val="402"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304,036.05</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2,436,725.08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2,438,398.55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302,362.58</w:t>
            </w:r>
          </w:p>
        </w:tc>
      </w:tr>
      <w:tr>
        <w:trPr>
          <w:trHeight w:val="402"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1,586.99</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249,321.17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249,252.45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1,655.71</w:t>
            </w:r>
          </w:p>
        </w:tc>
      </w:tr>
      <w:tr>
        <w:trPr>
          <w:trHeight w:val="402"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1,670.50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245,027.52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244,960.90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1,737.12</w:t>
            </w:r>
          </w:p>
        </w:tc>
      </w:tr>
      <w:tr>
        <w:trPr>
          <w:trHeight w:val="402"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697" w:type="dxa"/>
            <w:tcBorders>
              <w:top w:val="single" w:sz="4" w:space="0" w:color="000000"/>
              <w:left w:val="single" w:sz="13" w:space="0" w:color="D2D2D2"/>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2,381,153.92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2,381,153.92</w:t>
            </w: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、工会经费和职工教育经费</w:t>
            </w:r>
          </w:p>
        </w:tc>
        <w:tc>
          <w:tcPr>
            <w:tcW w:w="1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3,411,530.78</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751,140.04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594,489.58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3,568,181.24</w:t>
            </w:r>
          </w:p>
        </w:tc>
      </w:tr>
      <w:tr>
        <w:trPr>
          <w:trHeight w:val="402"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、其他短期薪酬</w:t>
            </w:r>
          </w:p>
        </w:tc>
        <w:tc>
          <w:tcPr>
            <w:tcW w:w="1697" w:type="dxa"/>
            <w:tcBorders>
              <w:top w:val="single" w:sz="4" w:space="0" w:color="000000"/>
              <w:left w:val="single" w:sz="13" w:space="0" w:color="D2D2D2"/>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10,031,700.00</w:t>
            </w:r>
          </w:p>
        </w:tc>
        <w:tc>
          <w:tcPr>
            <w:tcW w:w="173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10,031,700.00</w:t>
            </w:r>
          </w:p>
        </w:tc>
      </w:tr>
      <w:tr>
        <w:trPr>
          <w:trHeight w:val="402"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12,995,612.18</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78,945,848.47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71,482,702.49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20,458,758.16</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r>
        <w:rPr>
          <w:w w:val="95"/>
        </w:rPr>
        <w:t>（</w:t>
      </w:r>
      <w:r>
        <w:rPr>
          <w:rFonts w:ascii="宋体" w:hAnsi="宋体" w:cs="宋体" w:eastAsia="宋体" w:hint="default"/>
          <w:w w:val="95"/>
        </w:rPr>
        <w:t>3</w:t>
      </w:r>
      <w:r>
        <w:rPr>
          <w:w w:val="95"/>
        </w:rPr>
        <w:t>）设定提存计划列示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165" w:space="5047"/>
            <w:col w:w="2718"/>
          </w:cols>
        </w:sectPr>
      </w:pP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31,704.00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5,256,548.43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5,257,405.43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30,847.00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1,585.20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390,608.48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390,651.33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1,542.35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33,289.20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5,647,156.91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5,648,056.76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32,389.35</w:t>
            </w:r>
          </w:p>
        </w:tc>
      </w:tr>
    </w:tbl>
    <w:p>
      <w:pPr>
        <w:spacing w:line="240" w:lineRule="auto" w:before="10"/>
        <w:rPr>
          <w:rFonts w:ascii="宋体" w:hAnsi="宋体" w:cs="宋体" w:eastAsia="宋体" w:hint="default"/>
          <w:sz w:val="4"/>
          <w:szCs w:val="4"/>
        </w:rPr>
      </w:pPr>
    </w:p>
    <w:p>
      <w:pPr>
        <w:pStyle w:val="Heading2"/>
        <w:spacing w:line="240" w:lineRule="auto"/>
        <w:ind w:right="1153"/>
        <w:jc w:val="left"/>
        <w:rPr>
          <w:b w:val="0"/>
          <w:bCs w:val="0"/>
        </w:rPr>
      </w:pPr>
      <w:r>
        <w:rPr/>
        <w:t>其他说明：</w:t>
      </w:r>
      <w:r>
        <w:rPr>
          <w:b w:val="0"/>
          <w:bCs w:val="0"/>
        </w:rPr>
      </w:r>
    </w:p>
    <w:p>
      <w:pPr>
        <w:pStyle w:val="BodyText"/>
        <w:spacing w:line="357" w:lineRule="auto" w:before="176"/>
        <w:ind w:right="1116" w:firstLine="480"/>
        <w:jc w:val="both"/>
      </w:pPr>
      <w:r>
        <w:rPr/>
        <w:t>应付职工薪酬期末余额较期初余额增加</w:t>
      </w:r>
      <w:r>
        <w:rPr>
          <w:spacing w:val="-76"/>
        </w:rPr>
        <w:t> </w:t>
      </w:r>
      <w:r>
        <w:rPr>
          <w:rFonts w:ascii="宋体" w:hAnsi="宋体" w:cs="宋体" w:eastAsia="宋体" w:hint="default"/>
        </w:rPr>
        <w:t>57.27%</w:t>
      </w:r>
      <w:r>
        <w:rPr/>
        <w:t>，主要系根据河南辉煌科技股份有限公司 </w:t>
      </w:r>
      <w:r>
        <w:rPr>
          <w:spacing w:val="13"/>
        </w:rPr>
        <w:t>第一期员工持股计划（草案）按公司 </w:t>
      </w:r>
      <w:r>
        <w:rPr>
          <w:rFonts w:ascii="宋体" w:hAnsi="宋体" w:cs="宋体" w:eastAsia="宋体" w:hint="default"/>
        </w:rPr>
        <w:t>2014 </w:t>
      </w:r>
      <w:r>
        <w:rPr>
          <w:spacing w:val="12"/>
        </w:rPr>
        <w:t>年度经审计的税后净利润</w:t>
      </w:r>
      <w:r>
        <w:rPr>
          <w:spacing w:val="75"/>
        </w:rPr>
        <w:t> </w:t>
      </w:r>
      <w:r>
        <w:rPr>
          <w:rFonts w:ascii="宋体" w:hAnsi="宋体" w:cs="宋体" w:eastAsia="宋体" w:hint="default"/>
          <w:spacing w:val="10"/>
        </w:rPr>
        <w:t>10%</w:t>
      </w:r>
      <w:r>
        <w:rPr>
          <w:spacing w:val="10"/>
        </w:rPr>
        <w:t>提取激励基金</w:t>
      </w:r>
      <w:r>
        <w:rPr>
          <w:spacing w:val="14"/>
        </w:rPr>
        <w:t> </w:t>
      </w:r>
      <w:r>
        <w:rPr>
          <w:rFonts w:ascii="宋体" w:hAnsi="宋体" w:cs="宋体" w:eastAsia="宋体" w:hint="default"/>
        </w:rPr>
        <w:t>10,031,700.00</w:t>
      </w:r>
      <w:r>
        <w:rPr>
          <w:rFonts w:ascii="宋体" w:hAnsi="宋体" w:cs="宋体" w:eastAsia="宋体" w:hint="default"/>
          <w:spacing w:val="-60"/>
        </w:rPr>
        <w:t> </w:t>
      </w:r>
      <w:r>
        <w:rPr/>
        <w:t>元（税前）所致。</w:t>
      </w:r>
    </w:p>
    <w:p>
      <w:pPr>
        <w:spacing w:after="0" w:line="357" w:lineRule="auto"/>
        <w:jc w:val="both"/>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pStyle w:val="Heading2"/>
        <w:spacing w:line="240" w:lineRule="auto" w:before="199"/>
        <w:ind w:right="0"/>
        <w:jc w:val="left"/>
        <w:rPr>
          <w:b w:val="0"/>
          <w:bCs w:val="0"/>
        </w:rPr>
      </w:pPr>
      <w:r>
        <w:rPr>
          <w:rFonts w:ascii="宋体" w:hAnsi="宋体" w:cs="宋体" w:eastAsia="宋体" w:hint="default"/>
          <w:w w:val="95"/>
        </w:rPr>
        <w:t>38</w:t>
      </w:r>
      <w:r>
        <w:rPr>
          <w:w w:val="95"/>
        </w:rPr>
        <w:t>、应交税费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22"/>
          <w:szCs w:val="22"/>
        </w:rPr>
      </w:pPr>
    </w:p>
    <w:p>
      <w:pPr>
        <w:spacing w:before="0"/>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083" w:space="6130"/>
            <w:col w:w="2717"/>
          </w:cols>
        </w:sectPr>
      </w:pPr>
    </w:p>
    <w:p>
      <w:pPr>
        <w:spacing w:line="240" w:lineRule="auto" w:before="0"/>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6D6D6"/>
          </w:tcPr>
          <w:p>
            <w:pPr>
              <w:pStyle w:val="TableParagraph"/>
              <w:spacing w:line="261"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8,864,779.79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9,381,192.33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4,583,326.54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7,767,841.39</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358,472.64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343,794.65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623,713.76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660,481.21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124,639.77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124,639.77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74,017.80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z w:val="21"/>
              </w:rPr>
              <w:t>74,017.80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445,509.81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471,772.28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防洪工程维护费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486.23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955.69</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45,416.67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15,120,363.01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18,824,695.12</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r>
        <w:rPr>
          <w:rFonts w:ascii="宋体" w:hAnsi="宋体" w:cs="宋体" w:eastAsia="宋体" w:hint="default"/>
          <w:w w:val="95"/>
        </w:rPr>
        <w:t>39</w:t>
      </w:r>
      <w:r>
        <w:rPr>
          <w:w w:val="95"/>
        </w:rPr>
        <w:t>、应付利息</w:t>
      </w:r>
      <w:r>
        <w:rPr>
          <w:b w:val="0"/>
          <w:bCs w:val="0"/>
        </w:rPr>
      </w:r>
    </w:p>
    <w:p>
      <w:pPr>
        <w:spacing w:line="240" w:lineRule="auto" w:before="4"/>
        <w:rPr>
          <w:rFonts w:ascii="宋体" w:hAnsi="宋体" w:cs="宋体" w:eastAsia="宋体" w:hint="default"/>
          <w:b/>
          <w:bCs/>
          <w:sz w:val="29"/>
          <w:szCs w:val="29"/>
        </w:rPr>
      </w:pPr>
      <w:r>
        <w:rPr/>
        <w:br w:type="column"/>
      </w:r>
      <w:r>
        <w:rPr>
          <w:rFonts w:ascii="宋体"/>
          <w:b/>
          <w:sz w:val="29"/>
        </w:rPr>
      </w:r>
    </w:p>
    <w:p>
      <w:pPr>
        <w:spacing w:before="0"/>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083" w:space="6130"/>
            <w:col w:w="2717"/>
          </w:cols>
        </w:sectPr>
      </w:pP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18,562,500.00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18,562,500.00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240" w:lineRule="auto"/>
        <w:ind w:right="1153"/>
        <w:jc w:val="left"/>
        <w:rPr>
          <w:b w:val="0"/>
          <w:bCs w:val="0"/>
        </w:rPr>
      </w:pPr>
      <w:r>
        <w:rPr/>
        <w:t>其他说明：</w:t>
      </w:r>
      <w:r>
        <w:rPr>
          <w:b w:val="0"/>
          <w:bCs w:val="0"/>
        </w:rPr>
      </w:r>
    </w:p>
    <w:p>
      <w:pPr>
        <w:pStyle w:val="BodyText"/>
        <w:spacing w:line="240" w:lineRule="auto" w:before="145"/>
        <w:ind w:left="633" w:right="0"/>
        <w:jc w:val="left"/>
        <w:rPr>
          <w:rFonts w:ascii="宋体" w:hAnsi="宋体" w:cs="宋体" w:eastAsia="宋体" w:hint="default"/>
        </w:rPr>
      </w:pPr>
      <w:r>
        <w:rPr/>
        <w:t>期末余额应付利息为发行债券利息，债券利息每年</w:t>
      </w:r>
      <w:r>
        <w:rPr>
          <w:spacing w:val="-65"/>
        </w:rPr>
        <w:t> </w:t>
      </w:r>
      <w:r>
        <w:rPr>
          <w:rFonts w:ascii="宋体" w:hAnsi="宋体" w:cs="宋体" w:eastAsia="宋体" w:hint="default"/>
        </w:rPr>
        <w:t>3</w:t>
      </w:r>
      <w:r>
        <w:rPr>
          <w:rFonts w:ascii="宋体" w:hAnsi="宋体" w:cs="宋体" w:eastAsia="宋体" w:hint="default"/>
          <w:spacing w:val="-65"/>
        </w:rPr>
        <w:t> </w:t>
      </w:r>
      <w:r>
        <w:rPr/>
        <w:t>月</w:t>
      </w:r>
      <w:r>
        <w:rPr>
          <w:spacing w:val="-65"/>
        </w:rPr>
        <w:t> </w:t>
      </w:r>
      <w:r>
        <w:rPr>
          <w:rFonts w:ascii="宋体" w:hAnsi="宋体" w:cs="宋体" w:eastAsia="宋体" w:hint="default"/>
        </w:rPr>
        <w:t>4</w:t>
      </w:r>
      <w:r>
        <w:rPr>
          <w:rFonts w:ascii="宋体" w:hAnsi="宋体" w:cs="宋体" w:eastAsia="宋体" w:hint="default"/>
          <w:spacing w:val="-65"/>
        </w:rPr>
        <w:t> </w:t>
      </w:r>
      <w:r>
        <w:rPr/>
        <w:t>日支付，首次支付日期为</w:t>
      </w:r>
      <w:r>
        <w:rPr>
          <w:spacing w:val="-65"/>
        </w:rPr>
        <w:t> </w:t>
      </w:r>
      <w:r>
        <w:rPr>
          <w:rFonts w:ascii="宋体" w:hAnsi="宋体" w:cs="宋体" w:eastAsia="宋体" w:hint="default"/>
        </w:rPr>
        <w:t>2016</w:t>
      </w:r>
    </w:p>
    <w:p>
      <w:pPr>
        <w:spacing w:line="350" w:lineRule="auto" w:before="147"/>
        <w:ind w:left="636" w:right="5713" w:hanging="483"/>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日，不存在已逾期未支付的利息情况。 </w:t>
      </w:r>
      <w:r>
        <w:rPr>
          <w:rFonts w:ascii="宋体" w:hAnsi="宋体" w:cs="宋体" w:eastAsia="宋体" w:hint="default"/>
          <w:b/>
          <w:bCs/>
          <w:sz w:val="24"/>
          <w:szCs w:val="24"/>
        </w:rPr>
        <w:t>40</w:t>
      </w:r>
      <w:r>
        <w:rPr>
          <w:rFonts w:ascii="宋体" w:hAnsi="宋体" w:cs="宋体" w:eastAsia="宋体" w:hint="default"/>
          <w:b/>
          <w:bCs/>
          <w:sz w:val="24"/>
          <w:szCs w:val="24"/>
        </w:rPr>
        <w:t>、应付股利</w:t>
      </w:r>
      <w:r>
        <w:rPr>
          <w:rFonts w:ascii="宋体" w:hAnsi="宋体" w:cs="宋体" w:eastAsia="宋体" w:hint="default"/>
          <w:sz w:val="24"/>
          <w:szCs w:val="24"/>
        </w:rPr>
      </w:r>
    </w:p>
    <w:p>
      <w:pPr>
        <w:pStyle w:val="Heading2"/>
        <w:spacing w:line="352" w:lineRule="auto" w:before="35"/>
        <w:ind w:right="8582" w:hanging="3"/>
        <w:jc w:val="left"/>
        <w:rPr>
          <w:b w:val="0"/>
          <w:bCs w:val="0"/>
        </w:rPr>
      </w:pPr>
      <w:r>
        <w:rPr>
          <w:rFonts w:ascii="宋体" w:hAnsi="宋体" w:cs="宋体" w:eastAsia="宋体" w:hint="default"/>
          <w:b w:val="0"/>
          <w:bCs w:val="0"/>
        </w:rPr>
        <w:t>无 </w:t>
      </w:r>
      <w:r>
        <w:rPr>
          <w:rFonts w:ascii="宋体" w:hAnsi="宋体" w:cs="宋体" w:eastAsia="宋体" w:hint="default"/>
        </w:rPr>
        <w:t>41</w:t>
      </w:r>
      <w:r>
        <w:rPr/>
        <w:t>、其他应付款</w:t>
      </w:r>
      <w:r>
        <w:rPr>
          <w:b w:val="0"/>
          <w:bCs w:val="0"/>
        </w:rPr>
      </w:r>
    </w:p>
    <w:p>
      <w:pPr>
        <w:pStyle w:val="Heading2"/>
        <w:spacing w:line="240" w:lineRule="auto" w:before="32"/>
        <w:ind w:right="1153"/>
        <w:jc w:val="left"/>
        <w:rPr>
          <w:b w:val="0"/>
          <w:bCs w:val="0"/>
        </w:rPr>
      </w:pPr>
      <w:r>
        <w:rPr/>
        <w:t>（</w:t>
      </w:r>
      <w:r>
        <w:rPr>
          <w:rFonts w:ascii="宋体" w:hAnsi="宋体" w:cs="宋体" w:eastAsia="宋体" w:hint="default"/>
        </w:rPr>
        <w:t>1</w:t>
      </w:r>
      <w:r>
        <w:rPr/>
        <w:t>）按款项性质列示其他应付款</w:t>
      </w:r>
      <w:r>
        <w:rPr>
          <w:b w:val="0"/>
          <w:bCs w:val="0"/>
        </w:rPr>
      </w:r>
    </w:p>
    <w:p>
      <w:pPr>
        <w:spacing w:before="83"/>
        <w:ind w:left="0" w:right="133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6D6D6"/>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咨询服务费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607,256.96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1,230,567.95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代收款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65,319.47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108,717.59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待付款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2,166,270.56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2,974,649.73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161,000.00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101,540.38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270,413.34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3,000,387.37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4,745,348.61</w:t>
            </w:r>
          </w:p>
        </w:tc>
      </w:tr>
    </w:tbl>
    <w:p>
      <w:pPr>
        <w:spacing w:line="240" w:lineRule="auto" w:before="10"/>
        <w:rPr>
          <w:rFonts w:ascii="宋体" w:hAnsi="宋体" w:cs="宋体" w:eastAsia="宋体" w:hint="default"/>
          <w:sz w:val="4"/>
          <w:szCs w:val="4"/>
        </w:rPr>
      </w:pPr>
    </w:p>
    <w:p>
      <w:pPr>
        <w:pStyle w:val="Heading2"/>
        <w:spacing w:line="352" w:lineRule="auto"/>
        <w:ind w:left="633" w:right="6304" w:firstLine="2"/>
        <w:jc w:val="left"/>
        <w:rPr>
          <w:rFonts w:ascii="宋体" w:hAnsi="宋体" w:cs="宋体" w:eastAsia="宋体" w:hint="default"/>
          <w:b w:val="0"/>
          <w:bCs w:val="0"/>
        </w:rPr>
      </w:pPr>
      <w:r>
        <w:rPr/>
        <w:t>（</w:t>
      </w:r>
      <w:r>
        <w:rPr>
          <w:rFonts w:ascii="宋体" w:hAnsi="宋体" w:cs="宋体" w:eastAsia="宋体" w:hint="default"/>
        </w:rPr>
        <w:t>2</w:t>
      </w:r>
      <w:r>
        <w:rPr/>
        <w:t>）账龄超过</w:t>
      </w:r>
      <w:r>
        <w:rPr>
          <w:spacing w:val="-65"/>
        </w:rPr>
        <w:t> </w:t>
      </w:r>
      <w:r>
        <w:rPr>
          <w:rFonts w:ascii="宋体" w:hAnsi="宋体" w:cs="宋体" w:eastAsia="宋体" w:hint="default"/>
        </w:rPr>
        <w:t>1</w:t>
      </w:r>
      <w:r>
        <w:rPr>
          <w:rFonts w:ascii="宋体" w:hAnsi="宋体" w:cs="宋体" w:eastAsia="宋体" w:hint="default"/>
          <w:spacing w:val="-66"/>
        </w:rPr>
        <w:t> </w:t>
      </w:r>
      <w:r>
        <w:rPr/>
        <w:t>年的重要其他应付款</w:t>
      </w:r>
      <w:r>
        <w:rPr>
          <w:w w:val="99"/>
        </w:rPr>
        <w:t> </w:t>
      </w:r>
      <w:r>
        <w:rPr>
          <w:rFonts w:ascii="宋体" w:hAnsi="宋体" w:cs="宋体" w:eastAsia="宋体" w:hint="default"/>
          <w:b w:val="0"/>
          <w:bCs w:val="0"/>
        </w:rPr>
        <w:t>无</w:t>
      </w:r>
    </w:p>
    <w:p>
      <w:pPr>
        <w:pStyle w:val="Heading2"/>
        <w:spacing w:line="260" w:lineRule="exact" w:before="0"/>
        <w:ind w:right="1153"/>
        <w:jc w:val="left"/>
        <w:rPr>
          <w:b w:val="0"/>
          <w:bCs w:val="0"/>
        </w:rPr>
      </w:pPr>
      <w:r>
        <w:rPr/>
        <w:t>（</w:t>
      </w:r>
      <w:r>
        <w:rPr>
          <w:rFonts w:ascii="宋体" w:hAnsi="宋体" w:cs="宋体" w:eastAsia="宋体" w:hint="default"/>
        </w:rPr>
        <w:t>3</w:t>
      </w:r>
      <w:r>
        <w:rPr/>
        <w:t>）其他说明</w:t>
      </w:r>
      <w:r>
        <w:rPr>
          <w:b w:val="0"/>
          <w:bCs w:val="0"/>
        </w:rPr>
      </w:r>
    </w:p>
    <w:p>
      <w:pPr>
        <w:spacing w:after="0" w:line="260" w:lineRule="exact"/>
        <w:jc w:val="left"/>
        <w:sectPr>
          <w:type w:val="continuous"/>
          <w:pgSz w:w="11910" w:h="16840"/>
          <w:pgMar w:top="1060" w:bottom="1160" w:left="980" w:right="0"/>
        </w:sect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79" w:top="1060" w:bottom="1160" w:left="460" w:right="0"/>
        </w:sectPr>
      </w:pPr>
    </w:p>
    <w:p>
      <w:pPr>
        <w:pStyle w:val="BodyText"/>
        <w:spacing w:line="240" w:lineRule="auto" w:before="199"/>
        <w:ind w:left="1154" w:right="-19"/>
        <w:jc w:val="left"/>
      </w:pPr>
      <w:r>
        <w:rPr/>
        <w:t>①期末余额中无欠持本公司</w:t>
      </w:r>
      <w:r>
        <w:rPr>
          <w:spacing w:val="-61"/>
        </w:rPr>
        <w:t> </w:t>
      </w:r>
      <w:r>
        <w:rPr>
          <w:rFonts w:ascii="宋体" w:hAnsi="宋体" w:cs="宋体" w:eastAsia="宋体" w:hint="default"/>
        </w:rPr>
        <w:t>5</w:t>
      </w:r>
      <w:r>
        <w:rPr/>
        <w:t>％以上（含</w:t>
      </w:r>
      <w:r>
        <w:rPr>
          <w:spacing w:val="-60"/>
        </w:rPr>
        <w:t> </w:t>
      </w:r>
      <w:r>
        <w:rPr>
          <w:rFonts w:ascii="宋体" w:hAnsi="宋体" w:cs="宋体" w:eastAsia="宋体" w:hint="default"/>
        </w:rPr>
        <w:t>5</w:t>
      </w:r>
      <w:r>
        <w:rPr/>
        <w:t>％）表决权股份的股东单位款项。</w:t>
      </w:r>
    </w:p>
    <w:p>
      <w:pPr>
        <w:pStyle w:val="BodyText"/>
        <w:spacing w:line="240" w:lineRule="auto" w:before="145"/>
        <w:ind w:left="1153" w:right="-19"/>
        <w:jc w:val="left"/>
      </w:pPr>
      <w:r>
        <w:rPr/>
        <w:t>②期末余额中无欠关联方款项。</w:t>
      </w:r>
    </w:p>
    <w:p>
      <w:pPr>
        <w:spacing w:line="350" w:lineRule="auto" w:before="146"/>
        <w:ind w:left="1156" w:right="3461" w:hanging="3"/>
        <w:jc w:val="left"/>
        <w:rPr>
          <w:rFonts w:ascii="宋体" w:hAnsi="宋体" w:cs="宋体" w:eastAsia="宋体" w:hint="default"/>
          <w:sz w:val="24"/>
          <w:szCs w:val="24"/>
        </w:rPr>
      </w:pPr>
      <w:r>
        <w:rPr>
          <w:rFonts w:ascii="宋体" w:hAnsi="宋体" w:cs="宋体" w:eastAsia="宋体" w:hint="default"/>
          <w:sz w:val="24"/>
          <w:szCs w:val="24"/>
        </w:rPr>
        <w:t>③期末无账龄超过一年的重要其他应付款。 </w:t>
      </w:r>
      <w:r>
        <w:rPr>
          <w:rFonts w:ascii="宋体" w:hAnsi="宋体" w:cs="宋体" w:eastAsia="宋体" w:hint="default"/>
          <w:b/>
          <w:bCs/>
          <w:sz w:val="24"/>
          <w:szCs w:val="24"/>
        </w:rPr>
        <w:t>42</w:t>
      </w:r>
      <w:r>
        <w:rPr>
          <w:rFonts w:ascii="宋体" w:hAnsi="宋体" w:cs="宋体" w:eastAsia="宋体" w:hint="default"/>
          <w:b/>
          <w:bCs/>
          <w:sz w:val="24"/>
          <w:szCs w:val="24"/>
        </w:rPr>
        <w:t>、划分为持有待售的负债</w:t>
      </w:r>
      <w:r>
        <w:rPr>
          <w:rFonts w:ascii="宋体" w:hAnsi="宋体" w:cs="宋体" w:eastAsia="宋体" w:hint="default"/>
          <w:sz w:val="24"/>
          <w:szCs w:val="24"/>
        </w:rPr>
      </w:r>
    </w:p>
    <w:p>
      <w:pPr>
        <w:pStyle w:val="Heading2"/>
        <w:spacing w:line="352" w:lineRule="auto" w:before="35"/>
        <w:ind w:left="1156" w:right="4845" w:hanging="3"/>
        <w:jc w:val="left"/>
        <w:rPr>
          <w:b w:val="0"/>
          <w:bCs w:val="0"/>
        </w:rPr>
      </w:pPr>
      <w:r>
        <w:rPr>
          <w:rFonts w:ascii="宋体" w:hAnsi="宋体" w:cs="宋体" w:eastAsia="宋体" w:hint="default"/>
          <w:b w:val="0"/>
          <w:bCs w:val="0"/>
        </w:rPr>
        <w:t>无 </w:t>
      </w:r>
      <w:r>
        <w:rPr>
          <w:rFonts w:ascii="宋体" w:hAnsi="宋体" w:cs="宋体" w:eastAsia="宋体" w:hint="default"/>
          <w:w w:val="95"/>
        </w:rPr>
        <w:t>43</w:t>
      </w:r>
      <w:r>
        <w:rPr>
          <w:w w:val="95"/>
        </w:rPr>
        <w:t>、一年内到期的非流动负债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before="0"/>
        <w:ind w:left="134"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460" w:right="0"/>
          <w:cols w:num="2" w:equalWidth="0">
            <w:col w:w="9195" w:space="40"/>
            <w:col w:w="2215"/>
          </w:cols>
        </w:sectPr>
      </w:pPr>
    </w:p>
    <w:p>
      <w:pPr>
        <w:spacing w:line="240" w:lineRule="auto" w:before="0"/>
        <w:rPr>
          <w:rFonts w:ascii="宋体" w:hAnsi="宋体" w:cs="宋体" w:eastAsia="宋体" w:hint="default"/>
          <w:sz w:val="7"/>
          <w:szCs w:val="7"/>
        </w:rPr>
      </w:pPr>
    </w:p>
    <w:tbl>
      <w:tblPr>
        <w:tblW w:w="0" w:type="auto"/>
        <w:jc w:val="left"/>
        <w:tblInd w:w="68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27,000,000.00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460" w:right="0"/>
        </w:sectPr>
      </w:pPr>
    </w:p>
    <w:p>
      <w:pPr>
        <w:pStyle w:val="Heading2"/>
        <w:spacing w:line="350" w:lineRule="auto"/>
        <w:ind w:left="1153" w:right="100" w:firstLine="2"/>
        <w:jc w:val="left"/>
        <w:rPr>
          <w:rFonts w:ascii="宋体" w:hAnsi="宋体" w:cs="宋体" w:eastAsia="宋体" w:hint="default"/>
          <w:b w:val="0"/>
          <w:bCs w:val="0"/>
        </w:rPr>
      </w:pPr>
      <w:r>
        <w:rPr>
          <w:rFonts w:ascii="宋体" w:hAnsi="宋体" w:cs="宋体" w:eastAsia="宋体" w:hint="default"/>
        </w:rPr>
        <w:t>44</w:t>
      </w:r>
      <w:r>
        <w:rPr/>
        <w:t>、其他流动负债</w:t>
      </w:r>
      <w:r>
        <w:rPr>
          <w:w w:val="99"/>
        </w:rPr>
        <w:t> </w:t>
      </w:r>
      <w:r>
        <w:rPr>
          <w:rFonts w:ascii="宋体" w:hAnsi="宋体" w:cs="宋体" w:eastAsia="宋体" w:hint="default"/>
          <w:b w:val="0"/>
          <w:bCs w:val="0"/>
        </w:rPr>
        <w:t>无</w:t>
      </w:r>
    </w:p>
    <w:p>
      <w:pPr>
        <w:pStyle w:val="Heading2"/>
        <w:spacing w:line="240" w:lineRule="auto" w:before="36"/>
        <w:ind w:left="1156" w:right="100"/>
        <w:jc w:val="left"/>
        <w:rPr>
          <w:b w:val="0"/>
          <w:bCs w:val="0"/>
        </w:rPr>
      </w:pPr>
      <w:r>
        <w:rPr>
          <w:rFonts w:ascii="宋体" w:hAnsi="宋体" w:cs="宋体" w:eastAsia="宋体" w:hint="default"/>
        </w:rPr>
        <w:t>45</w:t>
      </w:r>
      <w:r>
        <w:rPr/>
        <w:t>、长期借款</w:t>
      </w:r>
      <w:r>
        <w:rPr>
          <w:b w:val="0"/>
          <w:bCs w:val="0"/>
        </w:rPr>
      </w:r>
    </w:p>
    <w:p>
      <w:pPr>
        <w:pStyle w:val="Heading2"/>
        <w:spacing w:line="240" w:lineRule="auto" w:before="145"/>
        <w:ind w:left="1156" w:right="0"/>
        <w:jc w:val="left"/>
        <w:rPr>
          <w:b w:val="0"/>
          <w:bCs w:val="0"/>
        </w:rPr>
      </w:pPr>
      <w:r>
        <w:rPr>
          <w:w w:val="95"/>
        </w:rPr>
        <w:t>（</w:t>
      </w:r>
      <w:r>
        <w:rPr>
          <w:rFonts w:ascii="宋体" w:hAnsi="宋体" w:cs="宋体" w:eastAsia="宋体" w:hint="default"/>
          <w:w w:val="95"/>
        </w:rPr>
        <w:t>1</w:t>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0"/>
        <w:ind w:left="1134" w:right="1112" w:firstLine="0"/>
        <w:jc w:val="center"/>
        <w:rPr>
          <w:rFonts w:ascii="宋体" w:hAnsi="宋体" w:cs="宋体" w:eastAsia="宋体" w:hint="default"/>
          <w:sz w:val="21"/>
          <w:szCs w:val="21"/>
        </w:rPr>
      </w:pPr>
      <w:r>
        <w:rPr>
          <w:rFonts w:ascii="宋体" w:hAnsi="宋体" w:cs="宋体" w:eastAsia="宋体" w:hint="default"/>
          <w:sz w:val="21"/>
          <w:szCs w:val="21"/>
        </w:rPr>
        <w:t>单位： 元</w:t>
      </w:r>
    </w:p>
    <w:p>
      <w:pPr>
        <w:spacing w:after="0"/>
        <w:jc w:val="center"/>
        <w:rPr>
          <w:rFonts w:ascii="宋体" w:hAnsi="宋体" w:cs="宋体" w:eastAsia="宋体" w:hint="default"/>
          <w:sz w:val="21"/>
          <w:szCs w:val="21"/>
        </w:rPr>
        <w:sectPr>
          <w:type w:val="continuous"/>
          <w:pgSz w:w="11910" w:h="16840"/>
          <w:pgMar w:top="1060" w:bottom="1160" w:left="460" w:right="0"/>
          <w:cols w:num="2" w:equalWidth="0">
            <w:col w:w="3205" w:space="5011"/>
            <w:col w:w="3234"/>
          </w:cols>
        </w:sectPr>
      </w:pPr>
    </w:p>
    <w:p>
      <w:pPr>
        <w:spacing w:line="240" w:lineRule="auto" w:before="0"/>
        <w:rPr>
          <w:rFonts w:ascii="宋体" w:hAnsi="宋体" w:cs="宋体" w:eastAsia="宋体" w:hint="default"/>
          <w:sz w:val="7"/>
          <w:szCs w:val="7"/>
        </w:rPr>
      </w:pPr>
    </w:p>
    <w:tbl>
      <w:tblPr>
        <w:tblW w:w="0" w:type="auto"/>
        <w:jc w:val="left"/>
        <w:tblInd w:w="68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137,000,000.00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187,000,000.00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460" w:right="0"/>
        </w:sectPr>
      </w:pPr>
    </w:p>
    <w:p>
      <w:pPr>
        <w:pStyle w:val="BodyText"/>
        <w:spacing w:line="240" w:lineRule="auto" w:before="26"/>
        <w:ind w:left="1154" w:right="-20"/>
        <w:jc w:val="left"/>
      </w:pPr>
      <w:r>
        <w:rPr/>
        <w:t>期末长期借款明细如下：</w:t>
      </w:r>
    </w:p>
    <w:p>
      <w:pPr>
        <w:spacing w:line="240" w:lineRule="auto" w:before="0"/>
        <w:rPr>
          <w:rFonts w:ascii="宋体" w:hAnsi="宋体" w:cs="宋体" w:eastAsia="宋体" w:hint="default"/>
          <w:sz w:val="20"/>
          <w:szCs w:val="20"/>
        </w:rPr>
      </w:pPr>
      <w:r>
        <w:rPr/>
        <w:br w:type="column"/>
      </w:r>
      <w:r>
        <w:rPr>
          <w:rFonts w:ascii="宋体"/>
          <w:sz w:val="20"/>
        </w:rPr>
      </w:r>
    </w:p>
    <w:p>
      <w:pPr>
        <w:spacing w:before="163"/>
        <w:ind w:left="115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460" w:right="0"/>
          <w:cols w:num="2" w:equalWidth="0">
            <w:col w:w="3795" w:space="3752"/>
            <w:col w:w="3903"/>
          </w:cols>
        </w:sectPr>
      </w:pPr>
    </w:p>
    <w:p>
      <w:pPr>
        <w:spacing w:line="240" w:lineRule="auto" w:before="1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978"/>
        <w:gridCol w:w="1134"/>
        <w:gridCol w:w="1134"/>
        <w:gridCol w:w="992"/>
        <w:gridCol w:w="994"/>
        <w:gridCol w:w="1416"/>
        <w:gridCol w:w="1560"/>
      </w:tblGrid>
      <w:tr>
        <w:trPr>
          <w:trHeight w:val="185" w:hRule="exact"/>
        </w:trPr>
        <w:tc>
          <w:tcPr>
            <w:tcW w:w="29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156" w:hRule="exact"/>
        </w:trPr>
        <w:tc>
          <w:tcPr>
            <w:tcW w:w="2978"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281"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76" w:lineRule="exact"/>
              <w:ind w:left="1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利率</w:t>
            </w:r>
            <w:r>
              <w:rPr>
                <w:rFonts w:ascii="Times New Roman" w:hAnsi="Times New Roman" w:cs="Times New Roman" w:eastAsia="Times New Roman" w:hint="default"/>
                <w:sz w:val="21"/>
                <w:szCs w:val="21"/>
              </w:rPr>
              <w:t>(%)</w:t>
            </w:r>
          </w:p>
        </w:tc>
        <w:tc>
          <w:tcPr>
            <w:tcW w:w="1416"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342" w:hRule="exact"/>
        </w:trPr>
        <w:tc>
          <w:tcPr>
            <w:tcW w:w="297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83" w:right="0"/>
              <w:jc w:val="left"/>
              <w:rPr>
                <w:rFonts w:ascii="宋体" w:hAnsi="宋体" w:cs="宋体" w:eastAsia="宋体" w:hint="default"/>
                <w:sz w:val="21"/>
                <w:szCs w:val="21"/>
              </w:rPr>
            </w:pPr>
            <w:r>
              <w:rPr>
                <w:rFonts w:ascii="宋体" w:hAnsi="宋体" w:cs="宋体" w:eastAsia="宋体" w:hint="default"/>
                <w:sz w:val="21"/>
                <w:szCs w:val="21"/>
              </w:rPr>
              <w:t>本币金额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355"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422" w:hRule="exact"/>
        </w:trPr>
        <w:tc>
          <w:tcPr>
            <w:tcW w:w="297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工商银行桐柏路支行</w:t>
            </w:r>
          </w:p>
        </w:tc>
        <w:tc>
          <w:tcPr>
            <w:tcW w:w="113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2014/9/19</w:t>
            </w:r>
          </w:p>
        </w:tc>
        <w:tc>
          <w:tcPr>
            <w:tcW w:w="113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2017/8/11</w:t>
            </w:r>
          </w:p>
        </w:tc>
        <w:tc>
          <w:tcPr>
            <w:tcW w:w="992" w:type="dxa"/>
            <w:tcBorders>
              <w:top w:val="single" w:sz="4" w:space="0" w:color="000000"/>
              <w:left w:val="single" w:sz="4" w:space="0" w:color="000000"/>
              <w:bottom w:val="single" w:sz="4" w:space="0" w:color="FFFFFF"/>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99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5.775</w:t>
            </w:r>
          </w:p>
        </w:tc>
        <w:tc>
          <w:tcPr>
            <w:tcW w:w="1416" w:type="dxa"/>
            <w:tcBorders>
              <w:top w:val="single" w:sz="8" w:space="0" w:color="000000"/>
              <w:left w:val="single" w:sz="4" w:space="0" w:color="000000"/>
              <w:bottom w:val="single" w:sz="4" w:space="0" w:color="FFFFFF"/>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z w:val="21"/>
              </w:rPr>
              <w:t>20,000,000.00</w:t>
            </w:r>
          </w:p>
        </w:tc>
        <w:tc>
          <w:tcPr>
            <w:tcW w:w="1560" w:type="dxa"/>
            <w:tcBorders>
              <w:top w:val="single" w:sz="8" w:space="0" w:color="000000"/>
              <w:left w:val="single" w:sz="4" w:space="0" w:color="000000"/>
              <w:bottom w:val="single" w:sz="4" w:space="0" w:color="FFFFFF"/>
              <w:right w:val="single" w:sz="4" w:space="0" w:color="000000"/>
            </w:tcBorders>
          </w:tcPr>
          <w:p>
            <w:pPr>
              <w:pStyle w:val="TableParagraph"/>
              <w:spacing w:line="240" w:lineRule="auto" w:before="80"/>
              <w:ind w:right="3"/>
              <w:jc w:val="right"/>
              <w:rPr>
                <w:rFonts w:ascii="Times New Roman" w:hAnsi="Times New Roman" w:cs="Times New Roman" w:eastAsia="Times New Roman" w:hint="default"/>
                <w:sz w:val="21"/>
                <w:szCs w:val="21"/>
              </w:rPr>
            </w:pPr>
            <w:r>
              <w:rPr>
                <w:rFonts w:ascii="Times New Roman"/>
                <w:sz w:val="21"/>
              </w:rPr>
              <w:t>50,000,000.00</w:t>
            </w:r>
          </w:p>
        </w:tc>
      </w:tr>
      <w:tr>
        <w:trPr>
          <w:trHeight w:val="422" w:hRule="exact"/>
        </w:trPr>
        <w:tc>
          <w:tcPr>
            <w:tcW w:w="297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平安银行股份有限公司郑州分行</w:t>
            </w:r>
          </w:p>
        </w:tc>
        <w:tc>
          <w:tcPr>
            <w:tcW w:w="113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2014/3/21</w:t>
            </w:r>
          </w:p>
        </w:tc>
        <w:tc>
          <w:tcPr>
            <w:tcW w:w="113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2016/3/20</w:t>
            </w:r>
          </w:p>
        </w:tc>
        <w:tc>
          <w:tcPr>
            <w:tcW w:w="992" w:type="dxa"/>
            <w:tcBorders>
              <w:top w:val="single" w:sz="4" w:space="0" w:color="FFFFFF"/>
              <w:left w:val="single" w:sz="4" w:space="0" w:color="000000"/>
              <w:bottom w:val="single" w:sz="4" w:space="0" w:color="FFFFFF"/>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9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7.500</w:t>
            </w:r>
          </w:p>
        </w:tc>
        <w:tc>
          <w:tcPr>
            <w:tcW w:w="1416" w:type="dxa"/>
            <w:tcBorders>
              <w:top w:val="single" w:sz="4" w:space="0" w:color="FFFFFF"/>
              <w:left w:val="single" w:sz="4" w:space="0" w:color="000000"/>
              <w:bottom w:val="single" w:sz="4" w:space="0" w:color="FFFFFF"/>
              <w:right w:val="single" w:sz="4" w:space="0" w:color="000000"/>
            </w:tcBorders>
          </w:tcPr>
          <w:p>
            <w:pPr/>
          </w:p>
        </w:tc>
        <w:tc>
          <w:tcPr>
            <w:tcW w:w="15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6"/>
              <w:ind w:right="3"/>
              <w:jc w:val="right"/>
              <w:rPr>
                <w:rFonts w:ascii="Times New Roman" w:hAnsi="Times New Roman" w:cs="Times New Roman" w:eastAsia="Times New Roman" w:hint="default"/>
                <w:sz w:val="21"/>
                <w:szCs w:val="21"/>
              </w:rPr>
            </w:pPr>
            <w:r>
              <w:rPr>
                <w:rFonts w:ascii="Times New Roman"/>
                <w:spacing w:val="-1"/>
                <w:sz w:val="21"/>
              </w:rPr>
              <w:t>137,000,000.00</w:t>
            </w:r>
          </w:p>
        </w:tc>
      </w:tr>
      <w:tr>
        <w:trPr>
          <w:trHeight w:val="422" w:hRule="exact"/>
        </w:trPr>
        <w:tc>
          <w:tcPr>
            <w:tcW w:w="297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134" w:type="dxa"/>
            <w:tcBorders>
              <w:top w:val="single" w:sz="4" w:space="0" w:color="FFFFFF"/>
              <w:left w:val="single" w:sz="4" w:space="0" w:color="000000"/>
              <w:bottom w:val="single" w:sz="4" w:space="0" w:color="000000"/>
              <w:right w:val="single" w:sz="4" w:space="0" w:color="000000"/>
            </w:tcBorders>
          </w:tcPr>
          <w:p>
            <w:pPr/>
          </w:p>
        </w:tc>
        <w:tc>
          <w:tcPr>
            <w:tcW w:w="1134" w:type="dxa"/>
            <w:tcBorders>
              <w:top w:val="single" w:sz="4" w:space="0" w:color="FFFFFF"/>
              <w:left w:val="single" w:sz="4" w:space="0" w:color="000000"/>
              <w:bottom w:val="single" w:sz="4" w:space="0" w:color="000000"/>
              <w:right w:val="single" w:sz="4" w:space="0" w:color="000000"/>
            </w:tcBorders>
          </w:tcPr>
          <w:p>
            <w:pPr/>
          </w:p>
        </w:tc>
        <w:tc>
          <w:tcPr>
            <w:tcW w:w="992" w:type="dxa"/>
            <w:tcBorders>
              <w:top w:val="single" w:sz="4" w:space="0" w:color="FFFFFF"/>
              <w:left w:val="single" w:sz="4" w:space="0" w:color="000000"/>
              <w:bottom w:val="single" w:sz="4" w:space="0" w:color="000000"/>
              <w:right w:val="single" w:sz="4" w:space="0" w:color="000000"/>
            </w:tcBorders>
          </w:tcPr>
          <w:p>
            <w:pPr/>
          </w:p>
        </w:tc>
        <w:tc>
          <w:tcPr>
            <w:tcW w:w="994" w:type="dxa"/>
            <w:tcBorders>
              <w:top w:val="single" w:sz="4" w:space="0" w:color="FFFFFF"/>
              <w:left w:val="single" w:sz="4" w:space="0" w:color="000000"/>
              <w:bottom w:val="single" w:sz="4" w:space="0" w:color="000000"/>
              <w:right w:val="single" w:sz="4" w:space="0" w:color="000000"/>
            </w:tcBorders>
          </w:tcPr>
          <w:p>
            <w:pPr/>
          </w:p>
        </w:tc>
        <w:tc>
          <w:tcPr>
            <w:tcW w:w="14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20,000,000.00</w:t>
            </w:r>
          </w:p>
        </w:tc>
        <w:tc>
          <w:tcPr>
            <w:tcW w:w="15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right="3"/>
              <w:jc w:val="right"/>
              <w:rPr>
                <w:rFonts w:ascii="Times New Roman" w:hAnsi="Times New Roman" w:cs="Times New Roman" w:eastAsia="Times New Roman" w:hint="default"/>
                <w:sz w:val="21"/>
                <w:szCs w:val="21"/>
              </w:rPr>
            </w:pPr>
            <w:r>
              <w:rPr>
                <w:rFonts w:ascii="Times New Roman"/>
                <w:spacing w:val="-1"/>
                <w:sz w:val="21"/>
              </w:rPr>
              <w:t>187,000,000.00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460" w:right="0"/>
        </w:sectPr>
      </w:pPr>
    </w:p>
    <w:p>
      <w:pPr>
        <w:spacing w:line="240" w:lineRule="auto" w:before="0"/>
        <w:rPr>
          <w:rFonts w:ascii="宋体" w:hAnsi="宋体" w:cs="宋体" w:eastAsia="宋体" w:hint="default"/>
          <w:sz w:val="20"/>
          <w:szCs w:val="20"/>
        </w:rPr>
      </w:pPr>
    </w:p>
    <w:p>
      <w:pPr>
        <w:pStyle w:val="Heading2"/>
        <w:spacing w:line="240" w:lineRule="auto" w:before="199"/>
        <w:ind w:left="1016" w:right="0"/>
        <w:jc w:val="left"/>
        <w:rPr>
          <w:b w:val="0"/>
          <w:bCs w:val="0"/>
        </w:rPr>
      </w:pPr>
      <w:r>
        <w:rPr/>
        <w:t>长期借款的说明：</w:t>
      </w:r>
      <w:r>
        <w:rPr>
          <w:b w:val="0"/>
          <w:bCs w:val="0"/>
        </w:rPr>
      </w:r>
    </w:p>
    <w:p>
      <w:pPr>
        <w:pStyle w:val="BodyText"/>
        <w:spacing w:line="240" w:lineRule="auto" w:before="145"/>
        <w:ind w:left="1014" w:right="0"/>
        <w:jc w:val="left"/>
      </w:pPr>
      <w:r>
        <w:rPr/>
        <w:t>（</w:t>
      </w:r>
      <w:r>
        <w:rPr>
          <w:rFonts w:ascii="宋体" w:hAnsi="宋体" w:cs="宋体" w:eastAsia="宋体" w:hint="default"/>
        </w:rPr>
        <w:t>1</w:t>
      </w:r>
      <w:r>
        <w:rPr/>
        <w:t>）截止</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日，本公司的信用借款情况为：本公司从中国工商银行股份</w:t>
      </w:r>
    </w:p>
    <w:p>
      <w:pPr>
        <w:pStyle w:val="BodyText"/>
        <w:spacing w:line="240" w:lineRule="auto" w:before="146"/>
        <w:ind w:left="534" w:right="0"/>
        <w:jc w:val="left"/>
      </w:pPr>
      <w:r>
        <w:rPr/>
        <w:t>有限公司郑州桐柏路支行取得借款</w:t>
      </w:r>
      <w:r>
        <w:rPr>
          <w:spacing w:val="-60"/>
        </w:rPr>
        <w:t> </w:t>
      </w:r>
      <w:r>
        <w:rPr>
          <w:rFonts w:ascii="宋体" w:hAnsi="宋体" w:cs="宋体" w:eastAsia="宋体" w:hint="default"/>
        </w:rPr>
        <w:t>7,500</w:t>
      </w:r>
      <w:r>
        <w:rPr>
          <w:rFonts w:ascii="宋体" w:hAnsi="宋体" w:cs="宋体" w:eastAsia="宋体" w:hint="default"/>
          <w:spacing w:val="-60"/>
        </w:rPr>
        <w:t> </w:t>
      </w:r>
      <w:r>
        <w:rPr>
          <w:spacing w:val="-11"/>
        </w:rPr>
        <w:t>万元，借款期限为</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p>
    <w:p>
      <w:pPr>
        <w:pStyle w:val="BodyText"/>
        <w:spacing w:line="240" w:lineRule="auto" w:before="146"/>
        <w:ind w:left="534" w:right="0"/>
        <w:jc w:val="left"/>
      </w:pPr>
      <w:r>
        <w:rPr>
          <w:rFonts w:ascii="宋体" w:hAnsi="宋体" w:cs="宋体" w:eastAsia="宋体" w:hint="default"/>
        </w:rPr>
        <w:t>11</w:t>
      </w:r>
      <w:r>
        <w:rPr>
          <w:rFonts w:ascii="宋体" w:hAnsi="宋体" w:cs="宋体" w:eastAsia="宋体" w:hint="default"/>
          <w:spacing w:val="-59"/>
        </w:rPr>
        <w:t> </w:t>
      </w:r>
      <w:r>
        <w:rPr/>
        <w:t>日，</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11</w:t>
      </w:r>
      <w:r>
        <w:rPr>
          <w:rFonts w:ascii="宋体" w:hAnsi="宋体" w:cs="宋体" w:eastAsia="宋体" w:hint="default"/>
          <w:spacing w:val="-59"/>
        </w:rPr>
        <w:t> </w:t>
      </w:r>
      <w:r>
        <w:rPr/>
        <w:t>日还款</w:t>
      </w:r>
      <w:r>
        <w:rPr>
          <w:spacing w:val="-59"/>
        </w:rPr>
        <w:t> </w:t>
      </w:r>
      <w:r>
        <w:rPr>
          <w:rFonts w:ascii="宋体" w:hAnsi="宋体" w:cs="宋体" w:eastAsia="宋体" w:hint="default"/>
        </w:rPr>
        <w:t>1250</w:t>
      </w:r>
      <w:r>
        <w:rPr>
          <w:rFonts w:ascii="宋体" w:hAnsi="宋体" w:cs="宋体" w:eastAsia="宋体" w:hint="default"/>
          <w:spacing w:val="-59"/>
        </w:rPr>
        <w:t> </w:t>
      </w:r>
      <w:r>
        <w:rPr/>
        <w:t>万元，</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60"/>
        </w:rPr>
        <w:t> </w:t>
      </w:r>
      <w:r>
        <w:rPr>
          <w:rFonts w:ascii="宋体" w:hAnsi="宋体" w:cs="宋体" w:eastAsia="宋体" w:hint="default"/>
        </w:rPr>
        <w:t>11</w:t>
      </w:r>
      <w:r>
        <w:rPr>
          <w:rFonts w:ascii="宋体" w:hAnsi="宋体" w:cs="宋体" w:eastAsia="宋体" w:hint="default"/>
          <w:spacing w:val="-59"/>
        </w:rPr>
        <w:t> </w:t>
      </w:r>
      <w:r>
        <w:rPr/>
        <w:t>日还款</w:t>
      </w:r>
      <w:r>
        <w:rPr>
          <w:spacing w:val="-59"/>
        </w:rPr>
        <w:t> </w:t>
      </w:r>
      <w:r>
        <w:rPr>
          <w:rFonts w:ascii="宋体" w:hAnsi="宋体" w:cs="宋体" w:eastAsia="宋体" w:hint="default"/>
        </w:rPr>
        <w:t>1,250</w:t>
      </w:r>
      <w:r>
        <w:rPr>
          <w:rFonts w:ascii="宋体" w:hAnsi="宋体" w:cs="宋体" w:eastAsia="宋体" w:hint="default"/>
          <w:spacing w:val="-59"/>
        </w:rPr>
        <w:t> </w:t>
      </w:r>
      <w:r>
        <w:rPr/>
        <w:t>万元，</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p>
    <w:p>
      <w:pPr>
        <w:pStyle w:val="BodyText"/>
        <w:spacing w:line="240" w:lineRule="auto" w:before="145"/>
        <w:ind w:left="533" w:right="0"/>
        <w:jc w:val="left"/>
      </w:pPr>
      <w:r>
        <w:rPr>
          <w:rFonts w:ascii="宋体" w:hAnsi="宋体" w:cs="宋体" w:eastAsia="宋体" w:hint="default"/>
        </w:rPr>
        <w:t>3</w:t>
      </w:r>
      <w:r>
        <w:rPr>
          <w:rFonts w:ascii="宋体" w:hAnsi="宋体" w:cs="宋体" w:eastAsia="宋体" w:hint="default"/>
          <w:spacing w:val="-60"/>
        </w:rPr>
        <w:t> </w:t>
      </w:r>
      <w:r>
        <w:rPr/>
        <w:t>日还款</w:t>
      </w:r>
      <w:r>
        <w:rPr>
          <w:spacing w:val="-60"/>
        </w:rPr>
        <w:t> </w:t>
      </w:r>
      <w:r>
        <w:rPr>
          <w:rFonts w:ascii="宋体" w:hAnsi="宋体" w:cs="宋体" w:eastAsia="宋体" w:hint="default"/>
        </w:rPr>
        <w:t>3,000</w:t>
      </w:r>
      <w:r>
        <w:rPr>
          <w:rFonts w:ascii="宋体" w:hAnsi="宋体" w:cs="宋体" w:eastAsia="宋体" w:hint="default"/>
          <w:spacing w:val="-60"/>
        </w:rPr>
        <w:t> </w:t>
      </w:r>
      <w:r>
        <w:rPr/>
        <w:t>万元。</w:t>
      </w:r>
    </w:p>
    <w:p>
      <w:pPr>
        <w:pStyle w:val="BodyText"/>
        <w:spacing w:line="350" w:lineRule="auto" w:before="146"/>
        <w:ind w:left="533" w:right="1116" w:firstLine="480"/>
        <w:jc w:val="left"/>
      </w:pPr>
      <w:r>
        <w:rPr/>
        <w:t>（</w:t>
      </w:r>
      <w:r>
        <w:rPr>
          <w:rFonts w:ascii="宋体" w:hAnsi="宋体" w:cs="宋体" w:eastAsia="宋体" w:hint="default"/>
        </w:rPr>
        <w:t>2</w:t>
      </w:r>
      <w:r>
        <w:rPr/>
        <w:t>）截止</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日，本公司的质押借款情况详见本附注“十四、</w:t>
      </w:r>
      <w:r>
        <w:rPr>
          <w:rFonts w:ascii="宋体" w:hAnsi="宋体" w:cs="宋体" w:eastAsia="宋体" w:hint="default"/>
        </w:rPr>
        <w:t>1 </w:t>
      </w:r>
      <w:r>
        <w:rPr/>
        <w:t>重要承诺 事项”。</w:t>
      </w:r>
    </w:p>
    <w:p>
      <w:pPr>
        <w:pStyle w:val="Heading2"/>
        <w:spacing w:line="240" w:lineRule="auto" w:before="35"/>
        <w:ind w:left="1016" w:right="0"/>
        <w:jc w:val="left"/>
        <w:rPr>
          <w:b w:val="0"/>
          <w:bCs w:val="0"/>
        </w:rPr>
      </w:pPr>
      <w:r>
        <w:rPr>
          <w:rFonts w:ascii="宋体" w:hAnsi="宋体" w:cs="宋体" w:eastAsia="宋体" w:hint="default"/>
        </w:rPr>
        <w:t>46</w:t>
      </w:r>
      <w:r>
        <w:rPr/>
        <w:t>、应付债券</w:t>
      </w:r>
      <w:r>
        <w:rPr>
          <w:b w:val="0"/>
          <w:bCs w:val="0"/>
        </w:rPr>
      </w:r>
    </w:p>
    <w:p>
      <w:pPr>
        <w:pStyle w:val="Heading2"/>
        <w:spacing w:line="240" w:lineRule="auto" w:before="146"/>
        <w:ind w:left="1016" w:right="0"/>
        <w:jc w:val="left"/>
        <w:rPr>
          <w:b w:val="0"/>
          <w:bCs w:val="0"/>
        </w:rPr>
      </w:pPr>
      <w:r>
        <w:rPr/>
        <w:t>（</w:t>
      </w:r>
      <w:r>
        <w:rPr>
          <w:rFonts w:ascii="宋体" w:hAnsi="宋体" w:cs="宋体" w:eastAsia="宋体" w:hint="default"/>
        </w:rPr>
        <w:t>1</w:t>
      </w:r>
      <w:r>
        <w:rPr/>
        <w:t>）应付债券</w:t>
      </w:r>
      <w:r>
        <w:rPr>
          <w:b w:val="0"/>
          <w:bCs w:val="0"/>
        </w:rPr>
      </w:r>
    </w:p>
    <w:p>
      <w:pPr>
        <w:spacing w:before="42"/>
        <w:ind w:left="0" w:right="1445"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3"/>
          <w:szCs w:val="3"/>
        </w:rPr>
      </w:pPr>
    </w:p>
    <w:tbl>
      <w:tblPr>
        <w:tblW w:w="0" w:type="auto"/>
        <w:jc w:val="left"/>
        <w:tblInd w:w="540" w:type="dxa"/>
        <w:tblLayout w:type="fixed"/>
        <w:tblCellMar>
          <w:top w:w="0" w:type="dxa"/>
          <w:left w:w="0" w:type="dxa"/>
          <w:bottom w:w="0" w:type="dxa"/>
          <w:right w:w="0" w:type="dxa"/>
        </w:tblCellMar>
        <w:tblLook w:val="01E0"/>
      </w:tblPr>
      <w:tblGrid>
        <w:gridCol w:w="3164"/>
        <w:gridCol w:w="3206"/>
        <w:gridCol w:w="3189"/>
      </w:tblGrid>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其他应付债券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248,284,920.55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248,284,920.55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240" w:lineRule="auto"/>
        <w:ind w:left="1016" w:right="0"/>
        <w:jc w:val="left"/>
        <w:rPr>
          <w:b w:val="0"/>
          <w:bCs w:val="0"/>
        </w:rPr>
      </w:pP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before="43"/>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638"/>
        <w:gridCol w:w="1045"/>
        <w:gridCol w:w="851"/>
        <w:gridCol w:w="498"/>
        <w:gridCol w:w="920"/>
        <w:gridCol w:w="568"/>
        <w:gridCol w:w="907"/>
        <w:gridCol w:w="935"/>
        <w:gridCol w:w="1134"/>
        <w:gridCol w:w="568"/>
        <w:gridCol w:w="1417"/>
      </w:tblGrid>
      <w:tr>
        <w:trPr>
          <w:trHeight w:val="161" w:hRule="exact"/>
        </w:trPr>
        <w:tc>
          <w:tcPr>
            <w:tcW w:w="1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发行日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498"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left="33" w:right="0"/>
              <w:jc w:val="left"/>
              <w:rPr>
                <w:rFonts w:ascii="宋体" w:hAnsi="宋体" w:cs="宋体" w:eastAsia="宋体" w:hint="default"/>
                <w:sz w:val="21"/>
                <w:szCs w:val="21"/>
              </w:rPr>
            </w:pPr>
            <w:r>
              <w:rPr>
                <w:rFonts w:ascii="宋体" w:hAnsi="宋体" w:cs="宋体" w:eastAsia="宋体" w:hint="default"/>
                <w:sz w:val="21"/>
                <w:szCs w:val="21"/>
              </w:rPr>
              <w:t>债券</w:t>
            </w:r>
          </w:p>
          <w:p>
            <w:pPr>
              <w:pStyle w:val="TableParagraph"/>
              <w:spacing w:line="240" w:lineRule="auto" w:before="37"/>
              <w:ind w:left="33" w:right="0"/>
              <w:jc w:val="left"/>
              <w:rPr>
                <w:rFonts w:ascii="宋体" w:hAnsi="宋体" w:cs="宋体" w:eastAsia="宋体" w:hint="default"/>
                <w:sz w:val="21"/>
                <w:szCs w:val="21"/>
              </w:rPr>
            </w:pPr>
            <w:r>
              <w:rPr>
                <w:rFonts w:ascii="宋体" w:hAnsi="宋体" w:cs="宋体" w:eastAsia="宋体" w:hint="default"/>
                <w:sz w:val="21"/>
                <w:szCs w:val="21"/>
              </w:rPr>
              <w:t>期限</w:t>
            </w:r>
          </w:p>
        </w:tc>
        <w:tc>
          <w:tcPr>
            <w:tcW w:w="9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left="68"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40" w:lineRule="auto" w:before="37"/>
              <w:ind w:left="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0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按面值计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提利息</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37"/>
              <w:ind w:left="69" w:right="0"/>
              <w:jc w:val="left"/>
              <w:rPr>
                <w:rFonts w:ascii="宋体" w:hAnsi="宋体" w:cs="宋体" w:eastAsia="宋体" w:hint="default"/>
                <w:sz w:val="21"/>
                <w:szCs w:val="21"/>
              </w:rPr>
            </w:pPr>
            <w:r>
              <w:rPr>
                <w:rFonts w:ascii="宋体" w:hAnsi="宋体" w:cs="宋体" w:eastAsia="宋体" w:hint="default"/>
                <w:sz w:val="21"/>
                <w:szCs w:val="21"/>
              </w:rPr>
              <w:t>偿还</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0" w:lineRule="exact"/>
              <w:ind w:right="12"/>
              <w:jc w:val="center"/>
              <w:rPr>
                <w:rFonts w:ascii="宋体" w:hAnsi="宋体" w:cs="宋体" w:eastAsia="宋体" w:hint="default"/>
                <w:sz w:val="21"/>
                <w:szCs w:val="21"/>
              </w:rPr>
            </w:pPr>
            <w:r>
              <w:rPr>
                <w:rFonts w:ascii="宋体" w:hAnsi="宋体" w:cs="宋体" w:eastAsia="宋体" w:hint="default"/>
                <w:sz w:val="21"/>
                <w:szCs w:val="21"/>
              </w:rPr>
              <w:t>债券名称</w:t>
            </w:r>
          </w:p>
        </w:tc>
        <w:tc>
          <w:tcPr>
            <w:tcW w:w="10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面值</w:t>
            </w:r>
          </w:p>
        </w:tc>
        <w:tc>
          <w:tcPr>
            <w:tcW w:w="851" w:type="dxa"/>
            <w:vMerge/>
            <w:tcBorders>
              <w:left w:val="single" w:sz="4" w:space="0" w:color="000000"/>
              <w:right w:val="single" w:sz="4" w:space="0" w:color="000000"/>
            </w:tcBorders>
            <w:shd w:val="clear" w:color="auto" w:fill="D2D2D2"/>
          </w:tcPr>
          <w:p>
            <w:pPr/>
          </w:p>
        </w:tc>
        <w:tc>
          <w:tcPr>
            <w:tcW w:w="498"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9" w:space="0" w:color="D2D2D2"/>
              <w:bottom w:val="nil" w:sz="6" w:space="0" w:color="auto"/>
              <w:right w:val="single" w:sz="22" w:space="0" w:color="D2D2D2"/>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发行金额</w:t>
            </w:r>
            <w:r>
              <w:rPr>
                <w:rFonts w:ascii="宋体" w:hAnsi="宋体" w:cs="宋体" w:eastAsia="宋体" w:hint="default"/>
                <w:sz w:val="21"/>
                <w:szCs w:val="21"/>
              </w:rPr>
            </w:r>
          </w:p>
        </w:tc>
        <w:tc>
          <w:tcPr>
            <w:tcW w:w="568" w:type="dxa"/>
            <w:vMerge/>
            <w:tcBorders>
              <w:left w:val="single" w:sz="4" w:space="0" w:color="000000"/>
              <w:right w:val="single" w:sz="4" w:space="0" w:color="000000"/>
            </w:tcBorders>
            <w:shd w:val="clear" w:color="auto" w:fill="D2D2D2"/>
          </w:tcPr>
          <w:p>
            <w:pPr/>
          </w:p>
        </w:tc>
        <w:tc>
          <w:tcPr>
            <w:tcW w:w="907" w:type="dxa"/>
            <w:tcBorders>
              <w:top w:val="nil" w:sz="6" w:space="0" w:color="auto"/>
              <w:left w:val="single" w:sz="9" w:space="0" w:color="D2D2D2"/>
              <w:bottom w:val="nil" w:sz="6" w:space="0" w:color="auto"/>
              <w:right w:val="single" w:sz="22" w:space="0" w:color="D2D2D2"/>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本期发行</w:t>
            </w:r>
            <w:r>
              <w:rPr>
                <w:rFonts w:ascii="宋体" w:hAnsi="宋体" w:cs="宋体" w:eastAsia="宋体" w:hint="default"/>
                <w:sz w:val="21"/>
                <w:szCs w:val="21"/>
              </w:rPr>
            </w:r>
          </w:p>
        </w:tc>
        <w:tc>
          <w:tcPr>
            <w:tcW w:w="935"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9" w:space="0" w:color="D2D2D2"/>
              <w:bottom w:val="nil" w:sz="6" w:space="0" w:color="auto"/>
              <w:right w:val="single" w:sz="10" w:space="0" w:color="D2D2D2"/>
            </w:tcBorders>
          </w:tcPr>
          <w:p>
            <w:pPr>
              <w:pStyle w:val="TableParagraph"/>
              <w:spacing w:line="260" w:lineRule="exact"/>
              <w:ind w:right="29"/>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溢折价摊销</w:t>
            </w:r>
            <w:r>
              <w:rPr>
                <w:rFonts w:ascii="宋体" w:hAnsi="宋体" w:cs="宋体" w:eastAsia="宋体" w:hint="default"/>
                <w:sz w:val="21"/>
                <w:szCs w:val="21"/>
              </w:rPr>
            </w:r>
          </w:p>
        </w:tc>
        <w:tc>
          <w:tcPr>
            <w:tcW w:w="56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期末金额</w:t>
            </w:r>
          </w:p>
        </w:tc>
      </w:tr>
      <w:tr>
        <w:trPr>
          <w:trHeight w:val="161" w:hRule="exact"/>
        </w:trPr>
        <w:tc>
          <w:tcPr>
            <w:tcW w:w="1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498" w:type="dxa"/>
            <w:vMerge/>
            <w:tcBorders>
              <w:left w:val="single" w:sz="4" w:space="0" w:color="000000"/>
              <w:bottom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90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70"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河南辉煌科技股</w:t>
            </w:r>
          </w:p>
          <w:p>
            <w:pPr>
              <w:pStyle w:val="TableParagraph"/>
              <w:spacing w:line="276" w:lineRule="auto" w:before="37"/>
              <w:ind w:left="11" w:right="23"/>
              <w:jc w:val="left"/>
              <w:rPr>
                <w:rFonts w:ascii="Times New Roman" w:hAnsi="Times New Roman" w:cs="Times New Roman" w:eastAsia="Times New Roman" w:hint="default"/>
                <w:sz w:val="21"/>
                <w:szCs w:val="21"/>
              </w:rPr>
            </w:pPr>
            <w:r>
              <w:rPr>
                <w:rFonts w:ascii="宋体" w:hAnsi="宋体" w:cs="宋体" w:eastAsia="宋体" w:hint="default"/>
                <w:sz w:val="21"/>
                <w:szCs w:val="21"/>
              </w:rPr>
              <w:t>份有限公司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pacing w:val="-12"/>
                <w:sz w:val="21"/>
                <w:szCs w:val="21"/>
              </w:rPr>
              <w:t>年公司债券（第一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期）简称</w:t>
            </w:r>
            <w:r>
              <w:rPr>
                <w:rFonts w:ascii="Times New Roman" w:hAnsi="Times New Roman" w:cs="Times New Roman" w:eastAsia="Times New Roman" w:hint="default"/>
                <w:spacing w:val="-4"/>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辉煌 </w:t>
            </w:r>
            <w:r>
              <w:rPr>
                <w:rFonts w:ascii="Times New Roman" w:hAnsi="Times New Roman" w:cs="Times New Roman" w:eastAsia="Times New Roman" w:hint="default"/>
                <w:sz w:val="21"/>
                <w:szCs w:val="21"/>
              </w:rPr>
              <w:t>01”</w:t>
            </w:r>
          </w:p>
        </w:tc>
        <w:tc>
          <w:tcPr>
            <w:tcW w:w="10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250,000,00</w:t>
            </w:r>
          </w:p>
          <w:p>
            <w:pPr>
              <w:pStyle w:val="TableParagraph"/>
              <w:spacing w:line="240" w:lineRule="auto" w:before="70"/>
              <w:ind w:left="632" w:right="0"/>
              <w:jc w:val="left"/>
              <w:rPr>
                <w:rFonts w:ascii="Times New Roman" w:hAnsi="Times New Roman" w:cs="Times New Roman" w:eastAsia="Times New Roman" w:hint="default"/>
                <w:sz w:val="21"/>
                <w:szCs w:val="21"/>
              </w:rPr>
            </w:pPr>
            <w:r>
              <w:rPr>
                <w:rFonts w:ascii="Times New Roman"/>
                <w:sz w:val="21"/>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2"/>
              <w:jc w:val="center"/>
              <w:rPr>
                <w:rFonts w:ascii="Times New Roman" w:hAnsi="Times New Roman" w:cs="Times New Roman" w:eastAsia="Times New Roman" w:hint="default"/>
                <w:sz w:val="21"/>
                <w:szCs w:val="21"/>
              </w:rPr>
            </w:pPr>
            <w:r>
              <w:rPr>
                <w:rFonts w:ascii="Times New Roman"/>
                <w:sz w:val="21"/>
              </w:rPr>
              <w:t>2015-3-4</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21"/>
                <w:szCs w:val="21"/>
              </w:rPr>
            </w:pPr>
            <w:r>
              <w:rPr>
                <w:rFonts w:ascii="Times New Roman"/>
                <w:sz w:val="21"/>
              </w:rPr>
              <w:t>250,000,0</w:t>
            </w:r>
          </w:p>
          <w:p>
            <w:pPr>
              <w:pStyle w:val="TableParagraph"/>
              <w:spacing w:line="240" w:lineRule="auto" w:before="70"/>
              <w:ind w:left="413" w:right="0"/>
              <w:jc w:val="left"/>
              <w:rPr>
                <w:rFonts w:ascii="Times New Roman" w:hAnsi="Times New Roman" w:cs="Times New Roman" w:eastAsia="Times New Roman" w:hint="default"/>
                <w:sz w:val="21"/>
                <w:szCs w:val="21"/>
              </w:rPr>
            </w:pPr>
            <w:r>
              <w:rPr>
                <w:rFonts w:ascii="Times New Roman"/>
                <w:sz w:val="21"/>
              </w:rPr>
              <w:t>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21"/>
                <w:szCs w:val="21"/>
              </w:rPr>
            </w:pPr>
            <w:r>
              <w:rPr>
                <w:rFonts w:ascii="Times New Roman"/>
                <w:sz w:val="21"/>
              </w:rPr>
              <w:t>247,700,0</w:t>
            </w:r>
          </w:p>
          <w:p>
            <w:pPr>
              <w:pStyle w:val="TableParagraph"/>
              <w:spacing w:line="240" w:lineRule="auto" w:before="70"/>
              <w:ind w:left="401" w:right="0"/>
              <w:jc w:val="left"/>
              <w:rPr>
                <w:rFonts w:ascii="Times New Roman" w:hAnsi="Times New Roman" w:cs="Times New Roman" w:eastAsia="Times New Roman" w:hint="default"/>
                <w:sz w:val="21"/>
                <w:szCs w:val="21"/>
              </w:rPr>
            </w:pPr>
            <w:r>
              <w:rPr>
                <w:rFonts w:ascii="Times New Roman"/>
                <w:sz w:val="21"/>
              </w:rPr>
              <w:t>00.00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21"/>
                <w:szCs w:val="21"/>
              </w:rPr>
            </w:pPr>
            <w:r>
              <w:rPr>
                <w:rFonts w:ascii="Times New Roman"/>
                <w:sz w:val="21"/>
              </w:rPr>
              <w:t>18,562,50</w:t>
            </w:r>
          </w:p>
          <w:p>
            <w:pPr>
              <w:pStyle w:val="TableParagraph"/>
              <w:spacing w:line="240" w:lineRule="auto" w:before="70"/>
              <w:ind w:left="533" w:right="0"/>
              <w:jc w:val="left"/>
              <w:rPr>
                <w:rFonts w:ascii="Times New Roman" w:hAnsi="Times New Roman" w:cs="Times New Roman" w:eastAsia="Times New Roman" w:hint="default"/>
                <w:sz w:val="21"/>
                <w:szCs w:val="21"/>
              </w:rPr>
            </w:pPr>
            <w:r>
              <w:rPr>
                <w:rFonts w:ascii="Times New Roman"/>
                <w:sz w:val="21"/>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0"/>
              <w:jc w:val="right"/>
              <w:rPr>
                <w:rFonts w:ascii="Times New Roman" w:hAnsi="Times New Roman" w:cs="Times New Roman" w:eastAsia="Times New Roman" w:hint="default"/>
                <w:sz w:val="21"/>
                <w:szCs w:val="21"/>
              </w:rPr>
            </w:pPr>
            <w:r>
              <w:rPr>
                <w:rFonts w:ascii="Times New Roman"/>
                <w:spacing w:val="-1"/>
                <w:sz w:val="21"/>
              </w:rPr>
              <w:t>584,920.55</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48" w:right="0"/>
              <w:jc w:val="center"/>
              <w:rPr>
                <w:rFonts w:ascii="Times New Roman" w:hAnsi="Times New Roman" w:cs="Times New Roman" w:eastAsia="Times New Roman" w:hint="default"/>
                <w:sz w:val="21"/>
                <w:szCs w:val="21"/>
              </w:rPr>
            </w:pPr>
            <w:r>
              <w:rPr>
                <w:rFonts w:ascii="Times New Roman"/>
                <w:sz w:val="21"/>
              </w:rPr>
              <w:t>248,284,920.55</w:t>
            </w:r>
          </w:p>
        </w:tc>
      </w:tr>
      <w:tr>
        <w:trPr>
          <w:trHeight w:val="162" w:hRule="exact"/>
        </w:trPr>
        <w:tc>
          <w:tcPr>
            <w:tcW w:w="1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8"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single" w:sz="4" w:space="0" w:color="000000"/>
              <w:left w:val="single" w:sz="9" w:space="0" w:color="D2D2D2"/>
              <w:right w:val="single" w:sz="4" w:space="0" w:color="000000"/>
            </w:tcBorders>
          </w:tcPr>
          <w:p>
            <w:pPr>
              <w:pStyle w:val="TableParagraph"/>
              <w:spacing w:line="240" w:lineRule="auto" w:before="35"/>
              <w:ind w:left="39" w:right="0"/>
              <w:jc w:val="left"/>
              <w:rPr>
                <w:rFonts w:ascii="Times New Roman" w:hAnsi="Times New Roman" w:cs="Times New Roman" w:eastAsia="Times New Roman" w:hint="default"/>
                <w:sz w:val="21"/>
                <w:szCs w:val="21"/>
              </w:rPr>
            </w:pPr>
            <w:r>
              <w:rPr>
                <w:rFonts w:ascii="Times New Roman"/>
                <w:sz w:val="21"/>
              </w:rPr>
              <w:t>250,000,0</w:t>
            </w:r>
          </w:p>
          <w:p>
            <w:pPr>
              <w:pStyle w:val="TableParagraph"/>
              <w:spacing w:line="240" w:lineRule="auto" w:before="70"/>
              <w:ind w:left="406" w:right="0"/>
              <w:jc w:val="left"/>
              <w:rPr>
                <w:rFonts w:ascii="Times New Roman" w:hAnsi="Times New Roman" w:cs="Times New Roman" w:eastAsia="Times New Roman" w:hint="default"/>
                <w:sz w:val="21"/>
                <w:szCs w:val="21"/>
              </w:rPr>
            </w:pPr>
            <w:r>
              <w:rPr>
                <w:rFonts w:ascii="Times New Roman"/>
                <w:sz w:val="21"/>
              </w:rPr>
              <w:t>00.00</w:t>
            </w:r>
          </w:p>
        </w:tc>
        <w:tc>
          <w:tcPr>
            <w:tcW w:w="568" w:type="dxa"/>
            <w:vMerge w:val="restart"/>
            <w:tcBorders>
              <w:top w:val="single" w:sz="4" w:space="0" w:color="000000"/>
              <w:left w:val="single" w:sz="4" w:space="0" w:color="000000"/>
              <w:right w:val="single" w:sz="4" w:space="0" w:color="000000"/>
            </w:tcBorders>
          </w:tcPr>
          <w:p>
            <w:pPr/>
          </w:p>
        </w:tc>
        <w:tc>
          <w:tcPr>
            <w:tcW w:w="907" w:type="dxa"/>
            <w:vMerge w:val="restart"/>
            <w:tcBorders>
              <w:top w:val="single" w:sz="4" w:space="0" w:color="000000"/>
              <w:left w:val="single" w:sz="4" w:space="0" w:color="000000"/>
              <w:right w:val="single" w:sz="4" w:space="0" w:color="000000"/>
            </w:tcBorders>
          </w:tcPr>
          <w:p>
            <w:pPr>
              <w:pStyle w:val="TableParagraph"/>
              <w:spacing w:line="240" w:lineRule="auto" w:before="35"/>
              <w:ind w:left="34" w:right="0"/>
              <w:jc w:val="left"/>
              <w:rPr>
                <w:rFonts w:ascii="Times New Roman" w:hAnsi="Times New Roman" w:cs="Times New Roman" w:eastAsia="Times New Roman" w:hint="default"/>
                <w:sz w:val="21"/>
                <w:szCs w:val="21"/>
              </w:rPr>
            </w:pPr>
            <w:r>
              <w:rPr>
                <w:rFonts w:ascii="Times New Roman"/>
                <w:sz w:val="21"/>
              </w:rPr>
              <w:t>247,700,0</w:t>
            </w:r>
          </w:p>
          <w:p>
            <w:pPr>
              <w:pStyle w:val="TableParagraph"/>
              <w:spacing w:line="240" w:lineRule="auto" w:before="70"/>
              <w:ind w:left="401" w:right="0"/>
              <w:jc w:val="left"/>
              <w:rPr>
                <w:rFonts w:ascii="Times New Roman" w:hAnsi="Times New Roman" w:cs="Times New Roman" w:eastAsia="Times New Roman" w:hint="default"/>
                <w:sz w:val="21"/>
                <w:szCs w:val="21"/>
              </w:rPr>
            </w:pPr>
            <w:r>
              <w:rPr>
                <w:rFonts w:ascii="Times New Roman"/>
                <w:sz w:val="21"/>
              </w:rPr>
              <w:t>00.00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35"/>
              <w:ind w:left="61" w:right="0"/>
              <w:jc w:val="left"/>
              <w:rPr>
                <w:rFonts w:ascii="Times New Roman" w:hAnsi="Times New Roman" w:cs="Times New Roman" w:eastAsia="Times New Roman" w:hint="default"/>
                <w:sz w:val="21"/>
                <w:szCs w:val="21"/>
              </w:rPr>
            </w:pPr>
            <w:r>
              <w:rPr>
                <w:rFonts w:ascii="Times New Roman"/>
                <w:sz w:val="21"/>
              </w:rPr>
              <w:t>18,562,50</w:t>
            </w:r>
          </w:p>
          <w:p>
            <w:pPr>
              <w:pStyle w:val="TableParagraph"/>
              <w:spacing w:line="240" w:lineRule="auto" w:before="70"/>
              <w:ind w:left="533" w:right="0"/>
              <w:jc w:val="left"/>
              <w:rPr>
                <w:rFonts w:ascii="Times New Roman" w:hAnsi="Times New Roman" w:cs="Times New Roman" w:eastAsia="Times New Roman" w:hint="default"/>
                <w:sz w:val="21"/>
                <w:szCs w:val="21"/>
              </w:rPr>
            </w:pPr>
            <w:r>
              <w:rPr>
                <w:rFonts w:ascii="Times New Roman"/>
                <w:sz w:val="21"/>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7" w:right="0"/>
              <w:jc w:val="left"/>
              <w:rPr>
                <w:rFonts w:ascii="Times New Roman" w:hAnsi="Times New Roman" w:cs="Times New Roman" w:eastAsia="Times New Roman" w:hint="default"/>
                <w:sz w:val="21"/>
                <w:szCs w:val="21"/>
              </w:rPr>
            </w:pPr>
            <w:r>
              <w:rPr>
                <w:rFonts w:ascii="Times New Roman"/>
                <w:sz w:val="21"/>
              </w:rPr>
              <w:t>584,920.55</w:t>
            </w:r>
          </w:p>
        </w:tc>
        <w:tc>
          <w:tcPr>
            <w:tcW w:w="568" w:type="dxa"/>
            <w:vMerge w:val="restart"/>
            <w:tcBorders>
              <w:top w:val="single" w:sz="4" w:space="0" w:color="000000"/>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248,284,920.55</w:t>
            </w:r>
          </w:p>
        </w:tc>
      </w:tr>
      <w:tr>
        <w:trPr>
          <w:trHeight w:val="312" w:hRule="exact"/>
        </w:trPr>
        <w:tc>
          <w:tcPr>
            <w:tcW w:w="1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0" w:lineRule="exact"/>
              <w:ind w:right="12"/>
              <w:jc w:val="center"/>
              <w:rPr>
                <w:rFonts w:ascii="宋体" w:hAnsi="宋体" w:cs="宋体" w:eastAsia="宋体" w:hint="default"/>
                <w:sz w:val="21"/>
                <w:szCs w:val="21"/>
              </w:rPr>
            </w:pPr>
            <w:r>
              <w:rPr>
                <w:rFonts w:ascii="宋体" w:hAnsi="宋体" w:cs="宋体" w:eastAsia="宋体" w:hint="default"/>
                <w:sz w:val="21"/>
                <w:szCs w:val="21"/>
              </w:rPr>
              <w:t>合计</w:t>
            </w:r>
          </w:p>
        </w:tc>
        <w:tc>
          <w:tcPr>
            <w:tcW w:w="10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c>
          <w:tcPr>
            <w:tcW w:w="4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c>
          <w:tcPr>
            <w:tcW w:w="920" w:type="dxa"/>
            <w:vMerge/>
            <w:tcBorders>
              <w:left w:val="single" w:sz="9" w:space="0" w:color="D2D2D2"/>
              <w:right w:val="single" w:sz="4" w:space="0" w:color="000000"/>
            </w:tcBorders>
          </w:tcPr>
          <w:p>
            <w:pPr/>
          </w:p>
        </w:tc>
        <w:tc>
          <w:tcPr>
            <w:tcW w:w="568" w:type="dxa"/>
            <w:vMerge/>
            <w:tcBorders>
              <w:left w:val="single" w:sz="4" w:space="0" w:color="000000"/>
              <w:right w:val="single" w:sz="4" w:space="0" w:color="000000"/>
            </w:tcBorders>
          </w:tcPr>
          <w:p>
            <w:pPr/>
          </w:p>
        </w:tc>
        <w:tc>
          <w:tcPr>
            <w:tcW w:w="907"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r>
      <w:tr>
        <w:trPr>
          <w:trHeight w:val="161" w:hRule="exact"/>
        </w:trPr>
        <w:tc>
          <w:tcPr>
            <w:tcW w:w="1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8"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9" w:space="0" w:color="D2D2D2"/>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240" w:lineRule="auto" w:before="26"/>
        <w:ind w:left="1014" w:right="0"/>
        <w:jc w:val="left"/>
        <w:rPr>
          <w:rFonts w:ascii="宋体" w:hAnsi="宋体" w:cs="宋体" w:eastAsia="宋体" w:hint="default"/>
        </w:rPr>
      </w:pPr>
      <w:r>
        <w:rPr>
          <w:spacing w:val="-4"/>
        </w:rPr>
        <w:t>经中国证券监督管理委员会证监许可〔</w:t>
      </w:r>
      <w:r>
        <w:rPr>
          <w:rFonts w:ascii="宋体" w:hAnsi="宋体" w:cs="宋体" w:eastAsia="宋体" w:hint="default"/>
          <w:spacing w:val="-4"/>
        </w:rPr>
        <w:t>2014</w:t>
      </w:r>
      <w:r>
        <w:rPr>
          <w:spacing w:val="-4"/>
        </w:rPr>
        <w:t>〕</w:t>
      </w:r>
      <w:r>
        <w:rPr>
          <w:rFonts w:ascii="宋体" w:hAnsi="宋体" w:cs="宋体" w:eastAsia="宋体" w:hint="default"/>
          <w:spacing w:val="-4"/>
        </w:rPr>
        <w:t>926</w:t>
      </w:r>
      <w:r>
        <w:rPr>
          <w:rFonts w:ascii="宋体" w:hAnsi="宋体" w:cs="宋体" w:eastAsia="宋体" w:hint="default"/>
          <w:spacing w:val="-51"/>
        </w:rPr>
        <w:t> </w:t>
      </w:r>
      <w:r>
        <w:rPr/>
        <w:t>号文核准公司公开发行不超过人民币</w:t>
      </w:r>
      <w:r>
        <w:rPr>
          <w:spacing w:val="-51"/>
        </w:rPr>
        <w:t> </w:t>
      </w:r>
      <w:r>
        <w:rPr>
          <w:rFonts w:ascii="宋体" w:hAnsi="宋体" w:cs="宋体" w:eastAsia="宋体" w:hint="default"/>
        </w:rPr>
        <w:t>5</w:t>
      </w:r>
    </w:p>
    <w:p>
      <w:pPr>
        <w:pStyle w:val="BodyText"/>
        <w:spacing w:line="240" w:lineRule="auto" w:before="145"/>
        <w:ind w:left="533" w:right="0"/>
        <w:jc w:val="left"/>
      </w:pPr>
      <w:r>
        <w:rPr>
          <w:spacing w:val="-4"/>
        </w:rPr>
        <w:t>亿元的公司债券，根据《河南辉煌科技股份有限公司</w:t>
      </w:r>
      <w:r>
        <w:rPr>
          <w:spacing w:val="-52"/>
        </w:rPr>
        <w:t> </w:t>
      </w:r>
      <w:r>
        <w:rPr>
          <w:rFonts w:ascii="宋体" w:hAnsi="宋体" w:cs="宋体" w:eastAsia="宋体" w:hint="default"/>
        </w:rPr>
        <w:t>2015</w:t>
      </w:r>
      <w:r>
        <w:rPr>
          <w:rFonts w:ascii="宋体" w:hAnsi="宋体" w:cs="宋体" w:eastAsia="宋体" w:hint="default"/>
          <w:spacing w:val="-52"/>
        </w:rPr>
        <w:t> </w:t>
      </w:r>
      <w:r>
        <w:rPr>
          <w:spacing w:val="-8"/>
        </w:rPr>
        <w:t>年公司债券（第一期）发行公告》，</w:t>
      </w:r>
    </w:p>
    <w:p>
      <w:pPr>
        <w:pStyle w:val="BodyText"/>
        <w:spacing w:line="240" w:lineRule="auto" w:before="146"/>
        <w:ind w:left="533" w:right="0"/>
        <w:jc w:val="left"/>
      </w:pPr>
      <w:r>
        <w:rPr/>
        <w:t>公司</w:t>
      </w:r>
      <w:r>
        <w:rPr>
          <w:spacing w:val="-56"/>
        </w:rPr>
        <w:t> </w:t>
      </w:r>
      <w:r>
        <w:rPr>
          <w:rFonts w:ascii="宋体" w:hAnsi="宋体" w:cs="宋体" w:eastAsia="宋体" w:hint="default"/>
        </w:rPr>
        <w:t>2015</w:t>
      </w:r>
      <w:r>
        <w:rPr>
          <w:rFonts w:ascii="宋体" w:hAnsi="宋体" w:cs="宋体" w:eastAsia="宋体" w:hint="default"/>
          <w:spacing w:val="-56"/>
        </w:rPr>
        <w:t> </w:t>
      </w:r>
      <w:r>
        <w:rPr>
          <w:spacing w:val="-3"/>
        </w:rPr>
        <w:t>年公司债券（第一期）发行规模为人民币</w:t>
      </w:r>
      <w:r>
        <w:rPr>
          <w:spacing w:val="-56"/>
        </w:rPr>
        <w:t> </w:t>
      </w:r>
      <w:r>
        <w:rPr>
          <w:rFonts w:ascii="宋体" w:hAnsi="宋体" w:cs="宋体" w:eastAsia="宋体" w:hint="default"/>
        </w:rPr>
        <w:t>2.5</w:t>
      </w:r>
      <w:r>
        <w:rPr>
          <w:rFonts w:ascii="宋体" w:hAnsi="宋体" w:cs="宋体" w:eastAsia="宋体" w:hint="default"/>
          <w:spacing w:val="-56"/>
        </w:rPr>
        <w:t> </w:t>
      </w:r>
      <w:r>
        <w:rPr>
          <w:spacing w:val="-3"/>
        </w:rPr>
        <w:t>亿元，发行价格为每张</w:t>
      </w:r>
      <w:r>
        <w:rPr>
          <w:spacing w:val="-56"/>
        </w:rPr>
        <w:t> </w:t>
      </w:r>
      <w:r>
        <w:rPr>
          <w:rFonts w:ascii="宋体" w:hAnsi="宋体" w:cs="宋体" w:eastAsia="宋体" w:hint="default"/>
        </w:rPr>
        <w:t>100</w:t>
      </w:r>
      <w:r>
        <w:rPr>
          <w:rFonts w:ascii="宋体" w:hAnsi="宋体" w:cs="宋体" w:eastAsia="宋体" w:hint="default"/>
          <w:spacing w:val="-56"/>
        </w:rPr>
        <w:t> </w:t>
      </w:r>
      <w:r>
        <w:rPr>
          <w:spacing w:val="-6"/>
        </w:rPr>
        <w:t>元，票面</w:t>
      </w:r>
    </w:p>
    <w:p>
      <w:pPr>
        <w:pStyle w:val="BodyText"/>
        <w:spacing w:line="350" w:lineRule="auto" w:before="145"/>
        <w:ind w:left="533" w:right="1121"/>
        <w:jc w:val="left"/>
      </w:pPr>
      <w:r>
        <w:rPr/>
        <w:t>利率</w:t>
      </w:r>
      <w:r>
        <w:rPr>
          <w:spacing w:val="-60"/>
        </w:rPr>
        <w:t> </w:t>
      </w:r>
      <w:r>
        <w:rPr>
          <w:rFonts w:ascii="宋体" w:hAnsi="宋体" w:cs="宋体" w:eastAsia="宋体" w:hint="default"/>
        </w:rPr>
        <w:t>9%</w:t>
      </w:r>
      <w:r>
        <w:rPr/>
        <w:t>，期限为</w:t>
      </w:r>
      <w:r>
        <w:rPr>
          <w:spacing w:val="-60"/>
        </w:rPr>
        <w:t> </w:t>
      </w:r>
      <w:r>
        <w:rPr>
          <w:rFonts w:ascii="宋体" w:hAnsi="宋体" w:cs="宋体" w:eastAsia="宋体" w:hint="default"/>
        </w:rPr>
        <w:t>3</w:t>
      </w:r>
      <w:r>
        <w:rPr>
          <w:rFonts w:ascii="宋体" w:hAnsi="宋体" w:cs="宋体" w:eastAsia="宋体" w:hint="default"/>
          <w:spacing w:val="-60"/>
        </w:rPr>
        <w:t> </w:t>
      </w:r>
      <w:r>
        <w:rPr/>
        <w:t>年，每年付息一次，付息日每年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日，首次付息日为</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4 </w:t>
      </w:r>
      <w:r>
        <w:rPr>
          <w:spacing w:val="-7"/>
        </w:rPr>
        <w:t>日，附第</w:t>
      </w:r>
      <w:r>
        <w:rPr>
          <w:spacing w:val="-66"/>
        </w:rPr>
        <w:t> </w:t>
      </w:r>
      <w:r>
        <w:rPr>
          <w:rFonts w:ascii="宋体" w:hAnsi="宋体" w:cs="宋体" w:eastAsia="宋体" w:hint="default"/>
        </w:rPr>
        <w:t>2</w:t>
      </w:r>
      <w:r>
        <w:rPr>
          <w:rFonts w:ascii="宋体" w:hAnsi="宋体" w:cs="宋体" w:eastAsia="宋体" w:hint="default"/>
          <w:spacing w:val="-66"/>
        </w:rPr>
        <w:t> </w:t>
      </w:r>
      <w:r>
        <w:rPr/>
        <w:t>年末发行人上调票面利率选择权及投资者回售选择权，简称为“15</w:t>
      </w:r>
      <w:r>
        <w:rPr>
          <w:spacing w:val="-66"/>
        </w:rPr>
        <w:t> </w:t>
      </w:r>
      <w:r>
        <w:rPr/>
        <w:t>辉煌</w:t>
      </w:r>
      <w:r>
        <w:rPr>
          <w:spacing w:val="-66"/>
        </w:rPr>
        <w:t> </w:t>
      </w:r>
      <w:r>
        <w:rPr>
          <w:spacing w:val="-12"/>
        </w:rPr>
        <w:t>01”，发</w:t>
      </w:r>
      <w:r>
        <w:rPr>
          <w:spacing w:val="-28"/>
        </w:rPr>
        <w:t> </w:t>
      </w:r>
      <w:r>
        <w:rPr/>
        <w:t>行工作于</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6</w:t>
      </w:r>
      <w:r>
        <w:rPr>
          <w:rFonts w:ascii="宋体" w:hAnsi="宋体" w:cs="宋体" w:eastAsia="宋体" w:hint="default"/>
          <w:spacing w:val="-59"/>
        </w:rPr>
        <w:t> </w:t>
      </w:r>
      <w:r>
        <w:rPr>
          <w:spacing w:val="-3"/>
        </w:rPr>
        <w:t>日结束，网下机构投资者认购数量为</w:t>
      </w:r>
      <w:r>
        <w:rPr>
          <w:spacing w:val="-59"/>
        </w:rPr>
        <w:t> </w:t>
      </w:r>
      <w:r>
        <w:rPr>
          <w:rFonts w:ascii="宋体" w:hAnsi="宋体" w:cs="宋体" w:eastAsia="宋体" w:hint="default"/>
        </w:rPr>
        <w:t>2.5</w:t>
      </w:r>
      <w:r>
        <w:rPr>
          <w:rFonts w:ascii="宋体" w:hAnsi="宋体" w:cs="宋体" w:eastAsia="宋体" w:hint="default"/>
          <w:spacing w:val="-59"/>
        </w:rPr>
        <w:t> </w:t>
      </w:r>
      <w:r>
        <w:rPr>
          <w:spacing w:val="-4"/>
        </w:rPr>
        <w:t>亿元，占本期债券发行总量</w:t>
      </w:r>
      <w:r>
        <w:rPr/>
        <w:t> 的比例为</w:t>
      </w:r>
      <w:r>
        <w:rPr>
          <w:spacing w:val="-60"/>
        </w:rPr>
        <w:t> </w:t>
      </w:r>
      <w:r>
        <w:rPr>
          <w:rFonts w:ascii="宋体" w:hAnsi="宋体" w:cs="宋体" w:eastAsia="宋体" w:hint="default"/>
        </w:rPr>
        <w:t>100%</w:t>
      </w:r>
      <w:r>
        <w:rPr/>
        <w:t>。</w:t>
      </w:r>
    </w:p>
    <w:p>
      <w:pPr>
        <w:pStyle w:val="Heading2"/>
        <w:spacing w:line="352" w:lineRule="auto" w:before="35"/>
        <w:ind w:left="1013" w:right="8583" w:firstLine="2"/>
        <w:jc w:val="left"/>
        <w:rPr>
          <w:rFonts w:ascii="宋体" w:hAnsi="宋体" w:cs="宋体" w:eastAsia="宋体" w:hint="default"/>
          <w:b w:val="0"/>
          <w:bCs w:val="0"/>
        </w:rPr>
      </w:pPr>
      <w:r>
        <w:rPr>
          <w:rFonts w:ascii="宋体" w:hAnsi="宋体" w:cs="宋体" w:eastAsia="宋体" w:hint="default"/>
        </w:rPr>
        <w:t>47</w:t>
      </w:r>
      <w:r>
        <w:rPr/>
        <w:t>、长期应付款</w:t>
      </w:r>
      <w:r>
        <w:rPr>
          <w:w w:val="99"/>
        </w:rPr>
        <w:t> </w:t>
      </w:r>
      <w:r>
        <w:rPr>
          <w:rFonts w:ascii="宋体" w:hAnsi="宋体" w:cs="宋体" w:eastAsia="宋体" w:hint="default"/>
          <w:b w:val="0"/>
          <w:bCs w:val="0"/>
        </w:rPr>
        <w:t>无</w:t>
      </w:r>
    </w:p>
    <w:p>
      <w:pPr>
        <w:pStyle w:val="Heading2"/>
        <w:spacing w:line="240" w:lineRule="auto" w:before="32"/>
        <w:ind w:left="1016" w:right="0"/>
        <w:jc w:val="left"/>
        <w:rPr>
          <w:b w:val="0"/>
          <w:bCs w:val="0"/>
        </w:rPr>
      </w:pPr>
      <w:r>
        <w:rPr>
          <w:rFonts w:ascii="宋体" w:hAnsi="宋体" w:cs="宋体" w:eastAsia="宋体" w:hint="default"/>
        </w:rPr>
        <w:t>48</w:t>
      </w:r>
      <w:r>
        <w:rPr/>
        <w:t>、长期应付职工薪酬</w:t>
      </w:r>
      <w:r>
        <w:rPr>
          <w:b w:val="0"/>
          <w:bCs w:val="0"/>
        </w:rPr>
      </w:r>
    </w:p>
    <w:p>
      <w:pPr>
        <w:spacing w:after="0" w:line="240" w:lineRule="auto"/>
        <w:jc w:val="left"/>
        <w:sectPr>
          <w:pgSz w:w="11910" w:h="16840"/>
          <w:pgMar w:header="747" w:footer="979" w:top="1060" w:bottom="1160" w:left="600" w:right="0"/>
        </w:sect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spacing w:line="352" w:lineRule="auto" w:before="199"/>
        <w:ind w:left="633" w:right="-18" w:firstLine="0"/>
        <w:jc w:val="left"/>
        <w:rPr>
          <w:rFonts w:ascii="宋体" w:hAnsi="宋体" w:cs="宋体" w:eastAsia="宋体" w:hint="default"/>
          <w:sz w:val="24"/>
          <w:szCs w:val="24"/>
        </w:rPr>
      </w:pPr>
      <w:r>
        <w:rPr>
          <w:rFonts w:ascii="宋体" w:hAnsi="宋体" w:cs="宋体" w:eastAsia="宋体" w:hint="default"/>
          <w:sz w:val="24"/>
          <w:szCs w:val="24"/>
        </w:rPr>
        <w:t>无 </w:t>
      </w:r>
      <w:r>
        <w:rPr>
          <w:rFonts w:ascii="宋体" w:hAnsi="宋体" w:cs="宋体" w:eastAsia="宋体" w:hint="default"/>
          <w:b/>
          <w:bCs/>
          <w:sz w:val="24"/>
          <w:szCs w:val="24"/>
        </w:rPr>
        <w:t>49</w:t>
      </w:r>
      <w:r>
        <w:rPr>
          <w:rFonts w:ascii="宋体" w:hAnsi="宋体" w:cs="宋体" w:eastAsia="宋体" w:hint="default"/>
          <w:b/>
          <w:bCs/>
          <w:sz w:val="24"/>
          <w:szCs w:val="24"/>
        </w:rPr>
        <w:t>、专项应付款</w:t>
      </w:r>
      <w:r>
        <w:rPr>
          <w:rFonts w:ascii="宋体" w:hAnsi="宋体" w:cs="宋体" w:eastAsia="宋体" w:hint="default"/>
          <w:b/>
          <w:bCs/>
          <w:w w:val="99"/>
          <w:sz w:val="24"/>
          <w:szCs w:val="24"/>
        </w:rPr>
        <w:t> </w:t>
      </w:r>
      <w:r>
        <w:rPr>
          <w:rFonts w:ascii="宋体" w:hAnsi="宋体" w:cs="宋体" w:eastAsia="宋体" w:hint="default"/>
          <w:sz w:val="24"/>
          <w:szCs w:val="24"/>
        </w:rPr>
        <w:t>无</w:t>
      </w:r>
    </w:p>
    <w:p>
      <w:pPr>
        <w:pStyle w:val="Heading2"/>
        <w:spacing w:line="352" w:lineRule="auto" w:before="33"/>
        <w:ind w:left="633" w:right="221" w:firstLine="2"/>
        <w:jc w:val="left"/>
        <w:rPr>
          <w:b w:val="0"/>
          <w:bCs w:val="0"/>
        </w:rPr>
      </w:pPr>
      <w:r>
        <w:rPr>
          <w:rFonts w:ascii="宋体" w:hAnsi="宋体" w:cs="宋体" w:eastAsia="宋体" w:hint="default"/>
        </w:rPr>
        <w:t>50</w:t>
      </w:r>
      <w:r>
        <w:rPr/>
        <w:t>、预计负债</w:t>
      </w:r>
      <w:r>
        <w:rPr>
          <w:w w:val="99"/>
        </w:rPr>
        <w:t> </w:t>
      </w:r>
      <w:r>
        <w:rPr>
          <w:rFonts w:ascii="宋体" w:hAnsi="宋体" w:cs="宋体" w:eastAsia="宋体" w:hint="default"/>
          <w:b w:val="0"/>
          <w:bCs w:val="0"/>
        </w:rPr>
        <w:t>无 </w:t>
      </w:r>
      <w:r>
        <w:rPr>
          <w:rFonts w:ascii="宋体" w:hAnsi="宋体" w:cs="宋体" w:eastAsia="宋体" w:hint="default"/>
        </w:rPr>
        <w:t>51</w:t>
      </w:r>
      <w:r>
        <w:rPr/>
        <w:t>、递延收益</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324" w:space="5892"/>
            <w:col w:w="2714"/>
          </w:cols>
        </w:sectPr>
      </w:pP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32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5"/>
              <w:ind w:left="361" w:right="0"/>
              <w:jc w:val="left"/>
              <w:rPr>
                <w:rFonts w:ascii="Times New Roman" w:hAnsi="Times New Roman" w:cs="Times New Roman" w:eastAsia="Times New Roman" w:hint="default"/>
                <w:sz w:val="21"/>
                <w:szCs w:val="21"/>
              </w:rPr>
            </w:pPr>
            <w:r>
              <w:rPr>
                <w:rFonts w:ascii="Times New Roman"/>
                <w:sz w:val="21"/>
              </w:rPr>
              <w:t>12,500,000.00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53" w:right="0"/>
              <w:jc w:val="left"/>
              <w:rPr>
                <w:rFonts w:ascii="Times New Roman" w:hAnsi="Times New Roman" w:cs="Times New Roman" w:eastAsia="Times New Roman" w:hint="default"/>
                <w:sz w:val="21"/>
                <w:szCs w:val="21"/>
              </w:rPr>
            </w:pPr>
            <w:r>
              <w:rPr>
                <w:rFonts w:ascii="Times New Roman"/>
                <w:sz w:val="21"/>
              </w:rPr>
              <w:t>10,500,000.00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left="361" w:right="0"/>
              <w:jc w:val="left"/>
              <w:rPr>
                <w:rFonts w:ascii="Times New Roman" w:hAnsi="Times New Roman" w:cs="Times New Roman" w:eastAsia="Times New Roman" w:hint="default"/>
                <w:sz w:val="21"/>
                <w:szCs w:val="21"/>
              </w:rPr>
            </w:pPr>
            <w:r>
              <w:rPr>
                <w:rFonts w:ascii="Times New Roman"/>
                <w:sz w:val="21"/>
              </w:rPr>
              <w:t>12,500,000.00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3" w:right="0"/>
              <w:jc w:val="left"/>
              <w:rPr>
                <w:rFonts w:ascii="Times New Roman" w:hAnsi="Times New Roman" w:cs="Times New Roman" w:eastAsia="Times New Roman" w:hint="default"/>
                <w:sz w:val="21"/>
                <w:szCs w:val="21"/>
              </w:rPr>
            </w:pPr>
            <w:r>
              <w:rPr>
                <w:rFonts w:ascii="Times New Roman"/>
                <w:sz w:val="21"/>
              </w:rPr>
              <w:t>10,500,000.00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before="35"/>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410"/>
        <w:gridCol w:w="1844"/>
        <w:gridCol w:w="1134"/>
        <w:gridCol w:w="1417"/>
        <w:gridCol w:w="1419"/>
        <w:gridCol w:w="1417"/>
      </w:tblGrid>
      <w:tr>
        <w:trPr>
          <w:trHeight w:val="634" w:hRule="exact"/>
        </w:trPr>
        <w:tc>
          <w:tcPr>
            <w:tcW w:w="241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41"/>
              <w:ind w:left="780"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49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收益相关</w:t>
            </w:r>
          </w:p>
        </w:tc>
      </w:tr>
      <w:tr>
        <w:trPr>
          <w:trHeight w:val="634" w:hRule="exact"/>
        </w:trPr>
        <w:tc>
          <w:tcPr>
            <w:tcW w:w="241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年开通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个车站的新铁</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路信号微机监测系统项目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634" w:hRule="exact"/>
        </w:trPr>
        <w:tc>
          <w:tcPr>
            <w:tcW w:w="241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轨道交通信息集成与网络</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化运营调度指挥系统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635" w:hRule="exact"/>
        </w:trPr>
        <w:tc>
          <w:tcPr>
            <w:tcW w:w="241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北斗铁路列车卫星定位与</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辅助预警系统应用示范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2,500,000.00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12,500,000.00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10,500,000.00</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pStyle w:val="Heading2"/>
        <w:spacing w:line="240" w:lineRule="auto"/>
        <w:ind w:right="1153"/>
        <w:jc w:val="left"/>
        <w:rPr>
          <w:b w:val="0"/>
          <w:bCs w:val="0"/>
        </w:rPr>
      </w:pPr>
      <w:r>
        <w:rPr/>
        <w:t>其他说明：</w:t>
      </w:r>
      <w:r>
        <w:rPr>
          <w:b w:val="0"/>
          <w:bCs w:val="0"/>
        </w:rPr>
      </w:r>
    </w:p>
    <w:p>
      <w:pPr>
        <w:pStyle w:val="BodyText"/>
        <w:spacing w:line="240" w:lineRule="auto" w:before="146"/>
        <w:ind w:left="633" w:right="0"/>
        <w:jc w:val="left"/>
      </w:pPr>
      <w:r>
        <w:rPr/>
        <w:t>（</w:t>
      </w:r>
      <w:r>
        <w:rPr>
          <w:rFonts w:ascii="宋体" w:hAnsi="宋体" w:cs="宋体" w:eastAsia="宋体" w:hint="default"/>
        </w:rPr>
        <w:t>1</w:t>
      </w:r>
      <w:r>
        <w:rPr/>
        <w:t>）根据郑发改投资</w:t>
      </w:r>
      <w:r>
        <w:rPr>
          <w:rFonts w:ascii="宋体" w:hAnsi="宋体" w:cs="宋体" w:eastAsia="宋体" w:hint="default"/>
        </w:rPr>
        <w:t>[2009]380</w:t>
      </w:r>
      <w:r>
        <w:rPr>
          <w:rFonts w:ascii="宋体" w:hAnsi="宋体" w:cs="宋体" w:eastAsia="宋体" w:hint="default"/>
          <w:spacing w:val="-60"/>
        </w:rPr>
        <w:t> </w:t>
      </w:r>
      <w:r>
        <w:rPr/>
        <w:t>号，公司</w:t>
      </w:r>
      <w:r>
        <w:rPr>
          <w:spacing w:val="-60"/>
        </w:rPr>
        <w:t> </w:t>
      </w:r>
      <w:r>
        <w:rPr>
          <w:rFonts w:ascii="宋体" w:hAnsi="宋体" w:cs="宋体" w:eastAsia="宋体" w:hint="default"/>
        </w:rPr>
        <w:t>2009</w:t>
      </w:r>
      <w:r>
        <w:rPr>
          <w:rFonts w:ascii="宋体" w:hAnsi="宋体" w:cs="宋体" w:eastAsia="宋体" w:hint="default"/>
          <w:spacing w:val="-60"/>
        </w:rPr>
        <w:t> </w:t>
      </w:r>
      <w:r>
        <w:rPr/>
        <w:t>年收到拔付的专项国债资金</w:t>
      </w:r>
      <w:r>
        <w:rPr>
          <w:spacing w:val="-60"/>
        </w:rPr>
        <w:t> </w:t>
      </w:r>
      <w:r>
        <w:rPr>
          <w:rFonts w:ascii="宋体" w:hAnsi="宋体" w:cs="宋体" w:eastAsia="宋体" w:hint="default"/>
        </w:rPr>
        <w:t>1000</w:t>
      </w:r>
      <w:r>
        <w:rPr>
          <w:rFonts w:ascii="宋体" w:hAnsi="宋体" w:cs="宋体" w:eastAsia="宋体" w:hint="default"/>
          <w:spacing w:val="-60"/>
        </w:rPr>
        <w:t> </w:t>
      </w:r>
      <w:r>
        <w:rPr/>
        <w:t>万元，</w:t>
      </w:r>
    </w:p>
    <w:p>
      <w:pPr>
        <w:pStyle w:val="BodyText"/>
        <w:spacing w:line="240" w:lineRule="auto" w:before="145"/>
        <w:ind w:right="0"/>
        <w:jc w:val="left"/>
      </w:pPr>
      <w:r>
        <w:rPr/>
        <w:t>用于年开通</w:t>
      </w:r>
      <w:r>
        <w:rPr>
          <w:spacing w:val="-60"/>
        </w:rPr>
        <w:t> </w:t>
      </w:r>
      <w:r>
        <w:rPr>
          <w:rFonts w:ascii="宋体" w:hAnsi="宋体" w:cs="宋体" w:eastAsia="宋体" w:hint="default"/>
        </w:rPr>
        <w:t>500</w:t>
      </w:r>
      <w:r>
        <w:rPr>
          <w:rFonts w:ascii="宋体" w:hAnsi="宋体" w:cs="宋体" w:eastAsia="宋体" w:hint="default"/>
          <w:spacing w:val="-60"/>
        </w:rPr>
        <w:t> </w:t>
      </w:r>
      <w:r>
        <w:rPr/>
        <w:t>个车站的新铁路信号集中监测系统项目的研究与开发，该项目已完工验收并</w:t>
      </w:r>
    </w:p>
    <w:p>
      <w:pPr>
        <w:pStyle w:val="BodyText"/>
        <w:spacing w:line="352" w:lineRule="auto" w:before="145"/>
        <w:ind w:right="1213"/>
        <w:jc w:val="left"/>
      </w:pPr>
      <w:r>
        <w:rPr/>
        <w:t>于</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月份转固，公司按照所购建固定资产的折旧年限（</w:t>
      </w:r>
      <w:r>
        <w:rPr>
          <w:rFonts w:ascii="宋体" w:hAnsi="宋体" w:cs="宋体" w:eastAsia="宋体" w:hint="default"/>
        </w:rPr>
        <w:t>5</w:t>
      </w:r>
      <w:r>
        <w:rPr>
          <w:rFonts w:ascii="宋体" w:hAnsi="宋体" w:cs="宋体" w:eastAsia="宋体" w:hint="default"/>
          <w:spacing w:val="-60"/>
        </w:rPr>
        <w:t> </w:t>
      </w:r>
      <w:r>
        <w:rPr/>
        <w:t>年）将该补助资金平均结 转至各期营业外收入，</w:t>
      </w:r>
      <w:r>
        <w:rPr>
          <w:rFonts w:ascii="宋体" w:hAnsi="宋体" w:cs="宋体" w:eastAsia="宋体" w:hint="default"/>
        </w:rPr>
        <w:t>2015</w:t>
      </w:r>
      <w:r>
        <w:rPr>
          <w:rFonts w:ascii="宋体" w:hAnsi="宋体" w:cs="宋体" w:eastAsia="宋体" w:hint="default"/>
          <w:spacing w:val="-60"/>
        </w:rPr>
        <w:t> </w:t>
      </w:r>
      <w:r>
        <w:rPr/>
        <w:t>年度结转金额为</w:t>
      </w:r>
      <w:r>
        <w:rPr>
          <w:spacing w:val="-60"/>
        </w:rPr>
        <w:t> </w:t>
      </w:r>
      <w:r>
        <w:rPr>
          <w:rFonts w:ascii="宋体" w:hAnsi="宋体" w:cs="宋体" w:eastAsia="宋体" w:hint="default"/>
        </w:rPr>
        <w:t>200</w:t>
      </w:r>
      <w:r>
        <w:rPr>
          <w:rFonts w:ascii="宋体" w:hAnsi="宋体" w:cs="宋体" w:eastAsia="宋体" w:hint="default"/>
          <w:spacing w:val="-60"/>
        </w:rPr>
        <w:t> </w:t>
      </w:r>
      <w:r>
        <w:rPr/>
        <w:t>万元。</w:t>
      </w:r>
    </w:p>
    <w:p>
      <w:pPr>
        <w:pStyle w:val="BodyText"/>
        <w:spacing w:line="350" w:lineRule="auto" w:before="32"/>
        <w:ind w:right="1131" w:firstLine="480"/>
        <w:jc w:val="both"/>
        <w:rPr>
          <w:rFonts w:ascii="宋体" w:hAnsi="宋体" w:cs="宋体" w:eastAsia="宋体" w:hint="default"/>
        </w:rPr>
      </w:pPr>
      <w:r>
        <w:rPr/>
        <w:t>（</w:t>
      </w:r>
      <w:r>
        <w:rPr>
          <w:rFonts w:ascii="宋体" w:hAnsi="宋体" w:cs="宋体" w:eastAsia="宋体" w:hint="default"/>
        </w:rPr>
        <w:t>2</w:t>
      </w:r>
      <w:r>
        <w:rPr/>
        <w:t>）根据郑科计</w:t>
      </w:r>
      <w:r>
        <w:rPr>
          <w:rFonts w:ascii="宋体" w:hAnsi="宋体" w:cs="宋体" w:eastAsia="宋体" w:hint="default"/>
        </w:rPr>
        <w:t>[2013]4</w:t>
      </w:r>
      <w:r>
        <w:rPr>
          <w:rFonts w:ascii="宋体" w:hAnsi="宋体" w:cs="宋体" w:eastAsia="宋体" w:hint="default"/>
          <w:spacing w:val="-60"/>
        </w:rPr>
        <w:t> </w:t>
      </w:r>
      <w:r>
        <w:rPr/>
        <w:t>号关于下达郑州市</w:t>
      </w:r>
      <w:r>
        <w:rPr>
          <w:spacing w:val="-60"/>
        </w:rPr>
        <w:t> </w:t>
      </w:r>
      <w:r>
        <w:rPr>
          <w:rFonts w:ascii="宋体" w:hAnsi="宋体" w:cs="宋体" w:eastAsia="宋体" w:hint="default"/>
        </w:rPr>
        <w:t>2013</w:t>
      </w:r>
      <w:r>
        <w:rPr>
          <w:rFonts w:ascii="宋体" w:hAnsi="宋体" w:cs="宋体" w:eastAsia="宋体" w:hint="default"/>
          <w:spacing w:val="-60"/>
        </w:rPr>
        <w:t> </w:t>
      </w:r>
      <w:r>
        <w:rPr/>
        <w:t>年第一批科技计划项目经费的通知， 轨道交通信息集成与网络化运营调度指挥系统项目收到郑州市财政局专项资金</w:t>
      </w:r>
      <w:r>
        <w:rPr>
          <w:spacing w:val="-59"/>
        </w:rPr>
        <w:t> </w:t>
      </w:r>
      <w:r>
        <w:rPr>
          <w:rFonts w:ascii="宋体" w:hAnsi="宋体" w:cs="宋体" w:eastAsia="宋体" w:hint="default"/>
        </w:rPr>
        <w:t>100</w:t>
      </w:r>
      <w:r>
        <w:rPr>
          <w:rFonts w:ascii="宋体" w:hAnsi="宋体" w:cs="宋体" w:eastAsia="宋体" w:hint="default"/>
          <w:spacing w:val="-60"/>
        </w:rPr>
        <w:t> </w:t>
      </w:r>
      <w:r>
        <w:rPr/>
        <w:t>万元，根 据郑科计</w:t>
      </w:r>
      <w:r>
        <w:rPr>
          <w:rFonts w:ascii="宋体" w:hAnsi="宋体" w:cs="宋体" w:eastAsia="宋体" w:hint="default"/>
        </w:rPr>
        <w:t>[2014]4</w:t>
      </w:r>
      <w:r>
        <w:rPr>
          <w:rFonts w:ascii="宋体" w:hAnsi="宋体" w:cs="宋体" w:eastAsia="宋体" w:hint="default"/>
          <w:spacing w:val="-67"/>
        </w:rPr>
        <w:t> </w:t>
      </w:r>
      <w:r>
        <w:rPr/>
        <w:t>号关于下达郑州市</w:t>
      </w:r>
      <w:r>
        <w:rPr>
          <w:spacing w:val="-67"/>
        </w:rPr>
        <w:t> </w:t>
      </w:r>
      <w:r>
        <w:rPr>
          <w:rFonts w:ascii="宋体" w:hAnsi="宋体" w:cs="宋体" w:eastAsia="宋体" w:hint="default"/>
        </w:rPr>
        <w:t>2014</w:t>
      </w:r>
      <w:r>
        <w:rPr>
          <w:rFonts w:ascii="宋体" w:hAnsi="宋体" w:cs="宋体" w:eastAsia="宋体" w:hint="default"/>
          <w:spacing w:val="-67"/>
        </w:rPr>
        <w:t> </w:t>
      </w:r>
      <w:r>
        <w:rPr/>
        <w:t>年第二批科技计划项目经费的通知，轨道交通信息 集成与网络化运营调度指挥系统项目收到郑州市财政局专项资金</w:t>
      </w:r>
      <w:r>
        <w:rPr>
          <w:spacing w:val="-60"/>
        </w:rPr>
        <w:t> </w:t>
      </w:r>
      <w:r>
        <w:rPr>
          <w:rFonts w:ascii="宋体" w:hAnsi="宋体" w:cs="宋体" w:eastAsia="宋体" w:hint="default"/>
        </w:rPr>
        <w:t>100</w:t>
      </w:r>
      <w:r>
        <w:rPr>
          <w:rFonts w:ascii="宋体" w:hAnsi="宋体" w:cs="宋体" w:eastAsia="宋体" w:hint="default"/>
          <w:spacing w:val="-60"/>
        </w:rPr>
        <w:t> </w:t>
      </w:r>
      <w:r>
        <w:rPr/>
        <w:t>万元，截至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p>
    <w:p>
      <w:pPr>
        <w:pStyle w:val="BodyText"/>
        <w:spacing w:line="240" w:lineRule="auto" w:before="35"/>
        <w:ind w:right="1153"/>
        <w:jc w:val="left"/>
      </w:pP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日止，该项目尚未完工。</w:t>
      </w:r>
    </w:p>
    <w:p>
      <w:pPr>
        <w:pStyle w:val="BodyText"/>
        <w:spacing w:line="350" w:lineRule="auto" w:before="146"/>
        <w:ind w:right="1169" w:firstLine="480"/>
        <w:jc w:val="both"/>
      </w:pPr>
      <w:r>
        <w:rPr/>
        <w:t>（</w:t>
      </w:r>
      <w:r>
        <w:rPr>
          <w:rFonts w:ascii="宋体" w:hAnsi="宋体" w:cs="宋体" w:eastAsia="宋体" w:hint="default"/>
        </w:rPr>
        <w:t>3</w:t>
      </w:r>
      <w:r>
        <w:rPr/>
        <w:t>）根据工信部财</w:t>
      </w:r>
      <w:r>
        <w:rPr>
          <w:rFonts w:ascii="宋体" w:hAnsi="宋体" w:cs="宋体" w:eastAsia="宋体" w:hint="default"/>
        </w:rPr>
        <w:t>[2013]472</w:t>
      </w:r>
      <w:r>
        <w:rPr>
          <w:rFonts w:ascii="宋体" w:hAnsi="宋体" w:cs="宋体" w:eastAsia="宋体" w:hint="default"/>
          <w:spacing w:val="-60"/>
        </w:rPr>
        <w:t> </w:t>
      </w:r>
      <w:r>
        <w:rPr/>
        <w:t>号关于下达</w:t>
      </w:r>
      <w:r>
        <w:rPr>
          <w:spacing w:val="-60"/>
        </w:rPr>
        <w:t> </w:t>
      </w:r>
      <w:r>
        <w:rPr>
          <w:rFonts w:ascii="宋体" w:hAnsi="宋体" w:cs="宋体" w:eastAsia="宋体" w:hint="default"/>
        </w:rPr>
        <w:t>2013</w:t>
      </w:r>
      <w:r>
        <w:rPr>
          <w:rFonts w:ascii="宋体" w:hAnsi="宋体" w:cs="宋体" w:eastAsia="宋体" w:hint="default"/>
          <w:spacing w:val="-60"/>
        </w:rPr>
        <w:t> </w:t>
      </w:r>
      <w:r>
        <w:rPr/>
        <w:t>年度电子信息产业发展基金项目计划的 通知，北斗铁路列车卫星定位与辅助预警系统应用示范项目收到财政部专项资金</w:t>
      </w:r>
      <w:r>
        <w:rPr>
          <w:spacing w:val="-59"/>
        </w:rPr>
        <w:t> </w:t>
      </w:r>
      <w:r>
        <w:rPr>
          <w:rFonts w:ascii="宋体" w:hAnsi="宋体" w:cs="宋体" w:eastAsia="宋体" w:hint="default"/>
        </w:rPr>
        <w:t>400</w:t>
      </w:r>
      <w:r>
        <w:rPr>
          <w:rFonts w:ascii="宋体" w:hAnsi="宋体" w:cs="宋体" w:eastAsia="宋体" w:hint="default"/>
          <w:spacing w:val="-60"/>
        </w:rPr>
        <w:t> </w:t>
      </w:r>
      <w:r>
        <w:rPr/>
        <w:t>万元，</w:t>
      </w:r>
    </w:p>
    <w:p>
      <w:pPr>
        <w:pStyle w:val="BodyText"/>
        <w:spacing w:line="240" w:lineRule="auto" w:before="35"/>
        <w:ind w:right="0"/>
        <w:jc w:val="left"/>
      </w:pPr>
      <w:r>
        <w:rPr/>
        <w:t>按照项目经费管理规定，公司应拨转经费</w:t>
      </w:r>
      <w:r>
        <w:rPr>
          <w:spacing w:val="-60"/>
        </w:rPr>
        <w:t> </w:t>
      </w:r>
      <w:r>
        <w:rPr>
          <w:rFonts w:ascii="宋体" w:hAnsi="宋体" w:cs="宋体" w:eastAsia="宋体" w:hint="default"/>
        </w:rPr>
        <w:t>150</w:t>
      </w:r>
      <w:r>
        <w:rPr>
          <w:rFonts w:ascii="宋体" w:hAnsi="宋体" w:cs="宋体" w:eastAsia="宋体" w:hint="default"/>
          <w:spacing w:val="-60"/>
        </w:rPr>
        <w:t> </w:t>
      </w:r>
      <w:r>
        <w:rPr/>
        <w:t>万元予联合单位北京金鸿泰科技有限公司。截</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spacing w:line="350" w:lineRule="auto" w:before="199"/>
        <w:ind w:left="636" w:right="-19" w:hanging="483"/>
        <w:jc w:val="left"/>
        <w:rPr>
          <w:rFonts w:ascii="宋体" w:hAnsi="宋体" w:cs="宋体" w:eastAsia="宋体" w:hint="default"/>
          <w:sz w:val="24"/>
          <w:szCs w:val="24"/>
        </w:rPr>
      </w:pP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日止，该项目尚未完工。 </w:t>
      </w:r>
      <w:r>
        <w:rPr>
          <w:rFonts w:ascii="宋体" w:hAnsi="宋体" w:cs="宋体" w:eastAsia="宋体" w:hint="default"/>
          <w:b/>
          <w:bCs/>
          <w:sz w:val="24"/>
          <w:szCs w:val="24"/>
        </w:rPr>
        <w:t>52</w:t>
      </w:r>
      <w:r>
        <w:rPr>
          <w:rFonts w:ascii="宋体" w:hAnsi="宋体" w:cs="宋体" w:eastAsia="宋体" w:hint="default"/>
          <w:b/>
          <w:bCs/>
          <w:sz w:val="24"/>
          <w:szCs w:val="24"/>
        </w:rPr>
        <w:t>、其他非流动负债</w:t>
      </w:r>
      <w:r>
        <w:rPr>
          <w:rFonts w:ascii="宋体" w:hAnsi="宋体" w:cs="宋体" w:eastAsia="宋体" w:hint="default"/>
          <w:sz w:val="24"/>
          <w:szCs w:val="24"/>
        </w:rPr>
      </w:r>
    </w:p>
    <w:p>
      <w:pPr>
        <w:spacing w:line="350" w:lineRule="auto" w:before="36"/>
        <w:ind w:left="636" w:right="3213" w:hanging="3"/>
        <w:jc w:val="left"/>
        <w:rPr>
          <w:rFonts w:ascii="宋体" w:hAnsi="宋体" w:cs="宋体" w:eastAsia="宋体" w:hint="default"/>
          <w:sz w:val="24"/>
          <w:szCs w:val="24"/>
        </w:rPr>
      </w:pPr>
      <w:r>
        <w:rPr>
          <w:rFonts w:ascii="宋体" w:hAnsi="宋体" w:cs="宋体" w:eastAsia="宋体" w:hint="default"/>
          <w:sz w:val="24"/>
          <w:szCs w:val="24"/>
        </w:rPr>
        <w:t>无 </w:t>
      </w:r>
      <w:r>
        <w:rPr>
          <w:rFonts w:ascii="宋体" w:hAnsi="宋体" w:cs="宋体" w:eastAsia="宋体" w:hint="default"/>
          <w:b/>
          <w:bCs/>
          <w:sz w:val="24"/>
          <w:szCs w:val="24"/>
        </w:rPr>
        <w:t>53</w:t>
      </w:r>
      <w:r>
        <w:rPr>
          <w:rFonts w:ascii="宋体" w:hAnsi="宋体" w:cs="宋体" w:eastAsia="宋体" w:hint="default"/>
          <w:b/>
          <w:bCs/>
          <w:sz w:val="24"/>
          <w:szCs w:val="24"/>
        </w:rPr>
        <w:t>、股本</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4835" w:space="3965"/>
            <w:col w:w="2130"/>
          </w:cols>
        </w:sectPr>
      </w:pP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184"/>
        <w:gridCol w:w="1510"/>
        <w:gridCol w:w="1123"/>
        <w:gridCol w:w="956"/>
        <w:gridCol w:w="1195"/>
        <w:gridCol w:w="1197"/>
        <w:gridCol w:w="751"/>
        <w:gridCol w:w="1641"/>
      </w:tblGrid>
      <w:tr>
        <w:trPr>
          <w:trHeight w:val="16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22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77" w:lineRule="exact"/>
              <w:ind w:left="149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510"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222" w:type="dxa"/>
            <w:gridSpan w:val="5"/>
            <w:vMerge/>
            <w:tcBorders>
              <w:left w:val="single" w:sz="4" w:space="0" w:color="000000"/>
              <w:bottom w:val="single" w:sz="4" w:space="0" w:color="000000"/>
              <w:right w:val="single" w:sz="4" w:space="0" w:color="000000"/>
            </w:tcBorders>
            <w:shd w:val="clear" w:color="auto" w:fill="D2D2D2"/>
          </w:tcPr>
          <w:p>
            <w:pPr/>
          </w:p>
        </w:tc>
        <w:tc>
          <w:tcPr>
            <w:tcW w:w="1641"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4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61"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510" w:type="dxa"/>
            <w:vMerge/>
            <w:tcBorders>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130"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26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16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41"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16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5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146" w:right="0"/>
              <w:jc w:val="left"/>
              <w:rPr>
                <w:rFonts w:ascii="Times New Roman" w:hAnsi="Times New Roman" w:cs="Times New Roman" w:eastAsia="Times New Roman" w:hint="default"/>
                <w:sz w:val="21"/>
                <w:szCs w:val="21"/>
              </w:rPr>
            </w:pPr>
            <w:r>
              <w:rPr>
                <w:rFonts w:ascii="Times New Roman"/>
                <w:sz w:val="21"/>
              </w:rPr>
              <w:t>376,656,420.00</w:t>
            </w:r>
          </w:p>
        </w:tc>
        <w:tc>
          <w:tcPr>
            <w:tcW w:w="112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96" w:right="0"/>
              <w:jc w:val="left"/>
              <w:rPr>
                <w:rFonts w:ascii="Times New Roman" w:hAnsi="Times New Roman" w:cs="Times New Roman" w:eastAsia="Times New Roman" w:hint="default"/>
                <w:sz w:val="21"/>
                <w:szCs w:val="21"/>
              </w:rPr>
            </w:pPr>
            <w:r>
              <w:rPr>
                <w:rFonts w:ascii="Times New Roman"/>
                <w:sz w:val="21"/>
              </w:rPr>
              <w:t>376,656,420.00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350" w:lineRule="auto"/>
        <w:ind w:left="633" w:right="0" w:firstLine="2"/>
        <w:jc w:val="left"/>
        <w:rPr>
          <w:rFonts w:ascii="宋体" w:hAnsi="宋体" w:cs="宋体" w:eastAsia="宋体" w:hint="default"/>
          <w:b w:val="0"/>
          <w:bCs w:val="0"/>
        </w:rPr>
      </w:pPr>
      <w:r>
        <w:rPr>
          <w:rFonts w:ascii="宋体" w:hAnsi="宋体" w:cs="宋体" w:eastAsia="宋体" w:hint="default"/>
          <w:w w:val="95"/>
        </w:rPr>
        <w:t>54</w:t>
      </w:r>
      <w:r>
        <w:rPr>
          <w:w w:val="95"/>
        </w:rPr>
        <w:t>、其他权益工具</w:t>
      </w:r>
      <w:r>
        <w:rPr>
          <w:spacing w:val="-27"/>
          <w:w w:val="95"/>
        </w:rPr>
        <w:t> </w:t>
      </w:r>
      <w:r>
        <w:rPr>
          <w:rFonts w:ascii="宋体" w:hAnsi="宋体" w:cs="宋体" w:eastAsia="宋体" w:hint="default"/>
          <w:b w:val="0"/>
          <w:bCs w:val="0"/>
        </w:rPr>
        <w:t>无</w:t>
      </w:r>
    </w:p>
    <w:p>
      <w:pPr>
        <w:pStyle w:val="Heading2"/>
        <w:spacing w:line="240" w:lineRule="auto" w:before="35"/>
        <w:ind w:right="0"/>
        <w:jc w:val="left"/>
        <w:rPr>
          <w:b w:val="0"/>
          <w:bCs w:val="0"/>
        </w:rPr>
      </w:pPr>
      <w:r>
        <w:rPr>
          <w:rFonts w:ascii="宋体" w:hAnsi="宋体" w:cs="宋体" w:eastAsia="宋体" w:hint="default"/>
        </w:rPr>
        <w:t>55</w:t>
      </w:r>
      <w:r>
        <w:rPr/>
        <w:t>、资本公积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565" w:space="5651"/>
            <w:col w:w="2714"/>
          </w:cols>
        </w:sectPr>
      </w:pP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246"/>
        <w:gridCol w:w="1572"/>
        <w:gridCol w:w="1914"/>
        <w:gridCol w:w="1914"/>
        <w:gridCol w:w="1914"/>
      </w:tblGrid>
      <w:tr>
        <w:trPr>
          <w:trHeight w:val="32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635,366,386.52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635,366,386.52</w:t>
            </w:r>
          </w:p>
        </w:tc>
      </w:tr>
      <w:tr>
        <w:trPr>
          <w:trHeight w:val="32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180,000.00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180,000.00</w:t>
            </w:r>
          </w:p>
        </w:tc>
      </w:tr>
      <w:tr>
        <w:trPr>
          <w:trHeight w:val="32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635,546,386.52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635,546,386.52</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352" w:lineRule="auto"/>
        <w:ind w:left="633" w:right="703" w:firstLine="2"/>
        <w:jc w:val="left"/>
        <w:rPr>
          <w:rFonts w:ascii="宋体" w:hAnsi="宋体" w:cs="宋体" w:eastAsia="宋体" w:hint="default"/>
          <w:b w:val="0"/>
          <w:bCs w:val="0"/>
        </w:rPr>
      </w:pPr>
      <w:r>
        <w:rPr>
          <w:rFonts w:ascii="宋体" w:hAnsi="宋体" w:cs="宋体" w:eastAsia="宋体" w:hint="default"/>
        </w:rPr>
        <w:t>56</w:t>
      </w:r>
      <w:r>
        <w:rPr/>
        <w:t>、库存股</w:t>
      </w:r>
      <w:r>
        <w:rPr>
          <w:spacing w:val="1"/>
          <w:w w:val="99"/>
        </w:rPr>
        <w:t> </w:t>
      </w:r>
      <w:r>
        <w:rPr>
          <w:rFonts w:ascii="宋体" w:hAnsi="宋体" w:cs="宋体" w:eastAsia="宋体" w:hint="default"/>
          <w:b w:val="0"/>
          <w:bCs w:val="0"/>
        </w:rPr>
        <w:t>无</w:t>
      </w:r>
    </w:p>
    <w:p>
      <w:pPr>
        <w:pStyle w:val="Heading2"/>
        <w:spacing w:line="350" w:lineRule="auto" w:before="33"/>
        <w:ind w:left="633" w:right="0" w:firstLine="2"/>
        <w:jc w:val="left"/>
        <w:rPr>
          <w:rFonts w:ascii="宋体" w:hAnsi="宋体" w:cs="宋体" w:eastAsia="宋体" w:hint="default"/>
          <w:b w:val="0"/>
          <w:bCs w:val="0"/>
        </w:rPr>
      </w:pPr>
      <w:r>
        <w:rPr>
          <w:rFonts w:ascii="宋体" w:hAnsi="宋体" w:cs="宋体" w:eastAsia="宋体" w:hint="default"/>
          <w:w w:val="95"/>
        </w:rPr>
        <w:t>57</w:t>
      </w:r>
      <w:r>
        <w:rPr>
          <w:w w:val="95"/>
        </w:rPr>
        <w:t>、其他综合收益</w:t>
      </w:r>
      <w:r>
        <w:rPr>
          <w:spacing w:val="-27"/>
          <w:w w:val="95"/>
        </w:rPr>
        <w:t> </w:t>
      </w:r>
      <w:r>
        <w:rPr>
          <w:rFonts w:ascii="宋体" w:hAnsi="宋体" w:cs="宋体" w:eastAsia="宋体" w:hint="default"/>
          <w:b w:val="0"/>
          <w:bCs w:val="0"/>
        </w:rPr>
        <w:t>无</w:t>
      </w:r>
    </w:p>
    <w:p>
      <w:pPr>
        <w:pStyle w:val="Heading2"/>
        <w:spacing w:line="350" w:lineRule="auto" w:before="36"/>
        <w:ind w:left="633" w:right="462" w:firstLine="2"/>
        <w:jc w:val="left"/>
        <w:rPr>
          <w:b w:val="0"/>
          <w:bCs w:val="0"/>
        </w:rPr>
      </w:pPr>
      <w:r>
        <w:rPr>
          <w:rFonts w:ascii="宋体" w:hAnsi="宋体" w:cs="宋体" w:eastAsia="宋体" w:hint="default"/>
        </w:rPr>
        <w:t>58</w:t>
      </w:r>
      <w:r>
        <w:rPr/>
        <w:t>、专项储备</w:t>
      </w:r>
      <w:r>
        <w:rPr>
          <w:w w:val="99"/>
        </w:rPr>
        <w:t> </w:t>
      </w:r>
      <w:r>
        <w:rPr>
          <w:rFonts w:ascii="宋体" w:hAnsi="宋体" w:cs="宋体" w:eastAsia="宋体" w:hint="default"/>
          <w:b w:val="0"/>
          <w:bCs w:val="0"/>
        </w:rPr>
        <w:t>无 </w:t>
      </w:r>
      <w:r>
        <w:rPr>
          <w:rFonts w:ascii="宋体" w:hAnsi="宋体" w:cs="宋体" w:eastAsia="宋体" w:hint="default"/>
        </w:rPr>
        <w:t>59</w:t>
      </w:r>
      <w:r>
        <w:rPr/>
        <w:t>、盈余公积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565" w:space="5651"/>
            <w:col w:w="2714"/>
          </w:cols>
        </w:sectPr>
      </w:pP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49,756,320.28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4,112,732.43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53,869,052.71</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z w:val="21"/>
              </w:rPr>
              <w:t>49,756,320.28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4,112,732.43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53,869,052.71</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18"/>
        <w:jc w:val="left"/>
        <w:rPr>
          <w:b w:val="0"/>
          <w:bCs w:val="0"/>
        </w:rPr>
      </w:pPr>
      <w:r>
        <w:rPr>
          <w:rFonts w:ascii="宋体" w:hAnsi="宋体" w:cs="宋体" w:eastAsia="宋体" w:hint="default"/>
          <w:w w:val="95"/>
        </w:rPr>
        <w:t>60</w:t>
      </w:r>
      <w:r>
        <w:rPr>
          <w:w w:val="95"/>
        </w:rPr>
        <w:t>、未分配利润</w:t>
      </w:r>
      <w:r>
        <w:rPr>
          <w:b w:val="0"/>
          <w:bCs w:val="0"/>
        </w:rPr>
      </w:r>
    </w:p>
    <w:p>
      <w:pPr>
        <w:spacing w:line="240" w:lineRule="auto" w:before="3"/>
        <w:rPr>
          <w:rFonts w:ascii="宋体" w:hAnsi="宋体" w:cs="宋体" w:eastAsia="宋体" w:hint="default"/>
          <w:b/>
          <w:bCs/>
          <w:sz w:val="29"/>
          <w:szCs w:val="29"/>
        </w:rPr>
      </w:pPr>
      <w:r>
        <w:rPr/>
        <w:br w:type="column"/>
      </w:r>
      <w:r>
        <w:rPr>
          <w:rFonts w:ascii="宋体"/>
          <w:b/>
          <w:sz w:val="29"/>
        </w:rPr>
      </w:r>
    </w:p>
    <w:p>
      <w:pPr>
        <w:spacing w:before="0"/>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324" w:space="5889"/>
            <w:col w:w="2717"/>
          </w:cols>
        </w:sectPr>
      </w:pPr>
    </w:p>
    <w:p>
      <w:pPr>
        <w:spacing w:line="240" w:lineRule="auto" w:before="0"/>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322" w:hRule="exact"/>
        </w:trPr>
        <w:tc>
          <w:tcPr>
            <w:tcW w:w="3714" w:type="dxa"/>
            <w:tcBorders>
              <w:top w:val="single" w:sz="4" w:space="0" w:color="000000"/>
              <w:left w:val="single" w:sz="4" w:space="0" w:color="000000"/>
              <w:bottom w:val="single" w:sz="4" w:space="0" w:color="000000"/>
              <w:right w:val="single" w:sz="13" w:space="0" w:color="D2D2D2"/>
            </w:tcBorders>
            <w:shd w:val="clear" w:color="auto" w:fill="D6D6D6"/>
          </w:tcPr>
          <w:p>
            <w:pPr>
              <w:pStyle w:val="TableParagraph"/>
              <w:spacing w:line="261"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6" w:type="dxa"/>
            <w:tcBorders>
              <w:top w:val="single" w:sz="4" w:space="0" w:color="000000"/>
              <w:left w:val="single" w:sz="9" w:space="0" w:color="D6D6D6"/>
              <w:bottom w:val="single" w:sz="4" w:space="0" w:color="000000"/>
              <w:right w:val="single" w:sz="4" w:space="0" w:color="000000"/>
            </w:tcBorders>
            <w:shd w:val="clear" w:color="auto" w:fill="D2D2D2"/>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22" w:hRule="exact"/>
        </w:trPr>
        <w:tc>
          <w:tcPr>
            <w:tcW w:w="371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36" w:type="dxa"/>
            <w:tcBorders>
              <w:top w:val="single" w:sz="4" w:space="0" w:color="000000"/>
              <w:left w:val="single" w:sz="9" w:space="0" w:color="D6D6D6"/>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325,942,920.61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303,806,960.47</w:t>
            </w:r>
          </w:p>
        </w:tc>
      </w:tr>
      <w:tr>
        <w:trPr>
          <w:trHeight w:val="322" w:hRule="exact"/>
        </w:trPr>
        <w:tc>
          <w:tcPr>
            <w:tcW w:w="371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36" w:type="dxa"/>
            <w:tcBorders>
              <w:top w:val="single" w:sz="4" w:space="0" w:color="000000"/>
              <w:left w:val="single" w:sz="9" w:space="0" w:color="D6D6D6"/>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325,942,920.61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303,806,960.47</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36" w:type="dxa"/>
            <w:tcBorders>
              <w:top w:val="single" w:sz="4" w:space="0" w:color="000000"/>
              <w:left w:val="single" w:sz="9" w:space="0" w:color="D6D6D6"/>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74,923,796.86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99,007,810.67</w:t>
            </w:r>
          </w:p>
        </w:tc>
      </w:tr>
      <w:tr>
        <w:trPr>
          <w:trHeight w:val="322" w:hRule="exact"/>
        </w:trPr>
        <w:tc>
          <w:tcPr>
            <w:tcW w:w="371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36" w:type="dxa"/>
            <w:tcBorders>
              <w:top w:val="single" w:sz="4" w:space="0" w:color="000000"/>
              <w:left w:val="single" w:sz="9" w:space="0" w:color="D6D6D6"/>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4,112,732.43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22,255,703.83</w:t>
            </w:r>
          </w:p>
        </w:tc>
      </w:tr>
      <w:tr>
        <w:trPr>
          <w:trHeight w:val="322" w:hRule="exact"/>
        </w:trPr>
        <w:tc>
          <w:tcPr>
            <w:tcW w:w="371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36" w:type="dxa"/>
            <w:tcBorders>
              <w:top w:val="single" w:sz="4" w:space="0" w:color="000000"/>
              <w:left w:val="single" w:sz="9" w:space="0" w:color="D6D6D6"/>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11,299,692.60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62,037,528.00</w:t>
            </w:r>
          </w:p>
        </w:tc>
      </w:tr>
      <w:tr>
        <w:trPr>
          <w:trHeight w:val="322" w:hRule="exact"/>
        </w:trPr>
        <w:tc>
          <w:tcPr>
            <w:tcW w:w="371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36" w:type="dxa"/>
            <w:tcBorders>
              <w:top w:val="single" w:sz="4" w:space="0" w:color="000000"/>
              <w:left w:val="single" w:sz="9" w:space="0" w:color="D6D6D6"/>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7,421,381.30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36" w:type="dxa"/>
            <w:tcBorders>
              <w:top w:val="single" w:sz="4" w:space="0" w:color="000000"/>
              <w:left w:val="single" w:sz="9" w:space="0" w:color="D6D6D6"/>
              <w:bottom w:val="single" w:sz="4" w:space="0" w:color="000000"/>
              <w:right w:val="single" w:sz="4" w:space="0" w:color="000000"/>
            </w:tcBorders>
          </w:tcPr>
          <w:p>
            <w:pPr>
              <w:pStyle w:val="TableParagraph"/>
              <w:spacing w:line="240" w:lineRule="auto" w:before="34"/>
              <w:ind w:left="1584" w:right="0"/>
              <w:jc w:val="left"/>
              <w:rPr>
                <w:rFonts w:ascii="Times New Roman" w:hAnsi="Times New Roman" w:cs="Times New Roman" w:eastAsia="Times New Roman" w:hint="default"/>
                <w:sz w:val="21"/>
                <w:szCs w:val="21"/>
              </w:rPr>
            </w:pPr>
            <w:r>
              <w:rPr>
                <w:rFonts w:ascii="Times New Roman"/>
                <w:sz w:val="21"/>
              </w:rPr>
              <w:t>385,454,292.44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73" w:right="0"/>
              <w:jc w:val="left"/>
              <w:rPr>
                <w:rFonts w:ascii="Times New Roman" w:hAnsi="Times New Roman" w:cs="Times New Roman" w:eastAsia="Times New Roman" w:hint="default"/>
                <w:sz w:val="21"/>
                <w:szCs w:val="21"/>
              </w:rPr>
            </w:pPr>
            <w:r>
              <w:rPr>
                <w:rFonts w:ascii="Times New Roman"/>
                <w:sz w:val="21"/>
              </w:rPr>
              <w:t>325,942,920.61</w:t>
            </w:r>
          </w:p>
        </w:tc>
      </w:tr>
    </w:tbl>
    <w:p>
      <w:pPr>
        <w:spacing w:line="240" w:lineRule="auto" w:before="10"/>
        <w:rPr>
          <w:rFonts w:ascii="宋体" w:hAnsi="宋体" w:cs="宋体" w:eastAsia="宋体" w:hint="default"/>
          <w:sz w:val="4"/>
          <w:szCs w:val="4"/>
        </w:rPr>
      </w:pPr>
    </w:p>
    <w:p>
      <w:pPr>
        <w:pStyle w:val="Heading2"/>
        <w:spacing w:line="240" w:lineRule="auto"/>
        <w:ind w:right="1153"/>
        <w:jc w:val="left"/>
        <w:rPr>
          <w:rFonts w:ascii="宋体" w:hAnsi="宋体" w:cs="宋体" w:eastAsia="宋体" w:hint="default"/>
          <w:b w:val="0"/>
          <w:bCs w:val="0"/>
        </w:rPr>
      </w:pPr>
      <w:r>
        <w:rPr/>
        <w:t>调整期初未分配利润明细</w:t>
      </w:r>
      <w:r>
        <w:rPr>
          <w:rFonts w:ascii="宋体" w:hAnsi="宋体" w:cs="宋体" w:eastAsia="宋体" w:hint="default"/>
          <w:b w:val="0"/>
          <w:bCs w:val="0"/>
        </w:rPr>
        <w:t>：</w:t>
      </w:r>
    </w:p>
    <w:p>
      <w:pPr>
        <w:pStyle w:val="BodyText"/>
        <w:spacing w:line="240" w:lineRule="auto" w:before="145"/>
        <w:ind w:left="633" w:right="1153"/>
        <w:jc w:val="left"/>
      </w:pPr>
      <w:r>
        <w:rPr/>
        <w:t>（</w:t>
      </w:r>
      <w:r>
        <w:rPr>
          <w:rFonts w:ascii="宋体" w:hAnsi="宋体" w:cs="宋体" w:eastAsia="宋体" w:hint="default"/>
        </w:rPr>
        <w:t>1</w:t>
      </w:r>
      <w:r>
        <w:rPr/>
        <w:t>）由于《企业会计准则》及其相关新规定进行追溯调整，影响期初未分配利润元。</w:t>
      </w:r>
    </w:p>
    <w:p>
      <w:pPr>
        <w:pStyle w:val="BodyText"/>
        <w:spacing w:line="240" w:lineRule="auto" w:before="146"/>
        <w:ind w:left="633" w:right="1153"/>
        <w:jc w:val="left"/>
      </w:pPr>
      <w:r>
        <w:rPr/>
        <w:t>（</w:t>
      </w:r>
      <w:r>
        <w:rPr>
          <w:rFonts w:ascii="宋体" w:hAnsi="宋体" w:cs="宋体" w:eastAsia="宋体" w:hint="default"/>
        </w:rPr>
        <w:t>2</w:t>
      </w:r>
      <w:r>
        <w:rPr/>
        <w:t>）由于会计政策变更，影响期初未分配利润元。</w:t>
      </w:r>
    </w:p>
    <w:p>
      <w:pPr>
        <w:pStyle w:val="BodyText"/>
        <w:spacing w:line="240" w:lineRule="auto" w:before="146"/>
        <w:ind w:left="633" w:right="1153"/>
        <w:jc w:val="left"/>
      </w:pPr>
      <w:r>
        <w:rPr/>
        <w:t>（</w:t>
      </w:r>
      <w:r>
        <w:rPr>
          <w:rFonts w:ascii="宋体" w:hAnsi="宋体" w:cs="宋体" w:eastAsia="宋体" w:hint="default"/>
        </w:rPr>
        <w:t>3</w:t>
      </w:r>
      <w:r>
        <w:rPr/>
        <w:t>）由于重大会计差错更正，影响期初未分配利润元。</w:t>
      </w:r>
    </w:p>
    <w:p>
      <w:pPr>
        <w:pStyle w:val="BodyText"/>
        <w:spacing w:line="240" w:lineRule="auto" w:before="145"/>
        <w:ind w:left="633" w:right="1153"/>
        <w:jc w:val="left"/>
      </w:pPr>
      <w:r>
        <w:rPr/>
        <w:t>（</w:t>
      </w:r>
      <w:r>
        <w:rPr>
          <w:rFonts w:ascii="宋体" w:hAnsi="宋体" w:cs="宋体" w:eastAsia="宋体" w:hint="default"/>
        </w:rPr>
        <w:t>4</w:t>
      </w:r>
      <w:r>
        <w:rPr/>
        <w:t>）由于同一控制导致的合并范围变更，影响期初未分配利润元。</w:t>
      </w:r>
    </w:p>
    <w:p>
      <w:pPr>
        <w:spacing w:line="352" w:lineRule="auto" w:before="145"/>
        <w:ind w:left="636" w:right="5593" w:hanging="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）其他调整合计影响期初未分配利润元。 </w:t>
      </w:r>
      <w:r>
        <w:rPr>
          <w:rFonts w:ascii="宋体" w:hAnsi="宋体" w:cs="宋体" w:eastAsia="宋体" w:hint="default"/>
          <w:b/>
          <w:bCs/>
          <w:sz w:val="24"/>
          <w:szCs w:val="24"/>
        </w:rPr>
        <w:t>61</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spacing w:line="245" w:lineRule="exact" w:before="0"/>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538,599,267.26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279,657,001.59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483,280,133.23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250,015,425.37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27,427,647.32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13,546,314.85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42,343,624.07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31,659,281.23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566,026,914.58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293,203,316.44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525,623,757.30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281,674,706.60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0"/>
        <w:jc w:val="left"/>
        <w:rPr>
          <w:b w:val="0"/>
          <w:bCs w:val="0"/>
        </w:rPr>
      </w:pPr>
      <w:r>
        <w:rPr>
          <w:rFonts w:ascii="宋体" w:hAnsi="宋体" w:cs="宋体" w:eastAsia="宋体" w:hint="default"/>
          <w:w w:val="95"/>
        </w:rPr>
        <w:t>62</w:t>
      </w:r>
      <w:r>
        <w:rPr>
          <w:w w:val="95"/>
        </w:rPr>
        <w:t>、营业税金及附加</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805" w:space="5407"/>
            <w:col w:w="2718"/>
          </w:cols>
        </w:sectPr>
      </w:pP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6D6D6"/>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3,102,729.91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3,481,497.96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2,216,235.59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2,486,784.35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防洪维护工程费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3,154.32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4,410.24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45,416.67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5,367,536.49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5,972,692.55</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r>
        <w:rPr>
          <w:rFonts w:ascii="宋体" w:hAnsi="宋体" w:cs="宋体" w:eastAsia="宋体" w:hint="default"/>
          <w:w w:val="95"/>
        </w:rPr>
        <w:t>63</w:t>
      </w:r>
      <w:r>
        <w:rPr>
          <w:w w:val="95"/>
        </w:rPr>
        <w:t>、销售费用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083" w:space="6130"/>
            <w:col w:w="2717"/>
          </w:cols>
        </w:sectPr>
      </w:pP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13" w:space="0" w:color="D2D2D2"/>
            </w:tcBorders>
            <w:shd w:val="clear" w:color="auto" w:fill="D6D6D6"/>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9,999,228.64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7,231,532.17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运输及维修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1,412,913.81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1,563,924.29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689,235.21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921,969.64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146,539.09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138,200.00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326,052.08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240,660.37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9,180,265.74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8,345,559.93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2,594,197.93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2,585,468.64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招标及咨询费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3,002,823.83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3,693,888.55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129,119.20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119,633.40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642,745.78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487,582.66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28,123,121.31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25,328,419.65</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0"/>
        <w:jc w:val="left"/>
        <w:rPr>
          <w:b w:val="0"/>
          <w:bCs w:val="0"/>
        </w:rPr>
      </w:pPr>
      <w:r>
        <w:rPr>
          <w:rFonts w:ascii="宋体" w:hAnsi="宋体" w:cs="宋体" w:eastAsia="宋体" w:hint="default"/>
          <w:w w:val="95"/>
        </w:rPr>
        <w:t>64</w:t>
      </w:r>
      <w:r>
        <w:rPr>
          <w:w w:val="95"/>
        </w:rPr>
        <w:t>、管理费用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083" w:space="6130"/>
            <w:col w:w="2717"/>
          </w:cols>
        </w:sectPr>
      </w:pP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17,783,168.62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26,225,146.94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修理及运输</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581,840.73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747,401.93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3,429,001.00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3,996,618.34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63,274,334.81</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43,828,462.10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7,839,372.81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2"/>
                <w:sz w:val="21"/>
              </w:rPr>
              <w:t>11,292,515.11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1,873,878.07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2,123,967.77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3,006,479.78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2,958,086.86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1,294,419.11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1,325,607.31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审计咨询费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1,868,690.74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1,313,507.14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7,075,188.91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9,100,488.94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108,026,374.58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102,911,802.44</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r>
        <w:rPr>
          <w:rFonts w:ascii="宋体" w:hAnsi="宋体" w:cs="宋体" w:eastAsia="宋体" w:hint="default"/>
          <w:w w:val="95"/>
        </w:rPr>
        <w:t>65</w:t>
      </w:r>
      <w:r>
        <w:rPr>
          <w:w w:val="95"/>
        </w:rPr>
        <w:t>、财务费用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083" w:space="6130"/>
            <w:col w:w="2717"/>
          </w:cols>
        </w:sectPr>
      </w:pP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25,603,319.84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14,596,171.56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12,340,169.05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17,154,354.57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240,376.63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1,914,057.72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13,503,527.42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-644,125.29</w:t>
            </w:r>
            <w:r>
              <w:rPr>
                <w:rFonts w:ascii="Times New Roman"/>
                <w:sz w:val="21"/>
              </w:rPr>
            </w:r>
          </w:p>
        </w:tc>
      </w:tr>
    </w:tbl>
    <w:p>
      <w:pPr>
        <w:spacing w:line="240" w:lineRule="auto" w:before="10"/>
        <w:rPr>
          <w:rFonts w:ascii="宋体" w:hAnsi="宋体" w:cs="宋体" w:eastAsia="宋体" w:hint="default"/>
          <w:sz w:val="4"/>
          <w:szCs w:val="4"/>
        </w:rPr>
      </w:pPr>
    </w:p>
    <w:p>
      <w:pPr>
        <w:pStyle w:val="Heading2"/>
        <w:spacing w:line="240" w:lineRule="auto"/>
        <w:ind w:right="1153"/>
        <w:jc w:val="left"/>
        <w:rPr>
          <w:b w:val="0"/>
          <w:bCs w:val="0"/>
        </w:rPr>
      </w:pPr>
      <w:r>
        <w:rPr/>
        <w:t>其他说明：</w:t>
      </w:r>
      <w:r>
        <w:rPr>
          <w:b w:val="0"/>
          <w:bCs w:val="0"/>
        </w:rPr>
      </w:r>
    </w:p>
    <w:p>
      <w:pPr>
        <w:pStyle w:val="BodyText"/>
        <w:spacing w:line="352" w:lineRule="auto" w:before="145"/>
        <w:ind w:right="1213" w:firstLine="480"/>
        <w:jc w:val="left"/>
      </w:pPr>
      <w:r>
        <w:rPr/>
        <w:t>财务费用本期较上期增加</w:t>
      </w:r>
      <w:r>
        <w:rPr>
          <w:spacing w:val="-60"/>
        </w:rPr>
        <w:t> </w:t>
      </w:r>
      <w:r>
        <w:rPr>
          <w:rFonts w:ascii="宋体" w:hAnsi="宋体" w:cs="宋体" w:eastAsia="宋体" w:hint="default"/>
        </w:rPr>
        <w:t>14,147,652.71</w:t>
      </w:r>
      <w:r>
        <w:rPr>
          <w:rFonts w:ascii="宋体" w:hAnsi="宋体" w:cs="宋体" w:eastAsia="宋体" w:hint="default"/>
          <w:spacing w:val="-60"/>
        </w:rPr>
        <w:t> </w:t>
      </w:r>
      <w:r>
        <w:rPr/>
        <w:t>元，增加</w:t>
      </w:r>
      <w:r>
        <w:rPr>
          <w:spacing w:val="-60"/>
        </w:rPr>
        <w:t> </w:t>
      </w:r>
      <w:r>
        <w:rPr>
          <w:rFonts w:ascii="宋体" w:hAnsi="宋体" w:cs="宋体" w:eastAsia="宋体" w:hint="default"/>
        </w:rPr>
        <w:t>2,196.41%</w:t>
      </w:r>
      <w:r>
        <w:rPr/>
        <w:t>，主要系公司发行债券利 息支出增加所致。</w:t>
      </w:r>
    </w:p>
    <w:p>
      <w:pPr>
        <w:pStyle w:val="Heading2"/>
        <w:spacing w:line="240" w:lineRule="auto" w:before="32"/>
        <w:ind w:right="1153"/>
        <w:jc w:val="left"/>
        <w:rPr>
          <w:b w:val="0"/>
          <w:bCs w:val="0"/>
        </w:rPr>
      </w:pPr>
      <w:r>
        <w:rPr>
          <w:rFonts w:ascii="宋体" w:hAnsi="宋体" w:cs="宋体" w:eastAsia="宋体" w:hint="default"/>
        </w:rPr>
        <w:t>66</w:t>
      </w:r>
      <w:r>
        <w:rPr/>
        <w:t>、资产减值损失</w:t>
      </w:r>
      <w:r>
        <w:rPr>
          <w:b w:val="0"/>
          <w:bCs w:val="0"/>
        </w:rPr>
      </w:r>
    </w:p>
    <w:p>
      <w:pPr>
        <w:spacing w:before="83"/>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23,876,114.92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19,345,638.39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12,648,063.35</w:t>
            </w:r>
            <w:r>
              <w:rPr>
                <w:rFonts w:ascii="Times New Roman"/>
                <w:sz w:val="21"/>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36,524,178.27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19,345,638.39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79" w:top="1060" w:bottom="1160" w:left="320" w:right="0"/>
        </w:sectPr>
      </w:pPr>
    </w:p>
    <w:p>
      <w:pPr>
        <w:pStyle w:val="Heading2"/>
        <w:spacing w:line="350" w:lineRule="auto" w:before="199"/>
        <w:ind w:left="1294" w:right="-18" w:firstLine="2"/>
        <w:jc w:val="left"/>
        <w:rPr>
          <w:rFonts w:ascii="宋体" w:hAnsi="宋体" w:cs="宋体" w:eastAsia="宋体" w:hint="default"/>
          <w:b w:val="0"/>
          <w:bCs w:val="0"/>
        </w:rPr>
      </w:pPr>
      <w:r>
        <w:rPr>
          <w:rFonts w:ascii="宋体" w:hAnsi="宋体" w:cs="宋体" w:eastAsia="宋体" w:hint="default"/>
        </w:rPr>
        <w:t>67</w:t>
      </w:r>
      <w:r>
        <w:rPr/>
        <w:t>、公允价值变动收益</w:t>
      </w:r>
      <w:r>
        <w:rPr>
          <w:spacing w:val="1"/>
          <w:w w:val="99"/>
        </w:rPr>
        <w:t> </w:t>
      </w:r>
      <w:r>
        <w:rPr>
          <w:rFonts w:ascii="宋体" w:hAnsi="宋体" w:cs="宋体" w:eastAsia="宋体" w:hint="default"/>
          <w:b w:val="0"/>
          <w:bCs w:val="0"/>
        </w:rPr>
        <w:t>无</w:t>
      </w:r>
    </w:p>
    <w:p>
      <w:pPr>
        <w:pStyle w:val="Heading2"/>
        <w:spacing w:line="240" w:lineRule="auto" w:before="36"/>
        <w:ind w:left="1296" w:right="-18"/>
        <w:jc w:val="left"/>
        <w:rPr>
          <w:b w:val="0"/>
          <w:bCs w:val="0"/>
        </w:rPr>
      </w:pPr>
      <w:r>
        <w:rPr>
          <w:rFonts w:ascii="宋体" w:hAnsi="宋体" w:cs="宋体" w:eastAsia="宋体" w:hint="default"/>
        </w:rPr>
        <w:t>68</w:t>
      </w:r>
      <w:r>
        <w:rPr/>
        <w:t>、投资收益</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0"/>
        <w:ind w:left="1274" w:right="1112" w:firstLine="0"/>
        <w:jc w:val="center"/>
        <w:rPr>
          <w:rFonts w:ascii="宋体" w:hAnsi="宋体" w:cs="宋体" w:eastAsia="宋体" w:hint="default"/>
          <w:sz w:val="21"/>
          <w:szCs w:val="21"/>
        </w:rPr>
      </w:pPr>
      <w:r>
        <w:rPr>
          <w:rFonts w:ascii="宋体" w:hAnsi="宋体" w:cs="宋体" w:eastAsia="宋体" w:hint="default"/>
          <w:sz w:val="21"/>
          <w:szCs w:val="21"/>
        </w:rPr>
        <w:t>单位： 元</w:t>
      </w:r>
    </w:p>
    <w:p>
      <w:pPr>
        <w:spacing w:after="0"/>
        <w:jc w:val="center"/>
        <w:rPr>
          <w:rFonts w:ascii="宋体" w:hAnsi="宋体" w:cs="宋体" w:eastAsia="宋体" w:hint="default"/>
          <w:sz w:val="21"/>
          <w:szCs w:val="21"/>
        </w:rPr>
        <w:sectPr>
          <w:type w:val="continuous"/>
          <w:pgSz w:w="11910" w:h="16840"/>
          <w:pgMar w:top="1060" w:bottom="1160" w:left="320" w:right="0"/>
          <w:cols w:num="2" w:equalWidth="0">
            <w:col w:w="3709" w:space="4506"/>
            <w:col w:w="3375"/>
          </w:cols>
        </w:sectPr>
      </w:pPr>
    </w:p>
    <w:p>
      <w:pPr>
        <w:spacing w:line="240" w:lineRule="auto" w:before="0"/>
        <w:rPr>
          <w:rFonts w:ascii="宋体" w:hAnsi="宋体" w:cs="宋体" w:eastAsia="宋体" w:hint="default"/>
          <w:sz w:val="7"/>
          <w:szCs w:val="7"/>
        </w:rPr>
      </w:pPr>
    </w:p>
    <w:tbl>
      <w:tblPr>
        <w:tblW w:w="0" w:type="auto"/>
        <w:jc w:val="left"/>
        <w:tblInd w:w="82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2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-2,236,165.04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4"/>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 期损益的金融资产取得的投资收益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236,055.39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-2,000,109.65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320" w:right="0"/>
        </w:sectPr>
      </w:pPr>
    </w:p>
    <w:p>
      <w:pPr>
        <w:pStyle w:val="Heading2"/>
        <w:spacing w:line="240" w:lineRule="auto"/>
        <w:ind w:left="1296" w:right="0"/>
        <w:jc w:val="left"/>
        <w:rPr>
          <w:b w:val="0"/>
          <w:bCs w:val="0"/>
        </w:rPr>
      </w:pPr>
      <w:r>
        <w:rPr>
          <w:rFonts w:ascii="宋体" w:hAnsi="宋体" w:cs="宋体" w:eastAsia="宋体" w:hint="default"/>
          <w:w w:val="95"/>
        </w:rPr>
        <w:t>69</w:t>
      </w:r>
      <w:r>
        <w:rPr>
          <w:w w:val="95"/>
        </w:rPr>
        <w:t>、营业外收入</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276" w:right="1112" w:firstLine="0"/>
        <w:jc w:val="center"/>
        <w:rPr>
          <w:rFonts w:ascii="宋体" w:hAnsi="宋体" w:cs="宋体" w:eastAsia="宋体" w:hint="default"/>
          <w:sz w:val="21"/>
          <w:szCs w:val="21"/>
        </w:rPr>
      </w:pPr>
      <w:r>
        <w:rPr>
          <w:rFonts w:ascii="宋体" w:hAnsi="宋体" w:cs="宋体" w:eastAsia="宋体" w:hint="default"/>
          <w:sz w:val="21"/>
          <w:szCs w:val="21"/>
        </w:rPr>
        <w:t>单位： 元</w:t>
      </w:r>
    </w:p>
    <w:p>
      <w:pPr>
        <w:spacing w:after="0"/>
        <w:jc w:val="center"/>
        <w:rPr>
          <w:rFonts w:ascii="宋体" w:hAnsi="宋体" w:cs="宋体" w:eastAsia="宋体" w:hint="default"/>
          <w:sz w:val="21"/>
          <w:szCs w:val="21"/>
        </w:rPr>
        <w:sectPr>
          <w:type w:val="continuous"/>
          <w:pgSz w:w="11910" w:h="16840"/>
          <w:pgMar w:top="1060" w:bottom="1160" w:left="320" w:right="0"/>
          <w:cols w:num="2" w:equalWidth="0">
            <w:col w:w="2984" w:space="5229"/>
            <w:col w:w="3377"/>
          </w:cols>
        </w:sectPr>
      </w:pPr>
    </w:p>
    <w:p>
      <w:pPr>
        <w:spacing w:line="240" w:lineRule="auto" w:before="0"/>
        <w:rPr>
          <w:rFonts w:ascii="宋体" w:hAnsi="宋体" w:cs="宋体" w:eastAsia="宋体" w:hint="default"/>
          <w:sz w:val="7"/>
          <w:szCs w:val="7"/>
        </w:rPr>
      </w:pPr>
    </w:p>
    <w:tbl>
      <w:tblPr>
        <w:tblW w:w="0" w:type="auto"/>
        <w:jc w:val="left"/>
        <w:tblInd w:w="809" w:type="dxa"/>
        <w:tblLayout w:type="fixed"/>
        <w:tblCellMar>
          <w:top w:w="0" w:type="dxa"/>
          <w:left w:w="0" w:type="dxa"/>
          <w:bottom w:w="0" w:type="dxa"/>
          <w:right w:w="0" w:type="dxa"/>
        </w:tblCellMar>
        <w:tblLook w:val="01E0"/>
      </w:tblPr>
      <w:tblGrid>
        <w:gridCol w:w="2390"/>
        <w:gridCol w:w="2091"/>
        <w:gridCol w:w="2146"/>
        <w:gridCol w:w="2943"/>
      </w:tblGrid>
      <w:tr>
        <w:trPr>
          <w:trHeight w:val="402" w:hRule="exact"/>
        </w:trPr>
        <w:tc>
          <w:tcPr>
            <w:tcW w:w="2390" w:type="dxa"/>
            <w:tcBorders>
              <w:top w:val="single" w:sz="4" w:space="0" w:color="000000"/>
              <w:left w:val="single" w:sz="4" w:space="0" w:color="000000"/>
              <w:bottom w:val="single" w:sz="4" w:space="0" w:color="000000"/>
              <w:right w:val="single" w:sz="9" w:space="0" w:color="D2D2D2"/>
            </w:tcBorders>
            <w:shd w:val="clear" w:color="auto" w:fill="D6D6D6"/>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1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2,772,891.00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8,157,600.00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2,772,891.00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增值税超税负返还收入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5,961,138.33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16,332,721.30</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091"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20,080.00</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78,002.40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w w:val="95"/>
                <w:sz w:val="21"/>
              </w:rPr>
              <w:t>11,176.00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78,002.40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8,812,031.73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24,521,577.30</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2,850,893.40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320" w:right="0"/>
        </w:sectPr>
      </w:pPr>
    </w:p>
    <w:p>
      <w:pPr>
        <w:pStyle w:val="Heading2"/>
        <w:spacing w:line="240" w:lineRule="auto"/>
        <w:ind w:left="1296" w:right="0"/>
        <w:jc w:val="left"/>
        <w:rPr>
          <w:b w:val="0"/>
          <w:bCs w:val="0"/>
        </w:rPr>
      </w:pPr>
      <w:r>
        <w:rPr>
          <w:w w:val="95"/>
        </w:rPr>
        <w:t>计入当期损益的政府补助：</w:t>
      </w:r>
      <w:r>
        <w:rPr>
          <w:b w:val="0"/>
          <w:bCs w:val="0"/>
        </w:rPr>
      </w:r>
    </w:p>
    <w:p>
      <w:pPr>
        <w:spacing w:line="240" w:lineRule="auto" w:before="4"/>
        <w:rPr>
          <w:rFonts w:ascii="宋体" w:hAnsi="宋体" w:cs="宋体" w:eastAsia="宋体" w:hint="default"/>
          <w:b/>
          <w:bCs/>
          <w:sz w:val="29"/>
          <w:szCs w:val="29"/>
        </w:rPr>
      </w:pPr>
      <w:r>
        <w:rPr/>
        <w:br w:type="column"/>
      </w:r>
      <w:r>
        <w:rPr>
          <w:rFonts w:ascii="宋体"/>
          <w:b/>
          <w:sz w:val="29"/>
        </w:rPr>
      </w:r>
    </w:p>
    <w:p>
      <w:pPr>
        <w:spacing w:before="0"/>
        <w:ind w:left="1276" w:right="1112" w:firstLine="0"/>
        <w:jc w:val="center"/>
        <w:rPr>
          <w:rFonts w:ascii="宋体" w:hAnsi="宋体" w:cs="宋体" w:eastAsia="宋体" w:hint="default"/>
          <w:sz w:val="21"/>
          <w:szCs w:val="21"/>
        </w:rPr>
      </w:pPr>
      <w:r>
        <w:rPr>
          <w:rFonts w:ascii="宋体" w:hAnsi="宋体" w:cs="宋体" w:eastAsia="宋体" w:hint="default"/>
          <w:sz w:val="21"/>
          <w:szCs w:val="21"/>
        </w:rPr>
        <w:t>单位： 元</w:t>
      </w:r>
    </w:p>
    <w:p>
      <w:pPr>
        <w:spacing w:after="0"/>
        <w:jc w:val="center"/>
        <w:rPr>
          <w:rFonts w:ascii="宋体" w:hAnsi="宋体" w:cs="宋体" w:eastAsia="宋体" w:hint="default"/>
          <w:sz w:val="21"/>
          <w:szCs w:val="21"/>
        </w:rPr>
        <w:sectPr>
          <w:type w:val="continuous"/>
          <w:pgSz w:w="11910" w:h="16840"/>
          <w:pgMar w:top="1060" w:bottom="1160" w:left="320" w:right="0"/>
          <w:cols w:num="2" w:equalWidth="0">
            <w:col w:w="4186" w:space="4027"/>
            <w:col w:w="3377"/>
          </w:cols>
        </w:sectPr>
      </w:pP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135"/>
        <w:gridCol w:w="1984"/>
        <w:gridCol w:w="568"/>
        <w:gridCol w:w="1559"/>
        <w:gridCol w:w="781"/>
        <w:gridCol w:w="637"/>
        <w:gridCol w:w="1276"/>
        <w:gridCol w:w="1276"/>
        <w:gridCol w:w="1276"/>
      </w:tblGrid>
      <w:tr>
        <w:trPr>
          <w:trHeight w:val="1258"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发放主体</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69" w:right="66"/>
              <w:jc w:val="left"/>
              <w:rPr>
                <w:rFonts w:ascii="宋体" w:hAnsi="宋体" w:cs="宋体" w:eastAsia="宋体" w:hint="default"/>
                <w:sz w:val="21"/>
                <w:szCs w:val="21"/>
              </w:rPr>
            </w:pPr>
            <w:r>
              <w:rPr>
                <w:rFonts w:ascii="宋体" w:hAnsi="宋体" w:cs="宋体" w:eastAsia="宋体" w:hint="default"/>
                <w:sz w:val="21"/>
                <w:szCs w:val="21"/>
              </w:rPr>
              <w:t>发放 原因</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性质类型</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补贴是</w:t>
            </w:r>
          </w:p>
          <w:p>
            <w:pPr>
              <w:pStyle w:val="TableParagraph"/>
              <w:spacing w:line="273" w:lineRule="auto" w:before="37"/>
              <w:ind w:left="69" w:right="71"/>
              <w:jc w:val="center"/>
              <w:rPr>
                <w:rFonts w:ascii="宋体" w:hAnsi="宋体" w:cs="宋体" w:eastAsia="宋体" w:hint="default"/>
                <w:sz w:val="21"/>
                <w:szCs w:val="21"/>
              </w:rPr>
            </w:pPr>
            <w:r>
              <w:rPr>
                <w:rFonts w:ascii="宋体" w:hAnsi="宋体" w:cs="宋体" w:eastAsia="宋体" w:hint="default"/>
                <w:sz w:val="21"/>
                <w:szCs w:val="21"/>
              </w:rPr>
              <w:t>否影响 当年盈 亏</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103" w:right="102"/>
              <w:jc w:val="both"/>
              <w:rPr>
                <w:rFonts w:ascii="宋体" w:hAnsi="宋体" w:cs="宋体" w:eastAsia="宋体" w:hint="default"/>
                <w:sz w:val="21"/>
                <w:szCs w:val="21"/>
              </w:rPr>
            </w:pPr>
            <w:r>
              <w:rPr>
                <w:rFonts w:ascii="宋体" w:hAnsi="宋体" w:cs="宋体" w:eastAsia="宋体" w:hint="default"/>
                <w:sz w:val="21"/>
                <w:szCs w:val="21"/>
              </w:rPr>
              <w:t>是否 特殊 补贴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22" w:right="213" w:hanging="210"/>
              <w:jc w:val="left"/>
              <w:rPr>
                <w:rFonts w:ascii="宋体" w:hAnsi="宋体" w:cs="宋体" w:eastAsia="宋体" w:hint="default"/>
                <w:sz w:val="21"/>
                <w:szCs w:val="21"/>
              </w:rPr>
            </w:pPr>
            <w:r>
              <w:rPr>
                <w:rFonts w:ascii="宋体" w:hAnsi="宋体" w:cs="宋体" w:eastAsia="宋体" w:hint="default"/>
                <w:sz w:val="21"/>
                <w:szCs w:val="21"/>
              </w:rPr>
              <w:t>本期发生 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22" w:right="211" w:hanging="210"/>
              <w:jc w:val="left"/>
              <w:rPr>
                <w:rFonts w:ascii="宋体" w:hAnsi="宋体" w:cs="宋体" w:eastAsia="宋体" w:hint="default"/>
                <w:sz w:val="21"/>
                <w:szCs w:val="21"/>
              </w:rPr>
            </w:pPr>
            <w:r>
              <w:rPr>
                <w:rFonts w:ascii="宋体" w:hAnsi="宋体" w:cs="宋体" w:eastAsia="宋体" w:hint="default"/>
                <w:sz w:val="21"/>
                <w:szCs w:val="21"/>
              </w:rPr>
              <w:t>上期发生 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56" w:lineRule="auto"/>
              <w:ind w:left="107" w:right="76" w:hanging="29"/>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 </w:t>
            </w:r>
            <w:r>
              <w:rPr>
                <w:rFonts w:ascii="宋体" w:hAnsi="宋体" w:cs="宋体" w:eastAsia="宋体" w:hint="default"/>
                <w:sz w:val="21"/>
                <w:szCs w:val="21"/>
              </w:rPr>
              <w:t>与收益相关</w:t>
            </w:r>
          </w:p>
        </w:tc>
      </w:tr>
      <w:tr>
        <w:trPr>
          <w:trHeight w:val="188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41"/>
              <w:ind w:left="22" w:right="50"/>
              <w:jc w:val="both"/>
              <w:rPr>
                <w:rFonts w:ascii="宋体" w:hAnsi="宋体" w:cs="宋体" w:eastAsia="宋体" w:hint="default"/>
                <w:sz w:val="21"/>
                <w:szCs w:val="21"/>
              </w:rPr>
            </w:pPr>
            <w:r>
              <w:rPr>
                <w:rFonts w:ascii="宋体" w:hAnsi="宋体" w:cs="宋体" w:eastAsia="宋体" w:hint="default"/>
                <w:sz w:val="21"/>
                <w:szCs w:val="21"/>
              </w:rPr>
              <w:t>年开通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 </w:t>
            </w:r>
            <w:r>
              <w:rPr>
                <w:rFonts w:ascii="宋体" w:hAnsi="宋体" w:cs="宋体" w:eastAsia="宋体" w:hint="default"/>
                <w:sz w:val="21"/>
                <w:szCs w:val="21"/>
              </w:rPr>
              <w:t>个车站的新 铁路信号微 机监测系统 项目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22" w:right="59"/>
              <w:jc w:val="both"/>
              <w:rPr>
                <w:rFonts w:ascii="宋体" w:hAnsi="宋体" w:cs="宋体" w:eastAsia="宋体" w:hint="default"/>
                <w:sz w:val="21"/>
                <w:szCs w:val="21"/>
              </w:rPr>
            </w:pPr>
            <w:r>
              <w:rPr>
                <w:rFonts w:ascii="宋体" w:hAnsi="宋体" w:cs="宋体" w:eastAsia="宋体" w:hint="default"/>
                <w:sz w:val="21"/>
                <w:szCs w:val="21"/>
              </w:rPr>
              <w:t>郑州市发展和改革委 员会、郑州高新区经 发局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因从事国家鼓励</w:t>
            </w:r>
          </w:p>
          <w:p>
            <w:pPr>
              <w:pStyle w:val="TableParagraph"/>
              <w:spacing w:line="273" w:lineRule="auto" w:before="37"/>
              <w:ind w:left="22" w:right="54"/>
              <w:jc w:val="left"/>
              <w:rPr>
                <w:rFonts w:ascii="宋体" w:hAnsi="宋体" w:cs="宋体" w:eastAsia="宋体" w:hint="default"/>
                <w:sz w:val="21"/>
                <w:szCs w:val="21"/>
              </w:rPr>
            </w:pPr>
            <w:r>
              <w:rPr>
                <w:rFonts w:ascii="宋体" w:hAnsi="宋体" w:cs="宋体" w:eastAsia="宋体" w:hint="default"/>
                <w:sz w:val="21"/>
                <w:szCs w:val="21"/>
              </w:rPr>
              <w:t>和扶持特定行 业、产业而获得 的补助（按国家 级政策规定依法 取得）</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25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22" w:right="50"/>
              <w:jc w:val="left"/>
              <w:rPr>
                <w:rFonts w:ascii="宋体" w:hAnsi="宋体" w:cs="宋体" w:eastAsia="宋体" w:hint="default"/>
                <w:sz w:val="21"/>
                <w:szCs w:val="21"/>
              </w:rPr>
            </w:pPr>
            <w:r>
              <w:rPr>
                <w:rFonts w:ascii="宋体" w:hAnsi="宋体" w:cs="宋体" w:eastAsia="宋体" w:hint="default"/>
                <w:sz w:val="21"/>
                <w:szCs w:val="21"/>
              </w:rPr>
              <w:t>专利奖励资 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z w:val="21"/>
                <w:szCs w:val="21"/>
              </w:rPr>
              <w:t>郑州高新技术产业开</w:t>
            </w:r>
          </w:p>
          <w:p>
            <w:pPr>
              <w:pStyle w:val="TableParagraph"/>
              <w:spacing w:line="273" w:lineRule="auto" w:before="37"/>
              <w:ind w:left="22" w:right="59"/>
              <w:jc w:val="both"/>
              <w:rPr>
                <w:rFonts w:ascii="宋体" w:hAnsi="宋体" w:cs="宋体" w:eastAsia="宋体" w:hint="default"/>
                <w:sz w:val="21"/>
                <w:szCs w:val="21"/>
              </w:rPr>
            </w:pPr>
            <w:r>
              <w:rPr>
                <w:rFonts w:ascii="宋体" w:hAnsi="宋体" w:cs="宋体" w:eastAsia="宋体" w:hint="default"/>
                <w:sz w:val="21"/>
                <w:szCs w:val="21"/>
              </w:rPr>
              <w:t>发区财政国库集中支 付中心、北京市丰台 区科学技术委员会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22" w:right="54"/>
              <w:jc w:val="both"/>
              <w:rPr>
                <w:rFonts w:ascii="宋体" w:hAnsi="宋体" w:cs="宋体" w:eastAsia="宋体" w:hint="default"/>
                <w:sz w:val="21"/>
                <w:szCs w:val="21"/>
              </w:rPr>
            </w:pPr>
            <w:r>
              <w:rPr>
                <w:rFonts w:ascii="宋体" w:hAnsi="宋体" w:cs="宋体" w:eastAsia="宋体" w:hint="default"/>
                <w:sz w:val="21"/>
                <w:szCs w:val="21"/>
              </w:rPr>
              <w:t>因研究开发、技 术更新及改造等 获得的补助</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26,000.00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57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22" w:right="50"/>
              <w:jc w:val="left"/>
              <w:rPr>
                <w:rFonts w:ascii="宋体" w:hAnsi="宋体" w:cs="宋体" w:eastAsia="宋体" w:hint="default"/>
                <w:sz w:val="21"/>
                <w:szCs w:val="21"/>
              </w:rPr>
            </w:pPr>
            <w:r>
              <w:rPr>
                <w:rFonts w:ascii="宋体" w:hAnsi="宋体" w:cs="宋体" w:eastAsia="宋体" w:hint="default"/>
                <w:sz w:val="21"/>
                <w:szCs w:val="21"/>
              </w:rPr>
              <w:t>经济突出贡 献企业奖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22" w:right="59"/>
              <w:jc w:val="left"/>
              <w:rPr>
                <w:rFonts w:ascii="宋体" w:hAnsi="宋体" w:cs="宋体" w:eastAsia="宋体" w:hint="default"/>
                <w:sz w:val="21"/>
                <w:szCs w:val="21"/>
              </w:rPr>
            </w:pPr>
            <w:r>
              <w:rPr>
                <w:rFonts w:ascii="宋体" w:hAnsi="宋体" w:cs="宋体" w:eastAsia="宋体" w:hint="default"/>
                <w:sz w:val="21"/>
                <w:szCs w:val="21"/>
              </w:rPr>
              <w:t>郑州高新技术产业开 发区管委会财政局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因从事国家鼓励</w:t>
            </w:r>
          </w:p>
          <w:p>
            <w:pPr>
              <w:pStyle w:val="TableParagraph"/>
              <w:spacing w:line="273" w:lineRule="auto" w:before="37"/>
              <w:ind w:left="22" w:right="54"/>
              <w:jc w:val="left"/>
              <w:rPr>
                <w:rFonts w:ascii="宋体" w:hAnsi="宋体" w:cs="宋体" w:eastAsia="宋体" w:hint="default"/>
                <w:sz w:val="21"/>
                <w:szCs w:val="21"/>
              </w:rPr>
            </w:pPr>
            <w:r>
              <w:rPr>
                <w:rFonts w:ascii="宋体" w:hAnsi="宋体" w:cs="宋体" w:eastAsia="宋体" w:hint="default"/>
                <w:sz w:val="21"/>
                <w:szCs w:val="21"/>
              </w:rPr>
              <w:t>和扶持特定行 业、产业而获得 的补助（按国家 级政策规定依法</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0"/>
              <w:jc w:val="right"/>
              <w:rPr>
                <w:rFonts w:ascii="Times New Roman" w:hAnsi="Times New Roman" w:cs="Times New Roman" w:eastAsia="Times New Roman" w:hint="default"/>
                <w:sz w:val="21"/>
                <w:szCs w:val="21"/>
              </w:rPr>
            </w:pPr>
            <w:r>
              <w:rPr>
                <w:rFonts w:ascii="Times New Roman"/>
                <w:spacing w:val="-1"/>
                <w:sz w:val="21"/>
              </w:rPr>
              <w:t>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type w:val="continuous"/>
          <w:pgSz w:w="11910" w:h="16840"/>
          <w:pgMar w:top="1060" w:bottom="1160" w:left="3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135"/>
        <w:gridCol w:w="1984"/>
        <w:gridCol w:w="568"/>
        <w:gridCol w:w="1559"/>
        <w:gridCol w:w="781"/>
        <w:gridCol w:w="637"/>
        <w:gridCol w:w="1276"/>
        <w:gridCol w:w="1276"/>
        <w:gridCol w:w="1276"/>
      </w:tblGrid>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取得）</w:t>
            </w:r>
          </w:p>
        </w:tc>
        <w:tc>
          <w:tcPr>
            <w:tcW w:w="78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18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22" w:right="50"/>
              <w:jc w:val="both"/>
              <w:rPr>
                <w:rFonts w:ascii="宋体" w:hAnsi="宋体" w:cs="宋体" w:eastAsia="宋体" w:hint="default"/>
                <w:sz w:val="21"/>
                <w:szCs w:val="21"/>
              </w:rPr>
            </w:pPr>
            <w:r>
              <w:rPr>
                <w:rFonts w:ascii="宋体" w:hAnsi="宋体" w:cs="宋体" w:eastAsia="宋体" w:hint="default"/>
                <w:sz w:val="21"/>
                <w:szCs w:val="21"/>
              </w:rPr>
              <w:t>拆迁安置办 公室土地租 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22" w:right="59"/>
              <w:jc w:val="both"/>
              <w:rPr>
                <w:rFonts w:ascii="宋体" w:hAnsi="宋体" w:cs="宋体" w:eastAsia="宋体" w:hint="default"/>
                <w:sz w:val="21"/>
                <w:szCs w:val="21"/>
              </w:rPr>
            </w:pPr>
            <w:r>
              <w:rPr>
                <w:rFonts w:ascii="宋体" w:hAnsi="宋体" w:cs="宋体" w:eastAsia="宋体" w:hint="default"/>
                <w:sz w:val="21"/>
                <w:szCs w:val="21"/>
              </w:rPr>
              <w:t>郑州高新技术产业开 发区财政国库集中支 付中心</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z w:val="21"/>
                <w:szCs w:val="21"/>
              </w:rPr>
              <w:t>因承担国家为保</w:t>
            </w:r>
          </w:p>
          <w:p>
            <w:pPr>
              <w:pStyle w:val="TableParagraph"/>
              <w:spacing w:line="273" w:lineRule="auto" w:before="37"/>
              <w:ind w:left="22" w:right="54"/>
              <w:jc w:val="both"/>
              <w:rPr>
                <w:rFonts w:ascii="宋体" w:hAnsi="宋体" w:cs="宋体" w:eastAsia="宋体" w:hint="default"/>
                <w:sz w:val="21"/>
                <w:szCs w:val="21"/>
              </w:rPr>
            </w:pPr>
            <w:r>
              <w:rPr>
                <w:rFonts w:ascii="宋体" w:hAnsi="宋体" w:cs="宋体" w:eastAsia="宋体" w:hint="default"/>
                <w:sz w:val="21"/>
                <w:szCs w:val="21"/>
              </w:rPr>
              <w:t>障某种公用事业 或社会必要产品 供应或价格控制 职能而获得的补 助</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36,891.00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88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9"/>
              <w:ind w:left="22" w:right="50"/>
              <w:jc w:val="left"/>
              <w:rPr>
                <w:rFonts w:ascii="宋体" w:hAnsi="宋体" w:cs="宋体" w:eastAsia="宋体" w:hint="default"/>
                <w:sz w:val="21"/>
                <w:szCs w:val="21"/>
              </w:rPr>
            </w:pPr>
            <w:r>
              <w:rPr>
                <w:rFonts w:ascii="宋体" w:hAnsi="宋体" w:cs="宋体" w:eastAsia="宋体" w:hint="default"/>
                <w:sz w:val="21"/>
                <w:szCs w:val="21"/>
              </w:rPr>
              <w:t>高新技术企 业奖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22" w:right="59"/>
              <w:jc w:val="both"/>
              <w:rPr>
                <w:rFonts w:ascii="宋体" w:hAnsi="宋体" w:cs="宋体" w:eastAsia="宋体" w:hint="default"/>
                <w:sz w:val="21"/>
                <w:szCs w:val="21"/>
              </w:rPr>
            </w:pPr>
            <w:r>
              <w:rPr>
                <w:rFonts w:ascii="宋体" w:hAnsi="宋体" w:cs="宋体" w:eastAsia="宋体" w:hint="default"/>
                <w:sz w:val="21"/>
                <w:szCs w:val="21"/>
              </w:rPr>
              <w:t>郑州高新技术产业开 发区财政国库集中支 付中心</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奖励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因从事国家鼓励</w:t>
            </w:r>
          </w:p>
          <w:p>
            <w:pPr>
              <w:pStyle w:val="TableParagraph"/>
              <w:spacing w:line="273" w:lineRule="auto" w:before="37"/>
              <w:ind w:left="22" w:right="54"/>
              <w:jc w:val="left"/>
              <w:rPr>
                <w:rFonts w:ascii="宋体" w:hAnsi="宋体" w:cs="宋体" w:eastAsia="宋体" w:hint="default"/>
                <w:sz w:val="21"/>
                <w:szCs w:val="21"/>
              </w:rPr>
            </w:pPr>
            <w:r>
              <w:rPr>
                <w:rFonts w:ascii="宋体" w:hAnsi="宋体" w:cs="宋体" w:eastAsia="宋体" w:hint="default"/>
                <w:sz w:val="21"/>
                <w:szCs w:val="21"/>
              </w:rPr>
              <w:t>和扶持特定行 业、产业而获得 的补助（按国家 级政策规定依法 取得）</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22"/>
              <w:jc w:val="right"/>
              <w:rPr>
                <w:rFonts w:ascii="Times New Roman" w:hAnsi="Times New Roman" w:cs="Times New Roman" w:eastAsia="Times New Roman" w:hint="default"/>
                <w:sz w:val="21"/>
                <w:szCs w:val="21"/>
              </w:rPr>
            </w:pPr>
            <w:r>
              <w:rPr>
                <w:rFonts w:ascii="Times New Roman"/>
                <w:sz w:val="21"/>
              </w:rPr>
              <w:t>10,000.00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88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22" w:right="50"/>
              <w:jc w:val="both"/>
              <w:rPr>
                <w:rFonts w:ascii="宋体" w:hAnsi="宋体" w:cs="宋体" w:eastAsia="宋体" w:hint="default"/>
                <w:sz w:val="21"/>
                <w:szCs w:val="21"/>
              </w:rPr>
            </w:pPr>
            <w:r>
              <w:rPr>
                <w:rFonts w:ascii="宋体" w:hAnsi="宋体" w:cs="宋体" w:eastAsia="宋体" w:hint="default"/>
                <w:sz w:val="21"/>
                <w:szCs w:val="21"/>
              </w:rPr>
              <w:t>天津新兴产 业转型升级 财政补贴资 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9"/>
              <w:ind w:left="22" w:right="59"/>
              <w:jc w:val="left"/>
              <w:rPr>
                <w:rFonts w:ascii="宋体" w:hAnsi="宋体" w:cs="宋体" w:eastAsia="宋体" w:hint="default"/>
                <w:sz w:val="21"/>
                <w:szCs w:val="21"/>
              </w:rPr>
            </w:pPr>
            <w:r>
              <w:rPr>
                <w:rFonts w:ascii="宋体" w:hAnsi="宋体" w:cs="宋体" w:eastAsia="宋体" w:hint="default"/>
                <w:sz w:val="21"/>
                <w:szCs w:val="21"/>
              </w:rPr>
              <w:t>天津市发改委、市财 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因从事国家鼓励</w:t>
            </w:r>
          </w:p>
          <w:p>
            <w:pPr>
              <w:pStyle w:val="TableParagraph"/>
              <w:spacing w:line="273" w:lineRule="auto" w:before="37"/>
              <w:ind w:left="22" w:right="54"/>
              <w:jc w:val="left"/>
              <w:rPr>
                <w:rFonts w:ascii="宋体" w:hAnsi="宋体" w:cs="宋体" w:eastAsia="宋体" w:hint="default"/>
                <w:sz w:val="21"/>
                <w:szCs w:val="21"/>
              </w:rPr>
            </w:pPr>
            <w:r>
              <w:rPr>
                <w:rFonts w:ascii="宋体" w:hAnsi="宋体" w:cs="宋体" w:eastAsia="宋体" w:hint="default"/>
                <w:sz w:val="21"/>
                <w:szCs w:val="21"/>
              </w:rPr>
              <w:t>和扶持特定行 业、产业而获得 的补助（按国家 级政策规定依法 取得）</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20"/>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8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HH-LS</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型计</w:t>
            </w:r>
          </w:p>
          <w:p>
            <w:pPr>
              <w:pStyle w:val="TableParagraph"/>
              <w:spacing w:line="273" w:lineRule="auto" w:before="21"/>
              <w:ind w:left="22" w:right="50"/>
              <w:jc w:val="left"/>
              <w:rPr>
                <w:rFonts w:ascii="宋体" w:hAnsi="宋体" w:cs="宋体" w:eastAsia="宋体" w:hint="default"/>
                <w:sz w:val="21"/>
                <w:szCs w:val="21"/>
              </w:rPr>
            </w:pPr>
            <w:r>
              <w:rPr>
                <w:rFonts w:ascii="宋体" w:hAnsi="宋体" w:cs="宋体" w:eastAsia="宋体" w:hint="default"/>
                <w:sz w:val="21"/>
                <w:szCs w:val="21"/>
              </w:rPr>
              <w:t>算机联锁系 统</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郑州市财政局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因从事国家鼓励</w:t>
            </w:r>
          </w:p>
          <w:p>
            <w:pPr>
              <w:pStyle w:val="TableParagraph"/>
              <w:spacing w:line="273" w:lineRule="auto" w:before="37"/>
              <w:ind w:left="22" w:right="54"/>
              <w:jc w:val="left"/>
              <w:rPr>
                <w:rFonts w:ascii="宋体" w:hAnsi="宋体" w:cs="宋体" w:eastAsia="宋体" w:hint="default"/>
                <w:sz w:val="21"/>
                <w:szCs w:val="21"/>
              </w:rPr>
            </w:pPr>
            <w:r>
              <w:rPr>
                <w:rFonts w:ascii="宋体" w:hAnsi="宋体" w:cs="宋体" w:eastAsia="宋体" w:hint="default"/>
                <w:sz w:val="21"/>
                <w:szCs w:val="21"/>
              </w:rPr>
              <w:t>和扶持特定行 业、产业而获得 的补助（按国家 级政策规定依法 取得）</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20"/>
              <w:jc w:val="right"/>
              <w:rPr>
                <w:rFonts w:ascii="Times New Roman" w:hAnsi="Times New Roman" w:cs="Times New Roman" w:eastAsia="Times New Roman" w:hint="default"/>
                <w:sz w:val="21"/>
                <w:szCs w:val="21"/>
              </w:rPr>
            </w:pPr>
            <w:r>
              <w:rPr>
                <w:rFonts w:ascii="Times New Roman"/>
                <w:spacing w:val="-1"/>
                <w:sz w:val="21"/>
              </w:rPr>
              <w:t>450,000.00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88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22" w:right="50"/>
              <w:jc w:val="both"/>
              <w:rPr>
                <w:rFonts w:ascii="宋体" w:hAnsi="宋体" w:cs="宋体" w:eastAsia="宋体" w:hint="default"/>
                <w:sz w:val="21"/>
                <w:szCs w:val="21"/>
              </w:rPr>
            </w:pPr>
            <w:r>
              <w:rPr>
                <w:rFonts w:ascii="宋体" w:hAnsi="宋体" w:cs="宋体" w:eastAsia="宋体" w:hint="default"/>
                <w:sz w:val="21"/>
                <w:szCs w:val="21"/>
              </w:rPr>
              <w:t>铁路防灾安 全监控系统 研发及产业 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郑州市财政局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因从事国家鼓励</w:t>
            </w:r>
          </w:p>
          <w:p>
            <w:pPr>
              <w:pStyle w:val="TableParagraph"/>
              <w:spacing w:line="273" w:lineRule="auto" w:before="37"/>
              <w:ind w:left="22" w:right="54"/>
              <w:jc w:val="left"/>
              <w:rPr>
                <w:rFonts w:ascii="宋体" w:hAnsi="宋体" w:cs="宋体" w:eastAsia="宋体" w:hint="default"/>
                <w:sz w:val="21"/>
                <w:szCs w:val="21"/>
              </w:rPr>
            </w:pPr>
            <w:r>
              <w:rPr>
                <w:rFonts w:ascii="宋体" w:hAnsi="宋体" w:cs="宋体" w:eastAsia="宋体" w:hint="default"/>
                <w:sz w:val="21"/>
                <w:szCs w:val="21"/>
              </w:rPr>
              <w:t>和扶持特定行 业、产业而获得 的补助（按国家 级政策规定依法 取得）</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20"/>
              <w:jc w:val="right"/>
              <w:rPr>
                <w:rFonts w:ascii="Times New Roman" w:hAnsi="Times New Roman" w:cs="Times New Roman" w:eastAsia="Times New Roman" w:hint="default"/>
                <w:sz w:val="21"/>
                <w:szCs w:val="21"/>
              </w:rPr>
            </w:pPr>
            <w:r>
              <w:rPr>
                <w:rFonts w:ascii="Times New Roman"/>
                <w:spacing w:val="-1"/>
                <w:sz w:val="21"/>
              </w:rPr>
              <w:t>800,000.00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88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2" w:right="50"/>
              <w:jc w:val="both"/>
              <w:rPr>
                <w:rFonts w:ascii="宋体" w:hAnsi="宋体" w:cs="宋体" w:eastAsia="宋体" w:hint="default"/>
                <w:sz w:val="21"/>
                <w:szCs w:val="21"/>
              </w:rPr>
            </w:pPr>
            <w:r>
              <w:rPr>
                <w:rFonts w:ascii="宋体" w:hAnsi="宋体" w:cs="宋体" w:eastAsia="宋体" w:hint="default"/>
                <w:sz w:val="21"/>
                <w:szCs w:val="21"/>
              </w:rPr>
              <w:t>轨道交通智 能应急预案 管理辅助决 策系统研究 及产业化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郑州市财政局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因从事国家鼓励</w:t>
            </w:r>
          </w:p>
          <w:p>
            <w:pPr>
              <w:pStyle w:val="TableParagraph"/>
              <w:spacing w:line="273" w:lineRule="auto" w:before="37"/>
              <w:ind w:left="22" w:right="54"/>
              <w:jc w:val="left"/>
              <w:rPr>
                <w:rFonts w:ascii="宋体" w:hAnsi="宋体" w:cs="宋体" w:eastAsia="宋体" w:hint="default"/>
                <w:sz w:val="21"/>
                <w:szCs w:val="21"/>
              </w:rPr>
            </w:pPr>
            <w:r>
              <w:rPr>
                <w:rFonts w:ascii="宋体" w:hAnsi="宋体" w:cs="宋体" w:eastAsia="宋体" w:hint="default"/>
                <w:sz w:val="21"/>
                <w:szCs w:val="21"/>
              </w:rPr>
              <w:t>和扶持特定行 业、产业而获得 的补助（按国家 级政策规定依法 取得）</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21"/>
              <w:jc w:val="right"/>
              <w:rPr>
                <w:rFonts w:ascii="Times New Roman" w:hAnsi="Times New Roman" w:cs="Times New Roman" w:eastAsia="Times New Roman" w:hint="default"/>
                <w:sz w:val="21"/>
                <w:szCs w:val="21"/>
              </w:rPr>
            </w:pPr>
            <w:r>
              <w:rPr>
                <w:rFonts w:ascii="Times New Roman"/>
                <w:spacing w:val="-1"/>
                <w:sz w:val="21"/>
              </w:rPr>
              <w:t>3,000,000.00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8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22" w:right="50"/>
              <w:jc w:val="both"/>
              <w:rPr>
                <w:rFonts w:ascii="宋体" w:hAnsi="宋体" w:cs="宋体" w:eastAsia="宋体" w:hint="default"/>
                <w:sz w:val="21"/>
                <w:szCs w:val="21"/>
              </w:rPr>
            </w:pPr>
            <w:r>
              <w:rPr>
                <w:rFonts w:ascii="宋体" w:hAnsi="宋体" w:cs="宋体" w:eastAsia="宋体" w:hint="default"/>
                <w:sz w:val="21"/>
                <w:szCs w:val="21"/>
              </w:rPr>
              <w:t>铁路电务管 理信息系统 研发及产业 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0"/>
              <w:ind w:left="22" w:right="59"/>
              <w:jc w:val="left"/>
              <w:rPr>
                <w:rFonts w:ascii="宋体" w:hAnsi="宋体" w:cs="宋体" w:eastAsia="宋体" w:hint="default"/>
                <w:sz w:val="21"/>
                <w:szCs w:val="21"/>
              </w:rPr>
            </w:pPr>
            <w:r>
              <w:rPr>
                <w:rFonts w:ascii="宋体" w:hAnsi="宋体" w:cs="宋体" w:eastAsia="宋体" w:hint="default"/>
                <w:sz w:val="21"/>
                <w:szCs w:val="21"/>
              </w:rPr>
              <w:t>郑州高新技术产业开 发区管委会财政局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因从事国家鼓励</w:t>
            </w:r>
          </w:p>
          <w:p>
            <w:pPr>
              <w:pStyle w:val="TableParagraph"/>
              <w:spacing w:line="273" w:lineRule="auto" w:before="37"/>
              <w:ind w:left="22" w:right="54"/>
              <w:jc w:val="left"/>
              <w:rPr>
                <w:rFonts w:ascii="宋体" w:hAnsi="宋体" w:cs="宋体" w:eastAsia="宋体" w:hint="default"/>
                <w:sz w:val="21"/>
                <w:szCs w:val="21"/>
              </w:rPr>
            </w:pPr>
            <w:r>
              <w:rPr>
                <w:rFonts w:ascii="宋体" w:hAnsi="宋体" w:cs="宋体" w:eastAsia="宋体" w:hint="default"/>
                <w:sz w:val="21"/>
                <w:szCs w:val="21"/>
              </w:rPr>
              <w:t>和扶持特定行 业、产业而获得 的补助（按国家 级政策规定依法 取得）</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20"/>
              <w:jc w:val="right"/>
              <w:rPr>
                <w:rFonts w:ascii="Times New Roman" w:hAnsi="Times New Roman" w:cs="Times New Roman" w:eastAsia="Times New Roman" w:hint="default"/>
                <w:sz w:val="21"/>
                <w:szCs w:val="21"/>
              </w:rPr>
            </w:pPr>
            <w:r>
              <w:rPr>
                <w:rFonts w:ascii="Times New Roman"/>
                <w:spacing w:val="-1"/>
                <w:sz w:val="21"/>
              </w:rPr>
              <w:t>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铁路交通自</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郑州市财政局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9"/>
              <w:jc w:val="center"/>
              <w:rPr>
                <w:rFonts w:ascii="宋体" w:hAnsi="宋体" w:cs="宋体" w:eastAsia="宋体" w:hint="default"/>
                <w:sz w:val="21"/>
                <w:szCs w:val="21"/>
              </w:rPr>
            </w:pPr>
            <w:r>
              <w:rPr>
                <w:rFonts w:ascii="宋体" w:hAnsi="宋体" w:cs="宋体" w:eastAsia="宋体" w:hint="default"/>
                <w:sz w:val="21"/>
                <w:szCs w:val="21"/>
              </w:rPr>
              <w:t>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因从事国家鼓励</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60" w:lineRule="exact"/>
        <w:jc w:val="left"/>
        <w:rPr>
          <w:rFonts w:ascii="宋体" w:hAnsi="宋体" w:cs="宋体" w:eastAsia="宋体" w:hint="default"/>
          <w:sz w:val="21"/>
          <w:szCs w:val="21"/>
        </w:rPr>
        <w:sectPr>
          <w:pgSz w:w="11910" w:h="16840"/>
          <w:pgMar w:header="747" w:footer="979" w:top="1060" w:bottom="1160" w:left="3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135"/>
        <w:gridCol w:w="1984"/>
        <w:gridCol w:w="568"/>
        <w:gridCol w:w="1559"/>
        <w:gridCol w:w="781"/>
        <w:gridCol w:w="637"/>
        <w:gridCol w:w="1276"/>
        <w:gridCol w:w="1276"/>
        <w:gridCol w:w="1276"/>
      </w:tblGrid>
      <w:tr>
        <w:trPr>
          <w:trHeight w:val="157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动化控制系</w:t>
            </w:r>
          </w:p>
          <w:p>
            <w:pPr>
              <w:pStyle w:val="TableParagraph"/>
              <w:spacing w:line="273" w:lineRule="auto" w:before="37"/>
              <w:ind w:left="22" w:right="50"/>
              <w:jc w:val="left"/>
              <w:rPr>
                <w:rFonts w:ascii="宋体" w:hAnsi="宋体" w:cs="宋体" w:eastAsia="宋体" w:hint="default"/>
                <w:sz w:val="21"/>
                <w:szCs w:val="21"/>
              </w:rPr>
            </w:pPr>
            <w:r>
              <w:rPr>
                <w:rFonts w:ascii="宋体" w:hAnsi="宋体" w:cs="宋体" w:eastAsia="宋体" w:hint="default"/>
                <w:sz w:val="21"/>
                <w:szCs w:val="21"/>
              </w:rPr>
              <w:t>统关键技术 研究</w:t>
            </w:r>
          </w:p>
        </w:tc>
        <w:tc>
          <w:tcPr>
            <w:tcW w:w="198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z w:val="21"/>
                <w:szCs w:val="21"/>
              </w:rPr>
              <w:t>和扶持特定行</w:t>
            </w:r>
          </w:p>
          <w:p>
            <w:pPr>
              <w:pStyle w:val="TableParagraph"/>
              <w:spacing w:line="273" w:lineRule="auto" w:before="37"/>
              <w:ind w:left="22" w:right="54"/>
              <w:jc w:val="both"/>
              <w:rPr>
                <w:rFonts w:ascii="宋体" w:hAnsi="宋体" w:cs="宋体" w:eastAsia="宋体" w:hint="default"/>
                <w:sz w:val="21"/>
                <w:szCs w:val="21"/>
              </w:rPr>
            </w:pPr>
            <w:r>
              <w:rPr>
                <w:rFonts w:ascii="宋体" w:hAnsi="宋体" w:cs="宋体" w:eastAsia="宋体" w:hint="default"/>
                <w:sz w:val="21"/>
                <w:szCs w:val="21"/>
              </w:rPr>
              <w:t>业、产业而获得 的补助（按国家 级政策规定依法 取得）</w:t>
            </w:r>
          </w:p>
        </w:tc>
        <w:tc>
          <w:tcPr>
            <w:tcW w:w="78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18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22" w:right="50"/>
              <w:jc w:val="both"/>
              <w:rPr>
                <w:rFonts w:ascii="宋体" w:hAnsi="宋体" w:cs="宋体" w:eastAsia="宋体" w:hint="default"/>
                <w:sz w:val="21"/>
                <w:szCs w:val="21"/>
              </w:rPr>
            </w:pPr>
            <w:r>
              <w:rPr>
                <w:rFonts w:ascii="宋体" w:hAnsi="宋体" w:cs="宋体" w:eastAsia="宋体" w:hint="default"/>
                <w:sz w:val="21"/>
                <w:szCs w:val="21"/>
              </w:rPr>
              <w:t>城市轨道交 通信号维护 指挥家系统</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郑州市财政局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89"/>
              <w:jc w:val="center"/>
              <w:rPr>
                <w:rFonts w:ascii="宋体" w:hAnsi="宋体" w:cs="宋体" w:eastAsia="宋体" w:hint="default"/>
                <w:sz w:val="21"/>
                <w:szCs w:val="21"/>
              </w:rPr>
            </w:pPr>
            <w:r>
              <w:rPr>
                <w:rFonts w:ascii="宋体" w:hAnsi="宋体" w:cs="宋体" w:eastAsia="宋体" w:hint="default"/>
                <w:sz w:val="21"/>
                <w:szCs w:val="21"/>
              </w:rPr>
              <w:t>补助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因从事国家鼓励</w:t>
            </w:r>
          </w:p>
          <w:p>
            <w:pPr>
              <w:pStyle w:val="TableParagraph"/>
              <w:spacing w:line="273" w:lineRule="auto" w:before="37"/>
              <w:ind w:left="22" w:right="54"/>
              <w:jc w:val="left"/>
              <w:rPr>
                <w:rFonts w:ascii="宋体" w:hAnsi="宋体" w:cs="宋体" w:eastAsia="宋体" w:hint="default"/>
                <w:sz w:val="21"/>
                <w:szCs w:val="21"/>
              </w:rPr>
            </w:pPr>
            <w:r>
              <w:rPr>
                <w:rFonts w:ascii="宋体" w:hAnsi="宋体" w:cs="宋体" w:eastAsia="宋体" w:hint="default"/>
                <w:sz w:val="21"/>
                <w:szCs w:val="21"/>
              </w:rPr>
              <w:t>和扶持特定行 业、产业而获得 的补助（按国家 级政策规定依法 取得）</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17" w:right="0"/>
              <w:jc w:val="center"/>
              <w:rPr>
                <w:rFonts w:ascii="Times New Roman" w:hAnsi="Times New Roman" w:cs="Times New Roman" w:eastAsia="Times New Roman" w:hint="default"/>
                <w:sz w:val="21"/>
                <w:szCs w:val="21"/>
              </w:rPr>
            </w:pPr>
            <w:r>
              <w:rPr>
                <w:rFonts w:ascii="Times New Roman"/>
                <w:sz w:val="21"/>
              </w:rPr>
              <w:t>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0" w:right="0"/>
              <w:jc w:val="left"/>
              <w:rPr>
                <w:rFonts w:ascii="Times New Roman" w:hAnsi="Times New Roman" w:cs="Times New Roman" w:eastAsia="Times New Roman" w:hint="default"/>
                <w:sz w:val="21"/>
                <w:szCs w:val="21"/>
              </w:rPr>
            </w:pPr>
            <w:r>
              <w:rPr>
                <w:rFonts w:ascii="Times New Roman"/>
                <w:sz w:val="21"/>
              </w:rPr>
              <w:t>2,772,891.00</w:t>
            </w:r>
          </w:p>
        </w:tc>
        <w:tc>
          <w:tcPr>
            <w:tcW w:w="127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4"/>
              <w:ind w:left="129" w:right="0"/>
              <w:jc w:val="center"/>
              <w:rPr>
                <w:rFonts w:ascii="Times New Roman" w:hAnsi="Times New Roman" w:cs="Times New Roman" w:eastAsia="Times New Roman" w:hint="default"/>
                <w:sz w:val="21"/>
                <w:szCs w:val="21"/>
              </w:rPr>
            </w:pPr>
            <w:r>
              <w:rPr>
                <w:rFonts w:ascii="Times New Roman"/>
                <w:sz w:val="21"/>
              </w:rPr>
              <w:t>8,157,600.00</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Times New Roman" w:hAnsi="Times New Roman" w:cs="Times New Roman" w:eastAsia="Times New Roman" w:hint="default"/>
          <w:sz w:val="5"/>
          <w:szCs w:val="5"/>
        </w:rPr>
      </w:pPr>
    </w:p>
    <w:p>
      <w:pPr>
        <w:pStyle w:val="Heading2"/>
        <w:spacing w:line="240" w:lineRule="auto"/>
        <w:ind w:left="1296" w:right="5713"/>
        <w:jc w:val="left"/>
        <w:rPr>
          <w:b w:val="0"/>
          <w:bCs w:val="0"/>
        </w:rPr>
      </w:pPr>
      <w:r>
        <w:rPr/>
        <w:t>其他说明：</w:t>
      </w:r>
      <w:r>
        <w:rPr>
          <w:b w:val="0"/>
          <w:bCs w:val="0"/>
        </w:rPr>
      </w:r>
    </w:p>
    <w:p>
      <w:pPr>
        <w:pStyle w:val="BodyText"/>
        <w:spacing w:line="350" w:lineRule="auto" w:before="146"/>
        <w:ind w:left="813" w:right="1130" w:firstLine="480"/>
        <w:jc w:val="both"/>
      </w:pPr>
      <w:r>
        <w:rPr/>
        <w:t>（</w:t>
      </w:r>
      <w:r>
        <w:rPr>
          <w:rFonts w:ascii="宋体" w:hAnsi="宋体" w:cs="宋体" w:eastAsia="宋体" w:hint="default"/>
        </w:rPr>
        <w:t>1</w:t>
      </w:r>
      <w:r>
        <w:rPr/>
        <w:t>）增值税超税负返还收入：全路信通软件根据丰国税货</w:t>
      </w:r>
      <w:r>
        <w:rPr>
          <w:rFonts w:ascii="宋体" w:hAnsi="宋体" w:cs="宋体" w:eastAsia="宋体" w:hint="default"/>
        </w:rPr>
        <w:t>[2011]19</w:t>
      </w:r>
      <w:r>
        <w:rPr>
          <w:rFonts w:ascii="宋体" w:hAnsi="宋体" w:cs="宋体" w:eastAsia="宋体" w:hint="default"/>
          <w:spacing w:val="-60"/>
        </w:rPr>
        <w:t> </w:t>
      </w:r>
      <w:r>
        <w:rPr/>
        <w:t>号文件，依据《财 政部、国家税务总局关于软件产品增值税政策的通知》财税</w:t>
      </w:r>
      <w:r>
        <w:rPr>
          <w:rFonts w:ascii="宋体" w:hAnsi="宋体" w:cs="宋体" w:eastAsia="宋体" w:hint="default"/>
        </w:rPr>
        <w:t>[2011]100</w:t>
      </w:r>
      <w:r>
        <w:rPr>
          <w:rFonts w:ascii="宋体" w:hAnsi="宋体" w:cs="宋体" w:eastAsia="宋体" w:hint="default"/>
          <w:spacing w:val="-60"/>
        </w:rPr>
        <w:t> </w:t>
      </w:r>
      <w:r>
        <w:rPr/>
        <w:t>号），经核准，该公 司软件产品全路信通铁路集中检测系统</w:t>
      </w:r>
      <w:r>
        <w:rPr>
          <w:spacing w:val="-60"/>
        </w:rPr>
        <w:t> </w:t>
      </w:r>
      <w:r>
        <w:rPr>
          <w:rFonts w:ascii="宋体" w:hAnsi="宋体" w:cs="宋体" w:eastAsia="宋体" w:hint="default"/>
        </w:rPr>
        <w:t>V1.1</w:t>
      </w:r>
      <w:r>
        <w:rPr/>
        <w:t>、全路信通铁路防灾监控系统</w:t>
      </w:r>
      <w:r>
        <w:rPr>
          <w:spacing w:val="-60"/>
        </w:rPr>
        <w:t> </w:t>
      </w:r>
      <w:r>
        <w:rPr>
          <w:rFonts w:ascii="宋体" w:hAnsi="宋体" w:cs="宋体" w:eastAsia="宋体" w:hint="default"/>
        </w:rPr>
        <w:t>V1.1</w:t>
      </w:r>
      <w:r>
        <w:rPr>
          <w:rFonts w:ascii="宋体" w:hAnsi="宋体" w:cs="宋体" w:eastAsia="宋体" w:hint="default"/>
          <w:spacing w:val="-60"/>
        </w:rPr>
        <w:t> </w:t>
      </w:r>
      <w:r>
        <w:rPr/>
        <w:t>享受增值税 即征即退政策，收到北京丰台区国税局关于北京全路信通软件技术有限公司增值税超税负返 还合计</w:t>
      </w:r>
      <w:r>
        <w:rPr>
          <w:spacing w:val="-67"/>
        </w:rPr>
        <w:t> </w:t>
      </w:r>
      <w:r>
        <w:rPr>
          <w:rFonts w:ascii="宋体" w:hAnsi="宋体" w:cs="宋体" w:eastAsia="宋体" w:hint="default"/>
        </w:rPr>
        <w:t>1,274,675.65</w:t>
      </w:r>
      <w:r>
        <w:rPr>
          <w:rFonts w:ascii="宋体" w:hAnsi="宋体" w:cs="宋体" w:eastAsia="宋体" w:hint="default"/>
          <w:spacing w:val="-67"/>
        </w:rPr>
        <w:t> </w:t>
      </w:r>
      <w:r>
        <w:rPr/>
        <w:t>元。路阳软件根据丰国税软字</w:t>
      </w:r>
      <w:r>
        <w:rPr>
          <w:rFonts w:ascii="宋体" w:hAnsi="宋体" w:cs="宋体" w:eastAsia="宋体" w:hint="default"/>
        </w:rPr>
        <w:t>[2012]201501300060001</w:t>
      </w:r>
      <w:r>
        <w:rPr>
          <w:rFonts w:ascii="宋体" w:hAnsi="宋体" w:cs="宋体" w:eastAsia="宋体" w:hint="default"/>
          <w:spacing w:val="-67"/>
        </w:rPr>
        <w:t> </w:t>
      </w:r>
      <w:r>
        <w:rPr/>
        <w:t>号文件和丰国税 货</w:t>
      </w:r>
      <w:r>
        <w:rPr>
          <w:rFonts w:ascii="宋体" w:hAnsi="宋体" w:cs="宋体" w:eastAsia="宋体" w:hint="default"/>
        </w:rPr>
        <w:t>[2012]48</w:t>
      </w:r>
      <w:r>
        <w:rPr>
          <w:rFonts w:ascii="宋体" w:hAnsi="宋体" w:cs="宋体" w:eastAsia="宋体" w:hint="default"/>
          <w:spacing w:val="-81"/>
        </w:rPr>
        <w:t> </w:t>
      </w:r>
      <w:r>
        <w:rPr/>
        <w:t>号文件，依据《财政部、国家税务总局关于软件产品增值税政策的通知》（财税 </w:t>
      </w:r>
      <w:r>
        <w:rPr>
          <w:rFonts w:ascii="宋体" w:hAnsi="宋体" w:cs="宋体" w:eastAsia="宋体" w:hint="default"/>
        </w:rPr>
        <w:t>[2011]100</w:t>
      </w:r>
      <w:r>
        <w:rPr>
          <w:rFonts w:ascii="宋体" w:hAnsi="宋体" w:cs="宋体" w:eastAsia="宋体" w:hint="default"/>
          <w:spacing w:val="-60"/>
        </w:rPr>
        <w:t> </w:t>
      </w:r>
      <w:r>
        <w:rPr/>
        <w:t>号），经核准，该公司软件产品电加热道岔融雪设备监测系统</w:t>
      </w:r>
      <w:r>
        <w:rPr>
          <w:spacing w:val="-60"/>
        </w:rPr>
        <w:t> </w:t>
      </w:r>
      <w:r>
        <w:rPr>
          <w:rFonts w:ascii="宋体" w:hAnsi="宋体" w:cs="宋体" w:eastAsia="宋体" w:hint="default"/>
        </w:rPr>
        <w:t>V1.0</w:t>
      </w:r>
      <w:r>
        <w:rPr/>
        <w:t>、铁路信号智 能电源屏实时监测系统</w:t>
      </w:r>
      <w:r>
        <w:rPr>
          <w:spacing w:val="-60"/>
        </w:rPr>
        <w:t> </w:t>
      </w:r>
      <w:r>
        <w:rPr>
          <w:rFonts w:ascii="宋体" w:hAnsi="宋体" w:cs="宋体" w:eastAsia="宋体" w:hint="default"/>
        </w:rPr>
        <w:t>V1.0</w:t>
      </w:r>
      <w:r>
        <w:rPr>
          <w:rFonts w:ascii="宋体" w:hAnsi="宋体" w:cs="宋体" w:eastAsia="宋体" w:hint="default"/>
          <w:spacing w:val="-60"/>
        </w:rPr>
        <w:t> </w:t>
      </w:r>
      <w:r>
        <w:rPr>
          <w:spacing w:val="-3"/>
        </w:rPr>
        <w:t>享受增值税即征即退政策，收到北京丰台区国税局关于北京国铁</w:t>
      </w:r>
      <w:r>
        <w:rPr/>
        <w:t> 路阳软件有限公司增值税超税负返还合计</w:t>
      </w:r>
      <w:r>
        <w:rPr>
          <w:spacing w:val="-60"/>
        </w:rPr>
        <w:t> </w:t>
      </w:r>
      <w:r>
        <w:rPr>
          <w:rFonts w:ascii="宋体" w:hAnsi="宋体" w:cs="宋体" w:eastAsia="宋体" w:hint="default"/>
        </w:rPr>
        <w:t>4,686,461.68</w:t>
      </w:r>
      <w:r>
        <w:rPr>
          <w:rFonts w:ascii="宋体" w:hAnsi="宋体" w:cs="宋体" w:eastAsia="宋体" w:hint="default"/>
          <w:spacing w:val="-60"/>
        </w:rPr>
        <w:t> </w:t>
      </w:r>
      <w:r>
        <w:rPr/>
        <w:t>元。</w:t>
      </w:r>
    </w:p>
    <w:p>
      <w:pPr>
        <w:pStyle w:val="BodyText"/>
        <w:spacing w:line="350" w:lineRule="auto"/>
        <w:ind w:left="814" w:right="1101" w:firstLine="480"/>
        <w:jc w:val="left"/>
      </w:pPr>
      <w:r>
        <w:rPr>
          <w:spacing w:val="-9"/>
        </w:rPr>
        <w:t>（</w:t>
      </w:r>
      <w:r>
        <w:rPr>
          <w:rFonts w:ascii="宋体" w:hAnsi="宋体" w:cs="宋体" w:eastAsia="宋体" w:hint="default"/>
          <w:spacing w:val="-9"/>
        </w:rPr>
        <w:t>2</w:t>
      </w:r>
      <w:r>
        <w:rPr>
          <w:spacing w:val="-9"/>
        </w:rPr>
        <w:t>）政府补助收入：与资产相关的递延收益本期结转</w:t>
      </w:r>
      <w:r>
        <w:rPr>
          <w:spacing w:val="-55"/>
        </w:rPr>
        <w:t> </w:t>
      </w:r>
      <w:r>
        <w:rPr>
          <w:rFonts w:ascii="宋体" w:hAnsi="宋体" w:cs="宋体" w:eastAsia="宋体" w:hint="default"/>
        </w:rPr>
        <w:t>2,000,000.00</w:t>
      </w:r>
      <w:r>
        <w:rPr>
          <w:rFonts w:ascii="宋体" w:hAnsi="宋体" w:cs="宋体" w:eastAsia="宋体" w:hint="default"/>
          <w:spacing w:val="-55"/>
        </w:rPr>
        <w:t> </w:t>
      </w:r>
      <w:r>
        <w:rPr>
          <w:spacing w:val="-17"/>
        </w:rPr>
        <w:t>元，详见注释</w:t>
      </w:r>
      <w:r>
        <w:rPr>
          <w:spacing w:val="-55"/>
        </w:rPr>
        <w:t> </w:t>
      </w:r>
      <w:r>
        <w:rPr>
          <w:rFonts w:ascii="宋体" w:hAnsi="宋体" w:cs="宋体" w:eastAsia="宋体" w:hint="default"/>
          <w:spacing w:val="-51"/>
        </w:rPr>
        <w:t>28</w:t>
      </w:r>
      <w:r>
        <w:rPr>
          <w:spacing w:val="-51"/>
        </w:rPr>
        <w:t>（</w:t>
      </w:r>
      <w:r>
        <w:rPr>
          <w:rFonts w:ascii="宋体" w:hAnsi="宋体" w:cs="宋体" w:eastAsia="宋体" w:hint="default"/>
          <w:spacing w:val="-51"/>
        </w:rPr>
        <w:t>1</w:t>
      </w:r>
      <w:r>
        <w:rPr>
          <w:spacing w:val="-51"/>
        </w:rPr>
        <w:t>）；</w:t>
      </w:r>
      <w:r>
        <w:rPr>
          <w:spacing w:val="-101"/>
        </w:rPr>
        <w:t> </w:t>
      </w:r>
      <w:r>
        <w:rPr/>
        <w:t>公司根据郑知</w:t>
      </w:r>
      <w:r>
        <w:rPr>
          <w:rFonts w:ascii="宋体" w:hAnsi="宋体" w:cs="宋体" w:eastAsia="宋体" w:hint="default"/>
        </w:rPr>
        <w:t>[2014]29</w:t>
      </w:r>
      <w:r>
        <w:rPr>
          <w:rFonts w:ascii="宋体" w:hAnsi="宋体" w:cs="宋体" w:eastAsia="宋体" w:hint="default"/>
          <w:spacing w:val="-60"/>
        </w:rPr>
        <w:t> </w:t>
      </w:r>
      <w:r>
        <w:rPr/>
        <w:t>号文件，收到郑州高新技术产业开发区财政国库集中支付中心发放 </w:t>
      </w:r>
      <w:r>
        <w:rPr>
          <w:rFonts w:ascii="宋体" w:hAnsi="宋体" w:cs="宋体" w:eastAsia="宋体" w:hint="default"/>
        </w:rPr>
        <w:t>2014</w:t>
      </w:r>
      <w:r>
        <w:rPr>
          <w:rFonts w:ascii="宋体" w:hAnsi="宋体" w:cs="宋体" w:eastAsia="宋体" w:hint="default"/>
          <w:spacing w:val="-60"/>
        </w:rPr>
        <w:t> </w:t>
      </w:r>
      <w:r>
        <w:rPr/>
        <w:t>年第一批专利资助资金</w:t>
      </w:r>
      <w:r>
        <w:rPr>
          <w:spacing w:val="-60"/>
        </w:rPr>
        <w:t> </w:t>
      </w:r>
      <w:r>
        <w:rPr>
          <w:rFonts w:ascii="宋体" w:hAnsi="宋体" w:cs="宋体" w:eastAsia="宋体" w:hint="default"/>
        </w:rPr>
        <w:t>12,000.00</w:t>
      </w:r>
      <w:r>
        <w:rPr>
          <w:rFonts w:ascii="宋体" w:hAnsi="宋体" w:cs="宋体" w:eastAsia="宋体" w:hint="default"/>
          <w:spacing w:val="-60"/>
        </w:rPr>
        <w:t> </w:t>
      </w:r>
      <w:r>
        <w:rPr/>
        <w:t>元；公司根据郑开管</w:t>
      </w:r>
      <w:r>
        <w:rPr>
          <w:rFonts w:ascii="宋体" w:hAnsi="宋体" w:cs="宋体" w:eastAsia="宋体" w:hint="default"/>
        </w:rPr>
        <w:t>[2014]6</w:t>
      </w:r>
      <w:r>
        <w:rPr>
          <w:rFonts w:ascii="宋体" w:hAnsi="宋体" w:cs="宋体" w:eastAsia="宋体" w:hint="default"/>
          <w:spacing w:val="-60"/>
        </w:rPr>
        <w:t> </w:t>
      </w:r>
      <w:r>
        <w:rPr/>
        <w:t>号文件，收到郑州高新</w:t>
      </w:r>
    </w:p>
    <w:p>
      <w:pPr>
        <w:pStyle w:val="BodyText"/>
        <w:spacing w:line="350" w:lineRule="auto"/>
        <w:ind w:left="813" w:right="1131"/>
        <w:jc w:val="both"/>
      </w:pPr>
      <w:r>
        <w:rPr/>
        <w:t>技术产业开发区管委会财政局发放</w:t>
      </w:r>
      <w:r>
        <w:rPr>
          <w:spacing w:val="-60"/>
        </w:rPr>
        <w:t> </w:t>
      </w:r>
      <w:r>
        <w:rPr>
          <w:rFonts w:ascii="宋体" w:hAnsi="宋体" w:cs="宋体" w:eastAsia="宋体" w:hint="default"/>
        </w:rPr>
        <w:t>2014</w:t>
      </w:r>
      <w:r>
        <w:rPr>
          <w:rFonts w:ascii="宋体" w:hAnsi="宋体" w:cs="宋体" w:eastAsia="宋体" w:hint="default"/>
          <w:spacing w:val="-60"/>
        </w:rPr>
        <w:t> </w:t>
      </w:r>
      <w:r>
        <w:rPr/>
        <w:t>年度经济突出贡献企业奖</w:t>
      </w:r>
      <w:r>
        <w:rPr>
          <w:spacing w:val="-60"/>
        </w:rPr>
        <w:t> </w:t>
      </w:r>
      <w:r>
        <w:rPr>
          <w:rFonts w:ascii="宋体" w:hAnsi="宋体" w:cs="宋体" w:eastAsia="宋体" w:hint="default"/>
        </w:rPr>
        <w:t>500,000.00</w:t>
      </w:r>
      <w:r>
        <w:rPr>
          <w:rFonts w:ascii="宋体" w:hAnsi="宋体" w:cs="宋体" w:eastAsia="宋体" w:hint="default"/>
          <w:spacing w:val="-60"/>
        </w:rPr>
        <w:t> </w:t>
      </w:r>
      <w:r>
        <w:rPr/>
        <w:t>元；公司根据 郑知</w:t>
      </w:r>
      <w:r>
        <w:rPr>
          <w:rFonts w:ascii="宋体" w:hAnsi="宋体" w:cs="宋体" w:eastAsia="宋体" w:hint="default"/>
        </w:rPr>
        <w:t>[2015]15</w:t>
      </w:r>
      <w:r>
        <w:rPr>
          <w:rFonts w:ascii="宋体" w:hAnsi="宋体" w:cs="宋体" w:eastAsia="宋体" w:hint="default"/>
          <w:spacing w:val="-60"/>
        </w:rPr>
        <w:t> </w:t>
      </w:r>
      <w:r>
        <w:rPr/>
        <w:t>号文件，收到郑州高新技术产业开发区财政国库集中支付中心发放</w:t>
      </w:r>
      <w:r>
        <w:rPr>
          <w:spacing w:val="-60"/>
        </w:rPr>
        <w:t> </w:t>
      </w:r>
      <w:r>
        <w:rPr>
          <w:rFonts w:ascii="宋体" w:hAnsi="宋体" w:cs="宋体" w:eastAsia="宋体" w:hint="default"/>
        </w:rPr>
        <w:t>2015</w:t>
      </w:r>
      <w:r>
        <w:rPr>
          <w:rFonts w:ascii="宋体" w:hAnsi="宋体" w:cs="宋体" w:eastAsia="宋体" w:hint="default"/>
          <w:spacing w:val="-60"/>
        </w:rPr>
        <w:t> </w:t>
      </w:r>
      <w:r>
        <w:rPr/>
        <w:t>年第 一批专利资助资金</w:t>
      </w:r>
      <w:r>
        <w:rPr>
          <w:spacing w:val="-59"/>
        </w:rPr>
        <w:t> </w:t>
      </w:r>
      <w:r>
        <w:rPr>
          <w:rFonts w:ascii="宋体" w:hAnsi="宋体" w:cs="宋体" w:eastAsia="宋体" w:hint="default"/>
        </w:rPr>
        <w:t>6,000.00</w:t>
      </w:r>
      <w:r>
        <w:rPr>
          <w:rFonts w:ascii="宋体" w:hAnsi="宋体" w:cs="宋体" w:eastAsia="宋体" w:hint="default"/>
          <w:spacing w:val="-59"/>
        </w:rPr>
        <w:t> </w:t>
      </w:r>
      <w:r>
        <w:rPr>
          <w:spacing w:val="-3"/>
        </w:rPr>
        <w:t>元；公司根据科学大道道路绿化提升工程拆迁补偿协议，收到郑</w:t>
      </w:r>
    </w:p>
    <w:p>
      <w:pPr>
        <w:pStyle w:val="BodyText"/>
        <w:spacing w:line="350" w:lineRule="auto"/>
        <w:ind w:left="813" w:right="1093"/>
        <w:jc w:val="left"/>
      </w:pPr>
      <w:r>
        <w:rPr/>
        <w:t>州高新技术产业开发区财政国库集中支付中心发放的土地租金</w:t>
      </w:r>
      <w:r>
        <w:rPr>
          <w:spacing w:val="-60"/>
        </w:rPr>
        <w:t> </w:t>
      </w:r>
      <w:r>
        <w:rPr>
          <w:rFonts w:ascii="宋体" w:hAnsi="宋体" w:cs="宋体" w:eastAsia="宋体" w:hint="default"/>
        </w:rPr>
        <w:t>36,891.00</w:t>
      </w:r>
      <w:r>
        <w:rPr>
          <w:rFonts w:ascii="宋体" w:hAnsi="宋体" w:cs="宋体" w:eastAsia="宋体" w:hint="default"/>
          <w:spacing w:val="-60"/>
        </w:rPr>
        <w:t> </w:t>
      </w:r>
      <w:r>
        <w:rPr/>
        <w:t>元；公司根据郑开 管</w:t>
      </w:r>
      <w:r>
        <w:rPr>
          <w:rFonts w:ascii="宋体" w:hAnsi="宋体" w:cs="宋体" w:eastAsia="宋体" w:hint="default"/>
        </w:rPr>
        <w:t>[2015]8</w:t>
      </w:r>
      <w:r>
        <w:rPr>
          <w:rFonts w:ascii="宋体" w:hAnsi="宋体" w:cs="宋体" w:eastAsia="宋体" w:hint="default"/>
          <w:spacing w:val="-67"/>
        </w:rPr>
        <w:t> </w:t>
      </w:r>
      <w:r>
        <w:rPr/>
        <w:t>号文件，收到郑州高新技术产业开发区财政国库集中支付中心发放</w:t>
      </w:r>
      <w:r>
        <w:rPr>
          <w:spacing w:val="-67"/>
        </w:rPr>
        <w:t> </w:t>
      </w:r>
      <w:r>
        <w:rPr>
          <w:rFonts w:ascii="宋体" w:hAnsi="宋体" w:cs="宋体" w:eastAsia="宋体" w:hint="default"/>
        </w:rPr>
        <w:t>2014</w:t>
      </w:r>
      <w:r>
        <w:rPr>
          <w:rFonts w:ascii="宋体" w:hAnsi="宋体" w:cs="宋体" w:eastAsia="宋体" w:hint="default"/>
          <w:spacing w:val="-67"/>
        </w:rPr>
        <w:t> </w:t>
      </w:r>
      <w:r>
        <w:rPr/>
        <w:t>年度高新 技术企业奖励</w:t>
      </w:r>
      <w:r>
        <w:rPr>
          <w:spacing w:val="-60"/>
        </w:rPr>
        <w:t> </w:t>
      </w:r>
      <w:r>
        <w:rPr>
          <w:rFonts w:ascii="宋体" w:hAnsi="宋体" w:cs="宋体" w:eastAsia="宋体" w:hint="default"/>
        </w:rPr>
        <w:t>10,000.00</w:t>
      </w:r>
      <w:r>
        <w:rPr>
          <w:rFonts w:ascii="宋体" w:hAnsi="宋体" w:cs="宋体" w:eastAsia="宋体" w:hint="default"/>
          <w:spacing w:val="-60"/>
        </w:rPr>
        <w:t> </w:t>
      </w:r>
      <w:r>
        <w:rPr/>
        <w:t>元；国铁路阳根据《丰台区专利支持办法》（丰政发</w:t>
      </w:r>
      <w:r>
        <w:rPr>
          <w:rFonts w:ascii="宋体" w:hAnsi="宋体" w:cs="宋体" w:eastAsia="宋体" w:hint="default"/>
        </w:rPr>
        <w:t>[2014]10</w:t>
      </w:r>
      <w:r>
        <w:rPr>
          <w:rFonts w:ascii="宋体" w:hAnsi="宋体" w:cs="宋体" w:eastAsia="宋体" w:hint="default"/>
          <w:spacing w:val="-60"/>
        </w:rPr>
        <w:t> </w:t>
      </w:r>
      <w:r>
        <w:rPr/>
        <w:t>号） 的有关规定，收到北京市丰台区科学技术委员会发放的专利奖励金</w:t>
      </w:r>
      <w:r>
        <w:rPr>
          <w:spacing w:val="-76"/>
        </w:rPr>
        <w:t> </w:t>
      </w:r>
      <w:r>
        <w:rPr>
          <w:rFonts w:ascii="宋体" w:hAnsi="宋体" w:cs="宋体" w:eastAsia="宋体" w:hint="default"/>
        </w:rPr>
        <w:t>8,000.00</w:t>
      </w:r>
      <w:r>
        <w:rPr>
          <w:rFonts w:ascii="宋体" w:hAnsi="宋体" w:cs="宋体" w:eastAsia="宋体" w:hint="default"/>
          <w:spacing w:val="-76"/>
        </w:rPr>
        <w:t> </w:t>
      </w:r>
      <w:r>
        <w:rPr>
          <w:spacing w:val="-6"/>
        </w:rPr>
        <w:t>元；辉煌路阳根</w:t>
      </w:r>
      <w:r>
        <w:rPr/>
        <w:t> 据天津市津南区发展和改革委员会（津南发改项目</w:t>
      </w:r>
      <w:r>
        <w:rPr>
          <w:rFonts w:ascii="宋体" w:hAnsi="宋体" w:cs="宋体" w:eastAsia="宋体" w:hint="default"/>
        </w:rPr>
        <w:t>[2014]447</w:t>
      </w:r>
      <w:r>
        <w:rPr>
          <w:rFonts w:ascii="宋体" w:hAnsi="宋体" w:cs="宋体" w:eastAsia="宋体" w:hint="default"/>
          <w:spacing w:val="-60"/>
        </w:rPr>
        <w:t> </w:t>
      </w:r>
      <w:r>
        <w:rPr/>
        <w:t>号）文件，以及天津市发展和 改革委员会、天津市财政局（津发改高技</w:t>
      </w:r>
      <w:r>
        <w:rPr>
          <w:rFonts w:ascii="宋体" w:hAnsi="宋体" w:cs="宋体" w:eastAsia="宋体" w:hint="default"/>
        </w:rPr>
        <w:t>[2014]1082</w:t>
      </w:r>
      <w:r>
        <w:rPr>
          <w:rFonts w:ascii="宋体" w:hAnsi="宋体" w:cs="宋体" w:eastAsia="宋体" w:hint="default"/>
          <w:spacing w:val="-85"/>
        </w:rPr>
        <w:t> </w:t>
      </w:r>
      <w:r>
        <w:rPr/>
        <w:t>号）文件，收到天津市发改委、市财政</w:t>
      </w:r>
    </w:p>
    <w:p>
      <w:pPr>
        <w:spacing w:after="0" w:line="350" w:lineRule="auto"/>
        <w:jc w:val="left"/>
        <w:sectPr>
          <w:pgSz w:w="11910" w:h="16840"/>
          <w:pgMar w:header="747" w:footer="979" w:top="1060" w:bottom="1160" w:left="320" w:right="0"/>
        </w:sectPr>
      </w:pPr>
    </w:p>
    <w:p>
      <w:pPr>
        <w:spacing w:line="240" w:lineRule="auto" w:before="0"/>
        <w:rPr>
          <w:rFonts w:ascii="宋体" w:hAnsi="宋体" w:cs="宋体" w:eastAsia="宋体" w:hint="default"/>
          <w:sz w:val="20"/>
          <w:szCs w:val="20"/>
        </w:rPr>
      </w:pPr>
    </w:p>
    <w:p>
      <w:pPr>
        <w:pStyle w:val="BodyText"/>
        <w:spacing w:line="240" w:lineRule="auto" w:before="199"/>
        <w:ind w:left="154" w:right="1153"/>
        <w:jc w:val="left"/>
      </w:pPr>
      <w:r>
        <w:rPr/>
        <w:t>局发放的新型产业项目财政补贴</w:t>
      </w:r>
      <w:r>
        <w:rPr>
          <w:spacing w:val="-60"/>
        </w:rPr>
        <w:t> </w:t>
      </w:r>
      <w:r>
        <w:rPr>
          <w:rFonts w:ascii="宋体" w:hAnsi="宋体" w:cs="宋体" w:eastAsia="宋体" w:hint="default"/>
        </w:rPr>
        <w:t>200,000</w:t>
      </w:r>
      <w:r>
        <w:rPr>
          <w:rFonts w:ascii="宋体" w:hAnsi="宋体" w:cs="宋体" w:eastAsia="宋体" w:hint="default"/>
          <w:spacing w:val="-60"/>
        </w:rPr>
        <w:t> </w:t>
      </w:r>
      <w:r>
        <w:rPr/>
        <w:t>元。</w:t>
      </w:r>
    </w:p>
    <w:p>
      <w:pPr>
        <w:pStyle w:val="BodyText"/>
        <w:spacing w:line="352" w:lineRule="auto" w:before="145"/>
        <w:ind w:right="1169" w:firstLine="480"/>
        <w:jc w:val="both"/>
      </w:pPr>
      <w:r>
        <w:rPr/>
        <w:t>（</w:t>
      </w:r>
      <w:r>
        <w:rPr>
          <w:rFonts w:ascii="宋体" w:hAnsi="宋体" w:cs="宋体" w:eastAsia="宋体" w:hint="default"/>
        </w:rPr>
        <w:t>3</w:t>
      </w:r>
      <w:r>
        <w:rPr/>
        <w:t>）本期营业外收入较上年减少</w:t>
      </w:r>
      <w:r>
        <w:rPr>
          <w:spacing w:val="-60"/>
        </w:rPr>
        <w:t> </w:t>
      </w:r>
      <w:r>
        <w:rPr>
          <w:rFonts w:ascii="宋体" w:hAnsi="宋体" w:cs="宋体" w:eastAsia="宋体" w:hint="default"/>
        </w:rPr>
        <w:t>15,709,545.57</w:t>
      </w:r>
      <w:r>
        <w:rPr>
          <w:rFonts w:ascii="宋体" w:hAnsi="宋体" w:cs="宋体" w:eastAsia="宋体" w:hint="default"/>
          <w:spacing w:val="-60"/>
        </w:rPr>
        <w:t> </w:t>
      </w:r>
      <w:r>
        <w:rPr/>
        <w:t>元，减少了</w:t>
      </w:r>
      <w:r>
        <w:rPr>
          <w:spacing w:val="-60"/>
        </w:rPr>
        <w:t> </w:t>
      </w:r>
      <w:r>
        <w:rPr>
          <w:rFonts w:ascii="宋体" w:hAnsi="宋体" w:cs="宋体" w:eastAsia="宋体" w:hint="default"/>
        </w:rPr>
        <w:t>64.06%</w:t>
      </w:r>
      <w:r>
        <w:rPr/>
        <w:t>，主要原因为：</w:t>
      </w:r>
      <w:r>
        <w:rPr>
          <w:rFonts w:ascii="宋体" w:hAnsi="宋体" w:cs="宋体" w:eastAsia="宋体" w:hint="default"/>
        </w:rPr>
        <w:t>a. </w:t>
      </w:r>
      <w:r>
        <w:rPr/>
        <w:t>上期本公司、全路信通及国铁路阳实际收到增值税超税负返还金额较大；</w:t>
      </w:r>
      <w:r>
        <w:rPr>
          <w:rFonts w:ascii="宋体" w:hAnsi="宋体" w:cs="宋体" w:eastAsia="宋体" w:hint="default"/>
        </w:rPr>
        <w:t>b.</w:t>
      </w:r>
      <w:r>
        <w:rPr/>
        <w:t>当期满足结转收 入的递延收益较上期减少。</w:t>
      </w:r>
    </w:p>
    <w:p>
      <w:pPr>
        <w:pStyle w:val="Heading2"/>
        <w:spacing w:line="240" w:lineRule="auto" w:before="32"/>
        <w:ind w:right="1153"/>
        <w:jc w:val="left"/>
        <w:rPr>
          <w:b w:val="0"/>
          <w:bCs w:val="0"/>
        </w:rPr>
      </w:pPr>
      <w:r>
        <w:rPr>
          <w:rFonts w:ascii="宋体" w:hAnsi="宋体" w:cs="宋体" w:eastAsia="宋体" w:hint="default"/>
        </w:rPr>
        <w:t>70</w:t>
      </w:r>
      <w:r>
        <w:rPr/>
        <w:t>、营业外支出</w:t>
      </w:r>
      <w:r>
        <w:rPr>
          <w:b w:val="0"/>
          <w:bCs w:val="0"/>
        </w:rPr>
      </w:r>
    </w:p>
    <w:p>
      <w:pPr>
        <w:spacing w:before="84"/>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708"/>
        <w:gridCol w:w="2097"/>
        <w:gridCol w:w="1814"/>
        <w:gridCol w:w="2938"/>
      </w:tblGrid>
      <w:tr>
        <w:trPr>
          <w:trHeight w:val="402" w:hRule="exact"/>
        </w:trPr>
        <w:tc>
          <w:tcPr>
            <w:tcW w:w="2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2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7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98"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402" w:hRule="exact"/>
        </w:trPr>
        <w:tc>
          <w:tcPr>
            <w:tcW w:w="2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0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5,193.93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3,399.72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5,193.93</w:t>
            </w:r>
          </w:p>
        </w:tc>
      </w:tr>
      <w:tr>
        <w:trPr>
          <w:trHeight w:val="402" w:hRule="exact"/>
        </w:trPr>
        <w:tc>
          <w:tcPr>
            <w:tcW w:w="2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5,193.93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3,399.72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5,193.93</w:t>
            </w:r>
          </w:p>
        </w:tc>
      </w:tr>
      <w:tr>
        <w:trPr>
          <w:trHeight w:val="402" w:hRule="exact"/>
        </w:trPr>
        <w:tc>
          <w:tcPr>
            <w:tcW w:w="2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097" w:type="dxa"/>
            <w:tcBorders>
              <w:top w:val="single" w:sz="4" w:space="0" w:color="000000"/>
              <w:left w:val="single" w:sz="9"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50,000.00</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202.81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3,050.78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202.81</w:t>
            </w:r>
          </w:p>
        </w:tc>
      </w:tr>
      <w:tr>
        <w:trPr>
          <w:trHeight w:val="403" w:hRule="exact"/>
        </w:trPr>
        <w:tc>
          <w:tcPr>
            <w:tcW w:w="2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5,396.74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56,450.50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5,396.74</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9"/>
        <w:jc w:val="left"/>
        <w:rPr>
          <w:b w:val="0"/>
          <w:bCs w:val="0"/>
        </w:rPr>
      </w:pPr>
      <w:r>
        <w:rPr>
          <w:rFonts w:ascii="宋体" w:hAnsi="宋体" w:cs="宋体" w:eastAsia="宋体" w:hint="default"/>
        </w:rPr>
        <w:t>71</w:t>
      </w:r>
      <w:r>
        <w:rPr/>
        <w:t>、所得税费用</w:t>
      </w:r>
      <w:r>
        <w:rPr>
          <w:b w:val="0"/>
          <w:bCs w:val="0"/>
        </w:rPr>
      </w:r>
    </w:p>
    <w:p>
      <w:pPr>
        <w:pStyle w:val="Heading2"/>
        <w:spacing w:line="240" w:lineRule="auto" w:before="145"/>
        <w:ind w:right="-9"/>
        <w:jc w:val="left"/>
        <w:rPr>
          <w:b w:val="0"/>
          <w:bCs w:val="0"/>
        </w:rPr>
      </w:pPr>
      <w:r>
        <w:rPr>
          <w:w w:val="95"/>
        </w:rPr>
        <w:t>（</w:t>
      </w:r>
      <w:r>
        <w:rPr>
          <w:rFonts w:ascii="宋体" w:hAnsi="宋体" w:cs="宋体" w:eastAsia="宋体" w:hint="default"/>
          <w:w w:val="95"/>
        </w:rPr>
        <w:t>1</w:t>
      </w:r>
      <w:r>
        <w:rPr>
          <w:w w:val="95"/>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before="0"/>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2685" w:space="5528"/>
            <w:col w:w="2717"/>
          </w:cols>
        </w:sectPr>
      </w:pP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18,228,978.73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19,754,796.13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-5,067,390.18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-4,572,145.48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13,161,588.55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15,182,650.65</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240" w:lineRule="auto"/>
        <w:ind w:right="0"/>
        <w:jc w:val="left"/>
        <w:rPr>
          <w:b w:val="0"/>
          <w:bCs w:val="0"/>
        </w:rPr>
      </w:pPr>
      <w:r>
        <w:rPr>
          <w:w w:val="95"/>
        </w:rPr>
        <w:t>（</w:t>
      </w:r>
      <w:r>
        <w:rPr>
          <w:rFonts w:ascii="宋体" w:hAnsi="宋体" w:cs="宋体" w:eastAsia="宋体" w:hint="default"/>
          <w:w w:val="95"/>
        </w:rPr>
        <w:t>2</w:t>
      </w:r>
      <w:r>
        <w:rPr>
          <w:w w:val="95"/>
        </w:rPr>
        <w:t>）会计利润与所得税费用调整过程</w:t>
      </w:r>
      <w:r>
        <w:rPr>
          <w:b w:val="0"/>
          <w:bCs w:val="0"/>
        </w:rPr>
      </w:r>
    </w:p>
    <w:p>
      <w:pPr>
        <w:spacing w:line="240" w:lineRule="auto" w:before="4"/>
        <w:rPr>
          <w:rFonts w:ascii="宋体" w:hAnsi="宋体" w:cs="宋体" w:eastAsia="宋体" w:hint="default"/>
          <w:b/>
          <w:bCs/>
          <w:sz w:val="29"/>
          <w:szCs w:val="29"/>
        </w:rPr>
      </w:pPr>
      <w:r>
        <w:rPr/>
        <w:br w:type="column"/>
      </w:r>
      <w:r>
        <w:rPr>
          <w:rFonts w:ascii="宋体"/>
          <w:b/>
          <w:sz w:val="29"/>
        </w:rPr>
      </w:r>
    </w:p>
    <w:p>
      <w:pPr>
        <w:spacing w:before="0"/>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4610" w:space="3393"/>
            <w:col w:w="2927"/>
          </w:cols>
        </w:sectPr>
      </w:pP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32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32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88,085,385.41</w:t>
            </w:r>
          </w:p>
        </w:tc>
      </w:tr>
      <w:tr>
        <w:trPr>
          <w:trHeight w:val="32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11"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z w:val="21"/>
              </w:rPr>
              <w:t>22,021,346.35</w:t>
            </w:r>
          </w:p>
        </w:tc>
      </w:tr>
      <w:tr>
        <w:trPr>
          <w:trHeight w:val="32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-10,239,877.33</w:t>
            </w:r>
          </w:p>
        </w:tc>
      </w:tr>
      <w:tr>
        <w:trPr>
          <w:trHeight w:val="32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510,713.61</w:t>
            </w:r>
          </w:p>
        </w:tc>
      </w:tr>
      <w:tr>
        <w:trPr>
          <w:trHeight w:val="63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869,405.92</w:t>
            </w:r>
          </w:p>
        </w:tc>
      </w:tr>
      <w:tr>
        <w:trPr>
          <w:trHeight w:val="32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13,161,588.55</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352" w:lineRule="auto"/>
        <w:ind w:left="633" w:right="2267" w:firstLine="2"/>
        <w:jc w:val="left"/>
        <w:rPr>
          <w:rFonts w:ascii="宋体" w:hAnsi="宋体" w:cs="宋体" w:eastAsia="宋体" w:hint="default"/>
          <w:b w:val="0"/>
          <w:bCs w:val="0"/>
        </w:rPr>
      </w:pPr>
      <w:r>
        <w:rPr>
          <w:rFonts w:ascii="宋体" w:hAnsi="宋体" w:cs="宋体" w:eastAsia="宋体" w:hint="default"/>
        </w:rPr>
        <w:t>72</w:t>
      </w:r>
      <w:r>
        <w:rPr/>
        <w:t>、其他综合收益</w:t>
      </w:r>
      <w:r>
        <w:rPr>
          <w:w w:val="99"/>
        </w:rPr>
        <w:t> </w:t>
      </w:r>
      <w:r>
        <w:rPr>
          <w:rFonts w:ascii="宋体" w:hAnsi="宋体" w:cs="宋体" w:eastAsia="宋体" w:hint="default"/>
          <w:b w:val="0"/>
          <w:bCs w:val="0"/>
        </w:rPr>
        <w:t>无</w:t>
      </w:r>
    </w:p>
    <w:p>
      <w:pPr>
        <w:pStyle w:val="Heading2"/>
        <w:spacing w:line="240" w:lineRule="auto" w:before="33"/>
        <w:ind w:right="0"/>
        <w:jc w:val="left"/>
        <w:rPr>
          <w:b w:val="0"/>
          <w:bCs w:val="0"/>
        </w:rPr>
      </w:pPr>
      <w:r>
        <w:rPr>
          <w:rFonts w:ascii="宋体" w:hAnsi="宋体" w:cs="宋体" w:eastAsia="宋体" w:hint="default"/>
        </w:rPr>
        <w:t>73</w:t>
      </w:r>
      <w:r>
        <w:rPr/>
        <w:t>、现金流量表项目</w:t>
      </w:r>
      <w:r>
        <w:rPr>
          <w:b w:val="0"/>
          <w:bCs w:val="0"/>
        </w:rPr>
      </w:r>
    </w:p>
    <w:p>
      <w:pPr>
        <w:pStyle w:val="Heading2"/>
        <w:spacing w:line="240" w:lineRule="auto" w:before="145"/>
        <w:ind w:right="0"/>
        <w:jc w:val="left"/>
        <w:rPr>
          <w:b w:val="0"/>
          <w:bCs w:val="0"/>
        </w:rPr>
      </w:pPr>
      <w:r>
        <w:rPr>
          <w:w w:val="95"/>
        </w:rPr>
        <w:t>（</w:t>
      </w:r>
      <w:r>
        <w:rPr>
          <w:rFonts w:ascii="宋体" w:hAnsi="宋体" w:cs="宋体" w:eastAsia="宋体" w:hint="default"/>
          <w:w w:val="95"/>
        </w:rPr>
        <w:t>1</w:t>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4851" w:space="3364"/>
            <w:col w:w="2715"/>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政府各类补助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772,891.00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7,600.00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20,080.00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78,002.40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w w:val="95"/>
                <w:sz w:val="21"/>
              </w:rPr>
              <w:t>11,176.00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12,340,169.05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17,154,354.57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其它暂收往来款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2,279,217.21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3,825,205.41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所有权受限资产减少</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2,022,917.70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1,294,408.23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17,493,197.36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22,312,824.21</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0"/>
        <w:jc w:val="left"/>
        <w:rPr>
          <w:b w:val="0"/>
          <w:bCs w:val="0"/>
        </w:rPr>
      </w:pPr>
      <w:r>
        <w:rPr>
          <w:w w:val="95"/>
        </w:rPr>
        <w:t>（</w:t>
      </w:r>
      <w:r>
        <w:rPr>
          <w:rFonts w:ascii="宋体" w:hAnsi="宋体" w:cs="宋体" w:eastAsia="宋体" w:hint="default"/>
          <w:w w:val="95"/>
        </w:rPr>
        <w:t>2</w:t>
      </w:r>
      <w:r>
        <w:rPr>
          <w:w w:val="95"/>
        </w:rPr>
        <w:t>）支付的其他与经营活动有关的现金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3496"/>
            <w:col w:w="2583"/>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销售费用付现</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18,133,007.77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18,096,887.48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管理费用付现</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46,995,450.12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37,717,143.10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240,376.63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1,914,057.72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营业外支出付现</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202.81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53,050.78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所有权受限资产增加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597,927.86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其他暂付款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2,719,352.64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4,334,095.37</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68,686,317.83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62,115,234.45</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350" w:lineRule="auto"/>
        <w:ind w:left="633" w:right="0" w:firstLine="2"/>
        <w:jc w:val="left"/>
        <w:rPr>
          <w:rFonts w:ascii="宋体" w:hAnsi="宋体" w:cs="宋体" w:eastAsia="宋体" w:hint="default"/>
          <w:b w:val="0"/>
          <w:bCs w:val="0"/>
        </w:rPr>
      </w:pPr>
      <w:r>
        <w:rPr>
          <w:w w:val="95"/>
        </w:rPr>
        <w:t>（</w:t>
      </w:r>
      <w:r>
        <w:rPr>
          <w:rFonts w:ascii="宋体" w:hAnsi="宋体" w:cs="宋体" w:eastAsia="宋体" w:hint="default"/>
          <w:w w:val="95"/>
        </w:rPr>
        <w:t>3</w:t>
      </w:r>
      <w:r>
        <w:rPr>
          <w:w w:val="95"/>
        </w:rPr>
        <w:t>）收到的其他与投资活动有关的现金</w:t>
      </w:r>
      <w:r>
        <w:rPr>
          <w:spacing w:val="79"/>
          <w:w w:val="95"/>
        </w:rPr>
        <w:t> </w:t>
      </w:r>
      <w:r>
        <w:rPr>
          <w:rFonts w:ascii="宋体" w:hAnsi="宋体" w:cs="宋体" w:eastAsia="宋体" w:hint="default"/>
          <w:b w:val="0"/>
          <w:bCs w:val="0"/>
        </w:rPr>
        <w:t>无</w:t>
      </w:r>
    </w:p>
    <w:p>
      <w:pPr>
        <w:pStyle w:val="Heading2"/>
        <w:spacing w:line="352" w:lineRule="auto" w:before="35"/>
        <w:ind w:left="633" w:right="0" w:firstLine="2"/>
        <w:jc w:val="left"/>
        <w:rPr>
          <w:rFonts w:ascii="宋体" w:hAnsi="宋体" w:cs="宋体" w:eastAsia="宋体" w:hint="default"/>
          <w:b w:val="0"/>
          <w:bCs w:val="0"/>
        </w:rPr>
      </w:pPr>
      <w:r>
        <w:rPr>
          <w:w w:val="95"/>
        </w:rPr>
        <w:t>（</w:t>
      </w:r>
      <w:r>
        <w:rPr>
          <w:rFonts w:ascii="宋体" w:hAnsi="宋体" w:cs="宋体" w:eastAsia="宋体" w:hint="default"/>
          <w:w w:val="95"/>
        </w:rPr>
        <w:t>4</w:t>
      </w:r>
      <w:r>
        <w:rPr>
          <w:w w:val="95"/>
        </w:rPr>
        <w:t>）支付的其他与投资活动有关的现金</w:t>
      </w:r>
      <w:r>
        <w:rPr>
          <w:spacing w:val="79"/>
          <w:w w:val="95"/>
        </w:rPr>
        <w:t> </w:t>
      </w:r>
      <w:r>
        <w:rPr>
          <w:rFonts w:ascii="宋体" w:hAnsi="宋体" w:cs="宋体" w:eastAsia="宋体" w:hint="default"/>
          <w:b w:val="0"/>
          <w:bCs w:val="0"/>
        </w:rPr>
        <w:t>无</w:t>
      </w:r>
    </w:p>
    <w:p>
      <w:pPr>
        <w:pStyle w:val="Heading2"/>
        <w:spacing w:line="240" w:lineRule="auto" w:before="32"/>
        <w:ind w:right="0"/>
        <w:jc w:val="left"/>
        <w:rPr>
          <w:b w:val="0"/>
          <w:bCs w:val="0"/>
        </w:rPr>
      </w:pPr>
      <w:r>
        <w:rPr>
          <w:w w:val="95"/>
        </w:rPr>
        <w:t>（</w:t>
      </w:r>
      <w:r>
        <w:rPr>
          <w:rFonts w:ascii="宋体" w:hAnsi="宋体" w:cs="宋体" w:eastAsia="宋体" w:hint="default"/>
          <w:w w:val="95"/>
        </w:rPr>
        <w:t>5</w:t>
      </w:r>
      <w:r>
        <w:rPr>
          <w:w w:val="95"/>
        </w:rPr>
        <w:t>）收到的其他与筹资活动有关的现金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4852" w:space="2943"/>
            <w:col w:w="3135"/>
          </w:cols>
        </w:sectPr>
      </w:pPr>
    </w:p>
    <w:p>
      <w:pPr>
        <w:spacing w:line="240" w:lineRule="auto" w:before="0"/>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6D6D6"/>
          </w:tcPr>
          <w:p>
            <w:pPr>
              <w:pStyle w:val="TableParagraph"/>
              <w:spacing w:line="261"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收到的科技三项经费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1,000,000.00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350" w:lineRule="auto"/>
        <w:ind w:left="633" w:right="0" w:firstLine="2"/>
        <w:jc w:val="left"/>
        <w:rPr>
          <w:rFonts w:ascii="宋体" w:hAnsi="宋体" w:cs="宋体" w:eastAsia="宋体" w:hint="default"/>
          <w:b w:val="0"/>
          <w:bCs w:val="0"/>
        </w:rPr>
      </w:pPr>
      <w:r>
        <w:rPr>
          <w:w w:val="95"/>
        </w:rPr>
        <w:t>（</w:t>
      </w:r>
      <w:r>
        <w:rPr>
          <w:rFonts w:ascii="宋体" w:hAnsi="宋体" w:cs="宋体" w:eastAsia="宋体" w:hint="default"/>
          <w:w w:val="95"/>
        </w:rPr>
        <w:t>6</w:t>
      </w:r>
      <w:r>
        <w:rPr>
          <w:w w:val="95"/>
        </w:rPr>
        <w:t>）支付的其他与筹资活动有关的现金</w:t>
      </w:r>
      <w:r>
        <w:rPr>
          <w:spacing w:val="79"/>
          <w:w w:val="95"/>
        </w:rPr>
        <w:t> </w:t>
      </w:r>
      <w:r>
        <w:rPr>
          <w:rFonts w:ascii="宋体" w:hAnsi="宋体" w:cs="宋体" w:eastAsia="宋体" w:hint="default"/>
          <w:b w:val="0"/>
          <w:bCs w:val="0"/>
        </w:rPr>
        <w:t>无</w:t>
      </w:r>
    </w:p>
    <w:p>
      <w:pPr>
        <w:pStyle w:val="Heading2"/>
        <w:spacing w:line="240" w:lineRule="auto" w:before="35"/>
        <w:ind w:right="0"/>
        <w:jc w:val="left"/>
        <w:rPr>
          <w:b w:val="0"/>
          <w:bCs w:val="0"/>
        </w:rPr>
      </w:pPr>
      <w:r>
        <w:rPr>
          <w:rFonts w:ascii="宋体" w:hAnsi="宋体" w:cs="宋体" w:eastAsia="宋体" w:hint="default"/>
        </w:rPr>
        <w:t>74</w:t>
      </w:r>
      <w:r>
        <w:rPr/>
        <w:t>、现金流量表补充资料</w:t>
      </w:r>
      <w:r>
        <w:rPr>
          <w:b w:val="0"/>
          <w:bCs w:val="0"/>
        </w:rPr>
      </w:r>
    </w:p>
    <w:p>
      <w:pPr>
        <w:pStyle w:val="Heading2"/>
        <w:spacing w:line="240" w:lineRule="auto" w:before="147"/>
        <w:ind w:right="0"/>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4851" w:space="3364"/>
            <w:col w:w="2715"/>
          </w:cols>
        </w:sectPr>
      </w:pP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30"/>
        <w:gridCol w:w="2126"/>
        <w:gridCol w:w="1913"/>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507"/>
        <w:gridCol w:w="2138"/>
        <w:gridCol w:w="1913"/>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74,923,796.86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100,317,099.11</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36,524,178.27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19,345,638.39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19,888,479.20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20,845,745.65</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1,984,829.77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1,303,181.54</w:t>
            </w:r>
          </w:p>
        </w:tc>
      </w:tr>
      <w:tr>
        <w:trPr>
          <w:trHeight w:val="714"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10"/>
              <w:jc w:val="left"/>
              <w:rPr>
                <w:rFonts w:ascii="宋体" w:hAnsi="宋体" w:cs="宋体" w:eastAsia="宋体" w:hint="default"/>
                <w:sz w:val="21"/>
                <w:szCs w:val="21"/>
              </w:rPr>
            </w:pPr>
            <w:r>
              <w:rPr>
                <w:rFonts w:ascii="宋体" w:hAnsi="宋体" w:cs="宋体" w:eastAsia="宋体" w:hint="default"/>
                <w:spacing w:val="-7"/>
                <w:w w:val="100"/>
                <w:sz w:val="21"/>
                <w:szCs w:val="21"/>
              </w:rPr>
              <w:t>处置固定资产、无形资产和其他长期资产的损失（收益以</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w:t>
            </w:r>
            <w:r>
              <w:rPr>
                <w:rFonts w:ascii="Times New Roman" w:hAnsi="Times New Roman" w:cs="Times New Roman" w:eastAsia="Times New Roman" w:hint="default"/>
                <w:spacing w:val="-7"/>
                <w:w w:val="100"/>
                <w:sz w:val="21"/>
                <w:szCs w:val="21"/>
              </w:rPr>
              <w:t>”</w:t>
            </w:r>
            <w:r>
              <w:rPr>
                <w:rFonts w:ascii="Times New Roman" w:hAnsi="Times New Roman" w:cs="Times New Roman" w:eastAsia="Times New Roman" w:hint="default"/>
                <w:spacing w:val="-32"/>
                <w:w w:val="100"/>
                <w:sz w:val="21"/>
                <w:szCs w:val="21"/>
              </w:rPr>
              <w:t> </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5,193.93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3,399.72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25,603,319.84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14,596,171.56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2,000,109.65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-4,131,575.91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-13,071,288.42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-935,814.27</w:t>
            </w:r>
            <w:r>
              <w:rPr>
                <w:rFonts w:ascii="Times New Roman"/>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8,499,142.94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-39,769,399.56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-13,177,619.68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254,798.65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-111,122,261.70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-21,619,625.40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17,413,626.79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94,728,291.03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44,952,835.90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808,089,388.62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828,759,213.08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828,759,213.08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864,197,289.01</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-20,669,824.46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-35,438,075.93</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352" w:lineRule="auto"/>
        <w:ind w:left="633" w:right="0" w:firstLine="2"/>
        <w:jc w:val="left"/>
        <w:rPr>
          <w:rFonts w:ascii="宋体" w:hAnsi="宋体" w:cs="宋体" w:eastAsia="宋体" w:hint="default"/>
          <w:b w:val="0"/>
          <w:bCs w:val="0"/>
        </w:rPr>
      </w:pPr>
      <w:r>
        <w:rPr>
          <w:w w:val="95"/>
        </w:rPr>
        <w:t>（</w:t>
      </w:r>
      <w:r>
        <w:rPr>
          <w:rFonts w:ascii="宋体" w:hAnsi="宋体" w:cs="宋体" w:eastAsia="宋体" w:hint="default"/>
          <w:w w:val="95"/>
        </w:rPr>
        <w:t>2</w:t>
      </w:r>
      <w:r>
        <w:rPr>
          <w:w w:val="95"/>
        </w:rPr>
        <w:t>）本期支付的取得子公司的现金净额</w:t>
      </w:r>
      <w:r>
        <w:rPr>
          <w:spacing w:val="79"/>
          <w:w w:val="95"/>
        </w:rPr>
        <w:t> </w:t>
      </w:r>
      <w:r>
        <w:rPr>
          <w:rFonts w:ascii="宋体" w:hAnsi="宋体" w:cs="宋体" w:eastAsia="宋体" w:hint="default"/>
          <w:b w:val="0"/>
          <w:bCs w:val="0"/>
        </w:rPr>
        <w:t>无</w:t>
      </w:r>
    </w:p>
    <w:p>
      <w:pPr>
        <w:pStyle w:val="Heading2"/>
        <w:spacing w:line="350" w:lineRule="auto" w:before="32"/>
        <w:ind w:left="633" w:right="0" w:firstLine="2"/>
        <w:jc w:val="left"/>
        <w:rPr>
          <w:rFonts w:ascii="宋体" w:hAnsi="宋体" w:cs="宋体" w:eastAsia="宋体" w:hint="default"/>
          <w:b w:val="0"/>
          <w:bCs w:val="0"/>
        </w:rPr>
      </w:pPr>
      <w:r>
        <w:rPr>
          <w:w w:val="95"/>
        </w:rPr>
        <w:t>（</w:t>
      </w:r>
      <w:r>
        <w:rPr>
          <w:rFonts w:ascii="宋体" w:hAnsi="宋体" w:cs="宋体" w:eastAsia="宋体" w:hint="default"/>
          <w:w w:val="95"/>
        </w:rPr>
        <w:t>3</w:t>
      </w:r>
      <w:r>
        <w:rPr>
          <w:w w:val="95"/>
        </w:rPr>
        <w:t>）本期收到的处置子公司的现金净额</w:t>
      </w:r>
      <w:r>
        <w:rPr>
          <w:spacing w:val="79"/>
          <w:w w:val="95"/>
        </w:rPr>
        <w:t> </w:t>
      </w:r>
      <w:r>
        <w:rPr>
          <w:rFonts w:ascii="宋体" w:hAnsi="宋体" w:cs="宋体" w:eastAsia="宋体" w:hint="default"/>
          <w:b w:val="0"/>
          <w:bCs w:val="0"/>
        </w:rPr>
        <w:t>无</w:t>
      </w:r>
    </w:p>
    <w:p>
      <w:pPr>
        <w:pStyle w:val="Heading2"/>
        <w:spacing w:line="240" w:lineRule="auto" w:before="36"/>
        <w:ind w:right="0"/>
        <w:jc w:val="left"/>
        <w:rPr>
          <w:b w:val="0"/>
          <w:bCs w:val="0"/>
        </w:rPr>
      </w:pPr>
      <w:r>
        <w:rPr/>
        <w:t>（</w:t>
      </w:r>
      <w:r>
        <w:rPr>
          <w:rFonts w:ascii="宋体" w:hAnsi="宋体" w:cs="宋体" w:eastAsia="宋体" w:hint="default"/>
        </w:rPr>
        <w:t>4</w:t>
      </w:r>
      <w:r>
        <w:rPr/>
        <w:t>）现金和现金等价物的构成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0"/>
        <w:ind w:left="63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4851" w:space="3364"/>
            <w:col w:w="2715"/>
          </w:cols>
        </w:sectPr>
      </w:pP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937"/>
        <w:gridCol w:w="2735"/>
        <w:gridCol w:w="2885"/>
      </w:tblGrid>
      <w:tr>
        <w:trPr>
          <w:trHeight w:val="402"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7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808,089,388.62</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828,759,213.08</w:t>
            </w:r>
          </w:p>
        </w:tc>
      </w:tr>
      <w:tr>
        <w:trPr>
          <w:trHeight w:val="402"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7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69,827.97</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82,050.81</w:t>
            </w:r>
          </w:p>
        </w:tc>
      </w:tr>
      <w:tr>
        <w:trPr>
          <w:trHeight w:val="402"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7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804,732,862.72</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827,514,812.27</w:t>
            </w:r>
          </w:p>
        </w:tc>
      </w:tr>
      <w:tr>
        <w:trPr>
          <w:trHeight w:val="402"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7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3,286,697.93</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1,162,350.00</w:t>
            </w:r>
          </w:p>
        </w:tc>
      </w:tr>
      <w:tr>
        <w:trPr>
          <w:trHeight w:val="402"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7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808,089,388.62</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828,759,213.08</w:t>
            </w:r>
          </w:p>
        </w:tc>
      </w:tr>
      <w:tr>
        <w:trPr>
          <w:trHeight w:val="714"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
              <w:jc w:val="left"/>
              <w:rPr>
                <w:rFonts w:ascii="宋体" w:hAnsi="宋体" w:cs="宋体" w:eastAsia="宋体" w:hint="default"/>
                <w:sz w:val="21"/>
                <w:szCs w:val="21"/>
              </w:rPr>
            </w:pPr>
            <w:r>
              <w:rPr>
                <w:rFonts w:ascii="宋体" w:hAnsi="宋体" w:cs="宋体" w:eastAsia="宋体" w:hint="default"/>
                <w:spacing w:val="-5"/>
                <w:sz w:val="21"/>
                <w:szCs w:val="21"/>
              </w:rPr>
              <w:t>其中：母公司或集团内子公司使用受限制的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现金和现金等价物</w:t>
            </w:r>
          </w:p>
        </w:tc>
        <w:tc>
          <w:tcPr>
            <w:tcW w:w="2735" w:type="dxa"/>
            <w:tcBorders>
              <w:top w:val="single" w:sz="4" w:space="0" w:color="000000"/>
              <w:left w:val="single" w:sz="13" w:space="0" w:color="D2D2D2"/>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left="876" w:right="1120"/>
        <w:jc w:val="left"/>
        <w:rPr>
          <w:b w:val="0"/>
          <w:bCs w:val="0"/>
        </w:rPr>
      </w:pPr>
      <w:r>
        <w:rPr/>
        <w:t>其他说明：</w:t>
      </w:r>
      <w:r>
        <w:rPr>
          <w:b w:val="0"/>
          <w:bCs w:val="0"/>
        </w:rPr>
      </w:r>
    </w:p>
    <w:p>
      <w:pPr>
        <w:pStyle w:val="BodyText"/>
        <w:spacing w:line="240" w:lineRule="auto" w:before="145"/>
        <w:ind w:left="874" w:right="1120"/>
        <w:jc w:val="left"/>
      </w:pPr>
      <w:r>
        <w:rPr/>
        <w:t>期末其他货币资金中有</w:t>
      </w:r>
      <w:r>
        <w:rPr>
          <w:spacing w:val="-60"/>
        </w:rPr>
        <w:t> </w:t>
      </w:r>
      <w:r>
        <w:rPr>
          <w:rFonts w:ascii="宋体" w:hAnsi="宋体" w:cs="宋体" w:eastAsia="宋体" w:hint="default"/>
        </w:rPr>
        <w:t>10,884,532.66</w:t>
      </w:r>
      <w:r>
        <w:rPr>
          <w:rFonts w:ascii="宋体" w:hAnsi="宋体" w:cs="宋体" w:eastAsia="宋体" w:hint="default"/>
          <w:spacing w:val="-60"/>
        </w:rPr>
        <w:t> </w:t>
      </w:r>
      <w:r>
        <w:rPr/>
        <w:t>元保函保证金和</w:t>
      </w:r>
      <w:r>
        <w:rPr>
          <w:spacing w:val="-60"/>
        </w:rPr>
        <w:t> </w:t>
      </w:r>
      <w:r>
        <w:rPr>
          <w:rFonts w:ascii="宋体" w:hAnsi="宋体" w:cs="宋体" w:eastAsia="宋体" w:hint="default"/>
        </w:rPr>
        <w:t>96,945.92</w:t>
      </w:r>
      <w:r>
        <w:rPr>
          <w:rFonts w:ascii="宋体" w:hAnsi="宋体" w:cs="宋体" w:eastAsia="宋体" w:hint="default"/>
          <w:spacing w:val="-60"/>
        </w:rPr>
        <w:t> </w:t>
      </w:r>
      <w:r>
        <w:rPr/>
        <w:t>元期限超过三个月的</w:t>
      </w:r>
    </w:p>
    <w:p>
      <w:pPr>
        <w:pStyle w:val="BodyText"/>
        <w:spacing w:line="350" w:lineRule="auto" w:before="146"/>
        <w:ind w:left="393" w:right="1119"/>
        <w:jc w:val="left"/>
      </w:pPr>
      <w:r>
        <w:rPr>
          <w:spacing w:val="-5"/>
        </w:rPr>
        <w:t>银行承兑汇票保证金，不包含在现金及现金等价物中；期初其他货币资金中有</w:t>
      </w:r>
      <w:r>
        <w:rPr>
          <w:spacing w:val="-36"/>
        </w:rPr>
        <w:t> </w:t>
      </w:r>
      <w:r>
        <w:rPr>
          <w:rFonts w:ascii="宋体" w:hAnsi="宋体" w:cs="宋体" w:eastAsia="宋体" w:hint="default"/>
        </w:rPr>
        <w:t>12,406,468.42</w:t>
      </w:r>
      <w:r>
        <w:rPr>
          <w:rFonts w:ascii="宋体" w:hAnsi="宋体" w:cs="宋体" w:eastAsia="宋体" w:hint="default"/>
          <w:spacing w:val="-117"/>
        </w:rPr>
        <w:t> </w:t>
      </w:r>
      <w:r>
        <w:rPr/>
        <w:t>元保函保证金，不包含在现金及现金等价物中。</w:t>
      </w:r>
    </w:p>
    <w:p>
      <w:pPr>
        <w:pStyle w:val="Heading2"/>
        <w:spacing w:line="352" w:lineRule="auto" w:before="35"/>
        <w:ind w:left="873" w:right="7017" w:firstLine="2"/>
        <w:jc w:val="left"/>
        <w:rPr>
          <w:rFonts w:ascii="宋体" w:hAnsi="宋体" w:cs="宋体" w:eastAsia="宋体" w:hint="default"/>
          <w:b w:val="0"/>
          <w:bCs w:val="0"/>
        </w:rPr>
      </w:pPr>
      <w:r>
        <w:rPr>
          <w:rFonts w:ascii="宋体" w:hAnsi="宋体" w:cs="宋体" w:eastAsia="宋体" w:hint="default"/>
          <w:w w:val="95"/>
        </w:rPr>
        <w:t>75</w:t>
      </w:r>
      <w:r>
        <w:rPr>
          <w:w w:val="95"/>
        </w:rPr>
        <w:t>、所有者权益变动表项目注释</w:t>
      </w:r>
      <w:r>
        <w:rPr>
          <w:spacing w:val="39"/>
          <w:w w:val="95"/>
        </w:rPr>
        <w:t> </w:t>
      </w:r>
      <w:r>
        <w:rPr>
          <w:rFonts w:ascii="宋体" w:hAnsi="宋体" w:cs="宋体" w:eastAsia="宋体" w:hint="default"/>
          <w:b w:val="0"/>
          <w:bCs w:val="0"/>
        </w:rPr>
        <w:t>无</w:t>
      </w:r>
    </w:p>
    <w:p>
      <w:pPr>
        <w:pStyle w:val="Heading2"/>
        <w:spacing w:line="240" w:lineRule="auto" w:before="32"/>
        <w:ind w:left="876" w:right="1120"/>
        <w:jc w:val="left"/>
        <w:rPr>
          <w:b w:val="0"/>
          <w:bCs w:val="0"/>
        </w:rPr>
      </w:pPr>
      <w:r>
        <w:rPr>
          <w:rFonts w:ascii="宋体" w:hAnsi="宋体" w:cs="宋体" w:eastAsia="宋体" w:hint="default"/>
        </w:rPr>
        <w:t>76</w:t>
      </w:r>
      <w:r>
        <w:rPr/>
        <w:t>、所有权或使用权受到限制的资产</w:t>
      </w:r>
      <w:r>
        <w:rPr>
          <w:b w:val="0"/>
          <w:bCs w:val="0"/>
        </w:rPr>
      </w:r>
    </w:p>
    <w:p>
      <w:pPr>
        <w:spacing w:before="83"/>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40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14,268,176.51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保函保证金</w:t>
            </w:r>
            <w:r>
              <w:rPr>
                <w:rFonts w:ascii="Arial" w:hAnsi="Arial" w:cs="Arial" w:eastAsia="Arial" w:hint="default"/>
                <w:sz w:val="18"/>
                <w:szCs w:val="18"/>
              </w:rPr>
              <w:t>/</w:t>
            </w:r>
            <w:r>
              <w:rPr>
                <w:rFonts w:ascii="宋体" w:hAnsi="宋体" w:cs="宋体" w:eastAsia="宋体" w:hint="default"/>
                <w:sz w:val="18"/>
                <w:szCs w:val="18"/>
              </w:rPr>
              <w:t>银行承兑汇票保证金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z w:val="21"/>
              </w:rPr>
              <w:t>14,268,176.51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4"/>
          <w:szCs w:val="4"/>
        </w:rPr>
      </w:pPr>
    </w:p>
    <w:p>
      <w:pPr>
        <w:pStyle w:val="Heading2"/>
        <w:spacing w:line="352" w:lineRule="auto"/>
        <w:ind w:left="873" w:right="8102" w:firstLine="2"/>
        <w:jc w:val="left"/>
        <w:rPr>
          <w:rFonts w:ascii="宋体" w:hAnsi="宋体" w:cs="宋体" w:eastAsia="宋体" w:hint="default"/>
          <w:b w:val="0"/>
          <w:bCs w:val="0"/>
        </w:rPr>
      </w:pPr>
      <w:r>
        <w:rPr>
          <w:rFonts w:ascii="宋体" w:hAnsi="宋体" w:cs="宋体" w:eastAsia="宋体" w:hint="default"/>
        </w:rPr>
        <w:t>77</w:t>
      </w:r>
      <w:r>
        <w:rPr/>
        <w:t>、外币货币性项目</w:t>
      </w:r>
      <w:r>
        <w:rPr>
          <w:w w:val="99"/>
        </w:rPr>
        <w:t> </w:t>
      </w:r>
      <w:r>
        <w:rPr>
          <w:rFonts w:ascii="宋体" w:hAnsi="宋体" w:cs="宋体" w:eastAsia="宋体" w:hint="default"/>
          <w:b w:val="0"/>
          <w:bCs w:val="0"/>
        </w:rPr>
        <w:t>无</w:t>
      </w:r>
    </w:p>
    <w:p>
      <w:pPr>
        <w:pStyle w:val="Heading2"/>
        <w:spacing w:line="352" w:lineRule="auto" w:before="32"/>
        <w:ind w:left="873" w:right="9306" w:firstLine="2"/>
        <w:jc w:val="left"/>
        <w:rPr>
          <w:rFonts w:ascii="宋体" w:hAnsi="宋体" w:cs="宋体" w:eastAsia="宋体" w:hint="default"/>
          <w:b w:val="0"/>
          <w:bCs w:val="0"/>
        </w:rPr>
      </w:pPr>
      <w:r>
        <w:rPr>
          <w:rFonts w:ascii="宋体" w:hAnsi="宋体" w:cs="宋体" w:eastAsia="宋体" w:hint="default"/>
        </w:rPr>
        <w:t>78</w:t>
      </w:r>
      <w:r>
        <w:rPr/>
        <w:t>、套期</w:t>
      </w:r>
      <w:r>
        <w:rPr>
          <w:spacing w:val="1"/>
          <w:w w:val="99"/>
        </w:rPr>
        <w:t> </w:t>
      </w:r>
      <w:r>
        <w:rPr>
          <w:rFonts w:ascii="宋体" w:hAnsi="宋体" w:cs="宋体" w:eastAsia="宋体" w:hint="default"/>
          <w:b w:val="0"/>
          <w:bCs w:val="0"/>
        </w:rPr>
        <w:t>无 </w:t>
      </w:r>
      <w:r>
        <w:rPr>
          <w:rFonts w:ascii="宋体" w:hAnsi="宋体" w:cs="宋体" w:eastAsia="宋体" w:hint="default"/>
        </w:rPr>
        <w:t>79</w:t>
      </w:r>
      <w:r>
        <w:rPr/>
        <w:t>、其他</w:t>
      </w:r>
      <w:r>
        <w:rPr>
          <w:spacing w:val="1"/>
          <w:w w:val="99"/>
        </w:rPr>
        <w:t> </w:t>
      </w:r>
      <w:r>
        <w:rPr>
          <w:rFonts w:ascii="宋体" w:hAnsi="宋体" w:cs="宋体" w:eastAsia="宋体" w:hint="default"/>
          <w:b w:val="0"/>
          <w:bCs w:val="0"/>
        </w:rPr>
        <w:t>无</w:t>
      </w:r>
    </w:p>
    <w:p>
      <w:pPr>
        <w:spacing w:line="350" w:lineRule="auto" w:before="32"/>
        <w:ind w:left="873" w:right="5715" w:firstLine="2"/>
        <w:jc w:val="left"/>
        <w:rPr>
          <w:rFonts w:ascii="宋体" w:hAnsi="宋体" w:cs="宋体" w:eastAsia="宋体" w:hint="default"/>
          <w:sz w:val="24"/>
          <w:szCs w:val="24"/>
        </w:rPr>
      </w:pPr>
      <w:r>
        <w:rPr/>
        <w:pict>
          <v:shape style="position:absolute;margin-left:42.84pt;margin-top:89.235611pt;width:494.2pt;height:219.2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9"/>
                    <w:gridCol w:w="1429"/>
                    <w:gridCol w:w="2835"/>
                    <w:gridCol w:w="1419"/>
                    <w:gridCol w:w="850"/>
                    <w:gridCol w:w="709"/>
                    <w:gridCol w:w="924"/>
                  </w:tblGrid>
                  <w:tr>
                    <w:trPr>
                      <w:trHeight w:val="205"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53"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09"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8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28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924" w:type="dxa"/>
                        <w:vMerge w:val="restart"/>
                        <w:tcBorders>
                          <w:top w:val="nil" w:sz="6" w:space="0" w:color="auto"/>
                          <w:left w:val="single" w:sz="10" w:space="0" w:color="D2D2D2"/>
                          <w:right w:val="single" w:sz="13" w:space="0" w:color="D2D2D2"/>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取得方式</w:t>
                        </w:r>
                        <w:r>
                          <w:rPr>
                            <w:rFonts w:ascii="宋体" w:hAnsi="宋体" w:cs="宋体" w:eastAsia="宋体" w:hint="default"/>
                            <w:sz w:val="21"/>
                            <w:szCs w:val="21"/>
                          </w:rPr>
                        </w:r>
                      </w:p>
                    </w:tc>
                  </w:tr>
                  <w:tr>
                    <w:trPr>
                      <w:trHeight w:val="200"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2835"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1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39"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24" w:type="dxa"/>
                        <w:vMerge/>
                        <w:tcBorders>
                          <w:left w:val="single" w:sz="10" w:space="0" w:color="D2D2D2"/>
                          <w:bottom w:val="nil" w:sz="6" w:space="0" w:color="auto"/>
                          <w:right w:val="single" w:sz="13" w:space="0" w:color="D2D2D2"/>
                        </w:tcBorders>
                      </w:tcPr>
                      <w:p>
                        <w:pPr/>
                      </w:p>
                    </w:tc>
                  </w:tr>
                  <w:tr>
                    <w:trPr>
                      <w:trHeight w:val="206"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185"/>
                          <w:jc w:val="left"/>
                          <w:rPr>
                            <w:rFonts w:ascii="宋体" w:hAnsi="宋体" w:cs="宋体" w:eastAsia="宋体" w:hint="default"/>
                            <w:sz w:val="21"/>
                            <w:szCs w:val="21"/>
                          </w:rPr>
                        </w:pPr>
                        <w:r>
                          <w:rPr>
                            <w:rFonts w:ascii="宋体" w:hAnsi="宋体" w:cs="宋体" w:eastAsia="宋体" w:hint="default"/>
                            <w:sz w:val="21"/>
                            <w:szCs w:val="21"/>
                          </w:rPr>
                          <w:t>河南辉煌软件有 限公司</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郑州高新区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郑州高新开发区科学大道</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74</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软件服务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71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185"/>
                          <w:jc w:val="left"/>
                          <w:rPr>
                            <w:rFonts w:ascii="宋体" w:hAnsi="宋体" w:cs="宋体" w:eastAsia="宋体" w:hint="default"/>
                            <w:sz w:val="21"/>
                            <w:szCs w:val="21"/>
                          </w:rPr>
                        </w:pPr>
                        <w:r>
                          <w:rPr>
                            <w:rFonts w:ascii="宋体" w:hAnsi="宋体" w:cs="宋体" w:eastAsia="宋体" w:hint="default"/>
                            <w:sz w:val="21"/>
                            <w:szCs w:val="21"/>
                          </w:rPr>
                          <w:t>河南辉煌信通软 件有限公司</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郑州高新区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宋体" w:hAnsi="宋体" w:cs="宋体" w:eastAsia="宋体" w:hint="default"/>
                            <w:sz w:val="21"/>
                            <w:szCs w:val="21"/>
                          </w:rPr>
                          <w:t>郑州市高新区科学大道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软件服务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71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185"/>
                          <w:jc w:val="left"/>
                          <w:rPr>
                            <w:rFonts w:ascii="宋体" w:hAnsi="宋体" w:cs="宋体" w:eastAsia="宋体" w:hint="default"/>
                            <w:sz w:val="21"/>
                            <w:szCs w:val="21"/>
                          </w:rPr>
                        </w:pPr>
                        <w:r>
                          <w:rPr>
                            <w:rFonts w:ascii="宋体" w:hAnsi="宋体" w:cs="宋体" w:eastAsia="宋体" w:hint="default"/>
                            <w:sz w:val="21"/>
                            <w:szCs w:val="21"/>
                          </w:rPr>
                          <w:t>北京全路信通软 件科技有限公司</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北京市丰台区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北京市丰台区南四环西路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188</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r>
                          <w:rPr>
                            <w:rFonts w:ascii="Times New Roman" w:hAnsi="Times New Roman" w:cs="Times New Roman" w:eastAsia="Times New Roman" w:hint="default"/>
                            <w:sz w:val="21"/>
                            <w:szCs w:val="21"/>
                          </w:rPr>
                          <w:t>(</w:t>
                        </w:r>
                        <w:r>
                          <w:rPr>
                            <w:rFonts w:ascii="宋体" w:hAnsi="宋体" w:cs="宋体" w:eastAsia="宋体" w:hint="default"/>
                            <w:sz w:val="21"/>
                            <w:szCs w:val="21"/>
                          </w:rPr>
                          <w:t>园区</w:t>
                        </w:r>
                        <w:r>
                          <w:rPr>
                            <w:rFonts w:ascii="Times New Roman" w:hAnsi="Times New Roman" w:cs="Times New Roman" w:eastAsia="Times New Roman" w:hint="default"/>
                            <w:sz w:val="21"/>
                            <w:szCs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软件服务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71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185"/>
                          <w:jc w:val="left"/>
                          <w:rPr>
                            <w:rFonts w:ascii="宋体" w:hAnsi="宋体" w:cs="宋体" w:eastAsia="宋体" w:hint="default"/>
                            <w:sz w:val="21"/>
                            <w:szCs w:val="21"/>
                          </w:rPr>
                        </w:pPr>
                        <w:r>
                          <w:rPr>
                            <w:rFonts w:ascii="宋体" w:hAnsi="宋体" w:cs="宋体" w:eastAsia="宋体" w:hint="default"/>
                            <w:sz w:val="21"/>
                            <w:szCs w:val="21"/>
                          </w:rPr>
                          <w:t>北京国铁路阳技 术有限公司</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北京市丰台区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北京市丰台区南四环西路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188</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r>
                          <w:rPr>
                            <w:rFonts w:ascii="Times New Roman" w:hAnsi="Times New Roman" w:cs="Times New Roman" w:eastAsia="Times New Roman" w:hint="default"/>
                            <w:sz w:val="21"/>
                            <w:szCs w:val="21"/>
                          </w:rPr>
                          <w:t>(</w:t>
                        </w:r>
                        <w:r>
                          <w:rPr>
                            <w:rFonts w:ascii="宋体" w:hAnsi="宋体" w:cs="宋体" w:eastAsia="宋体" w:hint="default"/>
                            <w:sz w:val="21"/>
                            <w:szCs w:val="21"/>
                          </w:rPr>
                          <w:t>园区</w:t>
                        </w:r>
                        <w:r>
                          <w:rPr>
                            <w:rFonts w:ascii="Times New Roman" w:hAnsi="Times New Roman" w:cs="Times New Roman" w:eastAsia="Times New Roman" w:hint="default"/>
                            <w:sz w:val="21"/>
                            <w:szCs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铁路信号通信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购买取得</w:t>
                        </w:r>
                      </w:p>
                    </w:tc>
                  </w:tr>
                  <w:tr>
                    <w:trPr>
                      <w:trHeight w:val="71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2" w:right="185"/>
                          <w:jc w:val="left"/>
                          <w:rPr>
                            <w:rFonts w:ascii="宋体" w:hAnsi="宋体" w:cs="宋体" w:eastAsia="宋体" w:hint="default"/>
                            <w:sz w:val="21"/>
                            <w:szCs w:val="21"/>
                          </w:rPr>
                        </w:pPr>
                        <w:r>
                          <w:rPr>
                            <w:rFonts w:ascii="宋体" w:hAnsi="宋体" w:cs="宋体" w:eastAsia="宋体" w:hint="default"/>
                            <w:sz w:val="21"/>
                            <w:szCs w:val="21"/>
                          </w:rPr>
                          <w:t>北京国铁路阳软 件有限公司</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北京市丰台区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北京市丰台区南四环西路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软件服务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购买取得</w:t>
                        </w:r>
                      </w:p>
                    </w:tc>
                  </w:tr>
                </w:tbl>
                <w:p>
                  <w:pPr/>
                </w:p>
              </w:txbxContent>
            </v:textbox>
            <w10:wrap type="none"/>
          </v:shape>
        </w:pic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宋体" w:hAnsi="宋体" w:cs="宋体" w:eastAsia="宋体" w:hint="default"/>
          <w:sz w:val="24"/>
          <w:szCs w:val="24"/>
        </w:rPr>
        <w:t>本报告期内财务报表合并范围未发生变化。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宋体" w:hAnsi="宋体" w:cs="宋体" w:eastAsia="宋体" w:hint="default"/>
          <w:b/>
          <w:bCs/>
          <w:sz w:val="24"/>
          <w:szCs w:val="24"/>
        </w:rPr>
        <w:t>在子公司中的权益</w:t>
      </w:r>
      <w:r>
        <w:rPr>
          <w:rFonts w:ascii="宋体" w:hAnsi="宋体" w:cs="宋体" w:eastAsia="宋体" w:hint="default"/>
          <w:sz w:val="24"/>
          <w:szCs w:val="24"/>
        </w:rPr>
      </w:r>
    </w:p>
    <w:p>
      <w:pPr>
        <w:spacing w:after="0" w:line="350" w:lineRule="auto"/>
        <w:jc w:val="left"/>
        <w:rPr>
          <w:rFonts w:ascii="宋体" w:hAnsi="宋体" w:cs="宋体" w:eastAsia="宋体" w:hint="default"/>
          <w:sz w:val="24"/>
          <w:szCs w:val="24"/>
        </w:rPr>
        <w:sectPr>
          <w:pgSz w:w="11910" w:h="16840"/>
          <w:pgMar w:header="747" w:footer="979" w:top="1060" w:bottom="1160" w:left="740" w:right="0"/>
        </w:sectPr>
      </w:pPr>
    </w:p>
    <w:p>
      <w:pPr>
        <w:spacing w:line="240" w:lineRule="auto" w:before="6"/>
        <w:rPr>
          <w:rFonts w:ascii="宋体" w:hAnsi="宋体" w:cs="宋体" w:eastAsia="宋体" w:hint="default"/>
          <w:b/>
          <w:bCs/>
          <w:sz w:val="28"/>
          <w:szCs w:val="28"/>
        </w:rPr>
      </w:pPr>
    </w:p>
    <w:tbl>
      <w:tblPr>
        <w:tblW w:w="0" w:type="auto"/>
        <w:jc w:val="left"/>
        <w:tblInd w:w="105" w:type="dxa"/>
        <w:tblLayout w:type="fixed"/>
        <w:tblCellMar>
          <w:top w:w="0" w:type="dxa"/>
          <w:left w:w="0" w:type="dxa"/>
          <w:bottom w:w="0" w:type="dxa"/>
          <w:right w:w="0" w:type="dxa"/>
        </w:tblCellMar>
        <w:tblLook w:val="01E0"/>
      </w:tblPr>
      <w:tblGrid>
        <w:gridCol w:w="1691"/>
        <w:gridCol w:w="1429"/>
        <w:gridCol w:w="2835"/>
        <w:gridCol w:w="1419"/>
        <w:gridCol w:w="850"/>
        <w:gridCol w:w="709"/>
        <w:gridCol w:w="924"/>
      </w:tblGrid>
      <w:tr>
        <w:trPr>
          <w:trHeight w:val="714"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185"/>
              <w:jc w:val="left"/>
              <w:rPr>
                <w:rFonts w:ascii="宋体" w:hAnsi="宋体" w:cs="宋体" w:eastAsia="宋体" w:hint="default"/>
                <w:sz w:val="21"/>
                <w:szCs w:val="21"/>
              </w:rPr>
            </w:pPr>
            <w:r>
              <w:rPr>
                <w:rFonts w:ascii="宋体" w:hAnsi="宋体" w:cs="宋体" w:eastAsia="宋体" w:hint="default"/>
                <w:sz w:val="21"/>
                <w:szCs w:val="21"/>
              </w:rPr>
              <w:t>天津辉煌路阳科 技有限公司</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天津市津南区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天津双港工业区丽港园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34-210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铁路信号通信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购买取得</w:t>
            </w:r>
          </w:p>
        </w:tc>
      </w:tr>
      <w:tr>
        <w:trPr>
          <w:trHeight w:val="714"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 w:right="185"/>
              <w:jc w:val="left"/>
              <w:rPr>
                <w:rFonts w:ascii="宋体" w:hAnsi="宋体" w:cs="宋体" w:eastAsia="宋体" w:hint="default"/>
                <w:sz w:val="21"/>
                <w:szCs w:val="21"/>
              </w:rPr>
            </w:pPr>
            <w:r>
              <w:rPr>
                <w:rFonts w:ascii="宋体" w:hAnsi="宋体" w:cs="宋体" w:eastAsia="宋体" w:hint="default"/>
                <w:sz w:val="21"/>
                <w:szCs w:val="21"/>
              </w:rPr>
              <w:t>天津信通铁路电 气技术有限公司</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天津市东丽区</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天津市东丽区先锋东路</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48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铁路信号通信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购买取得</w:t>
            </w:r>
          </w:p>
        </w:tc>
      </w:tr>
    </w:tbl>
    <w:p>
      <w:pPr>
        <w:spacing w:line="240" w:lineRule="auto" w:before="10"/>
        <w:rPr>
          <w:rFonts w:ascii="宋体" w:hAnsi="宋体" w:cs="宋体" w:eastAsia="宋体" w:hint="default"/>
          <w:b/>
          <w:bCs/>
          <w:sz w:val="4"/>
          <w:szCs w:val="4"/>
        </w:rPr>
      </w:pPr>
    </w:p>
    <w:p>
      <w:pPr>
        <w:spacing w:line="352" w:lineRule="auto" w:before="26"/>
        <w:ind w:left="873" w:right="1120" w:firstLine="2"/>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本公司的经营活动会面临各种金融风险：信用风险、流动风险和市场风险（主要为汇率</w:t>
      </w:r>
    </w:p>
    <w:p>
      <w:pPr>
        <w:pStyle w:val="BodyText"/>
        <w:spacing w:line="350" w:lineRule="auto" w:before="32"/>
        <w:ind w:left="393" w:right="1120"/>
        <w:jc w:val="left"/>
      </w:pPr>
      <w:r>
        <w:rPr/>
        <w:t>风险和利率风险）。本公司整体的风险管理计划针对金融市场的不可预见性，力求减少对本 公司财务业绩的潜在不利影响。</w:t>
      </w:r>
    </w:p>
    <w:p>
      <w:pPr>
        <w:pStyle w:val="BodyText"/>
        <w:tabs>
          <w:tab w:pos="1834" w:val="left" w:leader="none"/>
        </w:tabs>
        <w:spacing w:line="350" w:lineRule="auto"/>
        <w:ind w:left="874" w:right="1140" w:hanging="56"/>
        <w:jc w:val="left"/>
      </w:pPr>
      <w:bookmarkStart w:name="（一） 信用风险" w:id="22"/>
      <w:bookmarkEnd w:id="22"/>
      <w:r>
        <w:rPr/>
      </w:r>
      <w:r>
        <w:rPr>
          <w:rFonts w:ascii="宋体" w:hAnsi="宋体" w:cs="宋体" w:eastAsia="宋体" w:hint="default"/>
          <w:b/>
          <w:bCs/>
          <w:w w:val="95"/>
        </w:rPr>
        <w:t>（一）</w:t>
        <w:tab/>
      </w:r>
      <w:r>
        <w:rPr>
          <w:rFonts w:ascii="宋体" w:hAnsi="宋体" w:cs="宋体" w:eastAsia="宋体" w:hint="default"/>
          <w:b/>
          <w:bCs/>
        </w:rPr>
        <w:t>信用风险</w:t>
      </w:r>
      <w:r>
        <w:rPr>
          <w:rFonts w:ascii="宋体" w:hAnsi="宋体" w:cs="宋体" w:eastAsia="宋体" w:hint="default"/>
          <w:b/>
          <w:bCs/>
          <w:spacing w:val="1"/>
          <w:w w:val="99"/>
        </w:rPr>
        <w:t> </w:t>
      </w:r>
      <w:r>
        <w:rPr/>
        <w:t>本公司的信用风险主要来自货币资金、应收票据、应收账款、其他应收款等。管理层已</w:t>
      </w:r>
    </w:p>
    <w:p>
      <w:pPr>
        <w:pStyle w:val="BodyText"/>
        <w:spacing w:line="352" w:lineRule="auto" w:before="35"/>
        <w:ind w:left="873" w:right="1120" w:hanging="480"/>
        <w:jc w:val="left"/>
      </w:pPr>
      <w:r>
        <w:rPr/>
        <w:t>制定适当的信用政策，并且不断监察这些信用风险的敞口。 本公司持有的货币资金，主要存放于国有控股银行和其他大中型商业银行等金融机构，</w:t>
      </w:r>
    </w:p>
    <w:p>
      <w:pPr>
        <w:pStyle w:val="BodyText"/>
        <w:spacing w:line="350" w:lineRule="auto" w:before="32"/>
        <w:ind w:left="393" w:right="1120"/>
        <w:jc w:val="left"/>
      </w:pPr>
      <w:r>
        <w:rPr/>
        <w:t>管理层认为这些商业银行具备较高信誉和资产状况，不存在重大的信用风险，不会产生因对 方单位违约而导致的任何重大损失。</w:t>
      </w:r>
    </w:p>
    <w:p>
      <w:pPr>
        <w:pStyle w:val="BodyText"/>
        <w:spacing w:line="350" w:lineRule="auto"/>
        <w:ind w:left="393" w:right="1139" w:firstLine="480"/>
        <w:jc w:val="both"/>
      </w:pPr>
      <w:r>
        <w:rPr/>
        <w:t>对于应收账款、其他应收款和应收票据，本公司设定相关政策以控制信用风险敞口。本 公司基于对客户的财务状况、从第三方获取担保的可能性、信用记录及其它因素诸如目前市 场状况等评估客户的信用资质并设置相应信用期。本公司会定期对客户信用记录进行监控， 对于信用记录不良的客户，本公司会采用书面催款、缩短信用期或取消信用期等方式，以确 保本公司的整体信用风险在可控的范围内。</w:t>
      </w:r>
    </w:p>
    <w:p>
      <w:pPr>
        <w:pStyle w:val="BodyText"/>
        <w:spacing w:line="352" w:lineRule="auto" w:before="35"/>
        <w:ind w:left="873" w:right="1001"/>
        <w:jc w:val="left"/>
        <w:rPr>
          <w:rFonts w:ascii="宋体" w:hAnsi="宋体" w:cs="宋体" w:eastAsia="宋体" w:hint="default"/>
        </w:rPr>
      </w:pPr>
      <w:r>
        <w:rPr/>
        <w:t>截止</w:t>
      </w:r>
      <w:r>
        <w:rPr>
          <w:spacing w:val="-64"/>
        </w:rPr>
        <w:t> </w:t>
      </w:r>
      <w:r>
        <w:rPr>
          <w:rFonts w:ascii="宋体" w:hAnsi="宋体" w:cs="宋体" w:eastAsia="宋体" w:hint="default"/>
        </w:rPr>
        <w:t>2015</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日，本公司的前五大客户的应收款占本公司应收款项总额</w:t>
      </w:r>
      <w:r>
        <w:rPr>
          <w:spacing w:val="-64"/>
        </w:rPr>
        <w:t> </w:t>
      </w:r>
      <w:r>
        <w:rPr>
          <w:rFonts w:ascii="宋体" w:hAnsi="宋体" w:cs="宋体" w:eastAsia="宋体" w:hint="default"/>
        </w:rPr>
        <w:t>19.55%</w:t>
      </w:r>
      <w:r>
        <w:rPr/>
        <w:t>。 </w:t>
      </w:r>
      <w:r>
        <w:rPr>
          <w:spacing w:val="6"/>
        </w:rPr>
        <w:t>本公司所承受的最大信用风险敞口为资产负债表中每项金融资产</w:t>
      </w:r>
      <w:r>
        <w:rPr>
          <w:rFonts w:ascii="宋体" w:hAnsi="宋体" w:cs="宋体" w:eastAsia="宋体" w:hint="default"/>
          <w:spacing w:val="6"/>
        </w:rPr>
        <w:t>(</w:t>
      </w:r>
      <w:r>
        <w:rPr>
          <w:spacing w:val="6"/>
        </w:rPr>
        <w:t>包括衍生金融工具</w:t>
      </w:r>
      <w:r>
        <w:rPr>
          <w:rFonts w:ascii="宋体" w:hAnsi="宋体" w:cs="宋体" w:eastAsia="宋体" w:hint="default"/>
          <w:spacing w:val="6"/>
        </w:rPr>
        <w:t>)</w:t>
      </w:r>
    </w:p>
    <w:p>
      <w:pPr>
        <w:pStyle w:val="BodyText"/>
        <w:spacing w:line="240" w:lineRule="auto" w:before="32"/>
        <w:ind w:left="393" w:right="1120"/>
        <w:jc w:val="left"/>
      </w:pPr>
      <w:r>
        <w:rPr/>
        <w:t>的账面金额。</w:t>
      </w:r>
    </w:p>
    <w:p>
      <w:pPr>
        <w:tabs>
          <w:tab w:pos="1834" w:val="left" w:leader="none"/>
        </w:tabs>
        <w:spacing w:line="352" w:lineRule="auto" w:before="145"/>
        <w:ind w:left="873" w:right="1132" w:hanging="56"/>
        <w:jc w:val="left"/>
        <w:rPr>
          <w:rFonts w:ascii="宋体" w:hAnsi="宋体" w:cs="宋体" w:eastAsia="宋体" w:hint="default"/>
          <w:sz w:val="24"/>
          <w:szCs w:val="24"/>
        </w:rPr>
      </w:pPr>
      <w:bookmarkStart w:name="（二） 流动性风险" w:id="23"/>
      <w:bookmarkEnd w:id="23"/>
      <w:r>
        <w:rPr/>
      </w:r>
      <w:r>
        <w:rPr>
          <w:rFonts w:ascii="宋体" w:hAnsi="宋体" w:cs="宋体" w:eastAsia="宋体" w:hint="default"/>
          <w:b/>
          <w:bCs/>
          <w:w w:val="95"/>
          <w:sz w:val="24"/>
          <w:szCs w:val="24"/>
        </w:rPr>
        <w:t>（二）</w:t>
        <w:tab/>
      </w:r>
      <w:r>
        <w:rPr>
          <w:rFonts w:ascii="宋体" w:hAnsi="宋体" w:cs="宋体" w:eastAsia="宋体" w:hint="default"/>
          <w:b/>
          <w:bCs/>
          <w:sz w:val="24"/>
          <w:szCs w:val="24"/>
        </w:rPr>
        <w:t>流动性风险</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流动性风险是指本公司无法及时获得充足资金</w:t>
      </w:r>
      <w:r>
        <w:rPr>
          <w:rFonts w:ascii="宋体" w:hAnsi="宋体" w:cs="宋体" w:eastAsia="宋体" w:hint="default"/>
          <w:spacing w:val="3"/>
          <w:sz w:val="24"/>
          <w:szCs w:val="24"/>
        </w:rPr>
        <w:t>,</w:t>
      </w:r>
      <w:r>
        <w:rPr>
          <w:rFonts w:ascii="宋体" w:hAnsi="宋体" w:cs="宋体" w:eastAsia="宋体" w:hint="default"/>
          <w:spacing w:val="3"/>
          <w:sz w:val="24"/>
          <w:szCs w:val="24"/>
        </w:rPr>
        <w:t>满足业务发展需要或偿付到期债务以及</w:t>
      </w:r>
    </w:p>
    <w:p>
      <w:pPr>
        <w:pStyle w:val="BodyText"/>
        <w:spacing w:line="350" w:lineRule="auto" w:before="32"/>
        <w:ind w:left="873" w:right="1120" w:hanging="480"/>
        <w:jc w:val="left"/>
      </w:pPr>
      <w:r>
        <w:rPr/>
        <w:t>其他支付义务的风险。 本公司财务部门持续监控公司短期和长期的资金需求，以确保维持充裕的现金储备；同</w:t>
      </w:r>
    </w:p>
    <w:p>
      <w:pPr>
        <w:pStyle w:val="BodyText"/>
        <w:spacing w:line="350" w:lineRule="auto"/>
        <w:ind w:left="393" w:right="1120"/>
        <w:jc w:val="left"/>
      </w:pPr>
      <w:r>
        <w:rPr/>
        <w:t>时持续监控是否符合借款协议的规定，从主要金融机构获得提供足够备用资金的承诺，以满 足短期和长期的资金需求。</w:t>
      </w:r>
    </w:p>
    <w:p>
      <w:pPr>
        <w:pStyle w:val="BodyText"/>
        <w:spacing w:line="352" w:lineRule="auto" w:before="35"/>
        <w:ind w:left="393" w:right="1131" w:firstLine="480"/>
        <w:jc w:val="both"/>
      </w:pPr>
      <w:r>
        <w:rPr/>
        <w:t>截止</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3"/>
        </w:rPr>
        <w:t>日，本公司各项金融资产及金融负债以未折现的合同现金流量按到</w:t>
      </w:r>
      <w:r>
        <w:rPr/>
        <w:t> 期日列示如下：</w:t>
      </w:r>
    </w:p>
    <w:p>
      <w:pPr>
        <w:spacing w:after="0" w:line="352" w:lineRule="auto"/>
        <w:jc w:val="both"/>
        <w:sectPr>
          <w:pgSz w:w="11910" w:h="16840"/>
          <w:pgMar w:header="747" w:footer="979" w:top="1060" w:bottom="1160" w:left="740" w:right="0"/>
        </w:sectPr>
      </w:pPr>
    </w:p>
    <w:p>
      <w:pPr>
        <w:spacing w:line="240" w:lineRule="auto" w:before="6"/>
        <w:rPr>
          <w:rFonts w:ascii="宋体" w:hAnsi="宋体" w:cs="宋体" w:eastAsia="宋体" w:hint="default"/>
          <w:sz w:val="28"/>
          <w:szCs w:val="28"/>
        </w:rPr>
      </w:pPr>
    </w:p>
    <w:tbl>
      <w:tblPr>
        <w:tblW w:w="0" w:type="auto"/>
        <w:jc w:val="left"/>
        <w:tblInd w:w="332" w:type="dxa"/>
        <w:tblLayout w:type="fixed"/>
        <w:tblCellMar>
          <w:top w:w="0" w:type="dxa"/>
          <w:left w:w="0" w:type="dxa"/>
          <w:bottom w:w="0" w:type="dxa"/>
          <w:right w:w="0" w:type="dxa"/>
        </w:tblCellMar>
        <w:tblLook w:val="01E0"/>
      </w:tblPr>
      <w:tblGrid>
        <w:gridCol w:w="1475"/>
        <w:gridCol w:w="1558"/>
        <w:gridCol w:w="1557"/>
        <w:gridCol w:w="1558"/>
        <w:gridCol w:w="1318"/>
        <w:gridCol w:w="1051"/>
        <w:gridCol w:w="1276"/>
      </w:tblGrid>
      <w:tr>
        <w:trPr>
          <w:trHeight w:val="402" w:hRule="exact"/>
        </w:trPr>
        <w:tc>
          <w:tcPr>
            <w:tcW w:w="147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83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475"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3"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8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27"/>
                <w:sz w:val="21"/>
                <w:szCs w:val="21"/>
              </w:rPr>
              <w:t> </w:t>
            </w:r>
            <w:r>
              <w:rPr>
                <w:rFonts w:ascii="宋体" w:hAnsi="宋体" w:cs="宋体" w:eastAsia="宋体" w:hint="default"/>
                <w:sz w:val="21"/>
                <w:szCs w:val="21"/>
              </w:rPr>
              <w:t>年以内</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Arial" w:hAnsi="Arial" w:cs="Arial" w:eastAsia="Arial" w:hint="default"/>
                <w:w w:val="95"/>
                <w:sz w:val="21"/>
                <w:szCs w:val="21"/>
              </w:rPr>
              <w:t>1-2</w:t>
            </w:r>
            <w:r>
              <w:rPr>
                <w:rFonts w:ascii="Arial" w:hAnsi="Arial" w:cs="Arial" w:eastAsia="Arial" w:hint="default"/>
                <w:spacing w:val="-33"/>
                <w:w w:val="95"/>
                <w:sz w:val="21"/>
                <w:szCs w:val="21"/>
              </w:rPr>
              <w:t> </w:t>
            </w:r>
            <w:r>
              <w:rPr>
                <w:rFonts w:ascii="宋体" w:hAnsi="宋体" w:cs="宋体" w:eastAsia="宋体" w:hint="default"/>
                <w:w w:val="95"/>
                <w:sz w:val="21"/>
                <w:szCs w:val="21"/>
              </w:rPr>
              <w:t>年</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5" w:right="0"/>
              <w:jc w:val="left"/>
              <w:rPr>
                <w:rFonts w:ascii="宋体" w:hAnsi="宋体" w:cs="宋体" w:eastAsia="宋体" w:hint="default"/>
                <w:sz w:val="21"/>
                <w:szCs w:val="21"/>
              </w:rPr>
            </w:pPr>
            <w:r>
              <w:rPr>
                <w:rFonts w:ascii="Arial" w:hAnsi="Arial" w:cs="Arial" w:eastAsia="Arial" w:hint="default"/>
                <w:w w:val="95"/>
                <w:sz w:val="21"/>
                <w:szCs w:val="21"/>
              </w:rPr>
              <w:t>2-5</w:t>
            </w:r>
            <w:r>
              <w:rPr>
                <w:rFonts w:ascii="Arial" w:hAnsi="Arial" w:cs="Arial" w:eastAsia="Arial" w:hint="default"/>
                <w:spacing w:val="-33"/>
                <w:w w:val="95"/>
                <w:sz w:val="21"/>
                <w:szCs w:val="21"/>
              </w:rPr>
              <w:t> </w:t>
            </w:r>
            <w:r>
              <w:rPr>
                <w:rFonts w:ascii="宋体" w:hAnsi="宋体" w:cs="宋体" w:eastAsia="宋体" w:hint="default"/>
                <w:w w:val="95"/>
                <w:sz w:val="21"/>
                <w:szCs w:val="21"/>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3"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27"/>
                <w:sz w:val="21"/>
                <w:szCs w:val="21"/>
              </w:rPr>
              <w:t> </w:t>
            </w:r>
            <w:r>
              <w:rPr>
                <w:rFonts w:ascii="宋体" w:hAnsi="宋体" w:cs="宋体" w:eastAsia="宋体" w:hint="default"/>
                <w:sz w:val="21"/>
                <w:szCs w:val="21"/>
              </w:rPr>
              <w:t>年以上</w:t>
            </w:r>
          </w:p>
        </w:tc>
      </w:tr>
      <w:tr>
        <w:trPr>
          <w:trHeight w:val="40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819,070,867.20</w:t>
            </w:r>
            <w:r>
              <w:rPr>
                <w:rFonts w:ascii="Arial"/>
                <w:spacing w:val="-1"/>
                <w:sz w:val="21"/>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819,070,867.20</w:t>
            </w:r>
            <w:r>
              <w:rPr>
                <w:rFonts w:ascii="Arial"/>
                <w:spacing w:val="-1"/>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819,070,867.20</w:t>
            </w:r>
            <w:r>
              <w:rPr>
                <w:rFonts w:ascii="Arial"/>
                <w:spacing w:val="-1"/>
                <w:sz w:val="21"/>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w w:val="80"/>
                <w:sz w:val="21"/>
              </w:rPr>
              <w:t>29,787,277.43</w:t>
            </w:r>
            <w:r>
              <w:rPr>
                <w:rFonts w:ascii="Arial"/>
                <w:spacing w:val="-1"/>
                <w:sz w:val="21"/>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21"/>
                <w:szCs w:val="21"/>
              </w:rPr>
            </w:pPr>
            <w:r>
              <w:rPr>
                <w:rFonts w:ascii="Arial"/>
                <w:spacing w:val="-1"/>
                <w:w w:val="80"/>
                <w:sz w:val="21"/>
              </w:rPr>
              <w:t>29,787,277.43</w:t>
            </w:r>
            <w:r>
              <w:rPr>
                <w:rFonts w:ascii="Arial"/>
                <w:spacing w:val="-1"/>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21"/>
                <w:szCs w:val="21"/>
              </w:rPr>
            </w:pPr>
            <w:r>
              <w:rPr>
                <w:rFonts w:ascii="Arial"/>
                <w:spacing w:val="-1"/>
                <w:w w:val="80"/>
                <w:sz w:val="21"/>
              </w:rPr>
              <w:t>29,787,277.43</w:t>
            </w:r>
            <w:r>
              <w:rPr>
                <w:rFonts w:ascii="Arial"/>
                <w:spacing w:val="-1"/>
                <w:sz w:val="21"/>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476,050,907.59</w:t>
            </w:r>
            <w:r>
              <w:rPr>
                <w:rFonts w:ascii="Arial"/>
                <w:spacing w:val="-1"/>
                <w:sz w:val="21"/>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563,378,429.21</w:t>
            </w:r>
            <w:r>
              <w:rPr>
                <w:rFonts w:ascii="Arial"/>
                <w:spacing w:val="-1"/>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563,378,429.21</w:t>
            </w:r>
            <w:r>
              <w:rPr>
                <w:rFonts w:ascii="Arial"/>
                <w:spacing w:val="-1"/>
                <w:sz w:val="21"/>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14,297,707.14</w:t>
            </w:r>
            <w:r>
              <w:rPr>
                <w:rFonts w:ascii="Arial"/>
                <w:spacing w:val="-1"/>
                <w:sz w:val="21"/>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14,297,707.14</w:t>
            </w:r>
            <w:r>
              <w:rPr>
                <w:rFonts w:ascii="Arial"/>
                <w:spacing w:val="-1"/>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14,297,707.14</w:t>
            </w:r>
            <w:r>
              <w:rPr>
                <w:rFonts w:ascii="Arial"/>
                <w:spacing w:val="-1"/>
                <w:sz w:val="21"/>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8,205,798.65</w:t>
            </w:r>
            <w:r>
              <w:rPr>
                <w:rFonts w:ascii="Arial"/>
                <w:spacing w:val="-1"/>
                <w:sz w:val="21"/>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8,972,179.01</w:t>
            </w:r>
            <w:r>
              <w:rPr>
                <w:rFonts w:ascii="Arial"/>
                <w:spacing w:val="-1"/>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8,972,179.01</w:t>
            </w:r>
            <w:r>
              <w:rPr>
                <w:rFonts w:ascii="Arial"/>
                <w:spacing w:val="-1"/>
                <w:sz w:val="21"/>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w w:val="80"/>
                <w:sz w:val="21"/>
              </w:rPr>
              <w:t>1,347,412,558.01</w:t>
            </w:r>
            <w:r>
              <w:rPr>
                <w:rFonts w:ascii="Arial"/>
                <w:spacing w:val="-1"/>
                <w:sz w:val="21"/>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w w:val="80"/>
                <w:sz w:val="21"/>
              </w:rPr>
              <w:t>1,435,506,459.99</w:t>
            </w:r>
            <w:r>
              <w:rPr>
                <w:rFonts w:ascii="Arial"/>
                <w:spacing w:val="-1"/>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21"/>
                <w:szCs w:val="21"/>
              </w:rPr>
            </w:pPr>
            <w:r>
              <w:rPr>
                <w:rFonts w:ascii="Arial"/>
                <w:spacing w:val="-1"/>
                <w:w w:val="80"/>
                <w:sz w:val="21"/>
              </w:rPr>
              <w:t>1,435,506,459.99</w:t>
            </w:r>
            <w:r>
              <w:rPr>
                <w:rFonts w:ascii="Arial"/>
                <w:spacing w:val="-1"/>
                <w:sz w:val="21"/>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2"/>
                <w:w w:val="80"/>
                <w:sz w:val="21"/>
              </w:rPr>
              <w:t>4,705,611.49</w:t>
            </w:r>
            <w:r>
              <w:rPr>
                <w:rFonts w:ascii="Arial"/>
                <w:spacing w:val="-2"/>
                <w:sz w:val="21"/>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2"/>
                <w:w w:val="80"/>
                <w:sz w:val="21"/>
              </w:rPr>
              <w:t>4,705,611.49</w:t>
            </w:r>
            <w:r>
              <w:rPr>
                <w:rFonts w:ascii="Arial"/>
                <w:spacing w:val="-2"/>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2"/>
                <w:w w:val="80"/>
                <w:sz w:val="21"/>
              </w:rPr>
              <w:t>4,705,611.49</w:t>
            </w:r>
            <w:r>
              <w:rPr>
                <w:rFonts w:ascii="Arial"/>
                <w:spacing w:val="-2"/>
                <w:sz w:val="21"/>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216,683,033.97</w:t>
            </w:r>
            <w:r>
              <w:rPr>
                <w:rFonts w:ascii="Arial"/>
                <w:spacing w:val="-1"/>
                <w:sz w:val="21"/>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216,683,033.97</w:t>
            </w:r>
            <w:r>
              <w:rPr>
                <w:rFonts w:ascii="Arial"/>
                <w:spacing w:val="-1"/>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216,683,033.97</w:t>
            </w:r>
            <w:r>
              <w:rPr>
                <w:rFonts w:ascii="Arial"/>
                <w:spacing w:val="-1"/>
                <w:sz w:val="21"/>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73,126,268.07</w:t>
            </w:r>
            <w:r>
              <w:rPr>
                <w:rFonts w:ascii="Arial"/>
                <w:spacing w:val="-1"/>
                <w:sz w:val="21"/>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73,126,268.07</w:t>
            </w:r>
            <w:r>
              <w:rPr>
                <w:rFonts w:ascii="Arial"/>
                <w:spacing w:val="-1"/>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73,126,268.07</w:t>
            </w:r>
            <w:r>
              <w:rPr>
                <w:rFonts w:ascii="Arial"/>
                <w:spacing w:val="-1"/>
                <w:sz w:val="21"/>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3,000,387.37</w:t>
            </w:r>
            <w:r>
              <w:rPr>
                <w:rFonts w:ascii="Arial"/>
                <w:spacing w:val="-1"/>
                <w:sz w:val="21"/>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3,000,387.37</w:t>
            </w:r>
            <w:r>
              <w:rPr>
                <w:rFonts w:ascii="Arial"/>
                <w:spacing w:val="-1"/>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3,000,387.37</w:t>
            </w:r>
            <w:r>
              <w:rPr>
                <w:rFonts w:ascii="Arial"/>
                <w:spacing w:val="-1"/>
                <w:sz w:val="21"/>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20,000,000.00</w:t>
            </w:r>
            <w:r>
              <w:rPr>
                <w:rFonts w:ascii="Arial"/>
                <w:spacing w:val="-1"/>
                <w:sz w:val="21"/>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20,000,000.00</w:t>
            </w:r>
            <w:r>
              <w:rPr>
                <w:rFonts w:ascii="Arial"/>
                <w:spacing w:val="-1"/>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w w:val="85"/>
                <w:sz w:val="21"/>
              </w:rPr>
              <w:t>20,000,000.00</w:t>
            </w:r>
            <w:r>
              <w:rPr>
                <w:rFonts w:ascii="Arial"/>
                <w:sz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317,515,300.90</w:t>
            </w:r>
            <w:r>
              <w:rPr>
                <w:rFonts w:ascii="Arial"/>
                <w:spacing w:val="-1"/>
                <w:sz w:val="21"/>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21"/>
                <w:szCs w:val="21"/>
              </w:rPr>
            </w:pPr>
            <w:r>
              <w:rPr>
                <w:rFonts w:ascii="Arial"/>
                <w:spacing w:val="-1"/>
                <w:w w:val="80"/>
                <w:sz w:val="21"/>
              </w:rPr>
              <w:t>317,515,300.90</w:t>
            </w:r>
            <w:r>
              <w:rPr>
                <w:rFonts w:ascii="Arial"/>
                <w:spacing w:val="-1"/>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Arial" w:hAnsi="Arial" w:cs="Arial" w:eastAsia="Arial" w:hint="default"/>
                <w:sz w:val="21"/>
                <w:szCs w:val="21"/>
              </w:rPr>
            </w:pPr>
            <w:r>
              <w:rPr>
                <w:rFonts w:ascii="Arial"/>
                <w:spacing w:val="-1"/>
                <w:w w:val="80"/>
                <w:sz w:val="21"/>
              </w:rPr>
              <w:t>297,515,300.90</w:t>
            </w:r>
            <w:r>
              <w:rPr>
                <w:rFonts w:ascii="Arial"/>
                <w:spacing w:val="-1"/>
                <w:sz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w w:val="85"/>
                <w:sz w:val="21"/>
              </w:rPr>
              <w:t>20,000,000.00</w:t>
            </w:r>
            <w:r>
              <w:rPr>
                <w:rFonts w:ascii="Arial"/>
                <w:sz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before="26"/>
        <w:ind w:left="1134" w:right="9006"/>
        <w:jc w:val="left"/>
      </w:pPr>
      <w:r>
        <w:rPr/>
        <w:t>续：</w:t>
      </w:r>
    </w:p>
    <w:p>
      <w:pPr>
        <w:spacing w:line="240" w:lineRule="auto" w:before="10"/>
        <w:rPr>
          <w:rFonts w:ascii="宋体" w:hAnsi="宋体" w:cs="宋体" w:eastAsia="宋体"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1456"/>
        <w:gridCol w:w="1639"/>
        <w:gridCol w:w="1677"/>
        <w:gridCol w:w="1578"/>
        <w:gridCol w:w="1437"/>
        <w:gridCol w:w="1388"/>
        <w:gridCol w:w="1046"/>
      </w:tblGrid>
      <w:tr>
        <w:trPr>
          <w:trHeight w:val="362" w:hRule="exact"/>
        </w:trPr>
        <w:tc>
          <w:tcPr>
            <w:tcW w:w="145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87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63" w:hRule="exact"/>
        </w:trPr>
        <w:tc>
          <w:tcPr>
            <w:tcW w:w="1456" w:type="dxa"/>
            <w:vMerge/>
            <w:tcBorders>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4"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1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27"/>
                <w:sz w:val="21"/>
                <w:szCs w:val="21"/>
              </w:rPr>
              <w:t> </w:t>
            </w:r>
            <w:r>
              <w:rPr>
                <w:rFonts w:ascii="宋体" w:hAnsi="宋体" w:cs="宋体" w:eastAsia="宋体" w:hint="default"/>
                <w:sz w:val="21"/>
                <w:szCs w:val="21"/>
              </w:rPr>
              <w:t>年以内</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Arial" w:hAnsi="Arial" w:cs="Arial" w:eastAsia="Arial" w:hint="default"/>
                <w:w w:val="95"/>
                <w:sz w:val="21"/>
                <w:szCs w:val="21"/>
              </w:rPr>
              <w:t>1-2</w:t>
            </w:r>
            <w:r>
              <w:rPr>
                <w:rFonts w:ascii="Arial" w:hAnsi="Arial" w:cs="Arial" w:eastAsia="Arial" w:hint="default"/>
                <w:spacing w:val="-33"/>
                <w:w w:val="95"/>
                <w:sz w:val="21"/>
                <w:szCs w:val="21"/>
              </w:rPr>
              <w:t> </w:t>
            </w:r>
            <w:r>
              <w:rPr>
                <w:rFonts w:ascii="宋体" w:hAnsi="宋体" w:cs="宋体" w:eastAsia="宋体" w:hint="default"/>
                <w:w w:val="95"/>
                <w:sz w:val="21"/>
                <w:szCs w:val="21"/>
              </w:rPr>
              <w:t>年</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33" w:right="0"/>
              <w:jc w:val="left"/>
              <w:rPr>
                <w:rFonts w:ascii="宋体" w:hAnsi="宋体" w:cs="宋体" w:eastAsia="宋体" w:hint="default"/>
                <w:sz w:val="21"/>
                <w:szCs w:val="21"/>
              </w:rPr>
            </w:pPr>
            <w:r>
              <w:rPr>
                <w:rFonts w:ascii="Arial" w:hAnsi="Arial" w:cs="Arial" w:eastAsia="Arial" w:hint="default"/>
                <w:w w:val="95"/>
                <w:sz w:val="21"/>
                <w:szCs w:val="21"/>
              </w:rPr>
              <w:t>2-5</w:t>
            </w:r>
            <w:r>
              <w:rPr>
                <w:rFonts w:ascii="Arial" w:hAnsi="Arial" w:cs="Arial" w:eastAsia="Arial" w:hint="default"/>
                <w:spacing w:val="-33"/>
                <w:w w:val="95"/>
                <w:sz w:val="21"/>
                <w:szCs w:val="21"/>
              </w:rPr>
              <w:t> </w:t>
            </w:r>
            <w:r>
              <w:rPr>
                <w:rFonts w:ascii="宋体" w:hAnsi="宋体" w:cs="宋体" w:eastAsia="宋体" w:hint="default"/>
                <w:w w:val="95"/>
                <w:sz w:val="21"/>
                <w:szCs w:val="21"/>
              </w:rPr>
              <w:t>年</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29"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27"/>
                <w:sz w:val="21"/>
                <w:szCs w:val="21"/>
              </w:rPr>
              <w:t> </w:t>
            </w:r>
            <w:r>
              <w:rPr>
                <w:rFonts w:ascii="宋体" w:hAnsi="宋体" w:cs="宋体" w:eastAsia="宋体" w:hint="default"/>
                <w:sz w:val="21"/>
                <w:szCs w:val="21"/>
              </w:rPr>
              <w:t>年以上</w:t>
            </w:r>
          </w:p>
        </w:tc>
      </w:tr>
      <w:tr>
        <w:trPr>
          <w:trHeight w:val="36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spacing w:val="-1"/>
                <w:w w:val="80"/>
                <w:sz w:val="21"/>
              </w:rPr>
              <w:t>841,165,681.50</w:t>
            </w:r>
            <w:r>
              <w:rPr>
                <w:rFonts w:ascii="Arial"/>
                <w:spacing w:val="-1"/>
                <w:sz w:val="21"/>
              </w:rPr>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21"/>
                <w:szCs w:val="21"/>
              </w:rPr>
            </w:pPr>
            <w:r>
              <w:rPr>
                <w:rFonts w:ascii="Arial"/>
                <w:spacing w:val="-1"/>
                <w:w w:val="80"/>
                <w:sz w:val="21"/>
              </w:rPr>
              <w:t>841,165,681.50</w:t>
            </w:r>
            <w:r>
              <w:rPr>
                <w:rFonts w:ascii="Arial"/>
                <w:spacing w:val="-1"/>
                <w:sz w:val="21"/>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21"/>
                <w:szCs w:val="21"/>
              </w:rPr>
            </w:pPr>
            <w:r>
              <w:rPr>
                <w:rFonts w:ascii="Arial"/>
                <w:spacing w:val="-1"/>
                <w:w w:val="80"/>
                <w:sz w:val="21"/>
              </w:rPr>
              <w:t>841,165,681.50</w:t>
            </w:r>
            <w:r>
              <w:rPr>
                <w:rFonts w:ascii="Arial"/>
                <w:spacing w:val="-1"/>
                <w:sz w:val="21"/>
              </w:rPr>
            </w:r>
          </w:p>
        </w:tc>
        <w:tc>
          <w:tcPr>
            <w:tcW w:w="143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spacing w:val="-1"/>
                <w:w w:val="80"/>
                <w:sz w:val="21"/>
              </w:rPr>
              <w:t>16,620,123.63</w:t>
            </w:r>
            <w:r>
              <w:rPr>
                <w:rFonts w:ascii="Arial"/>
                <w:spacing w:val="-1"/>
                <w:sz w:val="21"/>
              </w:rPr>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21"/>
                <w:szCs w:val="21"/>
              </w:rPr>
            </w:pPr>
            <w:r>
              <w:rPr>
                <w:rFonts w:ascii="Arial"/>
                <w:spacing w:val="-1"/>
                <w:w w:val="80"/>
                <w:sz w:val="21"/>
              </w:rPr>
              <w:t>16,620,123.63</w:t>
            </w:r>
            <w:r>
              <w:rPr>
                <w:rFonts w:ascii="Arial"/>
                <w:spacing w:val="-1"/>
                <w:sz w:val="21"/>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21"/>
                <w:szCs w:val="21"/>
              </w:rPr>
            </w:pPr>
            <w:r>
              <w:rPr>
                <w:rFonts w:ascii="Arial"/>
                <w:spacing w:val="-1"/>
                <w:w w:val="80"/>
                <w:sz w:val="21"/>
              </w:rPr>
              <w:t>16,620,123.63</w:t>
            </w:r>
            <w:r>
              <w:rPr>
                <w:rFonts w:ascii="Arial"/>
                <w:spacing w:val="-1"/>
                <w:sz w:val="21"/>
              </w:rPr>
            </w:r>
          </w:p>
        </w:tc>
        <w:tc>
          <w:tcPr>
            <w:tcW w:w="143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spacing w:val="-1"/>
                <w:w w:val="80"/>
                <w:sz w:val="21"/>
              </w:rPr>
              <w:t>457,857,558.72</w:t>
            </w:r>
            <w:r>
              <w:rPr>
                <w:rFonts w:ascii="Arial"/>
                <w:spacing w:val="-1"/>
                <w:sz w:val="21"/>
              </w:rPr>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21"/>
                <w:szCs w:val="21"/>
              </w:rPr>
            </w:pPr>
            <w:r>
              <w:rPr>
                <w:rFonts w:ascii="Arial"/>
                <w:spacing w:val="-1"/>
                <w:w w:val="80"/>
                <w:sz w:val="21"/>
              </w:rPr>
              <w:t>521,490,273.30</w:t>
            </w:r>
            <w:r>
              <w:rPr>
                <w:rFonts w:ascii="Arial"/>
                <w:spacing w:val="-1"/>
                <w:sz w:val="21"/>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21"/>
                <w:szCs w:val="21"/>
              </w:rPr>
            </w:pPr>
            <w:r>
              <w:rPr>
                <w:rFonts w:ascii="Arial"/>
                <w:spacing w:val="-1"/>
                <w:w w:val="80"/>
                <w:sz w:val="21"/>
              </w:rPr>
              <w:t>521,490,273.30</w:t>
            </w:r>
            <w:r>
              <w:rPr>
                <w:rFonts w:ascii="Arial"/>
                <w:spacing w:val="-1"/>
                <w:sz w:val="21"/>
              </w:rPr>
            </w:r>
          </w:p>
        </w:tc>
        <w:tc>
          <w:tcPr>
            <w:tcW w:w="143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Arial" w:hAnsi="Arial" w:cs="Arial" w:eastAsia="Arial" w:hint="default"/>
                <w:sz w:val="21"/>
                <w:szCs w:val="21"/>
              </w:rPr>
            </w:pPr>
            <w:r>
              <w:rPr>
                <w:rFonts w:ascii="Arial"/>
                <w:spacing w:val="-1"/>
                <w:w w:val="80"/>
                <w:sz w:val="21"/>
              </w:rPr>
              <w:t>22,069,101.93</w:t>
            </w:r>
            <w:r>
              <w:rPr>
                <w:rFonts w:ascii="Arial"/>
                <w:spacing w:val="-1"/>
                <w:sz w:val="21"/>
              </w:rPr>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spacing w:val="-1"/>
                <w:w w:val="80"/>
                <w:sz w:val="21"/>
              </w:rPr>
              <w:t>22,069,101.93</w:t>
            </w:r>
            <w:r>
              <w:rPr>
                <w:rFonts w:ascii="Arial"/>
                <w:spacing w:val="-1"/>
                <w:sz w:val="21"/>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21"/>
                <w:szCs w:val="21"/>
              </w:rPr>
            </w:pPr>
            <w:r>
              <w:rPr>
                <w:rFonts w:ascii="Arial"/>
                <w:spacing w:val="-1"/>
                <w:w w:val="80"/>
                <w:sz w:val="21"/>
              </w:rPr>
              <w:t>22,069,101.93</w:t>
            </w:r>
            <w:r>
              <w:rPr>
                <w:rFonts w:ascii="Arial"/>
                <w:spacing w:val="-1"/>
                <w:sz w:val="21"/>
              </w:rPr>
            </w:r>
          </w:p>
        </w:tc>
        <w:tc>
          <w:tcPr>
            <w:tcW w:w="143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Arial" w:hAnsi="Arial" w:cs="Arial" w:eastAsia="Arial" w:hint="default"/>
                <w:sz w:val="21"/>
                <w:szCs w:val="21"/>
              </w:rPr>
            </w:pPr>
            <w:r>
              <w:rPr>
                <w:rFonts w:ascii="Arial"/>
                <w:spacing w:val="-1"/>
                <w:w w:val="80"/>
                <w:sz w:val="21"/>
              </w:rPr>
              <w:t>47,709,888.88</w:t>
            </w:r>
            <w:r>
              <w:rPr>
                <w:rFonts w:ascii="Arial"/>
                <w:spacing w:val="-1"/>
                <w:sz w:val="21"/>
              </w:rPr>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spacing w:val="-1"/>
                <w:w w:val="80"/>
                <w:sz w:val="21"/>
              </w:rPr>
              <w:t>48,294,961.36</w:t>
            </w:r>
            <w:r>
              <w:rPr>
                <w:rFonts w:ascii="Arial"/>
                <w:spacing w:val="-1"/>
                <w:sz w:val="21"/>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21"/>
                <w:szCs w:val="21"/>
              </w:rPr>
            </w:pPr>
            <w:r>
              <w:rPr>
                <w:rFonts w:ascii="Arial"/>
                <w:spacing w:val="-1"/>
                <w:w w:val="80"/>
                <w:sz w:val="21"/>
              </w:rPr>
              <w:t>48,294,961.36</w:t>
            </w:r>
            <w:r>
              <w:rPr>
                <w:rFonts w:ascii="Arial"/>
                <w:spacing w:val="-1"/>
                <w:sz w:val="21"/>
              </w:rPr>
            </w:r>
          </w:p>
        </w:tc>
        <w:tc>
          <w:tcPr>
            <w:tcW w:w="143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21"/>
                <w:szCs w:val="21"/>
              </w:rPr>
            </w:pPr>
            <w:r>
              <w:rPr>
                <w:rFonts w:ascii="Arial"/>
                <w:spacing w:val="-1"/>
                <w:w w:val="80"/>
                <w:sz w:val="21"/>
              </w:rPr>
              <w:t>1,385,422,354.66</w:t>
            </w:r>
            <w:r>
              <w:rPr>
                <w:rFonts w:ascii="Arial"/>
                <w:spacing w:val="-1"/>
                <w:sz w:val="21"/>
              </w:rPr>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21"/>
                <w:szCs w:val="21"/>
              </w:rPr>
            </w:pPr>
            <w:r>
              <w:rPr>
                <w:rFonts w:ascii="Arial"/>
                <w:spacing w:val="-1"/>
                <w:w w:val="80"/>
                <w:sz w:val="21"/>
              </w:rPr>
              <w:t>1,449,640,141.72</w:t>
            </w:r>
            <w:r>
              <w:rPr>
                <w:rFonts w:ascii="Arial"/>
                <w:spacing w:val="-1"/>
                <w:sz w:val="21"/>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Arial" w:hAnsi="Arial" w:cs="Arial" w:eastAsia="Arial" w:hint="default"/>
                <w:sz w:val="21"/>
                <w:szCs w:val="21"/>
              </w:rPr>
            </w:pPr>
            <w:r>
              <w:rPr>
                <w:rFonts w:ascii="Arial"/>
                <w:spacing w:val="-1"/>
                <w:w w:val="80"/>
                <w:sz w:val="21"/>
              </w:rPr>
              <w:t>1,449,640,141.72</w:t>
            </w:r>
            <w:r>
              <w:rPr>
                <w:rFonts w:ascii="Arial"/>
                <w:spacing w:val="-1"/>
                <w:sz w:val="21"/>
              </w:rPr>
            </w:r>
          </w:p>
        </w:tc>
        <w:tc>
          <w:tcPr>
            <w:tcW w:w="143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Arial" w:hAnsi="Arial" w:cs="Arial" w:eastAsia="Arial" w:hint="default"/>
                <w:sz w:val="21"/>
                <w:szCs w:val="21"/>
              </w:rPr>
            </w:pPr>
            <w:r>
              <w:rPr>
                <w:rFonts w:ascii="Arial"/>
                <w:spacing w:val="-1"/>
                <w:w w:val="80"/>
                <w:sz w:val="21"/>
              </w:rPr>
              <w:t>2,000,000.00</w:t>
            </w:r>
            <w:r>
              <w:rPr>
                <w:rFonts w:ascii="Arial"/>
                <w:spacing w:val="-1"/>
                <w:sz w:val="21"/>
              </w:rPr>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Arial" w:hAnsi="Arial" w:cs="Arial" w:eastAsia="Arial" w:hint="default"/>
                <w:sz w:val="21"/>
                <w:szCs w:val="21"/>
              </w:rPr>
            </w:pPr>
            <w:r>
              <w:rPr>
                <w:rFonts w:ascii="Arial"/>
                <w:spacing w:val="-1"/>
                <w:w w:val="80"/>
                <w:sz w:val="21"/>
              </w:rPr>
              <w:t>2,000,000.00</w:t>
            </w:r>
            <w:r>
              <w:rPr>
                <w:rFonts w:ascii="Arial"/>
                <w:spacing w:val="-1"/>
                <w:sz w:val="21"/>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21"/>
                <w:szCs w:val="21"/>
              </w:rPr>
            </w:pPr>
            <w:r>
              <w:rPr>
                <w:rFonts w:ascii="Arial"/>
                <w:spacing w:val="-1"/>
                <w:w w:val="80"/>
                <w:sz w:val="21"/>
              </w:rPr>
              <w:t>2,000,000.00</w:t>
            </w:r>
            <w:r>
              <w:rPr>
                <w:rFonts w:ascii="Arial"/>
                <w:spacing w:val="-1"/>
                <w:sz w:val="21"/>
              </w:rPr>
            </w:r>
          </w:p>
        </w:tc>
        <w:tc>
          <w:tcPr>
            <w:tcW w:w="143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Arial" w:hAnsi="Arial" w:cs="Arial" w:eastAsia="Arial" w:hint="default"/>
                <w:sz w:val="21"/>
                <w:szCs w:val="21"/>
              </w:rPr>
            </w:pPr>
            <w:r>
              <w:rPr>
                <w:rFonts w:ascii="Arial"/>
                <w:spacing w:val="-1"/>
                <w:w w:val="80"/>
                <w:sz w:val="21"/>
              </w:rPr>
              <w:t>194,145,399.63</w:t>
            </w:r>
            <w:r>
              <w:rPr>
                <w:rFonts w:ascii="Arial"/>
                <w:spacing w:val="-1"/>
                <w:sz w:val="21"/>
              </w:rPr>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spacing w:val="-1"/>
                <w:w w:val="80"/>
                <w:sz w:val="21"/>
              </w:rPr>
              <w:t>194,145,399.63</w:t>
            </w:r>
            <w:r>
              <w:rPr>
                <w:rFonts w:ascii="Arial"/>
                <w:spacing w:val="-1"/>
                <w:sz w:val="21"/>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21"/>
                <w:szCs w:val="21"/>
              </w:rPr>
            </w:pPr>
            <w:r>
              <w:rPr>
                <w:rFonts w:ascii="Arial"/>
                <w:spacing w:val="-1"/>
                <w:w w:val="80"/>
                <w:sz w:val="21"/>
              </w:rPr>
              <w:t>194,145,399.63</w:t>
            </w:r>
            <w:r>
              <w:rPr>
                <w:rFonts w:ascii="Arial"/>
                <w:spacing w:val="-1"/>
                <w:sz w:val="21"/>
              </w:rPr>
            </w:r>
          </w:p>
        </w:tc>
        <w:tc>
          <w:tcPr>
            <w:tcW w:w="143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Arial" w:hAnsi="Arial" w:cs="Arial" w:eastAsia="Arial" w:hint="default"/>
                <w:sz w:val="21"/>
                <w:szCs w:val="21"/>
              </w:rPr>
            </w:pPr>
            <w:r>
              <w:rPr>
                <w:rFonts w:ascii="Arial"/>
                <w:spacing w:val="-1"/>
                <w:w w:val="80"/>
                <w:sz w:val="21"/>
              </w:rPr>
              <w:t>68,595,440.40</w:t>
            </w:r>
            <w:r>
              <w:rPr>
                <w:rFonts w:ascii="Arial"/>
                <w:spacing w:val="-1"/>
                <w:sz w:val="21"/>
              </w:rPr>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spacing w:val="-1"/>
                <w:w w:val="80"/>
                <w:sz w:val="21"/>
              </w:rPr>
              <w:t>68,595,440.40</w:t>
            </w:r>
            <w:r>
              <w:rPr>
                <w:rFonts w:ascii="Arial"/>
                <w:spacing w:val="-1"/>
                <w:sz w:val="21"/>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21"/>
                <w:szCs w:val="21"/>
              </w:rPr>
            </w:pPr>
            <w:r>
              <w:rPr>
                <w:rFonts w:ascii="Arial"/>
                <w:spacing w:val="-1"/>
                <w:w w:val="80"/>
                <w:sz w:val="21"/>
              </w:rPr>
              <w:t>68,595,440.40</w:t>
            </w:r>
            <w:r>
              <w:rPr>
                <w:rFonts w:ascii="Arial"/>
                <w:spacing w:val="-1"/>
                <w:sz w:val="21"/>
              </w:rPr>
            </w:r>
          </w:p>
        </w:tc>
        <w:tc>
          <w:tcPr>
            <w:tcW w:w="143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Arial" w:hAnsi="Arial" w:cs="Arial" w:eastAsia="Arial" w:hint="default"/>
                <w:sz w:val="21"/>
                <w:szCs w:val="21"/>
              </w:rPr>
            </w:pPr>
            <w:r>
              <w:rPr>
                <w:rFonts w:ascii="Arial"/>
                <w:spacing w:val="-1"/>
                <w:w w:val="80"/>
                <w:sz w:val="21"/>
              </w:rPr>
              <w:t>4,745,348.61</w:t>
            </w:r>
            <w:r>
              <w:rPr>
                <w:rFonts w:ascii="Arial"/>
                <w:spacing w:val="-1"/>
                <w:sz w:val="21"/>
              </w:rPr>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1"/>
                <w:szCs w:val="21"/>
              </w:rPr>
            </w:pPr>
            <w:r>
              <w:rPr>
                <w:rFonts w:ascii="Arial"/>
                <w:spacing w:val="-1"/>
                <w:w w:val="80"/>
                <w:sz w:val="21"/>
              </w:rPr>
              <w:t>4,745,348.61</w:t>
            </w:r>
            <w:r>
              <w:rPr>
                <w:rFonts w:ascii="Arial"/>
                <w:spacing w:val="-1"/>
                <w:sz w:val="21"/>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21"/>
                <w:szCs w:val="21"/>
              </w:rPr>
            </w:pPr>
            <w:r>
              <w:rPr>
                <w:rFonts w:ascii="Arial"/>
                <w:spacing w:val="-1"/>
                <w:w w:val="80"/>
                <w:sz w:val="21"/>
              </w:rPr>
              <w:t>4,745,348.61</w:t>
            </w:r>
            <w:r>
              <w:rPr>
                <w:rFonts w:ascii="Arial"/>
                <w:spacing w:val="-1"/>
                <w:sz w:val="21"/>
              </w:rPr>
            </w:r>
          </w:p>
        </w:tc>
        <w:tc>
          <w:tcPr>
            <w:tcW w:w="143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54"/>
              <w:jc w:val="left"/>
              <w:rPr>
                <w:rFonts w:ascii="宋体" w:hAnsi="宋体" w:cs="宋体" w:eastAsia="宋体" w:hint="default"/>
                <w:sz w:val="21"/>
                <w:szCs w:val="21"/>
              </w:rPr>
            </w:pPr>
            <w:r>
              <w:rPr>
                <w:rFonts w:ascii="宋体" w:hAnsi="宋体" w:cs="宋体" w:eastAsia="宋体" w:hint="default"/>
                <w:spacing w:val="24"/>
                <w:sz w:val="21"/>
                <w:szCs w:val="21"/>
              </w:rPr>
              <w:t>一年</w:t>
            </w:r>
            <w:r>
              <w:rPr>
                <w:rFonts w:ascii="宋体" w:hAnsi="宋体" w:cs="宋体" w:eastAsia="宋体" w:hint="default"/>
                <w:spacing w:val="-57"/>
                <w:sz w:val="21"/>
                <w:szCs w:val="21"/>
              </w:rPr>
              <w:t> </w:t>
            </w:r>
            <w:r>
              <w:rPr>
                <w:rFonts w:ascii="宋体" w:hAnsi="宋体" w:cs="宋体" w:eastAsia="宋体" w:hint="default"/>
                <w:spacing w:val="30"/>
                <w:sz w:val="21"/>
                <w:szCs w:val="21"/>
              </w:rPr>
              <w:t>内到期</w:t>
            </w:r>
            <w:r>
              <w:rPr>
                <w:rFonts w:ascii="宋体" w:hAnsi="宋体" w:cs="宋体" w:eastAsia="宋体" w:hint="default"/>
                <w:spacing w:val="-59"/>
                <w:sz w:val="21"/>
                <w:szCs w:val="21"/>
              </w:rPr>
              <w:t> </w:t>
            </w:r>
            <w:r>
              <w:rPr>
                <w:rFonts w:ascii="宋体" w:hAnsi="宋体" w:cs="宋体" w:eastAsia="宋体" w:hint="default"/>
                <w:sz w:val="21"/>
                <w:szCs w:val="21"/>
              </w:rPr>
              <w:t>长期借款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w w:val="80"/>
                <w:sz w:val="21"/>
              </w:rPr>
              <w:t>27,000,000.00</w:t>
            </w:r>
            <w:r>
              <w:rPr>
                <w:rFonts w:ascii="Arial"/>
                <w:spacing w:val="-1"/>
                <w:sz w:val="21"/>
              </w:rPr>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w w:val="80"/>
                <w:sz w:val="21"/>
              </w:rPr>
              <w:t>27,000,000.00</w:t>
            </w:r>
            <w:r>
              <w:rPr>
                <w:rFonts w:ascii="Arial"/>
                <w:spacing w:val="-1"/>
                <w:sz w:val="21"/>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w w:val="80"/>
                <w:sz w:val="21"/>
              </w:rPr>
              <w:t>27,000,000.00</w:t>
            </w:r>
            <w:r>
              <w:rPr>
                <w:rFonts w:ascii="Arial"/>
                <w:spacing w:val="-1"/>
                <w:sz w:val="21"/>
              </w:rPr>
            </w:r>
          </w:p>
        </w:tc>
        <w:tc>
          <w:tcPr>
            <w:tcW w:w="143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spacing w:val="-1"/>
                <w:w w:val="80"/>
                <w:sz w:val="21"/>
              </w:rPr>
              <w:t>187,000,000.00</w:t>
            </w:r>
            <w:r>
              <w:rPr>
                <w:rFonts w:ascii="Arial"/>
                <w:spacing w:val="-1"/>
                <w:sz w:val="21"/>
              </w:rPr>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21"/>
                <w:szCs w:val="21"/>
              </w:rPr>
            </w:pPr>
            <w:r>
              <w:rPr>
                <w:rFonts w:ascii="Arial"/>
                <w:spacing w:val="-1"/>
                <w:w w:val="80"/>
                <w:sz w:val="21"/>
              </w:rPr>
              <w:t>187,000,000.00</w:t>
            </w:r>
            <w:r>
              <w:rPr>
                <w:rFonts w:ascii="Arial"/>
                <w:spacing w:val="-1"/>
                <w:sz w:val="21"/>
              </w:rPr>
            </w:r>
          </w:p>
        </w:tc>
        <w:tc>
          <w:tcPr>
            <w:tcW w:w="1578" w:type="dxa"/>
            <w:tcBorders>
              <w:top w:val="single" w:sz="4" w:space="0" w:color="000000"/>
              <w:left w:val="single" w:sz="4" w:space="0" w:color="000000"/>
              <w:bottom w:val="single" w:sz="4" w:space="0" w:color="000000"/>
              <w:right w:val="single" w:sz="4" w:space="0" w:color="000000"/>
            </w:tcBorders>
          </w:tcPr>
          <w:p>
            <w:pP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center"/>
              <w:rPr>
                <w:rFonts w:ascii="Arial" w:hAnsi="Arial" w:cs="Arial" w:eastAsia="Arial" w:hint="default"/>
                <w:sz w:val="21"/>
                <w:szCs w:val="21"/>
              </w:rPr>
            </w:pPr>
            <w:r>
              <w:rPr>
                <w:rFonts w:ascii="Arial"/>
                <w:w w:val="85"/>
                <w:sz w:val="21"/>
              </w:rPr>
              <w:t>187,000,000.00</w:t>
            </w:r>
            <w:r>
              <w:rPr>
                <w:rFonts w:ascii="Arial"/>
                <w:sz w:val="21"/>
              </w:rPr>
            </w:r>
          </w:p>
        </w:tc>
        <w:tc>
          <w:tcPr>
            <w:tcW w:w="138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Arial" w:hAnsi="Arial" w:cs="Arial" w:eastAsia="Arial" w:hint="default"/>
                <w:sz w:val="21"/>
                <w:szCs w:val="21"/>
              </w:rPr>
            </w:pPr>
            <w:r>
              <w:rPr>
                <w:rFonts w:ascii="Arial"/>
                <w:spacing w:val="-1"/>
                <w:w w:val="80"/>
                <w:sz w:val="21"/>
              </w:rPr>
              <w:t>483,486,188.64</w:t>
            </w:r>
            <w:r>
              <w:rPr>
                <w:rFonts w:ascii="Arial"/>
                <w:spacing w:val="-1"/>
                <w:sz w:val="21"/>
              </w:rPr>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21"/>
                <w:szCs w:val="21"/>
              </w:rPr>
            </w:pPr>
            <w:r>
              <w:rPr>
                <w:rFonts w:ascii="Arial"/>
                <w:spacing w:val="-1"/>
                <w:w w:val="80"/>
                <w:sz w:val="21"/>
              </w:rPr>
              <w:t>483,486,188.64</w:t>
            </w:r>
            <w:r>
              <w:rPr>
                <w:rFonts w:ascii="Arial"/>
                <w:spacing w:val="-1"/>
                <w:sz w:val="21"/>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21"/>
                <w:szCs w:val="21"/>
              </w:rPr>
            </w:pPr>
            <w:r>
              <w:rPr>
                <w:rFonts w:ascii="Arial"/>
                <w:spacing w:val="-1"/>
                <w:w w:val="80"/>
                <w:sz w:val="21"/>
              </w:rPr>
              <w:t>296,486,188.64</w:t>
            </w:r>
            <w:r>
              <w:rPr>
                <w:rFonts w:ascii="Arial"/>
                <w:spacing w:val="-1"/>
                <w:sz w:val="21"/>
              </w:rPr>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center"/>
              <w:rPr>
                <w:rFonts w:ascii="Arial" w:hAnsi="Arial" w:cs="Arial" w:eastAsia="Arial" w:hint="default"/>
                <w:sz w:val="21"/>
                <w:szCs w:val="21"/>
              </w:rPr>
            </w:pPr>
            <w:r>
              <w:rPr>
                <w:rFonts w:ascii="Arial"/>
                <w:w w:val="85"/>
                <w:sz w:val="21"/>
              </w:rPr>
              <w:t>187,000,000.00</w:t>
            </w:r>
            <w:r>
              <w:rPr>
                <w:rFonts w:ascii="Arial"/>
                <w:sz w:val="21"/>
              </w:rPr>
            </w:r>
          </w:p>
        </w:tc>
        <w:tc>
          <w:tcPr>
            <w:tcW w:w="138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Heading2"/>
        <w:spacing w:line="352" w:lineRule="auto"/>
        <w:ind w:left="834" w:right="9006" w:hanging="420"/>
        <w:jc w:val="left"/>
        <w:rPr>
          <w:b w:val="0"/>
          <w:bCs w:val="0"/>
        </w:rPr>
      </w:pPr>
      <w:bookmarkStart w:name="（三）市场风险" w:id="24"/>
      <w:bookmarkEnd w:id="24"/>
      <w:r>
        <w:rPr>
          <w:b w:val="0"/>
          <w:bCs w:val="0"/>
        </w:rPr>
      </w:r>
      <w:r>
        <w:rPr/>
        <w:t>（三）市场风险</w:t>
      </w:r>
      <w:r>
        <w:rPr>
          <w:spacing w:val="1"/>
          <w:w w:val="99"/>
        </w:rPr>
        <w:t> </w:t>
      </w:r>
      <w:bookmarkStart w:name="1、汇率风险" w:id="25"/>
      <w:bookmarkEnd w:id="25"/>
      <w:r>
        <w:rPr>
          <w:spacing w:val="1"/>
          <w:w w:val="99"/>
        </w:rPr>
      </w:r>
      <w:r>
        <w:rPr>
          <w:rFonts w:ascii="宋体" w:hAnsi="宋体" w:cs="宋体" w:eastAsia="宋体" w:hint="default"/>
        </w:rPr>
        <w:t>1</w:t>
      </w:r>
      <w:r>
        <w:rPr/>
        <w:t>、汇率风险</w:t>
      </w:r>
      <w:r>
        <w:rPr>
          <w:b w:val="0"/>
          <w:bCs w:val="0"/>
        </w:rPr>
      </w:r>
    </w:p>
    <w:p>
      <w:pPr>
        <w:pStyle w:val="BodyText"/>
        <w:spacing w:line="350" w:lineRule="auto" w:before="32"/>
        <w:ind w:left="833" w:right="4033" w:firstLine="60"/>
        <w:jc w:val="left"/>
        <w:rPr>
          <w:rFonts w:ascii="宋体" w:hAnsi="宋体" w:cs="宋体" w:eastAsia="宋体" w:hint="default"/>
        </w:rPr>
      </w:pPr>
      <w:r>
        <w:rPr/>
        <w:t>本公司的主要经营位于中国境内，主要业务以人民币结算。 </w:t>
      </w:r>
      <w:bookmarkStart w:name="2、利率风险" w:id="26"/>
      <w:bookmarkEnd w:id="26"/>
      <w:r>
        <w:rPr/>
      </w:r>
      <w:r>
        <w:rPr>
          <w:rFonts w:ascii="宋体" w:hAnsi="宋体" w:cs="宋体" w:eastAsia="宋体" w:hint="default"/>
          <w:b/>
          <w:bCs/>
        </w:rPr>
        <w:t>2</w:t>
      </w:r>
      <w:r>
        <w:rPr>
          <w:rFonts w:ascii="宋体" w:hAnsi="宋体" w:cs="宋体" w:eastAsia="宋体" w:hint="default"/>
          <w:b/>
          <w:bCs/>
        </w:rPr>
        <w:t>、利率风险</w:t>
      </w:r>
      <w:r>
        <w:rPr>
          <w:rFonts w:ascii="宋体" w:hAnsi="宋体" w:cs="宋体" w:eastAsia="宋体" w:hint="default"/>
        </w:rPr>
      </w:r>
    </w:p>
    <w:p>
      <w:pPr>
        <w:spacing w:after="0" w:line="350" w:lineRule="auto"/>
        <w:jc w:val="left"/>
        <w:rPr>
          <w:rFonts w:ascii="宋体" w:hAnsi="宋体" w:cs="宋体" w:eastAsia="宋体" w:hint="default"/>
        </w:rPr>
        <w:sectPr>
          <w:pgSz w:w="11910" w:h="16840"/>
          <w:pgMar w:header="747" w:footer="979" w:top="1060" w:bottom="1160" w:left="720" w:right="0"/>
        </w:sectPr>
      </w:pPr>
    </w:p>
    <w:p>
      <w:pPr>
        <w:spacing w:line="240" w:lineRule="auto" w:before="0"/>
        <w:rPr>
          <w:rFonts w:ascii="宋体" w:hAnsi="宋体" w:cs="宋体" w:eastAsia="宋体" w:hint="default"/>
          <w:b/>
          <w:bCs/>
          <w:sz w:val="20"/>
          <w:szCs w:val="20"/>
        </w:rPr>
      </w:pPr>
    </w:p>
    <w:p>
      <w:pPr>
        <w:pStyle w:val="BodyText"/>
        <w:spacing w:line="352" w:lineRule="auto" w:before="199"/>
        <w:ind w:left="154" w:right="1139" w:firstLine="480"/>
        <w:jc w:val="both"/>
      </w:pPr>
      <w:r>
        <w:rPr/>
        <w:t>本公司的利率风险主要产生于银行借款等。浮动利率的金融负债使本公司面临现金流量 利率风险，固定利率的金融负债使本公司面临公允价值利率风险。本公司根据当时的市场环 境来决定固定利率及浮动利率合同的相对比例。</w:t>
      </w:r>
    </w:p>
    <w:p>
      <w:pPr>
        <w:pStyle w:val="BodyText"/>
        <w:spacing w:line="352" w:lineRule="auto" w:before="33"/>
        <w:ind w:left="154" w:right="1139" w:firstLine="480"/>
        <w:jc w:val="both"/>
      </w:pPr>
      <w:r>
        <w:rPr/>
        <w:t>本公司财务部门持续监控公司利率水平。利率上升会增加新增带息债务的成本以及本公 司尚未付清的以浮动利率计息的带息债务的利息支出，并对本公司的财务业绩产生一定的不 利影响，管理层会依据最新的市场状况及时做出调整。</w:t>
      </w:r>
    </w:p>
    <w:p>
      <w:pPr>
        <w:pStyle w:val="BodyText"/>
        <w:spacing w:line="240" w:lineRule="auto" w:before="32"/>
        <w:ind w:left="633" w:right="1153"/>
        <w:jc w:val="left"/>
      </w:pPr>
      <w:r>
        <w:rPr/>
        <w:t>（</w:t>
      </w:r>
      <w:r>
        <w:rPr>
          <w:rFonts w:ascii="宋体" w:hAnsi="宋体" w:cs="宋体" w:eastAsia="宋体" w:hint="default"/>
        </w:rPr>
        <w:t>1</w:t>
      </w:r>
      <w:r>
        <w:rPr/>
        <w:t>）本年度公司无利率互换安排。</w:t>
      </w:r>
    </w:p>
    <w:p>
      <w:pPr>
        <w:pStyle w:val="BodyText"/>
        <w:spacing w:line="240" w:lineRule="auto" w:before="145"/>
        <w:ind w:left="634" w:right="0"/>
        <w:jc w:val="left"/>
      </w:pPr>
      <w:r>
        <w:rPr/>
        <w:t>（</w:t>
      </w:r>
      <w:r>
        <w:rPr>
          <w:rFonts w:ascii="宋体" w:hAnsi="宋体" w:cs="宋体" w:eastAsia="宋体" w:hint="default"/>
        </w:rPr>
        <w:t>2</w:t>
      </w:r>
      <w:r>
        <w:rPr/>
        <w:t>）截止</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日，本公司带息债务主要为人民币计价的浮动利率合同合计</w:t>
      </w:r>
    </w:p>
    <w:p>
      <w:pPr>
        <w:pStyle w:val="BodyText"/>
        <w:spacing w:line="240" w:lineRule="auto" w:before="146"/>
        <w:ind w:left="154" w:right="0"/>
        <w:jc w:val="left"/>
      </w:pPr>
      <w:r>
        <w:rPr/>
        <w:t>金额为</w:t>
      </w:r>
      <w:r>
        <w:rPr>
          <w:spacing w:val="-60"/>
        </w:rPr>
        <w:t> </w:t>
      </w:r>
      <w:r>
        <w:rPr>
          <w:rFonts w:ascii="宋体" w:hAnsi="宋体" w:cs="宋体" w:eastAsia="宋体" w:hint="default"/>
        </w:rPr>
        <w:t>50,000,000.00</w:t>
      </w:r>
      <w:r>
        <w:rPr>
          <w:rFonts w:ascii="宋体" w:hAnsi="宋体" w:cs="宋体" w:eastAsia="宋体" w:hint="default"/>
          <w:spacing w:val="-60"/>
        </w:rPr>
        <w:t> </w:t>
      </w:r>
      <w:r>
        <w:rPr/>
        <w:t>元，其中短期借款</w:t>
      </w:r>
      <w:r>
        <w:rPr>
          <w:spacing w:val="-60"/>
        </w:rPr>
        <w:t> </w:t>
      </w:r>
      <w:r>
        <w:rPr>
          <w:rFonts w:ascii="宋体" w:hAnsi="宋体" w:cs="宋体" w:eastAsia="宋体" w:hint="default"/>
        </w:rPr>
        <w:t>30,000,000.00</w:t>
      </w:r>
      <w:r>
        <w:rPr>
          <w:rFonts w:ascii="宋体" w:hAnsi="宋体" w:cs="宋体" w:eastAsia="宋体" w:hint="default"/>
          <w:spacing w:val="-60"/>
        </w:rPr>
        <w:t> </w:t>
      </w:r>
      <w:r>
        <w:rPr/>
        <w:t>元，长期借款</w:t>
      </w:r>
      <w:r>
        <w:rPr>
          <w:spacing w:val="-60"/>
        </w:rPr>
        <w:t> </w:t>
      </w:r>
      <w:r>
        <w:rPr>
          <w:rFonts w:ascii="宋体" w:hAnsi="宋体" w:cs="宋体" w:eastAsia="宋体" w:hint="default"/>
        </w:rPr>
        <w:t>20,000,000.00</w:t>
      </w:r>
      <w:r>
        <w:rPr>
          <w:rFonts w:ascii="宋体" w:hAnsi="宋体" w:cs="宋体" w:eastAsia="宋体" w:hint="default"/>
          <w:spacing w:val="-60"/>
        </w:rPr>
        <w:t> </w:t>
      </w:r>
      <w:r>
        <w:rPr/>
        <w:t>元。</w:t>
      </w:r>
    </w:p>
    <w:p>
      <w:pPr>
        <w:pStyle w:val="BodyText"/>
        <w:spacing w:line="240" w:lineRule="auto" w:before="145"/>
        <w:ind w:left="633" w:right="1153"/>
        <w:jc w:val="left"/>
      </w:pPr>
      <w:r>
        <w:rPr/>
        <w:t>（</w:t>
      </w:r>
      <w:r>
        <w:rPr>
          <w:rFonts w:ascii="宋体" w:hAnsi="宋体" w:cs="宋体" w:eastAsia="宋体" w:hint="default"/>
        </w:rPr>
        <w:t>3</w:t>
      </w:r>
      <w:r>
        <w:rPr/>
        <w:t>）敏感性分析：</w:t>
      </w:r>
    </w:p>
    <w:p>
      <w:pPr>
        <w:pStyle w:val="BodyText"/>
        <w:spacing w:line="240" w:lineRule="auto" w:before="145"/>
        <w:ind w:left="634" w:right="0"/>
        <w:jc w:val="left"/>
      </w:pPr>
      <w:r>
        <w:rPr/>
        <w:t>截止</w:t>
      </w:r>
      <w:r>
        <w:rPr>
          <w:spacing w:val="-55"/>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日，如果以浮动利率计算的借款利率上升或下降</w:t>
      </w:r>
      <w:r>
        <w:rPr>
          <w:spacing w:val="-55"/>
        </w:rPr>
        <w:t> </w:t>
      </w:r>
      <w:r>
        <w:rPr>
          <w:rFonts w:ascii="宋体" w:hAnsi="宋体" w:cs="宋体" w:eastAsia="宋体" w:hint="default"/>
        </w:rPr>
        <w:t>50</w:t>
      </w:r>
      <w:r>
        <w:rPr>
          <w:rFonts w:ascii="宋体" w:hAnsi="宋体" w:cs="宋体" w:eastAsia="宋体" w:hint="default"/>
          <w:spacing w:val="-56"/>
        </w:rPr>
        <w:t> </w:t>
      </w:r>
      <w:r>
        <w:rPr/>
        <w:t>个基点，而其</w:t>
      </w:r>
    </w:p>
    <w:p>
      <w:pPr>
        <w:pStyle w:val="BodyText"/>
        <w:spacing w:line="350" w:lineRule="auto" w:before="146"/>
        <w:ind w:left="634" w:right="0" w:hanging="480"/>
        <w:jc w:val="left"/>
      </w:pPr>
      <w:r>
        <w:rPr/>
        <w:t>他因素保持不变，本公司的净利润会减少或增加约</w:t>
      </w:r>
      <w:r>
        <w:rPr>
          <w:spacing w:val="-60"/>
        </w:rPr>
        <w:t> </w:t>
      </w:r>
      <w:r>
        <w:rPr>
          <w:rFonts w:ascii="宋体" w:hAnsi="宋体" w:cs="宋体" w:eastAsia="宋体" w:hint="default"/>
        </w:rPr>
        <w:t>250,000.00</w:t>
      </w:r>
      <w:r>
        <w:rPr>
          <w:rFonts w:ascii="宋体" w:hAnsi="宋体" w:cs="宋体" w:eastAsia="宋体" w:hint="default"/>
          <w:spacing w:val="-60"/>
        </w:rPr>
        <w:t> </w:t>
      </w:r>
      <w:r>
        <w:rPr/>
        <w:t>元。 上述敏感性分析假定在资产负债表日已发生利率变动，并且已应用于本公司所有按浮动</w:t>
      </w:r>
    </w:p>
    <w:p>
      <w:pPr>
        <w:spacing w:line="352" w:lineRule="auto" w:before="35"/>
        <w:ind w:left="634" w:right="7863" w:hanging="480"/>
        <w:jc w:val="left"/>
        <w:rPr>
          <w:rFonts w:ascii="宋体" w:hAnsi="宋体" w:cs="宋体" w:eastAsia="宋体" w:hint="default"/>
          <w:sz w:val="24"/>
          <w:szCs w:val="24"/>
        </w:rPr>
      </w:pPr>
      <w:r>
        <w:rPr>
          <w:rFonts w:ascii="宋体" w:hAnsi="宋体" w:cs="宋体" w:eastAsia="宋体" w:hint="default"/>
          <w:sz w:val="24"/>
          <w:szCs w:val="24"/>
        </w:rPr>
        <w:t>利率获得的借款。 </w:t>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r>
        <w:rPr>
          <w:rFonts w:ascii="宋体" w:hAnsi="宋体" w:cs="宋体" w:eastAsia="宋体" w:hint="default"/>
          <w:sz w:val="24"/>
          <w:szCs w:val="24"/>
        </w:rPr>
        <w:t>无</w:t>
      </w:r>
    </w:p>
    <w:p>
      <w:pPr>
        <w:pStyle w:val="Heading2"/>
        <w:spacing w:line="350" w:lineRule="auto" w:before="32"/>
        <w:ind w:left="633" w:right="7543" w:firstLine="2"/>
        <w:jc w:val="left"/>
        <w:rPr>
          <w:b w:val="0"/>
          <w:bCs w:val="0"/>
        </w:rPr>
      </w:pPr>
      <w:r>
        <w:rPr>
          <w:w w:val="95"/>
        </w:rPr>
        <w:t>十二、关联方及关联交易</w:t>
      </w:r>
      <w:r>
        <w:rPr>
          <w:spacing w:val="5"/>
          <w:w w:val="95"/>
        </w:rPr>
        <w:t> </w:t>
      </w:r>
      <w:r>
        <w:rPr>
          <w:rFonts w:ascii="宋体" w:hAnsi="宋体" w:cs="宋体" w:eastAsia="宋体" w:hint="default"/>
        </w:rPr>
        <w:t>1</w:t>
      </w:r>
      <w:r>
        <w:rPr/>
        <w:t>、本企业的母公司情况</w:t>
      </w:r>
      <w:r>
        <w:rPr>
          <w:w w:val="99"/>
        </w:rPr>
        <w:t> </w:t>
      </w:r>
      <w:r>
        <w:rPr>
          <w:rFonts w:ascii="宋体" w:hAnsi="宋体" w:cs="宋体" w:eastAsia="宋体" w:hint="default"/>
          <w:b w:val="0"/>
          <w:bCs w:val="0"/>
        </w:rPr>
        <w:t>无 </w:t>
      </w:r>
      <w:r>
        <w:rPr>
          <w:rFonts w:ascii="宋体" w:hAnsi="宋体" w:cs="宋体" w:eastAsia="宋体" w:hint="default"/>
        </w:rPr>
        <w:t>2</w:t>
      </w:r>
      <w:r>
        <w:rPr/>
        <w:t>、本企业的子公司情况</w:t>
      </w:r>
      <w:r>
        <w:rPr>
          <w:b w:val="0"/>
          <w:bCs w:val="0"/>
        </w:rPr>
      </w:r>
    </w:p>
    <w:p>
      <w:pPr>
        <w:spacing w:line="350" w:lineRule="auto" w:before="36"/>
        <w:ind w:left="633" w:right="4513" w:firstLine="0"/>
        <w:jc w:val="left"/>
        <w:rPr>
          <w:rFonts w:ascii="宋体" w:hAnsi="宋体" w:cs="宋体" w:eastAsia="宋体" w:hint="default"/>
          <w:sz w:val="24"/>
          <w:szCs w:val="24"/>
        </w:rPr>
      </w:pPr>
      <w:r>
        <w:rPr/>
        <w:pict>
          <v:shape style="position:absolute;margin-left:55.080002pt;margin-top:66.39563pt;width:449.95pt;height:54.8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7"/>
                    <w:gridCol w:w="5298"/>
                  </w:tblGrid>
                  <w:tr>
                    <w:trPr>
                      <w:trHeight w:val="36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206" w:right="0"/>
                          <w:jc w:val="left"/>
                          <w:rPr>
                            <w:rFonts w:ascii="宋体" w:hAnsi="宋体" w:cs="宋体" w:eastAsia="宋体" w:hint="default"/>
                            <w:sz w:val="21"/>
                            <w:szCs w:val="21"/>
                          </w:rPr>
                        </w:pPr>
                        <w:r>
                          <w:rPr>
                            <w:rFonts w:ascii="宋体" w:hAnsi="宋体" w:cs="宋体" w:eastAsia="宋体" w:hint="default"/>
                            <w:b/>
                            <w:bCs/>
                            <w:sz w:val="21"/>
                            <w:szCs w:val="21"/>
                          </w:rPr>
                          <w:t>联营企业名称</w:t>
                        </w:r>
                        <w:r>
                          <w:rPr>
                            <w:rFonts w:ascii="宋体" w:hAnsi="宋体" w:cs="宋体" w:eastAsia="宋体" w:hint="default"/>
                            <w:sz w:val="21"/>
                            <w:szCs w:val="21"/>
                          </w:rPr>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r>
                  <w:tr>
                    <w:trPr>
                      <w:trHeight w:val="36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飞天联合</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系统技术有限公司</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本公司的参股公司，公司总经理谢春生担任其董事</w:t>
                        </w:r>
                      </w:p>
                    </w:tc>
                  </w:tr>
                  <w:tr>
                    <w:trPr>
                      <w:trHeight w:val="36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北京赛弗网络科技有限责任公司</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本公司的参股公司，公司总经理谢春生担任其董事</w:t>
                        </w:r>
                      </w:p>
                    </w:tc>
                  </w:tr>
                </w:tbl>
                <w:p>
                  <w:pPr/>
                </w:p>
              </w:txbxContent>
            </v:textbox>
            <w10:wrap type="none"/>
          </v:shape>
        </w:pict>
      </w:r>
      <w:r>
        <w:rPr>
          <w:rFonts w:ascii="宋体" w:hAnsi="宋体" w:cs="宋体" w:eastAsia="宋体" w:hint="default"/>
          <w:sz w:val="24"/>
          <w:szCs w:val="24"/>
        </w:rPr>
        <w:t>本企业子公司的情况详见“附注三、公司基本情况”。 </w:t>
      </w:r>
      <w:r>
        <w:rPr>
          <w:rFonts w:ascii="宋体" w:hAnsi="宋体" w:cs="宋体" w:eastAsia="宋体" w:hint="default"/>
          <w:b/>
          <w:bCs/>
          <w:sz w:val="24"/>
          <w:szCs w:val="24"/>
        </w:rPr>
        <w:t>3</w:t>
      </w:r>
      <w:r>
        <w:rPr>
          <w:rFonts w:ascii="宋体" w:hAnsi="宋体" w:cs="宋体" w:eastAsia="宋体" w:hint="default"/>
          <w:b/>
          <w:bCs/>
          <w:sz w:val="24"/>
          <w:szCs w:val="24"/>
        </w:rPr>
        <w:t>、本企业合营和联营企业情况</w:t>
      </w:r>
      <w:r>
        <w:rPr>
          <w:rFonts w:ascii="宋体" w:hAnsi="宋体" w:cs="宋体" w:eastAsia="宋体" w:hint="default"/>
          <w:b/>
          <w:bCs/>
          <w:w w:val="99"/>
          <w:sz w:val="24"/>
          <w:szCs w:val="24"/>
        </w:rPr>
        <w:t> </w:t>
      </w:r>
      <w:r>
        <w:rPr>
          <w:rFonts w:ascii="宋体" w:hAnsi="宋体" w:cs="宋体" w:eastAsia="宋体" w:hint="default"/>
          <w:sz w:val="24"/>
          <w:szCs w:val="24"/>
        </w:rPr>
        <w:t>本企业重要的合营或联营企业如下：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2"/>
        <w:spacing w:line="240" w:lineRule="auto"/>
        <w:ind w:right="1153"/>
        <w:jc w:val="left"/>
        <w:rPr>
          <w:b w:val="0"/>
          <w:bCs w:val="0"/>
        </w:rPr>
      </w:pPr>
      <w:r>
        <w:rPr>
          <w:rFonts w:ascii="宋体" w:hAnsi="宋体" w:cs="宋体" w:eastAsia="宋体" w:hint="default"/>
        </w:rPr>
        <w:t>4</w:t>
      </w:r>
      <w:r>
        <w:rPr/>
        <w:t>、其他关联方情况</w:t>
      </w:r>
      <w:r>
        <w:rPr>
          <w:b w:val="0"/>
          <w:bCs w:val="0"/>
        </w:rPr>
      </w:r>
    </w:p>
    <w:p>
      <w:pPr>
        <w:spacing w:line="240" w:lineRule="auto" w:before="6"/>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3961"/>
        <w:gridCol w:w="5070"/>
      </w:tblGrid>
      <w:tr>
        <w:trPr>
          <w:trHeight w:val="401" w:hRule="exact"/>
        </w:trPr>
        <w:tc>
          <w:tcPr>
            <w:tcW w:w="3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40"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404"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北京七彩通达传媒股份有限公司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pacing w:val="-2"/>
                <w:sz w:val="21"/>
                <w:szCs w:val="21"/>
              </w:rPr>
              <w:t>公司董事长李海鹰担任其董事，与本公司构成关联关系</w:t>
            </w:r>
          </w:p>
        </w:tc>
      </w:tr>
    </w:tbl>
    <w:p>
      <w:pPr>
        <w:spacing w:line="240" w:lineRule="auto" w:before="10"/>
        <w:rPr>
          <w:rFonts w:ascii="宋体" w:hAnsi="宋体" w:cs="宋体" w:eastAsia="宋体" w:hint="default"/>
          <w:b/>
          <w:bCs/>
          <w:sz w:val="4"/>
          <w:szCs w:val="4"/>
        </w:rPr>
      </w:pPr>
    </w:p>
    <w:p>
      <w:pPr>
        <w:pStyle w:val="Heading2"/>
        <w:spacing w:line="350" w:lineRule="auto"/>
        <w:ind w:left="633" w:right="8463" w:firstLine="2"/>
        <w:jc w:val="left"/>
        <w:rPr>
          <w:rFonts w:ascii="宋体" w:hAnsi="宋体" w:cs="宋体" w:eastAsia="宋体" w:hint="default"/>
          <w:b w:val="0"/>
          <w:bCs w:val="0"/>
        </w:rPr>
      </w:pPr>
      <w:r>
        <w:rPr>
          <w:rFonts w:ascii="宋体" w:hAnsi="宋体" w:cs="宋体" w:eastAsia="宋体" w:hint="default"/>
        </w:rPr>
        <w:t>5</w:t>
      </w:r>
      <w:r>
        <w:rPr/>
        <w:t>、关联交易情况</w:t>
      </w:r>
      <w:r>
        <w:rPr>
          <w:w w:val="99"/>
        </w:rPr>
        <w:t> </w:t>
      </w:r>
      <w:r>
        <w:rPr>
          <w:rFonts w:ascii="宋体" w:hAnsi="宋体" w:cs="宋体" w:eastAsia="宋体" w:hint="default"/>
          <w:b w:val="0"/>
          <w:bCs w:val="0"/>
        </w:rPr>
        <w:t>无</w:t>
      </w:r>
    </w:p>
    <w:p>
      <w:pPr>
        <w:spacing w:after="0" w:line="350"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9"/>
        <w:ind w:right="1153"/>
        <w:jc w:val="left"/>
        <w:rPr>
          <w:b w:val="0"/>
          <w:bCs w:val="0"/>
        </w:rPr>
      </w:pPr>
      <w:r>
        <w:rPr/>
        <w:t>十三、股份支付</w:t>
      </w:r>
      <w:r>
        <w:rPr>
          <w:b w:val="0"/>
          <w:bCs w:val="0"/>
        </w:rPr>
      </w:r>
    </w:p>
    <w:p>
      <w:pPr>
        <w:spacing w:line="352" w:lineRule="auto" w:before="145"/>
        <w:ind w:left="636" w:right="7753" w:hanging="3"/>
        <w:jc w:val="left"/>
        <w:rPr>
          <w:rFonts w:ascii="宋体" w:hAnsi="宋体" w:cs="宋体" w:eastAsia="宋体"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w w:val="95"/>
          <w:sz w:val="24"/>
          <w:szCs w:val="24"/>
        </w:rPr>
        <w:t>十四、承诺及或有事项</w:t>
      </w:r>
      <w:r>
        <w:rPr>
          <w:rFonts w:ascii="宋体" w:hAnsi="宋体" w:cs="宋体" w:eastAsia="宋体" w:hint="default"/>
          <w:b/>
          <w:bCs/>
          <w:spacing w:val="-7"/>
          <w:w w:val="95"/>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、重要承诺事项</w:t>
      </w:r>
      <w:r>
        <w:rPr>
          <w:rFonts w:ascii="宋体" w:hAnsi="宋体" w:cs="宋体" w:eastAsia="宋体" w:hint="default"/>
          <w:sz w:val="24"/>
          <w:szCs w:val="24"/>
        </w:rPr>
      </w:r>
    </w:p>
    <w:p>
      <w:pPr>
        <w:pStyle w:val="BodyText"/>
        <w:spacing w:line="352" w:lineRule="auto" w:before="32"/>
        <w:ind w:right="1153" w:firstLine="480"/>
        <w:jc w:val="left"/>
      </w:pPr>
      <w:r>
        <w:rPr/>
        <w:t>本公司以评估价值为</w:t>
      </w:r>
      <w:r>
        <w:rPr>
          <w:rFonts w:ascii="宋体" w:hAnsi="宋体" w:cs="宋体" w:eastAsia="宋体" w:hint="default"/>
        </w:rPr>
        <w:t>30,811</w:t>
      </w:r>
      <w:r>
        <w:rPr/>
        <w:t>万元的国铁路阳</w:t>
      </w:r>
      <w:r>
        <w:rPr>
          <w:rFonts w:ascii="宋体" w:hAnsi="宋体" w:cs="宋体" w:eastAsia="宋体" w:hint="default"/>
        </w:rPr>
        <w:t>100%</w:t>
      </w:r>
      <w:r>
        <w:rPr/>
        <w:t>股权作为质押，自中国工商银行股份有 限公司郑州桐柏路支行取得借款</w:t>
      </w:r>
      <w:r>
        <w:rPr>
          <w:rFonts w:ascii="宋体" w:hAnsi="宋体" w:cs="宋体" w:eastAsia="宋体" w:hint="default"/>
        </w:rPr>
        <w:t>7,500</w:t>
      </w:r>
      <w:r>
        <w:rPr/>
        <w:t>万元，借款合同期限自</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10</w:t>
      </w:r>
      <w:r>
        <w:rPr/>
        <w:t>日至</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11 </w:t>
      </w:r>
      <w:r>
        <w:rPr/>
        <w:t>日，本期末剩余长期借款</w:t>
      </w:r>
      <w:r>
        <w:rPr>
          <w:rFonts w:ascii="宋体" w:hAnsi="宋体" w:cs="宋体" w:eastAsia="宋体" w:hint="default"/>
        </w:rPr>
        <w:t>2,000</w:t>
      </w:r>
      <w:r>
        <w:rPr/>
        <w:t>万。</w:t>
      </w:r>
    </w:p>
    <w:p>
      <w:pPr>
        <w:spacing w:line="352" w:lineRule="auto" w:before="32"/>
        <w:ind w:left="633" w:right="3553"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、或有事项</w:t>
      </w:r>
      <w:r>
        <w:rPr>
          <w:rFonts w:ascii="宋体" w:hAnsi="宋体" w:cs="宋体" w:eastAsia="宋体" w:hint="default"/>
          <w:b/>
          <w:bCs/>
          <w:w w:val="99"/>
          <w:sz w:val="24"/>
          <w:szCs w:val="24"/>
        </w:rPr>
        <w:t> </w:t>
      </w:r>
      <w:r>
        <w:rPr>
          <w:rFonts w:ascii="宋体" w:hAnsi="宋体" w:cs="宋体" w:eastAsia="宋体" w:hint="default"/>
          <w:sz w:val="24"/>
          <w:szCs w:val="24"/>
        </w:rPr>
        <w:t>截止</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日，本公司无应披露未披露的重大或有事项。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pStyle w:val="BodyText"/>
        <w:spacing w:line="350" w:lineRule="auto" w:before="32"/>
        <w:ind w:right="1033" w:firstLine="480"/>
        <w:jc w:val="left"/>
      </w:pPr>
      <w:r>
        <w:rPr/>
        <w:t>公司于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17</w:t>
      </w:r>
      <w:r>
        <w:rPr/>
        <w:t>日与北京七彩通达传媒股份有限公司签署《北京七彩通达传媒股份 有限公司投资协议》，本公司出资</w:t>
      </w:r>
      <w:r>
        <w:rPr>
          <w:rFonts w:ascii="宋体" w:hAnsi="宋体" w:cs="宋体" w:eastAsia="宋体" w:hint="default"/>
        </w:rPr>
        <w:t>1</w:t>
      </w:r>
      <w:r>
        <w:rPr/>
        <w:t>亿元认购其部分股权，对应实收资本金额为</w:t>
      </w:r>
      <w:r>
        <w:rPr>
          <w:rFonts w:ascii="宋体" w:hAnsi="宋体" w:cs="宋体" w:eastAsia="宋体" w:hint="default"/>
        </w:rPr>
        <w:t>300.03</w:t>
      </w:r>
      <w:r>
        <w:rPr/>
        <w:t>万元， </w:t>
      </w:r>
      <w:r>
        <w:rPr>
          <w:spacing w:val="-2"/>
        </w:rPr>
        <w:t>占被投资单位总股权的</w:t>
      </w:r>
      <w:r>
        <w:rPr>
          <w:rFonts w:ascii="宋体" w:hAnsi="宋体" w:cs="宋体" w:eastAsia="宋体" w:hint="default"/>
          <w:spacing w:val="-2"/>
        </w:rPr>
        <w:t>8.79%</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20</w:t>
      </w:r>
      <w:r>
        <w:rPr>
          <w:spacing w:val="-2"/>
        </w:rPr>
        <w:t>日首次出资</w:t>
      </w:r>
      <w:r>
        <w:rPr>
          <w:rFonts w:ascii="宋体" w:hAnsi="宋体" w:cs="宋体" w:eastAsia="宋体" w:hint="default"/>
          <w:spacing w:val="-2"/>
        </w:rPr>
        <w:t>5,000.00</w:t>
      </w:r>
      <w:r>
        <w:rPr>
          <w:spacing w:val="-2"/>
        </w:rPr>
        <w:t>万元，被投资单位已</w:t>
      </w:r>
      <w:r>
        <w:rPr>
          <w:spacing w:val="-100"/>
        </w:rPr>
        <w:t> </w:t>
      </w:r>
      <w:r>
        <w:rPr>
          <w:spacing w:val="-100"/>
        </w:rPr>
      </w:r>
      <w:r>
        <w:rPr/>
        <w:t>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7</w:t>
      </w:r>
      <w:r>
        <w:rPr/>
        <w:t>日完成工商登记变更手续，</w:t>
      </w:r>
      <w:r>
        <w:rPr>
          <w:rFonts w:ascii="宋体" w:hAnsi="宋体" w:cs="宋体" w:eastAsia="宋体" w:hint="default"/>
        </w:rPr>
        <w:t>2016</w:t>
      </w:r>
      <w:r>
        <w:rPr/>
        <w:t>年</w:t>
      </w:r>
      <w:r>
        <w:rPr>
          <w:rFonts w:ascii="宋体" w:hAnsi="宋体" w:cs="宋体" w:eastAsia="宋体" w:hint="default"/>
        </w:rPr>
        <w:t>1</w:t>
      </w:r>
      <w:r>
        <w:rPr/>
        <w:t>月再次出资</w:t>
      </w:r>
      <w:r>
        <w:rPr>
          <w:rFonts w:ascii="宋体" w:hAnsi="宋体" w:cs="宋体" w:eastAsia="宋体" w:hint="default"/>
        </w:rPr>
        <w:t>5,000.00</w:t>
      </w:r>
      <w:r>
        <w:rPr/>
        <w:t>万元。</w:t>
      </w:r>
    </w:p>
    <w:p>
      <w:pPr>
        <w:pStyle w:val="BodyText"/>
        <w:spacing w:line="352" w:lineRule="auto"/>
        <w:ind w:right="1130" w:firstLine="480"/>
        <w:jc w:val="both"/>
      </w:pPr>
      <w:r>
        <w:rPr>
          <w:spacing w:val="-2"/>
        </w:rPr>
        <w:t>公司于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13</w:t>
      </w:r>
      <w:r>
        <w:rPr>
          <w:spacing w:val="-2"/>
        </w:rPr>
        <w:t>日召开第五届董事会第十六次会议，审议并通过了《关于参股北京智</w:t>
      </w:r>
      <w:r>
        <w:rPr/>
        <w:t> </w:t>
      </w:r>
      <w:r>
        <w:rPr>
          <w:spacing w:val="-3"/>
        </w:rPr>
        <w:t>慧图科技有限责任公司的议案》</w:t>
      </w:r>
      <w:r>
        <w:rPr>
          <w:rFonts w:ascii="宋体" w:hAnsi="宋体" w:cs="宋体" w:eastAsia="宋体" w:hint="default"/>
          <w:spacing w:val="-3"/>
        </w:rPr>
        <w:t>,</w:t>
      </w:r>
      <w:r>
        <w:rPr>
          <w:spacing w:val="-3"/>
        </w:rPr>
        <w:t>公司与北京智慧图科技有限有限责任公司签署了《北京智慧</w:t>
      </w:r>
      <w:r>
        <w:rPr>
          <w:spacing w:val="-81"/>
        </w:rPr>
        <w:t> </w:t>
      </w:r>
      <w:r>
        <w:rPr>
          <w:spacing w:val="-81"/>
        </w:rPr>
      </w:r>
      <w:r>
        <w:rPr/>
        <w:t>图科技有限责任公司增资协议》，以自有资金</w:t>
      </w:r>
      <w:r>
        <w:rPr>
          <w:rFonts w:ascii="宋体" w:hAnsi="宋体" w:cs="宋体" w:eastAsia="宋体" w:hint="default"/>
        </w:rPr>
        <w:t>2,000.00</w:t>
      </w:r>
      <w:r>
        <w:rPr/>
        <w:t>万元认购其部分股权，对应实收资本 金额为</w:t>
      </w:r>
      <w:r>
        <w:rPr>
          <w:rFonts w:ascii="宋体" w:hAnsi="宋体" w:cs="宋体" w:eastAsia="宋体" w:hint="default"/>
        </w:rPr>
        <w:t>28.5236</w:t>
      </w:r>
      <w:r>
        <w:rPr/>
        <w:t>万元，占其总股权的</w:t>
      </w:r>
      <w:r>
        <w:rPr>
          <w:rFonts w:ascii="宋体" w:hAnsi="宋体" w:cs="宋体" w:eastAsia="宋体" w:hint="default"/>
        </w:rPr>
        <w:t>2.86%</w:t>
      </w:r>
      <w:r>
        <w:rPr/>
        <w:t>。</w:t>
      </w:r>
    </w:p>
    <w:p>
      <w:pPr>
        <w:pStyle w:val="BodyText"/>
        <w:spacing w:line="350" w:lineRule="auto" w:before="32"/>
        <w:ind w:left="154" w:right="1130" w:firstLine="480"/>
        <w:jc w:val="both"/>
      </w:pPr>
      <w:r>
        <w:rPr>
          <w:spacing w:val="-2"/>
        </w:rPr>
        <w:t>公司于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26</w:t>
      </w:r>
      <w:r>
        <w:rPr>
          <w:spacing w:val="-2"/>
        </w:rPr>
        <w:t>日召开第五届董事会第十七次会议，审议并通过了《关于对参股子公</w:t>
      </w:r>
      <w:r>
        <w:rPr/>
        <w:t> </w:t>
      </w:r>
      <w:r>
        <w:rPr>
          <w:spacing w:val="-4"/>
        </w:rPr>
        <w:t>司增资暨关联交易的议案》</w:t>
      </w:r>
      <w:r>
        <w:rPr>
          <w:rFonts w:ascii="宋体" w:hAnsi="宋体" w:cs="宋体" w:eastAsia="宋体" w:hint="default"/>
          <w:spacing w:val="-4"/>
        </w:rPr>
        <w:t>,</w:t>
      </w:r>
      <w:r>
        <w:rPr>
          <w:spacing w:val="-4"/>
        </w:rPr>
        <w:t>公司与飞天联合（北京）系统技术有限公司签署</w:t>
      </w:r>
      <w:r>
        <w:rPr>
          <w:spacing w:val="-30"/>
        </w:rPr>
        <w:t> </w:t>
      </w:r>
      <w:r>
        <w:rPr>
          <w:spacing w:val="-6"/>
        </w:rPr>
        <w:t>《飞天联合（北</w:t>
      </w:r>
      <w:r>
        <w:rPr/>
        <w:t> </w:t>
      </w:r>
      <w:r>
        <w:rPr>
          <w:spacing w:val="-2"/>
        </w:rPr>
        <w:t>京）系统技术有限公司投资协议》</w:t>
      </w:r>
      <w:r>
        <w:rPr>
          <w:rFonts w:ascii="宋体" w:hAnsi="宋体" w:cs="宋体" w:eastAsia="宋体" w:hint="default"/>
          <w:spacing w:val="-2"/>
        </w:rPr>
        <w:t>,</w:t>
      </w:r>
      <w:r>
        <w:rPr>
          <w:spacing w:val="-2"/>
        </w:rPr>
        <w:t>公司以自有资金</w:t>
      </w:r>
      <w:r>
        <w:rPr>
          <w:rFonts w:ascii="宋体" w:hAnsi="宋体" w:cs="宋体" w:eastAsia="宋体" w:hint="default"/>
          <w:spacing w:val="-2"/>
        </w:rPr>
        <w:t>1,800.00</w:t>
      </w:r>
      <w:r>
        <w:rPr>
          <w:spacing w:val="-2"/>
        </w:rPr>
        <w:t>万元认购其部分股权，对应实收</w:t>
      </w:r>
      <w:r>
        <w:rPr>
          <w:spacing w:val="-114"/>
        </w:rPr>
        <w:t> </w:t>
      </w:r>
      <w:r>
        <w:rPr>
          <w:spacing w:val="-114"/>
        </w:rPr>
      </w:r>
      <w:r>
        <w:rPr/>
        <w:t>资本金额为</w:t>
      </w:r>
      <w:r>
        <w:rPr>
          <w:rFonts w:ascii="宋体" w:hAnsi="宋体" w:cs="宋体" w:eastAsia="宋体" w:hint="default"/>
        </w:rPr>
        <w:t>59.7732</w:t>
      </w:r>
      <w:r>
        <w:rPr/>
        <w:t>万元，本次增资完成后，公司将合计持有飞天联合</w:t>
      </w:r>
      <w:r>
        <w:rPr>
          <w:rFonts w:ascii="宋体" w:hAnsi="宋体" w:cs="宋体" w:eastAsia="宋体" w:hint="default"/>
        </w:rPr>
        <w:t>23.3482%</w:t>
      </w:r>
      <w:r>
        <w:rPr/>
        <w:t>的股权。</w:t>
      </w:r>
    </w:p>
    <w:p>
      <w:pPr>
        <w:pStyle w:val="BodyText"/>
        <w:spacing w:line="352" w:lineRule="auto" w:before="35"/>
        <w:ind w:right="1273" w:firstLine="480"/>
        <w:jc w:val="left"/>
      </w:pPr>
      <w:r>
        <w:rPr/>
        <w:t>经</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29</w:t>
      </w:r>
      <w:r>
        <w:rPr/>
        <w:t>日第五届董事会第十八次会议审议决定，以</w:t>
      </w:r>
      <w:r>
        <w:rPr>
          <w:rFonts w:ascii="宋体" w:hAnsi="宋体" w:cs="宋体" w:eastAsia="宋体" w:hint="default"/>
        </w:rPr>
        <w:t>2015</w:t>
      </w:r>
      <w:r>
        <w:rPr/>
        <w:t>年底的股本总额 </w:t>
      </w:r>
      <w:r>
        <w:rPr>
          <w:rFonts w:ascii="宋体" w:hAnsi="宋体" w:cs="宋体" w:eastAsia="宋体" w:hint="default"/>
        </w:rPr>
        <w:t>376,656,420.00</w:t>
      </w:r>
      <w:r>
        <w:rPr/>
        <w:t>股为基数，向全体股东每</w:t>
      </w:r>
      <w:r>
        <w:rPr>
          <w:rFonts w:ascii="宋体" w:hAnsi="宋体" w:cs="宋体" w:eastAsia="宋体" w:hint="default"/>
        </w:rPr>
        <w:t>10</w:t>
      </w:r>
      <w:r>
        <w:rPr/>
        <w:t>股派发现金红利</w:t>
      </w:r>
      <w:r>
        <w:rPr>
          <w:rFonts w:ascii="宋体" w:hAnsi="宋体" w:cs="宋体" w:eastAsia="宋体" w:hint="default"/>
        </w:rPr>
        <w:t>0.3</w:t>
      </w:r>
      <w:r>
        <w:rPr/>
        <w:t>元（含税），共计分配股利</w:t>
      </w:r>
    </w:p>
    <w:p>
      <w:pPr>
        <w:pStyle w:val="BodyText"/>
        <w:spacing w:line="350" w:lineRule="auto" w:before="32"/>
        <w:ind w:left="633" w:right="1153" w:hanging="480"/>
        <w:jc w:val="left"/>
      </w:pPr>
      <w:r>
        <w:rPr>
          <w:rFonts w:ascii="宋体" w:hAnsi="宋体" w:cs="宋体" w:eastAsia="宋体" w:hint="default"/>
        </w:rPr>
        <w:t>11,299,692.60</w:t>
      </w:r>
      <w:r>
        <w:rPr/>
        <w:t>元，上述分红决定尚需经</w:t>
      </w:r>
      <w:r>
        <w:rPr>
          <w:rFonts w:ascii="宋体" w:hAnsi="宋体" w:cs="宋体" w:eastAsia="宋体" w:hint="default"/>
        </w:rPr>
        <w:t>2015</w:t>
      </w:r>
      <w:r>
        <w:rPr/>
        <w:t>年度股东大会批准实施。 除上述事项外，截止财务报告日，本公司无其他应披露未披露的重大资产负债表日后事</w:t>
      </w:r>
    </w:p>
    <w:p>
      <w:pPr>
        <w:pStyle w:val="BodyText"/>
        <w:spacing w:line="240" w:lineRule="auto"/>
        <w:ind w:left="154" w:right="1153"/>
        <w:jc w:val="left"/>
      </w:pPr>
      <w:r>
        <w:rPr/>
        <w:t>项。</w:t>
      </w:r>
    </w:p>
    <w:p>
      <w:pPr>
        <w:spacing w:line="240" w:lineRule="auto" w:before="2"/>
        <w:rPr>
          <w:rFonts w:ascii="宋体" w:hAnsi="宋体" w:cs="宋体" w:eastAsia="宋体" w:hint="default"/>
          <w:sz w:val="9"/>
          <w:szCs w:val="9"/>
        </w:rPr>
      </w:pPr>
    </w:p>
    <w:p>
      <w:pPr>
        <w:pStyle w:val="Heading2"/>
        <w:spacing w:line="350" w:lineRule="auto"/>
        <w:ind w:right="6656"/>
        <w:jc w:val="left"/>
        <w:rPr>
          <w:b w:val="0"/>
          <w:bCs w:val="0"/>
        </w:rPr>
      </w:pPr>
      <w:r>
        <w:rPr/>
        <w:t>十六、其他重要事项（分部信息）</w:t>
      </w:r>
      <w:r>
        <w:rPr>
          <w:w w:val="99"/>
        </w:rPr>
        <w:t> </w:t>
      </w:r>
      <w:r>
        <w:rPr/>
        <w:t>报告分部的确定依据与会计政策</w:t>
      </w:r>
      <w:r>
        <w:rPr>
          <w:b w:val="0"/>
          <w:bCs w:val="0"/>
        </w:rPr>
      </w:r>
    </w:p>
    <w:p>
      <w:pPr>
        <w:pStyle w:val="BodyText"/>
        <w:spacing w:line="240" w:lineRule="auto"/>
        <w:ind w:left="633" w:right="0"/>
        <w:jc w:val="left"/>
      </w:pPr>
      <w:r>
        <w:rPr/>
        <w:t>本公司以内部组织结构、管理要求、内部报告制度为依据确定经营分部。本公司的经营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9"/>
        <w:ind w:left="754" w:right="4392" w:hanging="480"/>
        <w:jc w:val="left"/>
      </w:pPr>
      <w:r>
        <w:rPr/>
        <w:t>分部是指同时满足下列条件的组成部分： </w:t>
      </w:r>
      <w:r>
        <w:rPr>
          <w:rFonts w:ascii="宋体" w:hAnsi="宋体" w:cs="宋体" w:eastAsia="宋体" w:hint="default"/>
        </w:rPr>
        <w:t>1</w:t>
      </w:r>
      <w:r>
        <w:rPr/>
        <w:t>、该组成部分能够在日常活动中产生收入、发生费用；</w:t>
      </w:r>
    </w:p>
    <w:p>
      <w:pPr>
        <w:pStyle w:val="BodyText"/>
        <w:spacing w:line="240" w:lineRule="auto"/>
        <w:ind w:left="753" w:right="0"/>
        <w:jc w:val="left"/>
      </w:pPr>
      <w:r>
        <w:rPr>
          <w:rFonts w:ascii="宋体" w:hAnsi="宋体" w:cs="宋体" w:eastAsia="宋体" w:hint="default"/>
        </w:rPr>
        <w:t>2</w:t>
      </w:r>
      <w:r>
        <w:rPr/>
        <w:t>、管理层能够定期评价该组成部分的经营成果，以决定向其配置资源、评价其业绩；</w:t>
      </w:r>
    </w:p>
    <w:p>
      <w:pPr>
        <w:pStyle w:val="BodyText"/>
        <w:spacing w:line="352" w:lineRule="auto" w:before="146"/>
        <w:ind w:left="753" w:right="0"/>
        <w:jc w:val="left"/>
      </w:pPr>
      <w:r>
        <w:rPr>
          <w:rFonts w:ascii="宋体" w:hAnsi="宋体" w:cs="宋体" w:eastAsia="宋体" w:hint="default"/>
        </w:rPr>
        <w:t>3</w:t>
      </w:r>
      <w:r>
        <w:rPr/>
        <w:t>、能够取得该组成部分的财务状况、经营成果和现金流量等有关会计信息。 </w:t>
      </w:r>
      <w:r>
        <w:rPr>
          <w:spacing w:val="-3"/>
        </w:rPr>
        <w:t>本公司以经营分部为基础确定报告分部，满足下列条件之一的经营分部确定为报告分部：</w:t>
      </w:r>
      <w:r>
        <w:rPr>
          <w:spacing w:val="-85"/>
        </w:rPr>
        <w:t> </w:t>
      </w:r>
      <w:r>
        <w:rPr>
          <w:spacing w:val="-85"/>
        </w:rPr>
      </w:r>
      <w:r>
        <w:rPr>
          <w:rFonts w:ascii="宋体" w:hAnsi="宋体" w:cs="宋体" w:eastAsia="宋体" w:hint="default"/>
        </w:rPr>
        <w:t>1</w:t>
      </w:r>
      <w:r>
        <w:rPr/>
        <w:t>、该经营分部的分部收入占所有分部收入合计的</w:t>
      </w:r>
      <w:r>
        <w:rPr>
          <w:rFonts w:ascii="宋体" w:hAnsi="宋体" w:cs="宋体" w:eastAsia="宋体" w:hint="default"/>
        </w:rPr>
        <w:t>10%</w:t>
      </w:r>
      <w:r>
        <w:rPr/>
        <w:t>或者以上；</w:t>
      </w:r>
    </w:p>
    <w:p>
      <w:pPr>
        <w:pStyle w:val="BodyText"/>
        <w:spacing w:line="350" w:lineRule="auto" w:before="32"/>
        <w:ind w:left="273" w:right="1131" w:firstLine="480"/>
        <w:jc w:val="both"/>
      </w:pPr>
      <w:r>
        <w:rPr>
          <w:rFonts w:ascii="宋体" w:hAnsi="宋体" w:cs="宋体" w:eastAsia="宋体" w:hint="default"/>
          <w:spacing w:val="-3"/>
        </w:rPr>
        <w:t>2</w:t>
      </w:r>
      <w:r>
        <w:rPr>
          <w:spacing w:val="-3"/>
        </w:rPr>
        <w:t>、该分部的分部利润（亏损）的绝对额，占所有盈利分部利润合计额或者所有亏损分部</w:t>
      </w:r>
      <w:r>
        <w:rPr/>
        <w:t> 亏损合计额的绝对额两者中较大者的</w:t>
      </w:r>
      <w:r>
        <w:rPr>
          <w:rFonts w:ascii="宋体" w:hAnsi="宋体" w:cs="宋体" w:eastAsia="宋体" w:hint="default"/>
        </w:rPr>
        <w:t>10%</w:t>
      </w:r>
      <w:r>
        <w:rPr/>
        <w:t>或者以上。</w:t>
      </w:r>
    </w:p>
    <w:p>
      <w:pPr>
        <w:pStyle w:val="BodyText"/>
        <w:spacing w:line="350" w:lineRule="auto"/>
        <w:ind w:left="273" w:right="1131" w:firstLine="480"/>
        <w:jc w:val="both"/>
      </w:pPr>
      <w:r>
        <w:rPr/>
        <w:t>按上述会计政策确定的报告分部的经营分部的对外交易收入合计额占合并总收入的比重 </w:t>
      </w:r>
      <w:r>
        <w:rPr>
          <w:spacing w:val="-2"/>
        </w:rPr>
        <w:t>未达到</w:t>
      </w:r>
      <w:r>
        <w:rPr>
          <w:rFonts w:ascii="宋体" w:hAnsi="宋体" w:cs="宋体" w:eastAsia="宋体" w:hint="default"/>
          <w:spacing w:val="-2"/>
        </w:rPr>
        <w:t>75%</w:t>
      </w:r>
      <w:r>
        <w:rPr>
          <w:spacing w:val="-2"/>
        </w:rPr>
        <w:t>时，增加报告分部的数量，按下述规定将其他未作为报告分部的经营分部纳入报告</w:t>
      </w:r>
      <w:r>
        <w:rPr>
          <w:spacing w:val="-118"/>
        </w:rPr>
        <w:t> </w:t>
      </w:r>
      <w:r>
        <w:rPr>
          <w:spacing w:val="-118"/>
        </w:rPr>
      </w:r>
      <w:r>
        <w:rPr/>
        <w:t>分部的范围，直到该比重达到</w:t>
      </w:r>
      <w:r>
        <w:rPr>
          <w:rFonts w:ascii="宋体" w:hAnsi="宋体" w:cs="宋体" w:eastAsia="宋体" w:hint="default"/>
        </w:rPr>
        <w:t>75%</w:t>
      </w:r>
      <w:r>
        <w:rPr/>
        <w:t>：</w:t>
      </w:r>
    </w:p>
    <w:p>
      <w:pPr>
        <w:pStyle w:val="BodyText"/>
        <w:spacing w:line="350" w:lineRule="auto"/>
        <w:ind w:left="633" w:right="1153" w:firstLine="480"/>
        <w:jc w:val="left"/>
      </w:pPr>
      <w:r>
        <w:rPr>
          <w:rFonts w:ascii="宋体" w:hAnsi="宋体" w:cs="宋体" w:eastAsia="宋体" w:hint="default"/>
        </w:rPr>
        <w:t>1</w:t>
      </w:r>
      <w:r>
        <w:rPr/>
        <w:t>、将管理层认为披露该经营分部信息对会计信息使用者有用的经营分部确定为报告 分部；</w:t>
      </w:r>
    </w:p>
    <w:p>
      <w:pPr>
        <w:pStyle w:val="BodyText"/>
        <w:spacing w:line="352" w:lineRule="auto" w:before="35"/>
        <w:ind w:left="633" w:right="1153" w:firstLine="480"/>
        <w:jc w:val="left"/>
      </w:pPr>
      <w:r>
        <w:rPr>
          <w:rFonts w:ascii="宋体" w:hAnsi="宋体" w:cs="宋体" w:eastAsia="宋体" w:hint="default"/>
        </w:rPr>
        <w:t>2</w:t>
      </w:r>
      <w:r>
        <w:rPr/>
        <w:t>、将该经营分部与一个或一个以上的具有相似经济特征、满足经营分部合并条件的 其他经营分部合并，作为一个报告分部。 分部间转移价格参照市场价格确定，与各分部共同使用的资产、相关的费用按照收入比</w:t>
      </w:r>
    </w:p>
    <w:p>
      <w:pPr>
        <w:pStyle w:val="BodyText"/>
        <w:spacing w:line="352" w:lineRule="auto" w:before="32"/>
        <w:ind w:left="754" w:right="3552" w:hanging="480"/>
        <w:jc w:val="left"/>
      </w:pPr>
      <w:r>
        <w:rPr/>
        <w:t>例在不同的分部之间分配。 本公司确定报告分部考虑的因素、报告分部的产品和劳务的类型</w:t>
      </w:r>
    </w:p>
    <w:p>
      <w:pPr>
        <w:pStyle w:val="BodyText"/>
        <w:spacing w:line="352" w:lineRule="auto" w:before="32"/>
        <w:ind w:left="274" w:right="1170" w:firstLine="480"/>
        <w:jc w:val="both"/>
      </w:pPr>
      <w:r>
        <w:rPr/>
        <w:t>本公司报告分部生产经营活动及业务内容相同：为铁路信号通信产品的研发、生产、销 售、安装和维护等；但从内部组织结构、管理要求、内部报告制度及地理区域等方面分为如 下</w:t>
      </w:r>
      <w:r>
        <w:rPr>
          <w:rFonts w:ascii="宋体" w:hAnsi="宋体" w:cs="宋体" w:eastAsia="宋体" w:hint="default"/>
        </w:rPr>
        <w:t>2</w:t>
      </w:r>
      <w:r>
        <w:rPr/>
        <w:t>个分部：</w:t>
      </w:r>
    </w:p>
    <w:p>
      <w:pPr>
        <w:pStyle w:val="BodyText"/>
        <w:spacing w:line="350" w:lineRule="auto" w:before="32"/>
        <w:ind w:left="273" w:right="1169" w:firstLine="480"/>
        <w:jc w:val="both"/>
      </w:pPr>
      <w:r>
        <w:rPr/>
        <w:t>郑州分部、北京分部。郑州分部包括：股份本部、河南辉煌软件有限公司、河南辉煌信 通软件有限公司、北京全路通软件科技有限公司；北京分部包括：北京国铁路阳技术有限公 司、北京国铁路阳软件有限公司、天津辉煌路阳科技有限公司、天津信通铁路电气技术有限 公司。</w:t>
      </w:r>
    </w:p>
    <w:p>
      <w:pPr>
        <w:pStyle w:val="Heading2"/>
        <w:spacing w:line="240" w:lineRule="auto" w:before="35"/>
        <w:ind w:left="756" w:right="4392"/>
        <w:jc w:val="left"/>
        <w:rPr>
          <w:b w:val="0"/>
          <w:bCs w:val="0"/>
        </w:rPr>
      </w:pPr>
      <w:r>
        <w:rPr/>
        <w:t>（二）报告分部的财务信息</w:t>
      </w:r>
      <w:r>
        <w:rPr>
          <w:b w:val="0"/>
          <w:bCs w:val="0"/>
        </w:rPr>
      </w:r>
    </w:p>
    <w:p>
      <w:pPr>
        <w:spacing w:before="84"/>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317"/>
        <w:gridCol w:w="1926"/>
        <w:gridCol w:w="1914"/>
        <w:gridCol w:w="1914"/>
        <w:gridCol w:w="1914"/>
      </w:tblGrid>
      <w:tr>
        <w:trPr>
          <w:trHeight w:val="402" w:hRule="exact"/>
        </w:trPr>
        <w:tc>
          <w:tcPr>
            <w:tcW w:w="2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43" w:right="0"/>
              <w:jc w:val="left"/>
              <w:rPr>
                <w:rFonts w:ascii="宋体" w:hAnsi="宋体" w:cs="宋体" w:eastAsia="宋体" w:hint="default"/>
                <w:sz w:val="21"/>
                <w:szCs w:val="21"/>
              </w:rPr>
            </w:pPr>
            <w:r>
              <w:rPr>
                <w:rFonts w:ascii="宋体" w:hAnsi="宋体" w:cs="宋体" w:eastAsia="宋体" w:hint="default"/>
                <w:sz w:val="21"/>
                <w:szCs w:val="21"/>
              </w:rPr>
              <w:t>郑州分部</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北京分部</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26"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2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926" w:type="dxa"/>
            <w:tcBorders>
              <w:top w:val="single" w:sz="4" w:space="0" w:color="000000"/>
              <w:left w:val="single" w:sz="10"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27" w:right="0"/>
              <w:jc w:val="left"/>
              <w:rPr>
                <w:rFonts w:ascii="宋体" w:hAnsi="宋体" w:cs="宋体" w:eastAsia="宋体" w:hint="default"/>
                <w:sz w:val="21"/>
                <w:szCs w:val="21"/>
              </w:rPr>
            </w:pPr>
            <w:r>
              <w:rPr>
                <w:rFonts w:ascii="宋体" w:hAnsi="宋体" w:cs="宋体" w:eastAsia="宋体" w:hint="default"/>
                <w:sz w:val="21"/>
                <w:szCs w:val="21"/>
              </w:rPr>
              <w:t>其中：对外交易收入</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left="572" w:right="0"/>
              <w:jc w:val="left"/>
              <w:rPr>
                <w:rFonts w:ascii="Times New Roman" w:hAnsi="Times New Roman" w:cs="Times New Roman" w:eastAsia="Times New Roman" w:hint="default"/>
                <w:sz w:val="21"/>
                <w:szCs w:val="21"/>
              </w:rPr>
            </w:pPr>
            <w:r>
              <w:rPr>
                <w:rFonts w:ascii="Times New Roman"/>
                <w:sz w:val="21"/>
              </w:rPr>
              <w:t>419,391,594.24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67" w:right="0"/>
              <w:jc w:val="left"/>
              <w:rPr>
                <w:rFonts w:ascii="Times New Roman" w:hAnsi="Times New Roman" w:cs="Times New Roman" w:eastAsia="Times New Roman" w:hint="default"/>
                <w:sz w:val="21"/>
                <w:szCs w:val="21"/>
              </w:rPr>
            </w:pPr>
            <w:r>
              <w:rPr>
                <w:rFonts w:ascii="Times New Roman"/>
                <w:sz w:val="21"/>
              </w:rPr>
              <w:t>146,635,320.34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67" w:right="0"/>
              <w:jc w:val="left"/>
              <w:rPr>
                <w:rFonts w:ascii="Times New Roman" w:hAnsi="Times New Roman" w:cs="Times New Roman" w:eastAsia="Times New Roman" w:hint="default"/>
                <w:sz w:val="21"/>
                <w:szCs w:val="21"/>
              </w:rPr>
            </w:pPr>
            <w:r>
              <w:rPr>
                <w:rFonts w:ascii="Times New Roman"/>
                <w:sz w:val="21"/>
              </w:rPr>
              <w:t>566,026,914.58</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79" w:top="1060" w:bottom="1160" w:left="860" w:right="0"/>
        </w:sectPr>
      </w:pPr>
    </w:p>
    <w:p>
      <w:pPr>
        <w:spacing w:line="240" w:lineRule="auto" w:before="6"/>
        <w:rPr>
          <w:rFonts w:ascii="宋体" w:hAnsi="宋体" w:cs="宋体" w:eastAsia="宋体" w:hint="default"/>
          <w:sz w:val="28"/>
          <w:szCs w:val="28"/>
        </w:rPr>
      </w:pPr>
    </w:p>
    <w:tbl>
      <w:tblPr>
        <w:tblW w:w="0" w:type="auto"/>
        <w:jc w:val="left"/>
        <w:tblInd w:w="630" w:type="dxa"/>
        <w:tblLayout w:type="fixed"/>
        <w:tblCellMar>
          <w:top w:w="0" w:type="dxa"/>
          <w:left w:w="0" w:type="dxa"/>
          <w:bottom w:w="0" w:type="dxa"/>
          <w:right w:w="0" w:type="dxa"/>
        </w:tblCellMar>
        <w:tblLook w:val="01E0"/>
      </w:tblPr>
      <w:tblGrid>
        <w:gridCol w:w="2340"/>
        <w:gridCol w:w="1914"/>
        <w:gridCol w:w="1914"/>
        <w:gridCol w:w="1914"/>
        <w:gridCol w:w="1914"/>
      </w:tblGrid>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8" w:right="0"/>
              <w:jc w:val="left"/>
              <w:rPr>
                <w:rFonts w:ascii="宋体" w:hAnsi="宋体" w:cs="宋体" w:eastAsia="宋体" w:hint="default"/>
                <w:sz w:val="21"/>
                <w:szCs w:val="21"/>
              </w:rPr>
            </w:pPr>
            <w:r>
              <w:rPr>
                <w:rFonts w:ascii="宋体" w:hAnsi="宋体" w:cs="宋体" w:eastAsia="宋体" w:hint="default"/>
                <w:sz w:val="21"/>
                <w:szCs w:val="21"/>
              </w:rPr>
              <w:t>分部间交易收入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9,146,247.85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-9,146,247.85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二、营业费用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17,718,515.49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10,404,605.82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28,123,121.31</w:t>
            </w:r>
          </w:p>
        </w:tc>
      </w:tr>
      <w:tr>
        <w:trPr>
          <w:trHeight w:val="714"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01" w:firstLine="315"/>
              <w:jc w:val="left"/>
              <w:rPr>
                <w:rFonts w:ascii="宋体" w:hAnsi="宋体" w:cs="宋体" w:eastAsia="宋体" w:hint="default"/>
                <w:sz w:val="21"/>
                <w:szCs w:val="21"/>
              </w:rPr>
            </w:pPr>
            <w:r>
              <w:rPr>
                <w:rFonts w:ascii="宋体" w:hAnsi="宋体" w:cs="宋体" w:eastAsia="宋体" w:hint="default"/>
                <w:sz w:val="21"/>
                <w:szCs w:val="21"/>
              </w:rPr>
              <w:t>其中：对联营和合营 企业的投资收益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-2,236,165.04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-2,236,165.04</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31,323,152.70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5,201,025.57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36,524,178.27</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8" w:right="0"/>
              <w:jc w:val="left"/>
              <w:rPr>
                <w:rFonts w:ascii="宋体" w:hAnsi="宋体" w:cs="宋体" w:eastAsia="宋体" w:hint="default"/>
                <w:sz w:val="21"/>
                <w:szCs w:val="21"/>
              </w:rPr>
            </w:pPr>
            <w:r>
              <w:rPr>
                <w:rFonts w:ascii="宋体" w:hAnsi="宋体" w:cs="宋体" w:eastAsia="宋体" w:hint="default"/>
                <w:sz w:val="21"/>
                <w:szCs w:val="21"/>
              </w:rPr>
              <w:t>折旧费和摊销费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20,996,377.62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876,931.35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21,873,308.97</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三、利润总额（亏损）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57,447,764.06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33,488,136.04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-2,850,514.69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88,085,385.41</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四、所得税费用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8,676,521.99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4,485,066.56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13,161,588.55</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五、净利润（亏损）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47,874,315.69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29,003,069.48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-1,953,588.31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74,923,796.86</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1,832,020,155.21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360,401,257.54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-49,439,293.40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2,142,982,119.35</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七、负债总额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580,900,252.29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159,995,008.79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-49,439,293.40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691,455,967.68</w:t>
            </w:r>
          </w:p>
        </w:tc>
      </w:tr>
    </w:tbl>
    <w:p>
      <w:pPr>
        <w:spacing w:line="240" w:lineRule="auto" w:before="10"/>
        <w:rPr>
          <w:rFonts w:ascii="宋体" w:hAnsi="宋体" w:cs="宋体" w:eastAsia="宋体" w:hint="default"/>
          <w:sz w:val="4"/>
          <w:szCs w:val="4"/>
        </w:rPr>
      </w:pPr>
    </w:p>
    <w:p>
      <w:pPr>
        <w:spacing w:line="352" w:lineRule="auto" w:before="26"/>
        <w:ind w:left="1296" w:right="999" w:hanging="3"/>
        <w:jc w:val="left"/>
        <w:rPr>
          <w:rFonts w:ascii="宋体" w:hAnsi="宋体" w:cs="宋体" w:eastAsia="宋体" w:hint="default"/>
          <w:sz w:val="24"/>
          <w:szCs w:val="24"/>
        </w:rPr>
      </w:pPr>
      <w:r>
        <w:rPr>
          <w:rFonts w:ascii="宋体" w:hAnsi="宋体" w:cs="宋体" w:eastAsia="宋体" w:hint="default"/>
          <w:spacing w:val="-2"/>
          <w:sz w:val="24"/>
          <w:szCs w:val="24"/>
        </w:rPr>
        <w:t>除上述其他重要事项外，截止</w:t>
      </w:r>
      <w:r>
        <w:rPr>
          <w:rFonts w:ascii="宋体" w:hAnsi="宋体" w:cs="宋体" w:eastAsia="宋体" w:hint="default"/>
          <w:spacing w:val="-2"/>
          <w:sz w:val="24"/>
          <w:szCs w:val="24"/>
        </w:rPr>
        <w:t>2015</w:t>
      </w:r>
      <w:r>
        <w:rPr>
          <w:rFonts w:ascii="宋体" w:hAnsi="宋体" w:cs="宋体" w:eastAsia="宋体" w:hint="default"/>
          <w:spacing w:val="-2"/>
          <w:sz w:val="24"/>
          <w:szCs w:val="24"/>
        </w:rPr>
        <w:t>年</w:t>
      </w:r>
      <w:r>
        <w:rPr>
          <w:rFonts w:ascii="宋体" w:hAnsi="宋体" w:cs="宋体" w:eastAsia="宋体" w:hint="default"/>
          <w:spacing w:val="-2"/>
          <w:sz w:val="24"/>
          <w:szCs w:val="24"/>
        </w:rPr>
        <w:t>12</w:t>
      </w:r>
      <w:r>
        <w:rPr>
          <w:rFonts w:ascii="宋体" w:hAnsi="宋体" w:cs="宋体" w:eastAsia="宋体" w:hint="default"/>
          <w:spacing w:val="-2"/>
          <w:sz w:val="24"/>
          <w:szCs w:val="24"/>
        </w:rPr>
        <w:t>月</w:t>
      </w:r>
      <w:r>
        <w:rPr>
          <w:rFonts w:ascii="宋体" w:hAnsi="宋体" w:cs="宋体" w:eastAsia="宋体" w:hint="default"/>
          <w:spacing w:val="-2"/>
          <w:sz w:val="24"/>
          <w:szCs w:val="24"/>
        </w:rPr>
        <w:t>31</w:t>
      </w:r>
      <w:r>
        <w:rPr>
          <w:rFonts w:ascii="宋体" w:hAnsi="宋体" w:cs="宋体" w:eastAsia="宋体" w:hint="default"/>
          <w:spacing w:val="-2"/>
          <w:sz w:val="24"/>
          <w:szCs w:val="24"/>
        </w:rPr>
        <w:t>日，本公司无应披露未披露的其他重大事项。</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b/>
          <w:bCs/>
          <w:sz w:val="24"/>
          <w:szCs w:val="24"/>
        </w:rPr>
        <w:t>十七、母公司财务报表主要项目注释</w:t>
      </w:r>
      <w:r>
        <w:rPr>
          <w:rFonts w:ascii="宋体" w:hAnsi="宋体" w:cs="宋体" w:eastAsia="宋体" w:hint="default"/>
          <w:sz w:val="24"/>
          <w:szCs w:val="24"/>
        </w:rPr>
      </w:r>
    </w:p>
    <w:p>
      <w:pPr>
        <w:pStyle w:val="Heading2"/>
        <w:spacing w:line="240" w:lineRule="auto" w:before="32"/>
        <w:ind w:left="1296" w:right="5713"/>
        <w:jc w:val="left"/>
        <w:rPr>
          <w:b w:val="0"/>
          <w:bCs w:val="0"/>
        </w:rPr>
      </w:pPr>
      <w:r>
        <w:rPr>
          <w:rFonts w:ascii="宋体" w:hAnsi="宋体" w:cs="宋体" w:eastAsia="宋体" w:hint="default"/>
        </w:rPr>
        <w:t>1</w:t>
      </w:r>
      <w:r>
        <w:rPr/>
        <w:t>、应收账款</w:t>
      </w:r>
      <w:r>
        <w:rPr>
          <w:b w:val="0"/>
          <w:bCs w:val="0"/>
        </w:rPr>
      </w:r>
    </w:p>
    <w:p>
      <w:pPr>
        <w:pStyle w:val="Heading2"/>
        <w:spacing w:line="240" w:lineRule="auto" w:before="145"/>
        <w:ind w:left="1296" w:right="5713"/>
        <w:jc w:val="left"/>
        <w:rPr>
          <w:b w:val="0"/>
          <w:bCs w:val="0"/>
        </w:rPr>
      </w:pPr>
      <w:r>
        <w:rPr/>
        <w:t>（</w:t>
      </w:r>
      <w:r>
        <w:rPr>
          <w:rFonts w:ascii="宋体" w:hAnsi="宋体" w:cs="宋体" w:eastAsia="宋体" w:hint="default"/>
        </w:rPr>
        <w:t>1</w:t>
      </w:r>
      <w:r>
        <w:rPr/>
        <w:t>）应收账款分类披露</w:t>
      </w:r>
      <w:r>
        <w:rPr>
          <w:b w:val="0"/>
          <w:bCs w:val="0"/>
        </w:rPr>
      </w:r>
    </w:p>
    <w:p>
      <w:pPr>
        <w:spacing w:before="84"/>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247"/>
        <w:gridCol w:w="849"/>
        <w:gridCol w:w="864"/>
        <w:gridCol w:w="850"/>
        <w:gridCol w:w="709"/>
        <w:gridCol w:w="850"/>
        <w:gridCol w:w="851"/>
        <w:gridCol w:w="851"/>
        <w:gridCol w:w="851"/>
        <w:gridCol w:w="709"/>
        <w:gridCol w:w="991"/>
      </w:tblGrid>
      <w:tr>
        <w:trPr>
          <w:trHeight w:val="403" w:hRule="exact"/>
        </w:trPr>
        <w:tc>
          <w:tcPr>
            <w:tcW w:w="2247" w:type="dxa"/>
            <w:vMerge w:val="restart"/>
            <w:tcBorders>
              <w:top w:val="single" w:sz="4" w:space="0" w:color="000000"/>
              <w:left w:val="single" w:sz="4" w:space="0" w:color="000000"/>
              <w:right w:val="single" w:sz="4" w:space="0" w:color="000000"/>
            </w:tcBorders>
            <w:shd w:val="clear" w:color="auto" w:fill="D2D2D2"/>
          </w:tcPr>
          <w:p>
            <w:pPr/>
          </w:p>
        </w:tc>
        <w:tc>
          <w:tcPr>
            <w:tcW w:w="412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4" w:hRule="exact"/>
        </w:trPr>
        <w:tc>
          <w:tcPr>
            <w:tcW w:w="2247" w:type="dxa"/>
            <w:vMerge/>
            <w:tcBorders>
              <w:left w:val="single" w:sz="4" w:space="0" w:color="000000"/>
              <w:bottom w:val="nil" w:sz="6" w:space="0" w:color="auto"/>
              <w:right w:val="single" w:sz="4" w:space="0" w:color="000000"/>
            </w:tcBorders>
            <w:shd w:val="clear" w:color="auto" w:fill="D2D2D2"/>
          </w:tcPr>
          <w:p>
            <w:pPr/>
          </w:p>
        </w:tc>
        <w:tc>
          <w:tcPr>
            <w:tcW w:w="17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1" w:type="dxa"/>
            <w:vMerge w:val="restart"/>
            <w:tcBorders>
              <w:top w:val="single" w:sz="4" w:space="0" w:color="000000"/>
              <w:left w:val="single" w:sz="4" w:space="0" w:color="000000"/>
              <w:right w:val="single" w:sz="4" w:space="0" w:color="000000"/>
            </w:tcBorders>
            <w:shd w:val="clear" w:color="auto" w:fill="D2D2D2"/>
          </w:tcPr>
          <w:p>
            <w:pPr/>
          </w:p>
        </w:tc>
      </w:tr>
      <w:tr>
        <w:trPr>
          <w:trHeight w:val="218" w:hRule="exact"/>
        </w:trPr>
        <w:tc>
          <w:tcPr>
            <w:tcW w:w="2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1713" w:type="dxa"/>
            <w:gridSpan w:val="2"/>
            <w:vMerge/>
            <w:tcBorders>
              <w:left w:val="single" w:sz="4" w:space="0" w:color="000000"/>
              <w:bottom w:val="single" w:sz="4" w:space="0" w:color="000000"/>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314" w:right="103" w:hanging="210"/>
              <w:jc w:val="left"/>
              <w:rPr>
                <w:rFonts w:ascii="宋体" w:hAnsi="宋体" w:cs="宋体" w:eastAsia="宋体" w:hint="default"/>
                <w:sz w:val="21"/>
                <w:szCs w:val="21"/>
              </w:rPr>
            </w:pPr>
            <w:r>
              <w:rPr>
                <w:rFonts w:ascii="宋体" w:hAnsi="宋体" w:cs="宋体" w:eastAsia="宋体" w:hint="default"/>
                <w:sz w:val="21"/>
                <w:szCs w:val="21"/>
              </w:rPr>
              <w:t>账面价 值</w:t>
            </w: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2247" w:type="dxa"/>
            <w:vMerge/>
            <w:tcBorders>
              <w:left w:val="single" w:sz="4" w:space="0" w:color="000000"/>
              <w:bottom w:val="single" w:sz="4" w:space="0" w:color="FFFFFF"/>
              <w:right w:val="single" w:sz="4" w:space="0" w:color="000000"/>
            </w:tcBorders>
            <w:shd w:val="clear" w:color="auto" w:fill="D2D2D2"/>
          </w:tcPr>
          <w:p>
            <w:pPr/>
          </w:p>
        </w:tc>
        <w:tc>
          <w:tcPr>
            <w:tcW w:w="84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43" w:right="35" w:hanging="210"/>
              <w:jc w:val="left"/>
              <w:rPr>
                <w:rFonts w:ascii="宋体" w:hAnsi="宋体" w:cs="宋体" w:eastAsia="宋体" w:hint="default"/>
                <w:sz w:val="21"/>
                <w:szCs w:val="21"/>
              </w:rPr>
            </w:pPr>
            <w:r>
              <w:rPr>
                <w:rFonts w:ascii="宋体" w:hAnsi="宋体" w:cs="宋体" w:eastAsia="宋体" w:hint="default"/>
                <w:sz w:val="21"/>
                <w:szCs w:val="21"/>
              </w:rPr>
              <w:t>计提比 例</w:t>
            </w:r>
          </w:p>
        </w:tc>
        <w:tc>
          <w:tcPr>
            <w:tcW w:w="850"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43" w:right="35" w:hanging="210"/>
              <w:jc w:val="left"/>
              <w:rPr>
                <w:rFonts w:ascii="宋体" w:hAnsi="宋体" w:cs="宋体" w:eastAsia="宋体" w:hint="default"/>
                <w:sz w:val="21"/>
                <w:szCs w:val="21"/>
              </w:rPr>
            </w:pPr>
            <w:r>
              <w:rPr>
                <w:rFonts w:ascii="宋体" w:hAnsi="宋体" w:cs="宋体" w:eastAsia="宋体" w:hint="default"/>
                <w:sz w:val="21"/>
                <w:szCs w:val="21"/>
              </w:rPr>
              <w:t>计提比 例</w:t>
            </w:r>
          </w:p>
        </w:tc>
        <w:tc>
          <w:tcPr>
            <w:tcW w:w="991" w:type="dxa"/>
            <w:vMerge w:val="restart"/>
            <w:tcBorders>
              <w:top w:val="nil" w:sz="6" w:space="0" w:color="auto"/>
              <w:left w:val="single" w:sz="23" w:space="0" w:color="D2D2D2"/>
              <w:right w:val="single" w:sz="13" w:space="0" w:color="D2D2D2"/>
            </w:tcBorders>
          </w:tcPr>
          <w:p>
            <w:pPr>
              <w:pStyle w:val="TableParagraph"/>
              <w:spacing w:line="261" w:lineRule="exact"/>
              <w:ind w:left="4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4" w:hRule="exact"/>
        </w:trPr>
        <w:tc>
          <w:tcPr>
            <w:tcW w:w="2247" w:type="dxa"/>
            <w:vMerge w:val="restart"/>
            <w:tcBorders>
              <w:top w:val="single" w:sz="4" w:space="0" w:color="FFFFFF"/>
              <w:left w:val="single" w:sz="4" w:space="0" w:color="000000"/>
              <w:right w:val="single" w:sz="4" w:space="0" w:color="000000"/>
            </w:tcBorders>
            <w:shd w:val="clear" w:color="auto" w:fill="D2D2D2"/>
          </w:tcPr>
          <w:p>
            <w:pPr/>
          </w:p>
        </w:tc>
        <w:tc>
          <w:tcPr>
            <w:tcW w:w="84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21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21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5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2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0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9" w:type="dxa"/>
            <w:vMerge/>
            <w:tcBorders>
              <w:left w:val="single" w:sz="4" w:space="0" w:color="000000"/>
              <w:right w:val="single" w:sz="4" w:space="0" w:color="000000"/>
            </w:tcBorders>
            <w:shd w:val="clear" w:color="auto" w:fill="D2D2D2"/>
          </w:tcPr>
          <w:p>
            <w:pPr/>
          </w:p>
        </w:tc>
        <w:tc>
          <w:tcPr>
            <w:tcW w:w="991" w:type="dxa"/>
            <w:vMerge/>
            <w:tcBorders>
              <w:left w:val="single" w:sz="23" w:space="0" w:color="D2D2D2"/>
              <w:bottom w:val="nil" w:sz="6" w:space="0" w:color="auto"/>
              <w:right w:val="single" w:sz="13" w:space="0" w:color="D2D2D2"/>
            </w:tcBorders>
          </w:tcPr>
          <w:p>
            <w:pPr/>
          </w:p>
        </w:tc>
      </w:tr>
      <w:tr>
        <w:trPr>
          <w:trHeight w:val="200" w:hRule="exact"/>
        </w:trPr>
        <w:tc>
          <w:tcPr>
            <w:tcW w:w="2247" w:type="dxa"/>
            <w:vMerge/>
            <w:tcBorders>
              <w:left w:val="single" w:sz="4" w:space="0" w:color="000000"/>
              <w:right w:val="single" w:sz="4" w:space="0" w:color="000000"/>
            </w:tcBorders>
            <w:shd w:val="clear" w:color="auto" w:fill="D2D2D2"/>
          </w:tcPr>
          <w:p>
            <w:pPr/>
          </w:p>
        </w:tc>
        <w:tc>
          <w:tcPr>
            <w:tcW w:w="849"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247" w:type="dxa"/>
            <w:vMerge/>
            <w:tcBorders>
              <w:left w:val="single" w:sz="4" w:space="0" w:color="000000"/>
              <w:bottom w:val="single" w:sz="4" w:space="0" w:color="000000"/>
              <w:right w:val="single" w:sz="4" w:space="0" w:color="000000"/>
            </w:tcBorders>
            <w:shd w:val="clear" w:color="auto" w:fill="D2D2D2"/>
          </w:tcPr>
          <w:p>
            <w:pPr/>
          </w:p>
        </w:tc>
        <w:tc>
          <w:tcPr>
            <w:tcW w:w="8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23"/>
              <w:jc w:val="left"/>
              <w:rPr>
                <w:rFonts w:ascii="宋体" w:hAnsi="宋体" w:cs="宋体" w:eastAsia="宋体" w:hint="default"/>
                <w:sz w:val="21"/>
                <w:szCs w:val="21"/>
              </w:rPr>
            </w:pPr>
            <w:r>
              <w:rPr>
                <w:rFonts w:ascii="宋体" w:hAnsi="宋体" w:cs="宋体" w:eastAsia="宋体" w:hint="default"/>
                <w:sz w:val="21"/>
                <w:szCs w:val="21"/>
              </w:rPr>
              <w:t>按信用风险特征组合计 提坏账准备的应收账款</w:t>
            </w:r>
          </w:p>
        </w:tc>
        <w:tc>
          <w:tcPr>
            <w:tcW w:w="8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left="51" w:right="0"/>
              <w:jc w:val="center"/>
              <w:rPr>
                <w:rFonts w:ascii="Times New Roman" w:hAnsi="Times New Roman" w:cs="Times New Roman" w:eastAsia="Times New Roman" w:hint="default"/>
                <w:sz w:val="21"/>
                <w:szCs w:val="21"/>
              </w:rPr>
            </w:pPr>
            <w:r>
              <w:rPr>
                <w:rFonts w:ascii="Times New Roman"/>
                <w:sz w:val="21"/>
              </w:rPr>
              <w:t>418,500,</w:t>
            </w:r>
          </w:p>
          <w:p>
            <w:pPr>
              <w:pStyle w:val="TableParagraph"/>
              <w:spacing w:line="240" w:lineRule="auto" w:before="70"/>
              <w:ind w:left="208" w:right="0"/>
              <w:jc w:val="center"/>
              <w:rPr>
                <w:rFonts w:ascii="Times New Roman" w:hAnsi="Times New Roman" w:cs="Times New Roman" w:eastAsia="Times New Roman" w:hint="default"/>
                <w:sz w:val="21"/>
                <w:szCs w:val="21"/>
              </w:rPr>
            </w:pPr>
            <w:r>
              <w:rPr>
                <w:rFonts w:ascii="Times New Roman"/>
                <w:sz w:val="21"/>
              </w:rPr>
              <w:t>686.73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7" w:right="0"/>
              <w:jc w:val="left"/>
              <w:rPr>
                <w:rFonts w:ascii="Times New Roman" w:hAnsi="Times New Roman" w:cs="Times New Roman" w:eastAsia="Times New Roman" w:hint="default"/>
                <w:sz w:val="21"/>
                <w:szCs w:val="21"/>
              </w:rPr>
            </w:pPr>
            <w:r>
              <w:rPr>
                <w:rFonts w:ascii="Times New Roman"/>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2" w:right="0"/>
              <w:jc w:val="left"/>
              <w:rPr>
                <w:rFonts w:ascii="Times New Roman" w:hAnsi="Times New Roman" w:cs="Times New Roman" w:eastAsia="Times New Roman" w:hint="default"/>
                <w:sz w:val="21"/>
                <w:szCs w:val="21"/>
              </w:rPr>
            </w:pPr>
            <w:r>
              <w:rPr>
                <w:rFonts w:ascii="Times New Roman"/>
                <w:sz w:val="21"/>
              </w:rPr>
              <w:t>70,856,2</w:t>
            </w:r>
          </w:p>
          <w:p>
            <w:pPr>
              <w:pStyle w:val="TableParagraph"/>
              <w:spacing w:line="240" w:lineRule="auto" w:before="70"/>
              <w:ind w:left="344" w:right="0"/>
              <w:jc w:val="left"/>
              <w:rPr>
                <w:rFonts w:ascii="Times New Roman" w:hAnsi="Times New Roman" w:cs="Times New Roman" w:eastAsia="Times New Roman" w:hint="default"/>
                <w:sz w:val="21"/>
                <w:szCs w:val="21"/>
              </w:rPr>
            </w:pPr>
            <w:r>
              <w:rPr>
                <w:rFonts w:ascii="Times New Roman"/>
                <w:sz w:val="21"/>
              </w:rPr>
              <w:t>23.16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sz w:val="21"/>
              </w:rPr>
              <w:t>16.93%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1" w:right="0"/>
              <w:jc w:val="center"/>
              <w:rPr>
                <w:rFonts w:ascii="Times New Roman" w:hAnsi="Times New Roman" w:cs="Times New Roman" w:eastAsia="Times New Roman" w:hint="default"/>
                <w:sz w:val="21"/>
                <w:szCs w:val="21"/>
              </w:rPr>
            </w:pPr>
            <w:r>
              <w:rPr>
                <w:rFonts w:ascii="Times New Roman"/>
                <w:sz w:val="21"/>
              </w:rPr>
              <w:t>347,644,</w:t>
            </w:r>
          </w:p>
          <w:p>
            <w:pPr>
              <w:pStyle w:val="TableParagraph"/>
              <w:spacing w:line="240" w:lineRule="auto" w:before="70"/>
              <w:ind w:left="218" w:right="0"/>
              <w:jc w:val="center"/>
              <w:rPr>
                <w:rFonts w:ascii="Times New Roman" w:hAnsi="Times New Roman" w:cs="Times New Roman" w:eastAsia="Times New Roman" w:hint="default"/>
                <w:sz w:val="21"/>
                <w:szCs w:val="21"/>
              </w:rPr>
            </w:pPr>
            <w:r>
              <w:rPr>
                <w:rFonts w:ascii="Times New Roman"/>
                <w:sz w:val="21"/>
              </w:rPr>
              <w:t>463.57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2" w:right="0"/>
              <w:jc w:val="center"/>
              <w:rPr>
                <w:rFonts w:ascii="Times New Roman" w:hAnsi="Times New Roman" w:cs="Times New Roman" w:eastAsia="Times New Roman" w:hint="default"/>
                <w:sz w:val="21"/>
                <w:szCs w:val="21"/>
              </w:rPr>
            </w:pPr>
            <w:r>
              <w:rPr>
                <w:rFonts w:ascii="Times New Roman"/>
                <w:sz w:val="21"/>
              </w:rPr>
              <w:t>393,043,</w:t>
            </w:r>
          </w:p>
          <w:p>
            <w:pPr>
              <w:pStyle w:val="TableParagraph"/>
              <w:spacing w:line="240" w:lineRule="auto" w:before="70"/>
              <w:ind w:left="219" w:right="0"/>
              <w:jc w:val="center"/>
              <w:rPr>
                <w:rFonts w:ascii="Times New Roman" w:hAnsi="Times New Roman" w:cs="Times New Roman" w:eastAsia="Times New Roman" w:hint="default"/>
                <w:sz w:val="21"/>
                <w:szCs w:val="21"/>
              </w:rPr>
            </w:pPr>
            <w:r>
              <w:rPr>
                <w:rFonts w:ascii="Times New Roman"/>
                <w:sz w:val="21"/>
              </w:rPr>
              <w:t>657.20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1" w:right="0"/>
              <w:jc w:val="left"/>
              <w:rPr>
                <w:rFonts w:ascii="Times New Roman" w:hAnsi="Times New Roman" w:cs="Times New Roman" w:eastAsia="Times New Roman" w:hint="default"/>
                <w:sz w:val="21"/>
                <w:szCs w:val="21"/>
              </w:rPr>
            </w:pPr>
            <w:r>
              <w:rPr>
                <w:rFonts w:ascii="Times New Roman"/>
                <w:sz w:val="21"/>
              </w:rPr>
              <w:t>52,112,3</w:t>
            </w:r>
          </w:p>
          <w:p>
            <w:pPr>
              <w:pStyle w:val="TableParagraph"/>
              <w:spacing w:line="240" w:lineRule="auto" w:before="70"/>
              <w:ind w:left="345" w:right="0"/>
              <w:jc w:val="left"/>
              <w:rPr>
                <w:rFonts w:ascii="Times New Roman" w:hAnsi="Times New Roman" w:cs="Times New Roman" w:eastAsia="Times New Roman" w:hint="default"/>
                <w:sz w:val="21"/>
                <w:szCs w:val="21"/>
              </w:rPr>
            </w:pPr>
            <w:r>
              <w:rPr>
                <w:rFonts w:ascii="Times New Roman"/>
                <w:sz w:val="21"/>
              </w:rPr>
              <w:t>92.08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sz w:val="21"/>
              </w:rPr>
              <w:t>13.26%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8" w:right="0"/>
              <w:jc w:val="left"/>
              <w:rPr>
                <w:rFonts w:ascii="Times New Roman" w:hAnsi="Times New Roman" w:cs="Times New Roman" w:eastAsia="Times New Roman" w:hint="default"/>
                <w:sz w:val="21"/>
                <w:szCs w:val="21"/>
              </w:rPr>
            </w:pPr>
            <w:r>
              <w:rPr>
                <w:rFonts w:ascii="Times New Roman"/>
                <w:sz w:val="21"/>
              </w:rPr>
              <w:t>340,931,2</w:t>
            </w:r>
          </w:p>
          <w:p>
            <w:pPr>
              <w:pStyle w:val="TableParagraph"/>
              <w:spacing w:line="240" w:lineRule="auto" w:before="70"/>
              <w:ind w:left="485" w:right="0"/>
              <w:jc w:val="left"/>
              <w:rPr>
                <w:rFonts w:ascii="Times New Roman" w:hAnsi="Times New Roman" w:cs="Times New Roman" w:eastAsia="Times New Roman" w:hint="default"/>
                <w:sz w:val="21"/>
                <w:szCs w:val="21"/>
              </w:rPr>
            </w:pPr>
            <w:r>
              <w:rPr>
                <w:rFonts w:ascii="Times New Roman"/>
                <w:sz w:val="21"/>
              </w:rPr>
              <w:t>65.12</w:t>
            </w:r>
          </w:p>
        </w:tc>
      </w:tr>
      <w:tr>
        <w:trPr>
          <w:trHeight w:val="162" w:hRule="exact"/>
        </w:trPr>
        <w:tc>
          <w:tcPr>
            <w:tcW w:w="2247" w:type="dxa"/>
            <w:tcBorders>
              <w:top w:val="single" w:sz="4" w:space="0" w:color="000000"/>
              <w:left w:val="single" w:sz="4" w:space="0" w:color="000000"/>
              <w:bottom w:val="nil" w:sz="6" w:space="0" w:color="auto"/>
              <w:right w:val="single" w:sz="4" w:space="0" w:color="000000"/>
            </w:tcBorders>
            <w:shd w:val="clear" w:color="auto" w:fill="D2D2D2"/>
          </w:tcPr>
          <w:p>
            <w:pPr/>
          </w:p>
        </w:tc>
        <w:tc>
          <w:tcPr>
            <w:tcW w:w="849" w:type="dxa"/>
            <w:vMerge w:val="restart"/>
            <w:tcBorders>
              <w:top w:val="single" w:sz="4" w:space="0" w:color="000000"/>
              <w:left w:val="single" w:sz="9" w:space="0" w:color="D2D2D2"/>
              <w:right w:val="single" w:sz="4" w:space="0" w:color="000000"/>
            </w:tcBorders>
          </w:tcPr>
          <w:p>
            <w:pPr>
              <w:pStyle w:val="TableParagraph"/>
              <w:spacing w:line="240" w:lineRule="auto" w:before="76"/>
              <w:ind w:left="51" w:right="0"/>
              <w:jc w:val="center"/>
              <w:rPr>
                <w:rFonts w:ascii="Times New Roman" w:hAnsi="Times New Roman" w:cs="Times New Roman" w:eastAsia="Times New Roman" w:hint="default"/>
                <w:sz w:val="21"/>
                <w:szCs w:val="21"/>
              </w:rPr>
            </w:pPr>
            <w:r>
              <w:rPr>
                <w:rFonts w:ascii="Times New Roman"/>
                <w:sz w:val="21"/>
              </w:rPr>
              <w:t>418,500,</w:t>
            </w:r>
          </w:p>
          <w:p>
            <w:pPr>
              <w:pStyle w:val="TableParagraph"/>
              <w:spacing w:line="240" w:lineRule="auto" w:before="70"/>
              <w:ind w:left="208" w:right="0"/>
              <w:jc w:val="center"/>
              <w:rPr>
                <w:rFonts w:ascii="Times New Roman" w:hAnsi="Times New Roman" w:cs="Times New Roman" w:eastAsia="Times New Roman" w:hint="default"/>
                <w:sz w:val="21"/>
                <w:szCs w:val="21"/>
              </w:rPr>
            </w:pPr>
            <w:r>
              <w:rPr>
                <w:rFonts w:ascii="Times New Roman"/>
                <w:sz w:val="21"/>
              </w:rPr>
              <w:t>686.73</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7" w:right="0"/>
              <w:jc w:val="left"/>
              <w:rPr>
                <w:rFonts w:ascii="Times New Roman" w:hAnsi="Times New Roman" w:cs="Times New Roman" w:eastAsia="Times New Roman" w:hint="default"/>
                <w:sz w:val="21"/>
                <w:szCs w:val="21"/>
              </w:rPr>
            </w:pPr>
            <w:r>
              <w:rPr>
                <w:rFonts w:ascii="Times New Roman"/>
                <w:sz w:val="21"/>
              </w:rPr>
              <w:t>100.00%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76"/>
              <w:ind w:left="82" w:right="0"/>
              <w:jc w:val="left"/>
              <w:rPr>
                <w:rFonts w:ascii="Times New Roman" w:hAnsi="Times New Roman" w:cs="Times New Roman" w:eastAsia="Times New Roman" w:hint="default"/>
                <w:sz w:val="21"/>
                <w:szCs w:val="21"/>
              </w:rPr>
            </w:pPr>
            <w:r>
              <w:rPr>
                <w:rFonts w:ascii="Times New Roman"/>
                <w:sz w:val="21"/>
              </w:rPr>
              <w:t>70,856,2</w:t>
            </w:r>
          </w:p>
          <w:p>
            <w:pPr>
              <w:pStyle w:val="TableParagraph"/>
              <w:spacing w:line="240" w:lineRule="auto" w:before="70"/>
              <w:ind w:left="344" w:right="0"/>
              <w:jc w:val="left"/>
              <w:rPr>
                <w:rFonts w:ascii="Times New Roman" w:hAnsi="Times New Roman" w:cs="Times New Roman" w:eastAsia="Times New Roman" w:hint="default"/>
                <w:sz w:val="21"/>
                <w:szCs w:val="21"/>
              </w:rPr>
            </w:pPr>
            <w:r>
              <w:rPr>
                <w:rFonts w:ascii="Times New Roman"/>
                <w:sz w:val="21"/>
              </w:rPr>
              <w:t>23.16</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sz w:val="21"/>
              </w:rPr>
              <w:t>16.93%</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76"/>
              <w:ind w:left="61" w:right="0"/>
              <w:jc w:val="center"/>
              <w:rPr>
                <w:rFonts w:ascii="Times New Roman" w:hAnsi="Times New Roman" w:cs="Times New Roman" w:eastAsia="Times New Roman" w:hint="default"/>
                <w:sz w:val="21"/>
                <w:szCs w:val="21"/>
              </w:rPr>
            </w:pPr>
            <w:r>
              <w:rPr>
                <w:rFonts w:ascii="Times New Roman"/>
                <w:sz w:val="21"/>
              </w:rPr>
              <w:t>347,644,</w:t>
            </w:r>
          </w:p>
          <w:p>
            <w:pPr>
              <w:pStyle w:val="TableParagraph"/>
              <w:spacing w:line="240" w:lineRule="auto" w:before="70"/>
              <w:ind w:left="218" w:right="0"/>
              <w:jc w:val="center"/>
              <w:rPr>
                <w:rFonts w:ascii="Times New Roman" w:hAnsi="Times New Roman" w:cs="Times New Roman" w:eastAsia="Times New Roman" w:hint="default"/>
                <w:sz w:val="21"/>
                <w:szCs w:val="21"/>
              </w:rPr>
            </w:pPr>
            <w:r>
              <w:rPr>
                <w:rFonts w:ascii="Times New Roman"/>
                <w:sz w:val="21"/>
              </w:rPr>
              <w:t>463.57</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76"/>
              <w:ind w:left="62" w:right="0"/>
              <w:jc w:val="center"/>
              <w:rPr>
                <w:rFonts w:ascii="Times New Roman" w:hAnsi="Times New Roman" w:cs="Times New Roman" w:eastAsia="Times New Roman" w:hint="default"/>
                <w:sz w:val="21"/>
                <w:szCs w:val="21"/>
              </w:rPr>
            </w:pPr>
            <w:r>
              <w:rPr>
                <w:rFonts w:ascii="Times New Roman"/>
                <w:sz w:val="21"/>
              </w:rPr>
              <w:t>393,043,</w:t>
            </w:r>
          </w:p>
          <w:p>
            <w:pPr>
              <w:pStyle w:val="TableParagraph"/>
              <w:spacing w:line="240" w:lineRule="auto" w:before="70"/>
              <w:ind w:left="219" w:right="0"/>
              <w:jc w:val="center"/>
              <w:rPr>
                <w:rFonts w:ascii="Times New Roman" w:hAnsi="Times New Roman" w:cs="Times New Roman" w:eastAsia="Times New Roman" w:hint="default"/>
                <w:sz w:val="21"/>
                <w:szCs w:val="21"/>
              </w:rPr>
            </w:pPr>
            <w:r>
              <w:rPr>
                <w:rFonts w:ascii="Times New Roman"/>
                <w:sz w:val="21"/>
              </w:rPr>
              <w:t>657.20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100.00%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76"/>
              <w:ind w:left="91" w:right="0"/>
              <w:jc w:val="left"/>
              <w:rPr>
                <w:rFonts w:ascii="Times New Roman" w:hAnsi="Times New Roman" w:cs="Times New Roman" w:eastAsia="Times New Roman" w:hint="default"/>
                <w:sz w:val="21"/>
                <w:szCs w:val="21"/>
              </w:rPr>
            </w:pPr>
            <w:r>
              <w:rPr>
                <w:rFonts w:ascii="Times New Roman"/>
                <w:sz w:val="21"/>
              </w:rPr>
              <w:t>52,112,3</w:t>
            </w:r>
          </w:p>
          <w:p>
            <w:pPr>
              <w:pStyle w:val="TableParagraph"/>
              <w:spacing w:line="240" w:lineRule="auto" w:before="70"/>
              <w:ind w:left="345" w:right="0"/>
              <w:jc w:val="left"/>
              <w:rPr>
                <w:rFonts w:ascii="Times New Roman" w:hAnsi="Times New Roman" w:cs="Times New Roman" w:eastAsia="Times New Roman" w:hint="default"/>
                <w:sz w:val="21"/>
                <w:szCs w:val="21"/>
              </w:rPr>
            </w:pPr>
            <w:r>
              <w:rPr>
                <w:rFonts w:ascii="Times New Roman"/>
                <w:sz w:val="21"/>
              </w:rPr>
              <w:t>92.08</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sz w:val="21"/>
              </w:rPr>
              <w:t>13.26%</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6"/>
              <w:ind w:left="118" w:right="0"/>
              <w:jc w:val="left"/>
              <w:rPr>
                <w:rFonts w:ascii="Times New Roman" w:hAnsi="Times New Roman" w:cs="Times New Roman" w:eastAsia="Times New Roman" w:hint="default"/>
                <w:sz w:val="21"/>
                <w:szCs w:val="21"/>
              </w:rPr>
            </w:pPr>
            <w:r>
              <w:rPr>
                <w:rFonts w:ascii="Times New Roman"/>
                <w:sz w:val="21"/>
              </w:rPr>
              <w:t>340,931,2</w:t>
            </w:r>
          </w:p>
          <w:p>
            <w:pPr>
              <w:pStyle w:val="TableParagraph"/>
              <w:spacing w:line="240" w:lineRule="auto" w:before="70"/>
              <w:ind w:left="485" w:right="0"/>
              <w:jc w:val="left"/>
              <w:rPr>
                <w:rFonts w:ascii="Times New Roman" w:hAnsi="Times New Roman" w:cs="Times New Roman" w:eastAsia="Times New Roman" w:hint="default"/>
                <w:sz w:val="21"/>
                <w:szCs w:val="21"/>
              </w:rPr>
            </w:pPr>
            <w:r>
              <w:rPr>
                <w:rFonts w:ascii="Times New Roman"/>
                <w:sz w:val="21"/>
              </w:rPr>
              <w:t>65.12</w:t>
            </w:r>
          </w:p>
        </w:tc>
      </w:tr>
      <w:tr>
        <w:trPr>
          <w:trHeight w:val="391" w:hRule="exact"/>
        </w:trPr>
        <w:tc>
          <w:tcPr>
            <w:tcW w:w="22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49" w:type="dxa"/>
            <w:vMerge/>
            <w:tcBorders>
              <w:left w:val="single" w:sz="9" w:space="0" w:color="D2D2D2"/>
              <w:right w:val="single" w:sz="4" w:space="0" w:color="000000"/>
            </w:tcBorders>
          </w:tcPr>
          <w:p>
            <w:pPr/>
          </w:p>
        </w:tc>
        <w:tc>
          <w:tcPr>
            <w:tcW w:w="86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62" w:hRule="exact"/>
        </w:trPr>
        <w:tc>
          <w:tcPr>
            <w:tcW w:w="2247" w:type="dxa"/>
            <w:tcBorders>
              <w:top w:val="nil" w:sz="6" w:space="0" w:color="auto"/>
              <w:left w:val="single" w:sz="4" w:space="0" w:color="000000"/>
              <w:bottom w:val="single" w:sz="4" w:space="0" w:color="000000"/>
              <w:right w:val="single" w:sz="4" w:space="0" w:color="000000"/>
            </w:tcBorders>
            <w:shd w:val="clear" w:color="auto" w:fill="D2D2D2"/>
          </w:tcPr>
          <w:p>
            <w:pPr/>
          </w:p>
        </w:tc>
        <w:tc>
          <w:tcPr>
            <w:tcW w:w="849" w:type="dxa"/>
            <w:vMerge/>
            <w:tcBorders>
              <w:left w:val="single" w:sz="9" w:space="0" w:color="D2D2D2"/>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320" w:right="0"/>
        </w:sectPr>
      </w:pPr>
    </w:p>
    <w:p>
      <w:pPr>
        <w:pStyle w:val="Heading2"/>
        <w:spacing w:line="240" w:lineRule="auto"/>
        <w:ind w:left="1296" w:right="0"/>
        <w:jc w:val="left"/>
        <w:rPr>
          <w:b w:val="0"/>
          <w:bCs w:val="0"/>
        </w:rPr>
      </w:pPr>
      <w:r>
        <w:rPr>
          <w:w w:val="95"/>
        </w:rPr>
        <w:t>期末单项金额重大并单项计提坏账准备的应收账款：</w:t>
      </w:r>
      <w:r>
        <w:rPr>
          <w:b w:val="0"/>
          <w:bCs w:val="0"/>
        </w:rPr>
      </w:r>
    </w:p>
    <w:p>
      <w:pPr>
        <w:spacing w:line="350" w:lineRule="auto" w:before="145"/>
        <w:ind w:left="1296" w:right="0" w:hanging="3"/>
        <w:jc w:val="left"/>
        <w:rPr>
          <w:rFonts w:ascii="宋体" w:hAnsi="宋体" w:cs="宋体" w:eastAsia="宋体"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w w:val="95"/>
          <w:sz w:val="24"/>
          <w:szCs w:val="24"/>
        </w:rPr>
        <w:t>组合中，按账龄分析法计提坏账准备的应收账款：</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spacing w:before="0"/>
        <w:ind w:left="1274" w:right="1112" w:firstLine="0"/>
        <w:jc w:val="center"/>
        <w:rPr>
          <w:rFonts w:ascii="宋体" w:hAnsi="宋体" w:cs="宋体" w:eastAsia="宋体" w:hint="default"/>
          <w:sz w:val="21"/>
          <w:szCs w:val="21"/>
        </w:rPr>
      </w:pPr>
      <w:r>
        <w:rPr>
          <w:rFonts w:ascii="宋体" w:hAnsi="宋体" w:cs="宋体" w:eastAsia="宋体" w:hint="default"/>
          <w:sz w:val="21"/>
          <w:szCs w:val="21"/>
        </w:rPr>
        <w:t>单位： 元</w:t>
      </w:r>
    </w:p>
    <w:p>
      <w:pPr>
        <w:spacing w:after="0"/>
        <w:jc w:val="center"/>
        <w:rPr>
          <w:rFonts w:ascii="宋体" w:hAnsi="宋体" w:cs="宋体" w:eastAsia="宋体" w:hint="default"/>
          <w:sz w:val="21"/>
          <w:szCs w:val="21"/>
        </w:rPr>
        <w:sectPr>
          <w:type w:val="continuous"/>
          <w:pgSz w:w="11910" w:h="16840"/>
          <w:pgMar w:top="1060" w:bottom="1160" w:left="320" w:right="0"/>
          <w:cols w:num="2" w:equalWidth="0">
            <w:col w:w="6834" w:space="1381"/>
            <w:col w:w="3375"/>
          </w:cols>
        </w:sectPr>
      </w:pPr>
    </w:p>
    <w:p>
      <w:pPr>
        <w:spacing w:line="240" w:lineRule="auto" w:before="13"/>
        <w:rPr>
          <w:rFonts w:ascii="宋体" w:hAnsi="宋体" w:cs="宋体" w:eastAsia="宋体" w:hint="default"/>
          <w:sz w:val="6"/>
          <w:szCs w:val="6"/>
        </w:rPr>
      </w:pPr>
    </w:p>
    <w:tbl>
      <w:tblPr>
        <w:tblW w:w="0" w:type="auto"/>
        <w:jc w:val="left"/>
        <w:tblInd w:w="844" w:type="dxa"/>
        <w:tblLayout w:type="fixed"/>
        <w:tblCellMar>
          <w:top w:w="0" w:type="dxa"/>
          <w:left w:w="0" w:type="dxa"/>
          <w:bottom w:w="0" w:type="dxa"/>
          <w:right w:w="0" w:type="dxa"/>
        </w:tblCellMar>
        <w:tblLook w:val="01E0"/>
      </w:tblPr>
      <w:tblGrid>
        <w:gridCol w:w="2493"/>
        <w:gridCol w:w="2295"/>
        <w:gridCol w:w="2391"/>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253,299,176.50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12,664,958.80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253,299,176.50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12,664,958.83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64,478,442.90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6,447,844.29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44,402,278.15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13,320,683.44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320" w:right="0"/>
        </w:sectPr>
      </w:pPr>
    </w:p>
    <w:p>
      <w:pPr>
        <w:spacing w:line="240" w:lineRule="auto" w:before="6"/>
        <w:rPr>
          <w:rFonts w:ascii="宋体" w:hAnsi="宋体" w:cs="宋体" w:eastAsia="宋体" w:hint="default"/>
          <w:sz w:val="28"/>
          <w:szCs w:val="28"/>
        </w:rPr>
      </w:pPr>
    </w:p>
    <w:tbl>
      <w:tblPr>
        <w:tblW w:w="0" w:type="auto"/>
        <w:jc w:val="left"/>
        <w:tblInd w:w="704" w:type="dxa"/>
        <w:tblLayout w:type="fixed"/>
        <w:tblCellMar>
          <w:top w:w="0" w:type="dxa"/>
          <w:left w:w="0" w:type="dxa"/>
          <w:bottom w:w="0" w:type="dxa"/>
          <w:right w:w="0" w:type="dxa"/>
        </w:tblCellMar>
        <w:tblLook w:val="01E0"/>
      </w:tblPr>
      <w:tblGrid>
        <w:gridCol w:w="2493"/>
        <w:gridCol w:w="2295"/>
        <w:gridCol w:w="2391"/>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56,320,789.18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38,422,736.60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68.22%</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35,286,914.37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21,172,148.62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18,916,434.16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15,133,147.33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2,117,440.65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2,117,440.65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418,500,686.73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70,856,223.16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16.93%</w:t>
            </w:r>
          </w:p>
        </w:tc>
      </w:tr>
    </w:tbl>
    <w:p>
      <w:pPr>
        <w:spacing w:line="240" w:lineRule="auto" w:before="10"/>
        <w:rPr>
          <w:rFonts w:ascii="宋体" w:hAnsi="宋体" w:cs="宋体" w:eastAsia="宋体" w:hint="default"/>
          <w:sz w:val="4"/>
          <w:szCs w:val="4"/>
        </w:rPr>
      </w:pPr>
    </w:p>
    <w:p>
      <w:pPr>
        <w:spacing w:line="352" w:lineRule="auto" w:before="26"/>
        <w:ind w:left="1153" w:right="22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）本期计提、收回或转回的坏账准备情况</w:t>
      </w:r>
      <w:r>
        <w:rPr>
          <w:rFonts w:ascii="宋体" w:hAnsi="宋体" w:cs="宋体" w:eastAsia="宋体" w:hint="default"/>
          <w:b/>
          <w:bCs/>
          <w:w w:val="99"/>
          <w:sz w:val="24"/>
          <w:szCs w:val="24"/>
        </w:rPr>
        <w:t> </w:t>
      </w:r>
      <w:r>
        <w:rPr>
          <w:rFonts w:ascii="宋体" w:hAnsi="宋体" w:cs="宋体" w:eastAsia="宋体" w:hint="default"/>
          <w:sz w:val="24"/>
          <w:szCs w:val="24"/>
        </w:rPr>
        <w:t>本期计提坏账准备金额</w:t>
      </w:r>
      <w:r>
        <w:rPr>
          <w:rFonts w:ascii="宋体" w:hAnsi="宋体" w:cs="宋体" w:eastAsia="宋体" w:hint="default"/>
          <w:sz w:val="24"/>
          <w:szCs w:val="24"/>
        </w:rPr>
        <w:t>18,743,831.08</w:t>
      </w:r>
      <w:r>
        <w:rPr>
          <w:rFonts w:ascii="宋体" w:hAnsi="宋体" w:cs="宋体" w:eastAsia="宋体" w:hint="default"/>
          <w:sz w:val="24"/>
          <w:szCs w:val="24"/>
        </w:rPr>
        <w:t>元；本期收回或转回坏账准备金额元。</w:t>
      </w:r>
    </w:p>
    <w:p>
      <w:pPr>
        <w:pStyle w:val="Heading2"/>
        <w:spacing w:line="350" w:lineRule="auto" w:before="32"/>
        <w:ind w:left="1153" w:right="6523" w:firstLine="2"/>
        <w:jc w:val="left"/>
        <w:rPr>
          <w:rFonts w:ascii="宋体" w:hAnsi="宋体" w:cs="宋体" w:eastAsia="宋体" w:hint="default"/>
          <w:b w:val="0"/>
          <w:bCs w:val="0"/>
        </w:rPr>
      </w:pPr>
      <w:r>
        <w:rPr>
          <w:w w:val="95"/>
        </w:rPr>
        <w:t>（</w:t>
      </w:r>
      <w:r>
        <w:rPr>
          <w:rFonts w:ascii="宋体" w:hAnsi="宋体" w:cs="宋体" w:eastAsia="宋体" w:hint="default"/>
          <w:w w:val="95"/>
        </w:rPr>
        <w:t>3</w:t>
      </w:r>
      <w:r>
        <w:rPr>
          <w:w w:val="95"/>
        </w:rPr>
        <w:t>）本期实际核销的应收账款情况</w:t>
      </w:r>
      <w:r>
        <w:rPr>
          <w:spacing w:val="56"/>
          <w:w w:val="95"/>
        </w:rPr>
        <w:t> </w:t>
      </w:r>
      <w:r>
        <w:rPr>
          <w:rFonts w:ascii="宋体" w:hAnsi="宋体" w:cs="宋体" w:eastAsia="宋体" w:hint="default"/>
          <w:b w:val="0"/>
          <w:bCs w:val="0"/>
        </w:rPr>
        <w:t>无</w:t>
      </w:r>
    </w:p>
    <w:p>
      <w:pPr>
        <w:pStyle w:val="Heading2"/>
        <w:spacing w:line="240" w:lineRule="auto" w:before="36"/>
        <w:ind w:left="1156" w:right="1115"/>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4"/>
          <w:szCs w:val="4"/>
        </w:rPr>
      </w:pPr>
    </w:p>
    <w:tbl>
      <w:tblPr>
        <w:tblW w:w="0" w:type="auto"/>
        <w:jc w:val="left"/>
        <w:tblInd w:w="104" w:type="dxa"/>
        <w:tblLayout w:type="fixed"/>
        <w:tblCellMar>
          <w:top w:w="0" w:type="dxa"/>
          <w:left w:w="0" w:type="dxa"/>
          <w:bottom w:w="0" w:type="dxa"/>
          <w:right w:w="0" w:type="dxa"/>
        </w:tblCellMar>
        <w:tblLook w:val="01E0"/>
      </w:tblPr>
      <w:tblGrid>
        <w:gridCol w:w="4214"/>
        <w:gridCol w:w="1881"/>
        <w:gridCol w:w="1559"/>
        <w:gridCol w:w="2268"/>
      </w:tblGrid>
      <w:tr>
        <w:trPr>
          <w:trHeight w:val="171" w:hRule="exact"/>
        </w:trPr>
        <w:tc>
          <w:tcPr>
            <w:tcW w:w="42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91" w:right="39"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占应收账款期末 余额的比例</w:t>
            </w:r>
            <w:r>
              <w:rPr>
                <w:rFonts w:ascii="Times New Roman" w:hAnsi="Times New Roman" w:cs="Times New Roman" w:eastAsia="Times New Roman" w:hint="default"/>
                <w:sz w:val="21"/>
                <w:szCs w:val="21"/>
              </w:rPr>
              <w:t>(%)</w:t>
            </w:r>
          </w:p>
        </w:tc>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1"/>
              <w:ind w:left="393"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488" w:hRule="exact"/>
        </w:trPr>
        <w:tc>
          <w:tcPr>
            <w:tcW w:w="421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8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0" w:lineRule="exact"/>
              <w:ind w:left="5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9" w:type="dxa"/>
            <w:vMerge/>
            <w:tcBorders>
              <w:left w:val="single" w:sz="4" w:space="0" w:color="000000"/>
              <w:bottom w:val="single" w:sz="4" w:space="0" w:color="000000"/>
              <w:right w:val="single" w:sz="4" w:space="0" w:color="000000"/>
            </w:tcBorders>
            <w:shd w:val="clear" w:color="auto" w:fill="D2D2D2"/>
          </w:tcPr>
          <w:p>
            <w:pPr/>
          </w:p>
        </w:tc>
        <w:tc>
          <w:tcPr>
            <w:tcW w:w="2268" w:type="dxa"/>
            <w:vMerge/>
            <w:tcBorders>
              <w:left w:val="single" w:sz="4" w:space="0" w:color="000000"/>
              <w:bottom w:val="single" w:sz="4" w:space="0" w:color="000000"/>
              <w:right w:val="single" w:sz="4" w:space="0" w:color="000000"/>
            </w:tcBorders>
            <w:shd w:val="clear" w:color="auto" w:fill="D2D2D2"/>
          </w:tcPr>
          <w:p>
            <w:pPr/>
          </w:p>
        </w:tc>
      </w:tr>
      <w:tr>
        <w:trPr>
          <w:trHeight w:val="337" w:hRule="exact"/>
        </w:trPr>
        <w:tc>
          <w:tcPr>
            <w:tcW w:w="4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中国铁建电气化局集团有限公司</w:t>
            </w:r>
          </w:p>
        </w:tc>
        <w:tc>
          <w:tcPr>
            <w:tcW w:w="18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47,311,281.77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11.30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2,365,564.09</w:t>
            </w:r>
          </w:p>
        </w:tc>
      </w:tr>
      <w:tr>
        <w:trPr>
          <w:trHeight w:val="342" w:hRule="exact"/>
        </w:trPr>
        <w:tc>
          <w:tcPr>
            <w:tcW w:w="4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西安铁路局</w:t>
            </w:r>
          </w:p>
        </w:tc>
        <w:tc>
          <w:tcPr>
            <w:tcW w:w="18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20,582,120.00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4.92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1,029,106.00</w:t>
            </w:r>
          </w:p>
        </w:tc>
      </w:tr>
      <w:tr>
        <w:trPr>
          <w:trHeight w:val="342" w:hRule="exact"/>
        </w:trPr>
        <w:tc>
          <w:tcPr>
            <w:tcW w:w="4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北京全路通信信号研究设计院集团有限公司</w:t>
            </w:r>
          </w:p>
        </w:tc>
        <w:tc>
          <w:tcPr>
            <w:tcW w:w="18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19,901,863.81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4.76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1,231,740.24</w:t>
            </w:r>
          </w:p>
        </w:tc>
      </w:tr>
      <w:tr>
        <w:trPr>
          <w:trHeight w:val="342" w:hRule="exact"/>
        </w:trPr>
        <w:tc>
          <w:tcPr>
            <w:tcW w:w="4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国电南瑞科技股份有限公司</w:t>
            </w:r>
          </w:p>
        </w:tc>
        <w:tc>
          <w:tcPr>
            <w:tcW w:w="18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14,528,659.61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3.47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4,358,597.88</w:t>
            </w:r>
          </w:p>
        </w:tc>
      </w:tr>
      <w:tr>
        <w:trPr>
          <w:trHeight w:val="342" w:hRule="exact"/>
        </w:trPr>
        <w:tc>
          <w:tcPr>
            <w:tcW w:w="4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福州电务段</w:t>
            </w:r>
          </w:p>
        </w:tc>
        <w:tc>
          <w:tcPr>
            <w:tcW w:w="18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14,168,101.40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3.39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708,405.07</w:t>
            </w:r>
          </w:p>
        </w:tc>
      </w:tr>
      <w:tr>
        <w:trPr>
          <w:trHeight w:val="337" w:hRule="exact"/>
        </w:trPr>
        <w:tc>
          <w:tcPr>
            <w:tcW w:w="4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116,492,026.59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27.84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9,693,413.28</w:t>
            </w:r>
          </w:p>
        </w:tc>
      </w:tr>
    </w:tbl>
    <w:p>
      <w:pPr>
        <w:spacing w:line="240" w:lineRule="auto" w:before="2"/>
        <w:rPr>
          <w:rFonts w:ascii="宋体" w:hAnsi="宋体" w:cs="宋体" w:eastAsia="宋体" w:hint="default"/>
          <w:b/>
          <w:bCs/>
          <w:sz w:val="5"/>
          <w:szCs w:val="5"/>
        </w:rPr>
      </w:pPr>
    </w:p>
    <w:p>
      <w:pPr>
        <w:pStyle w:val="Heading2"/>
        <w:spacing w:line="352" w:lineRule="auto"/>
        <w:ind w:left="1154" w:right="5755" w:hanging="9"/>
        <w:jc w:val="left"/>
        <w:rPr>
          <w:rFonts w:ascii="宋体" w:hAnsi="宋体" w:cs="宋体" w:eastAsia="宋体" w:hint="default"/>
          <w:b w:val="0"/>
          <w:bCs w:val="0"/>
        </w:rPr>
      </w:pPr>
      <w:r>
        <w:rPr>
          <w:w w:val="95"/>
        </w:rPr>
        <w:t>（</w:t>
      </w:r>
      <w:r>
        <w:rPr>
          <w:rFonts w:ascii="宋体" w:hAnsi="宋体" w:cs="宋体" w:eastAsia="宋体" w:hint="default"/>
          <w:w w:val="95"/>
        </w:rPr>
        <w:t>5</w:t>
      </w:r>
      <w:r>
        <w:rPr>
          <w:w w:val="95"/>
        </w:rPr>
        <w:t>）因金融资产转移而终止确认的应收账款</w:t>
      </w:r>
      <w:r>
        <w:rPr>
          <w:spacing w:val="103"/>
          <w:w w:val="95"/>
        </w:rPr>
        <w:t> </w:t>
      </w:r>
      <w:r>
        <w:rPr>
          <w:rFonts w:ascii="宋体" w:hAnsi="宋体" w:cs="宋体" w:eastAsia="宋体" w:hint="default"/>
          <w:b w:val="0"/>
          <w:bCs w:val="0"/>
        </w:rPr>
        <w:t>无</w:t>
      </w:r>
    </w:p>
    <w:p>
      <w:pPr>
        <w:pStyle w:val="Heading2"/>
        <w:spacing w:line="240" w:lineRule="auto" w:before="32"/>
        <w:ind w:left="1156" w:right="1115"/>
        <w:jc w:val="left"/>
        <w:rPr>
          <w:b w:val="0"/>
          <w:bCs w:val="0"/>
        </w:rPr>
      </w:pPr>
      <w:r>
        <w:rPr/>
        <w:t>（</w:t>
      </w:r>
      <w:r>
        <w:rPr>
          <w:rFonts w:ascii="宋体" w:hAnsi="宋体" w:cs="宋体" w:eastAsia="宋体" w:hint="default"/>
        </w:rPr>
        <w:t>6</w:t>
      </w:r>
      <w:r>
        <w:rPr/>
        <w:t>）转移应收账款且继续涉入形成的资产、负债金额</w:t>
      </w:r>
      <w:r>
        <w:rPr>
          <w:b w:val="0"/>
          <w:bCs w:val="0"/>
        </w:rPr>
      </w:r>
    </w:p>
    <w:p>
      <w:pPr>
        <w:pStyle w:val="BodyText"/>
        <w:spacing w:line="352" w:lineRule="auto" w:before="145"/>
        <w:ind w:left="674" w:right="1152" w:firstLine="480"/>
        <w:jc w:val="left"/>
      </w:pPr>
      <w:r>
        <w:rPr/>
        <w:t>①期末应收账款中无持本公司</w:t>
      </w:r>
      <w:r>
        <w:rPr>
          <w:rFonts w:ascii="宋体" w:hAnsi="宋体" w:cs="宋体" w:eastAsia="宋体" w:hint="default"/>
        </w:rPr>
        <w:t>5</w:t>
      </w:r>
      <w:r>
        <w:rPr/>
        <w:t>％以上（含</w:t>
      </w:r>
      <w:r>
        <w:rPr>
          <w:rFonts w:ascii="宋体" w:hAnsi="宋体" w:cs="宋体" w:eastAsia="宋体" w:hint="default"/>
        </w:rPr>
        <w:t>5</w:t>
      </w:r>
      <w:r>
        <w:rPr/>
        <w:t>％）表决权股份的股东单位欠款，无应收其 他关联方款项。</w:t>
      </w:r>
    </w:p>
    <w:p>
      <w:pPr>
        <w:spacing w:line="350" w:lineRule="auto" w:before="32"/>
        <w:ind w:left="1156" w:right="6433" w:hanging="3"/>
        <w:jc w:val="left"/>
        <w:rPr>
          <w:rFonts w:ascii="宋体" w:hAnsi="宋体" w:cs="宋体" w:eastAsia="宋体" w:hint="default"/>
          <w:sz w:val="24"/>
          <w:szCs w:val="24"/>
        </w:rPr>
      </w:pPr>
      <w:r>
        <w:rPr>
          <w:rFonts w:ascii="宋体" w:hAnsi="宋体" w:cs="宋体" w:eastAsia="宋体" w:hint="default"/>
          <w:sz w:val="24"/>
          <w:szCs w:val="24"/>
        </w:rPr>
        <w:t>②期末不存在应收账款质押的情况。 </w:t>
      </w:r>
      <w:r>
        <w:rPr>
          <w:rFonts w:ascii="宋体" w:hAnsi="宋体" w:cs="宋体" w:eastAsia="宋体" w:hint="default"/>
          <w:b/>
          <w:bCs/>
          <w:sz w:val="24"/>
          <w:szCs w:val="24"/>
        </w:rPr>
        <w:t>2</w:t>
      </w:r>
      <w:r>
        <w:rPr>
          <w:rFonts w:ascii="宋体" w:hAnsi="宋体" w:cs="宋体" w:eastAsia="宋体" w:hint="default"/>
          <w:b/>
          <w:bCs/>
          <w:sz w:val="24"/>
          <w:szCs w:val="24"/>
        </w:rPr>
        <w:t>、其他应收款</w:t>
      </w:r>
      <w:r>
        <w:rPr>
          <w:rFonts w:ascii="宋体" w:hAnsi="宋体" w:cs="宋体" w:eastAsia="宋体" w:hint="default"/>
          <w:sz w:val="24"/>
          <w:szCs w:val="24"/>
        </w:rPr>
      </w:r>
    </w:p>
    <w:p>
      <w:pPr>
        <w:pStyle w:val="Heading2"/>
        <w:spacing w:line="240" w:lineRule="auto" w:before="36"/>
        <w:ind w:left="1156" w:right="1115"/>
        <w:jc w:val="left"/>
        <w:rPr>
          <w:b w:val="0"/>
          <w:bCs w:val="0"/>
        </w:rPr>
      </w:pPr>
      <w:r>
        <w:rPr/>
        <w:t>（</w:t>
      </w:r>
      <w:r>
        <w:rPr>
          <w:rFonts w:ascii="宋体" w:hAnsi="宋体" w:cs="宋体" w:eastAsia="宋体" w:hint="default"/>
        </w:rPr>
        <w:t>1</w:t>
      </w:r>
      <w:r>
        <w:rPr/>
        <w:t>）其他应收款分类披露</w:t>
      </w:r>
      <w:r>
        <w:rPr>
          <w:b w:val="0"/>
          <w:bCs w:val="0"/>
        </w:rPr>
      </w:r>
    </w:p>
    <w:p>
      <w:pPr>
        <w:spacing w:before="83"/>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467" w:type="dxa"/>
        <w:tblLayout w:type="fixed"/>
        <w:tblCellMar>
          <w:top w:w="0" w:type="dxa"/>
          <w:left w:w="0" w:type="dxa"/>
          <w:bottom w:w="0" w:type="dxa"/>
          <w:right w:w="0" w:type="dxa"/>
        </w:tblCellMar>
        <w:tblLook w:val="01E0"/>
      </w:tblPr>
      <w:tblGrid>
        <w:gridCol w:w="1691"/>
        <w:gridCol w:w="838"/>
        <w:gridCol w:w="864"/>
        <w:gridCol w:w="660"/>
        <w:gridCol w:w="899"/>
        <w:gridCol w:w="850"/>
        <w:gridCol w:w="851"/>
        <w:gridCol w:w="851"/>
        <w:gridCol w:w="708"/>
        <w:gridCol w:w="992"/>
        <w:gridCol w:w="851"/>
      </w:tblGrid>
      <w:tr>
        <w:trPr>
          <w:trHeight w:val="402"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7"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0"/>
              <w:ind w:right="9"/>
              <w:jc w:val="center"/>
              <w:rPr>
                <w:rFonts w:ascii="宋体" w:hAnsi="宋体" w:cs="宋体" w:eastAsia="宋体" w:hint="default"/>
                <w:sz w:val="21"/>
                <w:szCs w:val="21"/>
              </w:rPr>
            </w:pPr>
            <w:r>
              <w:rPr>
                <w:rFonts w:ascii="宋体" w:hAnsi="宋体" w:cs="宋体" w:eastAsia="宋体" w:hint="default"/>
                <w:sz w:val="21"/>
                <w:szCs w:val="21"/>
              </w:rPr>
              <w:t>类别</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0"/>
              <w:ind w:left="314" w:right="103" w:hanging="210"/>
              <w:jc w:val="left"/>
              <w:rPr>
                <w:rFonts w:ascii="宋体" w:hAnsi="宋体" w:cs="宋体" w:eastAsia="宋体" w:hint="default"/>
                <w:sz w:val="21"/>
                <w:szCs w:val="21"/>
              </w:rPr>
            </w:pPr>
            <w:r>
              <w:rPr>
                <w:rFonts w:ascii="宋体" w:hAnsi="宋体" w:cs="宋体" w:eastAsia="宋体" w:hint="default"/>
                <w:sz w:val="21"/>
                <w:szCs w:val="21"/>
              </w:rPr>
              <w:t>账面价 值</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0"/>
              <w:ind w:left="315" w:right="103" w:hanging="210"/>
              <w:jc w:val="left"/>
              <w:rPr>
                <w:rFonts w:ascii="宋体" w:hAnsi="宋体" w:cs="宋体" w:eastAsia="宋体" w:hint="default"/>
                <w:sz w:val="21"/>
                <w:szCs w:val="21"/>
              </w:rPr>
            </w:pPr>
            <w:r>
              <w:rPr>
                <w:rFonts w:ascii="宋体" w:hAnsi="宋体" w:cs="宋体" w:eastAsia="宋体" w:hint="default"/>
                <w:sz w:val="21"/>
                <w:szCs w:val="21"/>
              </w:rPr>
              <w:t>账面价 值</w:t>
            </w:r>
          </w:p>
        </w:tc>
      </w:tr>
      <w:tr>
        <w:trPr>
          <w:trHeight w:val="407"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3"/>
              <w:jc w:val="right"/>
              <w:rPr>
                <w:rFonts w:ascii="宋体" w:hAnsi="宋体" w:cs="宋体" w:eastAsia="宋体" w:hint="default"/>
                <w:sz w:val="21"/>
                <w:szCs w:val="21"/>
              </w:rPr>
            </w:pPr>
            <w:r>
              <w:rPr>
                <w:rFonts w:ascii="宋体" w:hAnsi="宋体" w:cs="宋体" w:eastAsia="宋体" w:hint="default"/>
                <w:sz w:val="21"/>
                <w:szCs w:val="21"/>
              </w:rPr>
              <w:t>计提比例</w:t>
            </w:r>
          </w:p>
        </w:tc>
        <w:tc>
          <w:tcPr>
            <w:tcW w:w="85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8"/>
              <w:jc w:val="right"/>
              <w:rPr>
                <w:rFonts w:ascii="宋体" w:hAnsi="宋体" w:cs="宋体" w:eastAsia="宋体" w:hint="default"/>
                <w:sz w:val="21"/>
                <w:szCs w:val="21"/>
              </w:rPr>
            </w:pPr>
            <w:r>
              <w:rPr>
                <w:rFonts w:ascii="宋体" w:hAnsi="宋体" w:cs="宋体" w:eastAsia="宋体" w:hint="default"/>
                <w:sz w:val="21"/>
                <w:szCs w:val="21"/>
              </w:rPr>
              <w:t>计提比例</w:t>
            </w:r>
          </w:p>
        </w:tc>
        <w:tc>
          <w:tcPr>
            <w:tcW w:w="85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7"/>
              <w:jc w:val="both"/>
              <w:rPr>
                <w:rFonts w:ascii="宋体" w:hAnsi="宋体" w:cs="宋体" w:eastAsia="宋体" w:hint="default"/>
                <w:sz w:val="21"/>
                <w:szCs w:val="21"/>
              </w:rPr>
            </w:pPr>
            <w:r>
              <w:rPr>
                <w:rFonts w:ascii="宋体" w:hAnsi="宋体" w:cs="宋体" w:eastAsia="宋体" w:hint="default"/>
                <w:sz w:val="21"/>
                <w:szCs w:val="21"/>
              </w:rPr>
              <w:t>按信用风险特征 组合计提坏账准 备的其他应收款</w:t>
            </w:r>
          </w:p>
        </w:tc>
        <w:tc>
          <w:tcPr>
            <w:tcW w:w="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21"/>
                <w:szCs w:val="21"/>
              </w:rPr>
            </w:pPr>
            <w:r>
              <w:rPr>
                <w:rFonts w:ascii="Times New Roman"/>
                <w:sz w:val="21"/>
              </w:rPr>
              <w:t>43,443,1</w:t>
            </w:r>
          </w:p>
          <w:p>
            <w:pPr>
              <w:pStyle w:val="TableParagraph"/>
              <w:spacing w:line="240" w:lineRule="auto" w:before="70"/>
              <w:ind w:left="319" w:right="0"/>
              <w:jc w:val="left"/>
              <w:rPr>
                <w:rFonts w:ascii="Times New Roman" w:hAnsi="Times New Roman" w:cs="Times New Roman" w:eastAsia="Times New Roman" w:hint="default"/>
                <w:sz w:val="21"/>
                <w:szCs w:val="21"/>
              </w:rPr>
            </w:pPr>
            <w:r>
              <w:rPr>
                <w:rFonts w:ascii="Times New Roman"/>
                <w:sz w:val="21"/>
              </w:rPr>
              <w:t>81.54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54" w:right="0"/>
              <w:jc w:val="center"/>
              <w:rPr>
                <w:rFonts w:ascii="Times New Roman" w:hAnsi="Times New Roman" w:cs="Times New Roman" w:eastAsia="Times New Roman" w:hint="default"/>
                <w:sz w:val="21"/>
                <w:szCs w:val="21"/>
              </w:rPr>
            </w:pPr>
            <w:r>
              <w:rPr>
                <w:rFonts w:ascii="Times New Roman"/>
                <w:sz w:val="21"/>
              </w:rPr>
              <w:t>100.00%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9" w:right="0"/>
              <w:jc w:val="left"/>
              <w:rPr>
                <w:rFonts w:ascii="Times New Roman" w:hAnsi="Times New Roman" w:cs="Times New Roman" w:eastAsia="Times New Roman" w:hint="default"/>
                <w:sz w:val="21"/>
                <w:szCs w:val="21"/>
              </w:rPr>
            </w:pPr>
            <w:r>
              <w:rPr>
                <w:rFonts w:ascii="Times New Roman"/>
                <w:sz w:val="21"/>
              </w:rPr>
              <w:t>187,46</w:t>
            </w:r>
          </w:p>
          <w:p>
            <w:pPr>
              <w:pStyle w:val="TableParagraph"/>
              <w:spacing w:line="240" w:lineRule="auto" w:before="70"/>
              <w:ind w:left="259" w:right="0"/>
              <w:jc w:val="left"/>
              <w:rPr>
                <w:rFonts w:ascii="Times New Roman" w:hAnsi="Times New Roman" w:cs="Times New Roman" w:eastAsia="Times New Roman" w:hint="default"/>
                <w:sz w:val="21"/>
                <w:szCs w:val="21"/>
              </w:rPr>
            </w:pPr>
            <w:r>
              <w:rPr>
                <w:rFonts w:ascii="Times New Roman"/>
                <w:sz w:val="21"/>
              </w:rPr>
              <w:t>1.49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0.43%</w:t>
            </w:r>
          </w:p>
        </w:tc>
        <w:tc>
          <w:tcPr>
            <w:tcW w:w="850"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Times New Roman" w:hAnsi="Times New Roman" w:cs="Times New Roman" w:eastAsia="Times New Roman" w:hint="default"/>
                <w:sz w:val="21"/>
                <w:szCs w:val="21"/>
              </w:rPr>
            </w:pPr>
            <w:r>
              <w:rPr>
                <w:rFonts w:ascii="Times New Roman"/>
                <w:sz w:val="21"/>
              </w:rPr>
              <w:t>43,255,7</w:t>
            </w:r>
          </w:p>
          <w:p>
            <w:pPr>
              <w:pStyle w:val="TableParagraph"/>
              <w:spacing w:line="240" w:lineRule="auto" w:before="70"/>
              <w:ind w:left="344" w:right="0"/>
              <w:jc w:val="left"/>
              <w:rPr>
                <w:rFonts w:ascii="Times New Roman" w:hAnsi="Times New Roman" w:cs="Times New Roman" w:eastAsia="Times New Roman" w:hint="default"/>
                <w:sz w:val="21"/>
                <w:szCs w:val="21"/>
              </w:rPr>
            </w:pPr>
            <w:r>
              <w:rPr>
                <w:rFonts w:ascii="Times New Roman"/>
                <w:sz w:val="21"/>
              </w:rPr>
              <w:t>20.05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42,507,5</w:t>
            </w:r>
          </w:p>
          <w:p>
            <w:pPr>
              <w:pStyle w:val="TableParagraph"/>
              <w:spacing w:line="240" w:lineRule="auto" w:before="70"/>
              <w:ind w:left="345" w:right="0"/>
              <w:jc w:val="left"/>
              <w:rPr>
                <w:rFonts w:ascii="Times New Roman" w:hAnsi="Times New Roman" w:cs="Times New Roman" w:eastAsia="Times New Roman" w:hint="default"/>
                <w:sz w:val="21"/>
                <w:szCs w:val="21"/>
              </w:rPr>
            </w:pPr>
            <w:r>
              <w:rPr>
                <w:rFonts w:ascii="Times New Roman"/>
                <w:sz w:val="21"/>
              </w:rPr>
              <w:t>20.80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153,34</w:t>
            </w:r>
          </w:p>
          <w:p>
            <w:pPr>
              <w:pStyle w:val="TableParagraph"/>
              <w:spacing w:line="240" w:lineRule="auto" w:before="70"/>
              <w:ind w:left="308" w:right="0"/>
              <w:jc w:val="left"/>
              <w:rPr>
                <w:rFonts w:ascii="Times New Roman" w:hAnsi="Times New Roman" w:cs="Times New Roman" w:eastAsia="Times New Roman" w:hint="default"/>
                <w:sz w:val="21"/>
                <w:szCs w:val="21"/>
              </w:rPr>
            </w:pPr>
            <w:r>
              <w:rPr>
                <w:rFonts w:ascii="Times New Roman"/>
                <w:sz w:val="21"/>
              </w:rPr>
              <w:t>6.21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0.36%</w:t>
            </w:r>
          </w:p>
        </w:tc>
        <w:tc>
          <w:tcPr>
            <w:tcW w:w="85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42,354,1</w:t>
            </w:r>
          </w:p>
          <w:p>
            <w:pPr>
              <w:pStyle w:val="TableParagraph"/>
              <w:spacing w:line="240" w:lineRule="auto" w:before="70"/>
              <w:ind w:left="345" w:right="0"/>
              <w:jc w:val="left"/>
              <w:rPr>
                <w:rFonts w:ascii="Times New Roman" w:hAnsi="Times New Roman" w:cs="Times New Roman" w:eastAsia="Times New Roman" w:hint="default"/>
                <w:sz w:val="21"/>
                <w:szCs w:val="21"/>
              </w:rPr>
            </w:pPr>
            <w:r>
              <w:rPr>
                <w:rFonts w:ascii="Times New Roman"/>
                <w:sz w:val="21"/>
              </w:rPr>
              <w:t>74.59</w:t>
            </w: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left="35" w:right="0"/>
              <w:jc w:val="center"/>
              <w:rPr>
                <w:rFonts w:ascii="Times New Roman" w:hAnsi="Times New Roman" w:cs="Times New Roman" w:eastAsia="Times New Roman" w:hint="default"/>
                <w:sz w:val="21"/>
                <w:szCs w:val="21"/>
              </w:rPr>
            </w:pPr>
            <w:r>
              <w:rPr>
                <w:rFonts w:ascii="Times New Roman"/>
                <w:sz w:val="21"/>
              </w:rPr>
              <w:t>43,443,1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 w:right="0"/>
              <w:jc w:val="center"/>
              <w:rPr>
                <w:rFonts w:ascii="Times New Roman" w:hAnsi="Times New Roman" w:cs="Times New Roman" w:eastAsia="Times New Roman" w:hint="default"/>
                <w:sz w:val="21"/>
                <w:szCs w:val="21"/>
              </w:rPr>
            </w:pPr>
            <w:r>
              <w:rPr>
                <w:rFonts w:ascii="Times New Roman"/>
                <w:sz w:val="21"/>
              </w:rPr>
              <w:t>100.00%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5" w:right="0"/>
              <w:jc w:val="center"/>
              <w:rPr>
                <w:rFonts w:ascii="Times New Roman" w:hAnsi="Times New Roman" w:cs="Times New Roman" w:eastAsia="Times New Roman" w:hint="default"/>
                <w:sz w:val="21"/>
                <w:szCs w:val="21"/>
              </w:rPr>
            </w:pPr>
            <w:r>
              <w:rPr>
                <w:rFonts w:ascii="Times New Roman"/>
                <w:sz w:val="21"/>
              </w:rPr>
              <w:t>187,46</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2" w:right="0"/>
              <w:jc w:val="left"/>
              <w:rPr>
                <w:rFonts w:ascii="Times New Roman" w:hAnsi="Times New Roman" w:cs="Times New Roman" w:eastAsia="Times New Roman" w:hint="default"/>
                <w:sz w:val="21"/>
                <w:szCs w:val="21"/>
              </w:rPr>
            </w:pPr>
            <w:r>
              <w:rPr>
                <w:rFonts w:ascii="Times New Roman"/>
                <w:sz w:val="21"/>
              </w:rPr>
              <w:t>43,255,7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2" w:right="0"/>
              <w:jc w:val="center"/>
              <w:rPr>
                <w:rFonts w:ascii="Times New Roman" w:hAnsi="Times New Roman" w:cs="Times New Roman" w:eastAsia="Times New Roman" w:hint="default"/>
                <w:sz w:val="21"/>
                <w:szCs w:val="21"/>
              </w:rPr>
            </w:pPr>
            <w:r>
              <w:rPr>
                <w:rFonts w:ascii="Times New Roman"/>
                <w:sz w:val="21"/>
              </w:rPr>
              <w:t>42,507,5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 w:right="0"/>
              <w:jc w:val="center"/>
              <w:rPr>
                <w:rFonts w:ascii="Times New Roman" w:hAnsi="Times New Roman" w:cs="Times New Roman" w:eastAsia="Times New Roman" w:hint="default"/>
                <w:sz w:val="21"/>
                <w:szCs w:val="21"/>
              </w:rPr>
            </w:pPr>
            <w:r>
              <w:rPr>
                <w:rFonts w:ascii="Times New Roman"/>
                <w:sz w:val="21"/>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8" w:right="0"/>
              <w:jc w:val="left"/>
              <w:rPr>
                <w:rFonts w:ascii="Times New Roman" w:hAnsi="Times New Roman" w:cs="Times New Roman" w:eastAsia="Times New Roman" w:hint="default"/>
                <w:sz w:val="21"/>
                <w:szCs w:val="21"/>
              </w:rPr>
            </w:pPr>
            <w:r>
              <w:rPr>
                <w:rFonts w:ascii="Times New Roman"/>
                <w:sz w:val="21"/>
              </w:rPr>
              <w:t>153,34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3" w:right="0"/>
              <w:jc w:val="left"/>
              <w:rPr>
                <w:rFonts w:ascii="Times New Roman" w:hAnsi="Times New Roman" w:cs="Times New Roman" w:eastAsia="Times New Roman" w:hint="default"/>
                <w:sz w:val="21"/>
                <w:szCs w:val="21"/>
              </w:rPr>
            </w:pPr>
            <w:r>
              <w:rPr>
                <w:rFonts w:ascii="Times New Roman"/>
                <w:sz w:val="21"/>
              </w:rPr>
              <w:t>42,354,1</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79" w:top="1060" w:bottom="1160" w:left="46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1702"/>
        <w:gridCol w:w="838"/>
        <w:gridCol w:w="864"/>
        <w:gridCol w:w="660"/>
        <w:gridCol w:w="899"/>
        <w:gridCol w:w="850"/>
        <w:gridCol w:w="851"/>
        <w:gridCol w:w="851"/>
        <w:gridCol w:w="708"/>
        <w:gridCol w:w="992"/>
        <w:gridCol w:w="853"/>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31" w:right="0"/>
              <w:jc w:val="left"/>
              <w:rPr>
                <w:rFonts w:ascii="Times New Roman" w:hAnsi="Times New Roman" w:cs="Times New Roman" w:eastAsia="Times New Roman" w:hint="default"/>
                <w:sz w:val="21"/>
                <w:szCs w:val="21"/>
              </w:rPr>
            </w:pPr>
            <w:r>
              <w:rPr>
                <w:rFonts w:ascii="Times New Roman"/>
                <w:sz w:val="21"/>
              </w:rPr>
              <w:t>81.54</w:t>
            </w:r>
          </w:p>
        </w:tc>
        <w:tc>
          <w:tcPr>
            <w:tcW w:w="86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59" w:right="0"/>
              <w:jc w:val="left"/>
              <w:rPr>
                <w:rFonts w:ascii="Times New Roman" w:hAnsi="Times New Roman" w:cs="Times New Roman" w:eastAsia="Times New Roman" w:hint="default"/>
                <w:sz w:val="21"/>
                <w:szCs w:val="21"/>
              </w:rPr>
            </w:pPr>
            <w:r>
              <w:rPr>
                <w:rFonts w:ascii="Times New Roman"/>
                <w:sz w:val="21"/>
              </w:rPr>
              <w:t>1.49</w:t>
            </w:r>
          </w:p>
        </w:tc>
        <w:tc>
          <w:tcPr>
            <w:tcW w:w="8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4" w:right="0"/>
              <w:jc w:val="left"/>
              <w:rPr>
                <w:rFonts w:ascii="Times New Roman" w:hAnsi="Times New Roman" w:cs="Times New Roman" w:eastAsia="Times New Roman" w:hint="default"/>
                <w:sz w:val="21"/>
                <w:szCs w:val="21"/>
              </w:rPr>
            </w:pPr>
            <w:r>
              <w:rPr>
                <w:rFonts w:ascii="Times New Roman"/>
                <w:sz w:val="21"/>
              </w:rPr>
              <w:t>20.05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5" w:right="0"/>
              <w:jc w:val="left"/>
              <w:rPr>
                <w:rFonts w:ascii="Times New Roman" w:hAnsi="Times New Roman" w:cs="Times New Roman" w:eastAsia="Times New Roman" w:hint="default"/>
                <w:sz w:val="21"/>
                <w:szCs w:val="21"/>
              </w:rPr>
            </w:pPr>
            <w:r>
              <w:rPr>
                <w:rFonts w:ascii="Times New Roman"/>
                <w:sz w:val="21"/>
              </w:rPr>
              <w:t>20.80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8" w:right="0"/>
              <w:jc w:val="left"/>
              <w:rPr>
                <w:rFonts w:ascii="Times New Roman" w:hAnsi="Times New Roman" w:cs="Times New Roman" w:eastAsia="Times New Roman" w:hint="default"/>
                <w:sz w:val="21"/>
                <w:szCs w:val="21"/>
              </w:rPr>
            </w:pPr>
            <w:r>
              <w:rPr>
                <w:rFonts w:ascii="Times New Roman"/>
                <w:sz w:val="21"/>
              </w:rPr>
              <w:t>6.21</w:t>
            </w:r>
          </w:p>
        </w:tc>
        <w:tc>
          <w:tcPr>
            <w:tcW w:w="99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5" w:right="0"/>
              <w:jc w:val="left"/>
              <w:rPr>
                <w:rFonts w:ascii="Times New Roman" w:hAnsi="Times New Roman" w:cs="Times New Roman" w:eastAsia="Times New Roman" w:hint="default"/>
                <w:sz w:val="21"/>
                <w:szCs w:val="21"/>
              </w:rPr>
            </w:pPr>
            <w:r>
              <w:rPr>
                <w:rFonts w:ascii="Times New Roman"/>
                <w:sz w:val="21"/>
              </w:rPr>
              <w:t>74.59</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800" w:right="0"/>
        </w:sectPr>
      </w:pPr>
    </w:p>
    <w:p>
      <w:pPr>
        <w:pStyle w:val="BodyText"/>
        <w:spacing w:line="240" w:lineRule="auto" w:before="26"/>
        <w:ind w:left="814" w:right="-20"/>
        <w:jc w:val="left"/>
      </w:pPr>
      <w:r>
        <w:rPr/>
        <w:t>期末单项金额重大并单项计提坏账准备的其他应收款：</w:t>
      </w:r>
    </w:p>
    <w:p>
      <w:pPr>
        <w:pStyle w:val="BodyText"/>
        <w:spacing w:line="352" w:lineRule="auto" w:before="145"/>
        <w:ind w:left="814" w:right="220"/>
        <w:jc w:val="left"/>
      </w:pPr>
      <w:r>
        <w:rPr/>
        <w:t>□ 适用 √</w:t>
      </w:r>
      <w:r>
        <w:rPr>
          <w:spacing w:val="-1"/>
        </w:rPr>
        <w:t> </w:t>
      </w:r>
      <w:r>
        <w:rPr/>
        <w:t>不适用</w:t>
      </w:r>
      <w:r>
        <w:rPr/>
        <w:t> 组合中，按账龄分析法计提坏账准备的其他应收款：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0"/>
        <w:ind w:left="81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800" w:right="0"/>
          <w:cols w:num="2" w:equalWidth="0">
            <w:col w:w="6575" w:space="1640"/>
            <w:col w:w="2895"/>
          </w:cols>
        </w:sectPr>
      </w:pPr>
    </w:p>
    <w:p>
      <w:pPr>
        <w:spacing w:line="240" w:lineRule="auto" w:before="0"/>
        <w:rPr>
          <w:rFonts w:ascii="宋体" w:hAnsi="宋体" w:cs="宋体" w:eastAsia="宋体" w:hint="default"/>
          <w:sz w:val="7"/>
          <w:szCs w:val="7"/>
        </w:rPr>
      </w:pPr>
    </w:p>
    <w:tbl>
      <w:tblPr>
        <w:tblW w:w="0" w:type="auto"/>
        <w:jc w:val="left"/>
        <w:tblInd w:w="375" w:type="dxa"/>
        <w:tblLayout w:type="fixed"/>
        <w:tblCellMar>
          <w:top w:w="0" w:type="dxa"/>
          <w:left w:w="0" w:type="dxa"/>
          <w:bottom w:w="0" w:type="dxa"/>
          <w:right w:w="0" w:type="dxa"/>
        </w:tblCellMar>
        <w:tblLook w:val="01E0"/>
      </w:tblPr>
      <w:tblGrid>
        <w:gridCol w:w="2471"/>
        <w:gridCol w:w="2307"/>
        <w:gridCol w:w="2391"/>
        <w:gridCol w:w="2390"/>
      </w:tblGrid>
      <w:tr>
        <w:trPr>
          <w:trHeight w:val="205"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2"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7088"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6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2,859,905.86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142,995.29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2,859,905.86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142,995.29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38,835.00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3,883.50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10,969.00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3,290.70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54,440.00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37,292.00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68.50%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25,200.00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1,392.00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10,700.00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10,700.00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2,964,149.86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187,461.49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6.32%</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800" w:right="0"/>
        </w:sectPr>
      </w:pPr>
    </w:p>
    <w:p>
      <w:pPr>
        <w:spacing w:line="350" w:lineRule="auto" w:before="26"/>
        <w:ind w:left="813" w:right="-18"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）本期计提、收回或转回的坏账准备情况</w:t>
      </w:r>
      <w:r>
        <w:rPr>
          <w:rFonts w:ascii="宋体" w:hAnsi="宋体" w:cs="宋体" w:eastAsia="宋体" w:hint="default"/>
          <w:b/>
          <w:bCs/>
          <w:w w:val="99"/>
          <w:sz w:val="24"/>
          <w:szCs w:val="24"/>
        </w:rPr>
        <w:t> </w:t>
      </w:r>
      <w:r>
        <w:rPr>
          <w:rFonts w:ascii="宋体" w:hAnsi="宋体" w:cs="宋体" w:eastAsia="宋体" w:hint="default"/>
          <w:sz w:val="24"/>
          <w:szCs w:val="24"/>
        </w:rPr>
        <w:t>本期计提坏账准备金额</w:t>
      </w:r>
      <w:r>
        <w:rPr>
          <w:rFonts w:ascii="宋体" w:hAnsi="宋体" w:cs="宋体" w:eastAsia="宋体" w:hint="default"/>
          <w:sz w:val="24"/>
          <w:szCs w:val="24"/>
        </w:rPr>
        <w:t>34,115.28</w:t>
      </w:r>
      <w:r>
        <w:rPr>
          <w:rFonts w:ascii="宋体" w:hAnsi="宋体" w:cs="宋体" w:eastAsia="宋体" w:hint="default"/>
          <w:sz w:val="24"/>
          <w:szCs w:val="24"/>
        </w:rPr>
        <w:t>元；本期收回或转回坏账准备金额</w:t>
      </w:r>
      <w:r>
        <w:rPr>
          <w:rFonts w:ascii="宋体" w:hAnsi="宋体" w:cs="宋体" w:eastAsia="宋体" w:hint="default"/>
          <w:sz w:val="24"/>
          <w:szCs w:val="24"/>
        </w:rPr>
        <w:t>0</w:t>
      </w:r>
      <w:r>
        <w:rPr>
          <w:rFonts w:ascii="宋体" w:hAnsi="宋体" w:cs="宋体" w:eastAsia="宋体" w:hint="default"/>
          <w:sz w:val="24"/>
          <w:szCs w:val="24"/>
        </w:rPr>
        <w:t>元。</w:t>
      </w:r>
    </w:p>
    <w:p>
      <w:pPr>
        <w:pStyle w:val="Heading2"/>
        <w:spacing w:line="350" w:lineRule="auto" w:before="36"/>
        <w:ind w:left="813" w:right="3683" w:firstLine="2"/>
        <w:jc w:val="left"/>
        <w:rPr>
          <w:rFonts w:ascii="宋体" w:hAnsi="宋体" w:cs="宋体" w:eastAsia="宋体" w:hint="default"/>
          <w:b w:val="0"/>
          <w:bCs w:val="0"/>
        </w:rPr>
      </w:pPr>
      <w:r>
        <w:rPr>
          <w:w w:val="95"/>
        </w:rPr>
        <w:t>（</w:t>
      </w:r>
      <w:r>
        <w:rPr>
          <w:rFonts w:ascii="宋体" w:hAnsi="宋体" w:cs="宋体" w:eastAsia="宋体" w:hint="default"/>
          <w:w w:val="95"/>
        </w:rPr>
        <w:t>3</w:t>
      </w:r>
      <w:r>
        <w:rPr>
          <w:w w:val="95"/>
        </w:rPr>
        <w:t>）本期实际核销的其他应收款情况</w:t>
      </w:r>
      <w:r>
        <w:rPr>
          <w:spacing w:val="67"/>
          <w:w w:val="95"/>
        </w:rPr>
        <w:t> </w:t>
      </w:r>
      <w:r>
        <w:rPr>
          <w:rFonts w:ascii="宋体" w:hAnsi="宋体" w:cs="宋体" w:eastAsia="宋体" w:hint="default"/>
          <w:b w:val="0"/>
          <w:bCs w:val="0"/>
        </w:rPr>
        <w:t>无</w:t>
      </w:r>
    </w:p>
    <w:p>
      <w:pPr>
        <w:pStyle w:val="Heading2"/>
        <w:spacing w:line="240" w:lineRule="auto" w:before="35"/>
        <w:ind w:left="816" w:right="-18"/>
        <w:jc w:val="left"/>
        <w:rPr>
          <w:b w:val="0"/>
          <w:bCs w:val="0"/>
        </w:rPr>
      </w:pPr>
      <w:r>
        <w:rPr/>
        <w:t>（</w:t>
      </w:r>
      <w:r>
        <w:rPr>
          <w:rFonts w:ascii="宋体" w:hAnsi="宋体" w:cs="宋体" w:eastAsia="宋体" w:hint="default"/>
        </w:rPr>
        <w:t>4</w:t>
      </w:r>
      <w:r>
        <w:rPr/>
        <w:t>）其他应收款按款项性质分类情况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1"/>
        <w:ind w:left="493"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800" w:right="0"/>
          <w:cols w:num="2" w:equalWidth="0">
            <w:col w:w="8496" w:space="40"/>
            <w:col w:w="2574"/>
          </w:cols>
        </w:sectPr>
      </w:pPr>
    </w:p>
    <w:p>
      <w:pPr>
        <w:spacing w:line="240" w:lineRule="auto" w:before="12"/>
        <w:rPr>
          <w:rFonts w:ascii="宋体" w:hAnsi="宋体" w:cs="宋体" w:eastAsia="宋体" w:hint="default"/>
          <w:sz w:val="6"/>
          <w:szCs w:val="6"/>
        </w:rPr>
      </w:pPr>
    </w:p>
    <w:tbl>
      <w:tblPr>
        <w:tblW w:w="0" w:type="auto"/>
        <w:jc w:val="left"/>
        <w:tblInd w:w="375" w:type="dxa"/>
        <w:tblLayout w:type="fixed"/>
        <w:tblCellMar>
          <w:top w:w="0" w:type="dxa"/>
          <w:left w:w="0" w:type="dxa"/>
          <w:bottom w:w="0" w:type="dxa"/>
          <w:right w:w="0" w:type="dxa"/>
        </w:tblCellMar>
        <w:tblLook w:val="01E0"/>
      </w:tblPr>
      <w:tblGrid>
        <w:gridCol w:w="3345"/>
        <w:gridCol w:w="3112"/>
        <w:gridCol w:w="3101"/>
      </w:tblGrid>
      <w:tr>
        <w:trPr>
          <w:trHeight w:val="402"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92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91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1,446,802.44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1,507,536.06</w:t>
            </w:r>
          </w:p>
        </w:tc>
      </w:tr>
      <w:tr>
        <w:trPr>
          <w:trHeight w:val="402"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1,023,392.00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368,534.51</w:t>
            </w:r>
          </w:p>
        </w:tc>
      </w:tr>
      <w:tr>
        <w:trPr>
          <w:trHeight w:val="402"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31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40,000,000.00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代缴代扣款项</w:t>
            </w:r>
          </w:p>
        </w:tc>
        <w:tc>
          <w:tcPr>
            <w:tcW w:w="31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479,031.68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430,817.30</w:t>
            </w:r>
          </w:p>
        </w:tc>
      </w:tr>
      <w:tr>
        <w:trPr>
          <w:trHeight w:val="402"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投资款</w:t>
            </w:r>
          </w:p>
        </w:tc>
        <w:tc>
          <w:tcPr>
            <w:tcW w:w="3112" w:type="dxa"/>
            <w:tcBorders>
              <w:top w:val="single" w:sz="4" w:space="0" w:color="000000"/>
              <w:left w:val="single" w:sz="13" w:space="0" w:color="D2D2D2"/>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39,473,684.00</w:t>
            </w:r>
          </w:p>
        </w:tc>
      </w:tr>
      <w:tr>
        <w:trPr>
          <w:trHeight w:val="402"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493,955.42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726,948.93</w:t>
            </w:r>
          </w:p>
        </w:tc>
      </w:tr>
      <w:tr>
        <w:trPr>
          <w:trHeight w:val="403" w:hRule="exact"/>
        </w:trPr>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43,443,181.54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42,507,520.80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800" w:right="0"/>
        </w:sectPr>
      </w:pPr>
    </w:p>
    <w:p>
      <w:pPr>
        <w:pStyle w:val="Heading2"/>
        <w:spacing w:line="240" w:lineRule="auto"/>
        <w:ind w:left="816" w:right="0"/>
        <w:jc w:val="left"/>
        <w:rPr>
          <w:b w:val="0"/>
          <w:bCs w:val="0"/>
        </w:rPr>
      </w:pPr>
      <w:r>
        <w:rPr>
          <w:w w:val="95"/>
        </w:rPr>
        <w:t>（</w:t>
      </w:r>
      <w:r>
        <w:rPr>
          <w:rFonts w:ascii="宋体" w:hAnsi="宋体" w:cs="宋体" w:eastAsia="宋体" w:hint="default"/>
          <w:w w:val="95"/>
        </w:rPr>
        <w:t>5</w:t>
      </w:r>
      <w:r>
        <w:rPr>
          <w:w w:val="95"/>
        </w:rPr>
        <w:t>）按欠款方归集的期末余额前五名的其他应收款情况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81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800" w:right="0"/>
          <w:cols w:num="2" w:equalWidth="0">
            <w:col w:w="6717" w:space="1496"/>
            <w:col w:w="2897"/>
          </w:cols>
        </w:sectPr>
      </w:pP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22"/>
        <w:gridCol w:w="1417"/>
        <w:gridCol w:w="1277"/>
        <w:gridCol w:w="1276"/>
        <w:gridCol w:w="1892"/>
        <w:gridCol w:w="1793"/>
      </w:tblGrid>
      <w:tr>
        <w:trPr>
          <w:trHeight w:val="402" w:hRule="exact"/>
        </w:trPr>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7"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2"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bl>
    <w:p>
      <w:pPr>
        <w:spacing w:after="0" w:line="240" w:lineRule="auto"/>
        <w:jc w:val="left"/>
        <w:rPr>
          <w:rFonts w:ascii="宋体" w:hAnsi="宋体" w:cs="宋体" w:eastAsia="宋体" w:hint="default"/>
          <w:sz w:val="21"/>
          <w:szCs w:val="21"/>
        </w:rPr>
        <w:sectPr>
          <w:type w:val="continuous"/>
          <w:pgSz w:w="11910" w:h="16840"/>
          <w:pgMar w:top="1060" w:bottom="1160" w:left="800" w:right="0"/>
        </w:sectPr>
      </w:pPr>
    </w:p>
    <w:p>
      <w:pPr>
        <w:spacing w:line="240" w:lineRule="auto" w:before="6"/>
        <w:rPr>
          <w:rFonts w:ascii="宋体" w:hAnsi="宋体" w:cs="宋体" w:eastAsia="宋体" w:hint="default"/>
          <w:sz w:val="28"/>
          <w:szCs w:val="28"/>
        </w:rPr>
      </w:pPr>
    </w:p>
    <w:tbl>
      <w:tblPr>
        <w:tblW w:w="0" w:type="auto"/>
        <w:jc w:val="left"/>
        <w:tblInd w:w="380" w:type="dxa"/>
        <w:tblLayout w:type="fixed"/>
        <w:tblCellMar>
          <w:top w:w="0" w:type="dxa"/>
          <w:left w:w="0" w:type="dxa"/>
          <w:bottom w:w="0" w:type="dxa"/>
          <w:right w:w="0" w:type="dxa"/>
        </w:tblCellMar>
        <w:tblLook w:val="01E0"/>
      </w:tblPr>
      <w:tblGrid>
        <w:gridCol w:w="2322"/>
        <w:gridCol w:w="1417"/>
        <w:gridCol w:w="1277"/>
        <w:gridCol w:w="1276"/>
        <w:gridCol w:w="1892"/>
        <w:gridCol w:w="1794"/>
      </w:tblGrid>
      <w:tr>
        <w:trPr>
          <w:trHeight w:val="362" w:hRule="exact"/>
        </w:trPr>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余额合计数的比例</w:t>
            </w:r>
          </w:p>
        </w:tc>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天津辉煌路阳科技有限公司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资金拆借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Arial" w:hAnsi="Arial" w:cs="Arial" w:eastAsia="Arial" w:hint="default"/>
                <w:sz w:val="18"/>
                <w:szCs w:val="18"/>
              </w:rPr>
            </w:pPr>
            <w:r>
              <w:rPr>
                <w:rFonts w:ascii="Arial"/>
                <w:spacing w:val="-1"/>
                <w:w w:val="80"/>
                <w:sz w:val="18"/>
              </w:rPr>
              <w:t>40,000,000.00</w:t>
            </w:r>
            <w:r>
              <w:rPr>
                <w:rFonts w:ascii="Arial"/>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Arial" w:hAnsi="Arial" w:cs="Arial" w:eastAsia="Arial" w:hint="default"/>
                <w:sz w:val="18"/>
                <w:szCs w:val="18"/>
              </w:rPr>
            </w:pPr>
            <w:r>
              <w:rPr>
                <w:rFonts w:ascii="Arial"/>
                <w:w w:val="80"/>
                <w:sz w:val="18"/>
              </w:rPr>
              <w:t>92.07%</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2"/>
              <w:jc w:val="left"/>
              <w:rPr>
                <w:rFonts w:ascii="宋体" w:hAnsi="宋体" w:cs="宋体" w:eastAsia="宋体" w:hint="default"/>
                <w:sz w:val="18"/>
                <w:szCs w:val="18"/>
              </w:rPr>
            </w:pPr>
            <w:r>
              <w:rPr>
                <w:rFonts w:ascii="宋体" w:hAnsi="宋体" w:cs="宋体" w:eastAsia="宋体" w:hint="default"/>
                <w:spacing w:val="9"/>
                <w:sz w:val="18"/>
                <w:szCs w:val="18"/>
              </w:rPr>
              <w:t>中铁电气化局集团物资贸易 </w:t>
            </w:r>
            <w:r>
              <w:rPr>
                <w:rFonts w:ascii="宋体" w:hAnsi="宋体" w:cs="宋体" w:eastAsia="宋体" w:hint="default"/>
                <w:sz w:val="18"/>
                <w:szCs w:val="18"/>
              </w:rPr>
              <w:t>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460,109.00</w:t>
            </w:r>
            <w:r>
              <w:rPr>
                <w:rFonts w:ascii="Arial"/>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80"/>
                <w:sz w:val="18"/>
              </w:rPr>
              <w:t>1.06%</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23,005.45</w:t>
            </w:r>
            <w:r>
              <w:rPr>
                <w:rFonts w:ascii="Arial"/>
                <w:spacing w:val="-1"/>
                <w:sz w:val="18"/>
              </w:rPr>
            </w:r>
          </w:p>
        </w:tc>
      </w:tr>
      <w:tr>
        <w:trPr>
          <w:trHeight w:val="557" w:hRule="exact"/>
        </w:trPr>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2"/>
              <w:jc w:val="left"/>
              <w:rPr>
                <w:rFonts w:ascii="宋体" w:hAnsi="宋体" w:cs="宋体" w:eastAsia="宋体" w:hint="default"/>
                <w:sz w:val="18"/>
                <w:szCs w:val="18"/>
              </w:rPr>
            </w:pPr>
            <w:r>
              <w:rPr>
                <w:rFonts w:ascii="宋体" w:hAnsi="宋体" w:cs="宋体" w:eastAsia="宋体" w:hint="default"/>
                <w:spacing w:val="9"/>
                <w:sz w:val="18"/>
                <w:szCs w:val="18"/>
              </w:rPr>
              <w:t>中国石化销售有限公司河南 </w:t>
            </w:r>
            <w:r>
              <w:rPr>
                <w:rFonts w:ascii="宋体" w:hAnsi="宋体" w:cs="宋体" w:eastAsia="宋体" w:hint="default"/>
                <w:sz w:val="18"/>
                <w:szCs w:val="18"/>
              </w:rPr>
              <w:t>郑州石油分公司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210,000.00</w:t>
            </w:r>
            <w:r>
              <w:rPr>
                <w:rFonts w:ascii="Arial"/>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80"/>
                <w:sz w:val="18"/>
              </w:rPr>
              <w:t>0.48%</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10,500.00</w:t>
            </w:r>
            <w:r>
              <w:rPr>
                <w:rFonts w:ascii="Arial"/>
                <w:spacing w:val="-1"/>
                <w:sz w:val="18"/>
              </w:rPr>
            </w:r>
          </w:p>
        </w:tc>
      </w:tr>
      <w:tr>
        <w:trPr>
          <w:trHeight w:val="557" w:hRule="exact"/>
        </w:trPr>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2"/>
              <w:jc w:val="left"/>
              <w:rPr>
                <w:rFonts w:ascii="宋体" w:hAnsi="宋体" w:cs="宋体" w:eastAsia="宋体" w:hint="default"/>
                <w:sz w:val="18"/>
                <w:szCs w:val="18"/>
              </w:rPr>
            </w:pPr>
            <w:r>
              <w:rPr>
                <w:rFonts w:ascii="宋体" w:hAnsi="宋体" w:cs="宋体" w:eastAsia="宋体" w:hint="default"/>
                <w:spacing w:val="9"/>
                <w:sz w:val="18"/>
                <w:szCs w:val="18"/>
              </w:rPr>
              <w:t>中铁建电气化局集团科技有 </w:t>
            </w:r>
            <w:r>
              <w:rPr>
                <w:rFonts w:ascii="宋体" w:hAnsi="宋体" w:cs="宋体" w:eastAsia="宋体" w:hint="default"/>
                <w:sz w:val="18"/>
                <w:szCs w:val="18"/>
              </w:rPr>
              <w:t>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200,486.00</w:t>
            </w:r>
            <w:r>
              <w:rPr>
                <w:rFonts w:ascii="Arial"/>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w w:val="80"/>
                <w:sz w:val="18"/>
              </w:rPr>
              <w:t>0.46%</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10,024.30</w:t>
            </w:r>
            <w:r>
              <w:rPr>
                <w:rFonts w:ascii="Arial"/>
                <w:spacing w:val="-1"/>
                <w:sz w:val="18"/>
              </w:rPr>
            </w:r>
          </w:p>
        </w:tc>
      </w:tr>
      <w:tr>
        <w:trPr>
          <w:trHeight w:val="402" w:hRule="exact"/>
        </w:trPr>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代扣代缴款项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Arial" w:hAnsi="Arial" w:cs="Arial" w:eastAsia="Arial" w:hint="default"/>
                <w:sz w:val="18"/>
                <w:szCs w:val="18"/>
              </w:rPr>
            </w:pPr>
            <w:r>
              <w:rPr>
                <w:rFonts w:ascii="Arial"/>
                <w:spacing w:val="-1"/>
                <w:w w:val="80"/>
                <w:sz w:val="18"/>
              </w:rPr>
              <w:t>198,054.92</w:t>
            </w:r>
            <w:r>
              <w:rPr>
                <w:rFonts w:ascii="Arial"/>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Arial" w:hAnsi="Arial" w:cs="Arial" w:eastAsia="Arial" w:hint="default"/>
                <w:sz w:val="18"/>
                <w:szCs w:val="18"/>
              </w:rPr>
            </w:pPr>
            <w:r>
              <w:rPr>
                <w:rFonts w:ascii="Arial"/>
                <w:w w:val="80"/>
                <w:sz w:val="18"/>
              </w:rPr>
              <w:t>0.46%</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2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9"/>
              <w:ind w:right="22"/>
              <w:jc w:val="right"/>
              <w:rPr>
                <w:rFonts w:ascii="Arial" w:hAnsi="Arial" w:cs="Arial" w:eastAsia="Arial" w:hint="default"/>
                <w:sz w:val="18"/>
                <w:szCs w:val="18"/>
              </w:rPr>
            </w:pPr>
            <w:r>
              <w:rPr>
                <w:rFonts w:ascii="Arial"/>
                <w:spacing w:val="-1"/>
                <w:w w:val="80"/>
                <w:sz w:val="18"/>
              </w:rPr>
              <w:t>41,068,649.92</w:t>
            </w:r>
            <w:r>
              <w:rPr>
                <w:rFonts w:ascii="Arial"/>
                <w:spacing w:val="-1"/>
                <w:sz w:val="18"/>
              </w:rPr>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Arial" w:hAnsi="Arial" w:cs="Arial" w:eastAsia="Arial" w:hint="default"/>
                <w:sz w:val="18"/>
                <w:szCs w:val="18"/>
              </w:rPr>
            </w:pPr>
            <w:r>
              <w:rPr>
                <w:rFonts w:ascii="Arial"/>
                <w:w w:val="80"/>
                <w:sz w:val="18"/>
              </w:rPr>
              <w:t>94.53%</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Arial" w:hAnsi="Arial" w:cs="Arial" w:eastAsia="Arial" w:hint="default"/>
                <w:sz w:val="18"/>
                <w:szCs w:val="18"/>
              </w:rPr>
            </w:pPr>
            <w:r>
              <w:rPr>
                <w:rFonts w:ascii="Arial"/>
                <w:spacing w:val="-1"/>
                <w:w w:val="80"/>
                <w:sz w:val="18"/>
              </w:rPr>
              <w:t>43,529.75</w:t>
            </w:r>
            <w:r>
              <w:rPr>
                <w:rFonts w:ascii="Arial"/>
                <w:spacing w:val="-1"/>
                <w:sz w:val="18"/>
              </w:rPr>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580" w:right="0"/>
        </w:sectPr>
      </w:pPr>
    </w:p>
    <w:p>
      <w:pPr>
        <w:pStyle w:val="Heading2"/>
        <w:spacing w:line="240" w:lineRule="auto"/>
        <w:ind w:left="1036" w:right="0"/>
        <w:jc w:val="left"/>
        <w:rPr>
          <w:b w:val="0"/>
          <w:bCs w:val="0"/>
        </w:rPr>
      </w:pPr>
      <w:r>
        <w:rPr>
          <w:rFonts w:ascii="宋体" w:hAnsi="宋体" w:cs="宋体" w:eastAsia="宋体" w:hint="default"/>
          <w:w w:val="95"/>
        </w:rPr>
        <w:t>3</w:t>
      </w:r>
      <w:r>
        <w:rPr>
          <w:w w:val="95"/>
        </w:rPr>
        <w:t>、长期股权投资</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10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580" w:right="0"/>
          <w:cols w:num="2" w:equalWidth="0">
            <w:col w:w="2843" w:space="5369"/>
            <w:col w:w="3118"/>
          </w:cols>
        </w:sectPr>
      </w:pPr>
    </w:p>
    <w:p>
      <w:pPr>
        <w:spacing w:line="240" w:lineRule="auto" w:before="12"/>
        <w:rPr>
          <w:rFonts w:ascii="宋体" w:hAnsi="宋体" w:cs="宋体" w:eastAsia="宋体" w:hint="default"/>
          <w:sz w:val="6"/>
          <w:szCs w:val="6"/>
        </w:rPr>
      </w:pPr>
    </w:p>
    <w:tbl>
      <w:tblPr>
        <w:tblW w:w="0" w:type="auto"/>
        <w:jc w:val="left"/>
        <w:tblInd w:w="506" w:type="dxa"/>
        <w:tblLayout w:type="fixed"/>
        <w:tblCellMar>
          <w:top w:w="0" w:type="dxa"/>
          <w:left w:w="0" w:type="dxa"/>
          <w:bottom w:w="0" w:type="dxa"/>
          <w:right w:w="0" w:type="dxa"/>
        </w:tblCellMar>
        <w:tblLook w:val="01E0"/>
      </w:tblPr>
      <w:tblGrid>
        <w:gridCol w:w="1307"/>
        <w:gridCol w:w="1430"/>
        <w:gridCol w:w="1276"/>
        <w:gridCol w:w="1417"/>
        <w:gridCol w:w="1559"/>
        <w:gridCol w:w="1277"/>
        <w:gridCol w:w="1470"/>
      </w:tblGrid>
      <w:tr>
        <w:trPr>
          <w:trHeight w:val="206" w:hRule="exact"/>
        </w:trPr>
        <w:tc>
          <w:tcPr>
            <w:tcW w:w="13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2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6" w:hRule="exact"/>
        </w:trPr>
        <w:tc>
          <w:tcPr>
            <w:tcW w:w="13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23" w:type="dxa"/>
            <w:gridSpan w:val="3"/>
            <w:vMerge/>
            <w:tcBorders>
              <w:left w:val="single" w:sz="4" w:space="0" w:color="000000"/>
              <w:bottom w:val="single" w:sz="4" w:space="0" w:color="000000"/>
              <w:right w:val="single" w:sz="4" w:space="0" w:color="000000"/>
            </w:tcBorders>
            <w:shd w:val="clear" w:color="auto" w:fill="D2D2D2"/>
          </w:tcPr>
          <w:p>
            <w:pPr/>
          </w:p>
        </w:tc>
        <w:tc>
          <w:tcPr>
            <w:tcW w:w="4306"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07"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9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1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1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0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5" w:hRule="exact"/>
        </w:trPr>
        <w:tc>
          <w:tcPr>
            <w:tcW w:w="13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336,898,257.83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4" w:right="0"/>
              <w:jc w:val="left"/>
              <w:rPr>
                <w:rFonts w:ascii="Times New Roman" w:hAnsi="Times New Roman" w:cs="Times New Roman" w:eastAsia="Times New Roman" w:hint="default"/>
                <w:sz w:val="21"/>
                <w:szCs w:val="21"/>
              </w:rPr>
            </w:pPr>
            <w:r>
              <w:rPr>
                <w:rFonts w:ascii="Times New Roman"/>
                <w:sz w:val="21"/>
              </w:rPr>
              <w:t>15,777,057.83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1" w:right="0"/>
              <w:jc w:val="center"/>
              <w:rPr>
                <w:rFonts w:ascii="Times New Roman" w:hAnsi="Times New Roman" w:cs="Times New Roman" w:eastAsia="Times New Roman" w:hint="default"/>
                <w:sz w:val="21"/>
                <w:szCs w:val="21"/>
              </w:rPr>
            </w:pPr>
            <w:r>
              <w:rPr>
                <w:rFonts w:ascii="Times New Roman"/>
                <w:sz w:val="21"/>
              </w:rPr>
              <w:t>321,121,200.00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332,498,257.83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332,498,257.83</w:t>
            </w:r>
          </w:p>
        </w:tc>
      </w:tr>
      <w:tr>
        <w:trPr>
          <w:trHeight w:val="714"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24"/>
              <w:jc w:val="left"/>
              <w:rPr>
                <w:rFonts w:ascii="宋体" w:hAnsi="宋体" w:cs="宋体" w:eastAsia="宋体" w:hint="default"/>
                <w:sz w:val="21"/>
                <w:szCs w:val="21"/>
              </w:rPr>
            </w:pPr>
            <w:r>
              <w:rPr>
                <w:rFonts w:ascii="宋体" w:hAnsi="宋体" w:cs="宋体" w:eastAsia="宋体" w:hint="default"/>
                <w:sz w:val="21"/>
                <w:szCs w:val="21"/>
              </w:rPr>
              <w:t>对联营、合营 企业投资</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132,485,818.96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21"/>
                <w:szCs w:val="21"/>
              </w:rPr>
            </w:pPr>
            <w:r>
              <w:rPr>
                <w:rFonts w:ascii="Times New Roman"/>
                <w:sz w:val="21"/>
              </w:rPr>
              <w:t>132,485,818.96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469,384,076.79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15,777,057.83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1" w:right="0"/>
              <w:jc w:val="center"/>
              <w:rPr>
                <w:rFonts w:ascii="Times New Roman" w:hAnsi="Times New Roman" w:cs="Times New Roman" w:eastAsia="Times New Roman" w:hint="default"/>
                <w:sz w:val="21"/>
                <w:szCs w:val="21"/>
              </w:rPr>
            </w:pPr>
            <w:r>
              <w:rPr>
                <w:rFonts w:ascii="Times New Roman"/>
                <w:sz w:val="21"/>
              </w:rPr>
              <w:t>453,607,018.96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332,498,257.83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332,498,257.83</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580" w:right="0"/>
        </w:sectPr>
      </w:pPr>
    </w:p>
    <w:p>
      <w:pPr>
        <w:pStyle w:val="Heading2"/>
        <w:spacing w:line="240" w:lineRule="auto"/>
        <w:ind w:left="1036" w:right="0"/>
        <w:jc w:val="left"/>
        <w:rPr>
          <w:b w:val="0"/>
          <w:bCs w:val="0"/>
        </w:rPr>
      </w:pPr>
      <w:r>
        <w:rPr>
          <w:w w:val="95"/>
        </w:rPr>
        <w:t>（</w:t>
      </w:r>
      <w:r>
        <w:rPr>
          <w:rFonts w:ascii="宋体" w:hAnsi="宋体" w:cs="宋体" w:eastAsia="宋体" w:hint="default"/>
          <w:w w:val="95"/>
        </w:rPr>
        <w:t>1</w:t>
      </w:r>
      <w:r>
        <w:rPr>
          <w:w w:val="95"/>
        </w:rPr>
        <w:t>）对子公司投资</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10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580" w:right="0"/>
          <w:cols w:num="2" w:equalWidth="0">
            <w:col w:w="3085" w:space="5128"/>
            <w:col w:w="3117"/>
          </w:cols>
        </w:sectPr>
      </w:pPr>
    </w:p>
    <w:p>
      <w:pPr>
        <w:spacing w:line="240" w:lineRule="auto" w:before="13"/>
        <w:rPr>
          <w:rFonts w:ascii="宋体" w:hAnsi="宋体" w:cs="宋体" w:eastAsia="宋体" w:hint="default"/>
          <w:sz w:val="6"/>
          <w:szCs w:val="6"/>
        </w:rPr>
      </w:pPr>
    </w:p>
    <w:tbl>
      <w:tblPr>
        <w:tblW w:w="0" w:type="auto"/>
        <w:jc w:val="left"/>
        <w:tblInd w:w="365" w:type="dxa"/>
        <w:tblLayout w:type="fixed"/>
        <w:tblCellMar>
          <w:top w:w="0" w:type="dxa"/>
          <w:left w:w="0" w:type="dxa"/>
          <w:bottom w:w="0" w:type="dxa"/>
          <w:right w:w="0" w:type="dxa"/>
        </w:tblCellMar>
        <w:tblLook w:val="01E0"/>
      </w:tblPr>
      <w:tblGrid>
        <w:gridCol w:w="1733"/>
        <w:gridCol w:w="1429"/>
        <w:gridCol w:w="1276"/>
        <w:gridCol w:w="1277"/>
        <w:gridCol w:w="1526"/>
        <w:gridCol w:w="1390"/>
        <w:gridCol w:w="1388"/>
      </w:tblGrid>
      <w:tr>
        <w:trPr>
          <w:trHeight w:val="161" w:hRule="exact"/>
        </w:trPr>
        <w:tc>
          <w:tcPr>
            <w:tcW w:w="17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78" w:right="59" w:hanging="420"/>
              <w:jc w:val="left"/>
              <w:rPr>
                <w:rFonts w:ascii="宋体" w:hAnsi="宋体" w:cs="宋体" w:eastAsia="宋体" w:hint="default"/>
                <w:sz w:val="21"/>
                <w:szCs w:val="21"/>
              </w:rPr>
            </w:pPr>
            <w:r>
              <w:rPr>
                <w:rFonts w:ascii="宋体" w:hAnsi="宋体" w:cs="宋体" w:eastAsia="宋体" w:hint="default"/>
                <w:sz w:val="21"/>
                <w:szCs w:val="21"/>
              </w:rPr>
              <w:t>本期计提减值 准备</w:t>
            </w:r>
          </w:p>
        </w:tc>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78" w:right="59" w:hanging="420"/>
              <w:jc w:val="left"/>
              <w:rPr>
                <w:rFonts w:ascii="宋体" w:hAnsi="宋体" w:cs="宋体" w:eastAsia="宋体" w:hint="default"/>
                <w:sz w:val="21"/>
                <w:szCs w:val="21"/>
              </w:rPr>
            </w:pPr>
            <w:r>
              <w:rPr>
                <w:rFonts w:ascii="宋体" w:hAnsi="宋体" w:cs="宋体" w:eastAsia="宋体" w:hint="default"/>
                <w:sz w:val="21"/>
                <w:szCs w:val="21"/>
              </w:rPr>
              <w:t>减值准备期末 余额</w:t>
            </w:r>
          </w:p>
        </w:tc>
      </w:tr>
      <w:tr>
        <w:trPr>
          <w:trHeight w:val="391" w:hRule="exact"/>
        </w:trPr>
        <w:tc>
          <w:tcPr>
            <w:tcW w:w="17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9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90" w:type="dxa"/>
            <w:vMerge/>
            <w:tcBorders>
              <w:left w:val="single" w:sz="4" w:space="0" w:color="000000"/>
              <w:right w:val="single" w:sz="4" w:space="0" w:color="000000"/>
            </w:tcBorders>
            <w:shd w:val="clear" w:color="auto" w:fill="D2D2D2"/>
          </w:tcPr>
          <w:p>
            <w:pPr/>
          </w:p>
        </w:tc>
        <w:tc>
          <w:tcPr>
            <w:tcW w:w="1388" w:type="dxa"/>
            <w:vMerge/>
            <w:tcBorders>
              <w:left w:val="single" w:sz="4" w:space="0" w:color="000000"/>
              <w:right w:val="single" w:sz="4" w:space="0" w:color="000000"/>
            </w:tcBorders>
            <w:shd w:val="clear" w:color="auto" w:fill="D2D2D2"/>
          </w:tcPr>
          <w:p>
            <w:pPr/>
          </w:p>
        </w:tc>
      </w:tr>
      <w:tr>
        <w:trPr>
          <w:trHeight w:val="161" w:hRule="exact"/>
        </w:trPr>
        <w:tc>
          <w:tcPr>
            <w:tcW w:w="17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0" w:type="dxa"/>
            <w:vMerge/>
            <w:tcBorders>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2" w:right="30"/>
              <w:jc w:val="left"/>
              <w:rPr>
                <w:rFonts w:ascii="宋体" w:hAnsi="宋体" w:cs="宋体" w:eastAsia="宋体" w:hint="default"/>
                <w:sz w:val="21"/>
                <w:szCs w:val="21"/>
              </w:rPr>
            </w:pPr>
            <w:r>
              <w:rPr>
                <w:rFonts w:ascii="宋体" w:hAnsi="宋体" w:cs="宋体" w:eastAsia="宋体" w:hint="default"/>
                <w:sz w:val="21"/>
                <w:szCs w:val="21"/>
              </w:rPr>
              <w:t>河南辉煌软件有限 公司</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2" w:right="30"/>
              <w:jc w:val="left"/>
              <w:rPr>
                <w:rFonts w:ascii="宋体" w:hAnsi="宋体" w:cs="宋体" w:eastAsia="宋体" w:hint="default"/>
                <w:sz w:val="21"/>
                <w:szCs w:val="21"/>
              </w:rPr>
            </w:pPr>
            <w:r>
              <w:rPr>
                <w:rFonts w:ascii="宋体" w:hAnsi="宋体" w:cs="宋体" w:eastAsia="宋体" w:hint="default"/>
                <w:sz w:val="21"/>
                <w:szCs w:val="21"/>
              </w:rPr>
              <w:t>北京全路信通软件 科技有限公司</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2" w:right="30"/>
              <w:jc w:val="left"/>
              <w:rPr>
                <w:rFonts w:ascii="宋体" w:hAnsi="宋体" w:cs="宋体" w:eastAsia="宋体" w:hint="default"/>
                <w:sz w:val="21"/>
                <w:szCs w:val="21"/>
              </w:rPr>
            </w:pPr>
            <w:r>
              <w:rPr>
                <w:rFonts w:ascii="宋体" w:hAnsi="宋体" w:cs="宋体" w:eastAsia="宋体" w:hint="default"/>
                <w:sz w:val="21"/>
                <w:szCs w:val="21"/>
              </w:rPr>
              <w:t>北京国铁路阳技术 有限公司</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311,398,257.83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311,398,257.83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15,777,057.83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15,777,057.83</w:t>
            </w:r>
          </w:p>
        </w:tc>
      </w:tr>
      <w:tr>
        <w:trPr>
          <w:trHeight w:val="714"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2" w:right="30"/>
              <w:jc w:val="left"/>
              <w:rPr>
                <w:rFonts w:ascii="宋体" w:hAnsi="宋体" w:cs="宋体" w:eastAsia="宋体" w:hint="default"/>
                <w:sz w:val="21"/>
                <w:szCs w:val="21"/>
              </w:rPr>
            </w:pPr>
            <w:r>
              <w:rPr>
                <w:rFonts w:ascii="宋体" w:hAnsi="宋体" w:cs="宋体" w:eastAsia="宋体" w:hint="default"/>
                <w:sz w:val="21"/>
                <w:szCs w:val="21"/>
              </w:rPr>
              <w:t>河南辉煌信通软件 有限公司</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332,498,257.83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336,898,257.83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15,777,057.83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15,777,057.83</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580" w:right="0"/>
        </w:sectPr>
      </w:pPr>
    </w:p>
    <w:p>
      <w:pPr>
        <w:pStyle w:val="Heading2"/>
        <w:spacing w:line="240" w:lineRule="auto"/>
        <w:ind w:left="1036" w:right="0"/>
        <w:jc w:val="left"/>
        <w:rPr>
          <w:b w:val="0"/>
          <w:bCs w:val="0"/>
        </w:rPr>
      </w:pPr>
      <w:r>
        <w:rPr>
          <w:w w:val="95"/>
        </w:rPr>
        <w:t>（</w:t>
      </w:r>
      <w:r>
        <w:rPr>
          <w:rFonts w:ascii="宋体" w:hAnsi="宋体" w:cs="宋体" w:eastAsia="宋体" w:hint="default"/>
          <w:w w:val="95"/>
        </w:rPr>
        <w:t>2</w:t>
      </w:r>
      <w:r>
        <w:rPr>
          <w:w w:val="95"/>
        </w:rPr>
        <w:t>）对联营、合营企业投资</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1"/>
        <w:ind w:left="10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580" w:right="0"/>
          <w:cols w:num="2" w:equalWidth="0">
            <w:col w:w="4047" w:space="4165"/>
            <w:col w:w="3118"/>
          </w:cols>
        </w:sectPr>
      </w:pPr>
    </w:p>
    <w:p>
      <w:pPr>
        <w:spacing w:line="240" w:lineRule="auto" w:before="0"/>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740"/>
        <w:gridCol w:w="542"/>
        <w:gridCol w:w="1418"/>
        <w:gridCol w:w="432"/>
        <w:gridCol w:w="1269"/>
        <w:gridCol w:w="568"/>
        <w:gridCol w:w="558"/>
        <w:gridCol w:w="798"/>
        <w:gridCol w:w="628"/>
        <w:gridCol w:w="425"/>
        <w:gridCol w:w="1418"/>
        <w:gridCol w:w="721"/>
      </w:tblGrid>
      <w:tr>
        <w:trPr>
          <w:trHeight w:val="402" w:hRule="exact"/>
        </w:trPr>
        <w:tc>
          <w:tcPr>
            <w:tcW w:w="17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444" w:right="0"/>
              <w:jc w:val="left"/>
              <w:rPr>
                <w:rFonts w:ascii="宋体" w:hAnsi="宋体" w:cs="宋体" w:eastAsia="宋体" w:hint="default"/>
                <w:sz w:val="21"/>
                <w:szCs w:val="21"/>
              </w:rPr>
            </w:pPr>
            <w:r>
              <w:rPr>
                <w:rFonts w:ascii="宋体" w:hAnsi="宋体" w:cs="宋体" w:eastAsia="宋体" w:hint="default"/>
                <w:sz w:val="21"/>
                <w:szCs w:val="21"/>
              </w:rPr>
              <w:t>投资单位</w:t>
            </w:r>
          </w:p>
        </w:tc>
        <w:tc>
          <w:tcPr>
            <w:tcW w:w="5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3" w:lineRule="auto"/>
              <w:ind w:left="55" w:right="55"/>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609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73" w:lineRule="auto"/>
              <w:ind w:left="39" w:right="39"/>
              <w:jc w:val="both"/>
              <w:rPr>
                <w:rFonts w:ascii="宋体" w:hAnsi="宋体" w:cs="宋体" w:eastAsia="宋体" w:hint="default"/>
                <w:sz w:val="21"/>
                <w:szCs w:val="21"/>
              </w:rPr>
            </w:pPr>
            <w:r>
              <w:rPr>
                <w:rFonts w:ascii="宋体" w:hAnsi="宋体" w:cs="宋体" w:eastAsia="宋体" w:hint="default"/>
                <w:sz w:val="21"/>
                <w:szCs w:val="21"/>
              </w:rPr>
              <w:t>减值准 备期末 余额</w:t>
            </w:r>
          </w:p>
        </w:tc>
      </w:tr>
      <w:tr>
        <w:trPr>
          <w:trHeight w:val="1338" w:hRule="exact"/>
        </w:trPr>
        <w:tc>
          <w:tcPr>
            <w:tcW w:w="1740" w:type="dxa"/>
            <w:vMerge/>
            <w:tcBorders>
              <w:left w:val="single" w:sz="4" w:space="0" w:color="000000"/>
              <w:bottom w:val="single" w:sz="4" w:space="0" w:color="000000"/>
              <w:right w:val="single" w:sz="4" w:space="0" w:color="000000"/>
            </w:tcBorders>
            <w:shd w:val="clear" w:color="auto" w:fill="D2D2D2"/>
          </w:tcPr>
          <w:p>
            <w:pPr/>
          </w:p>
        </w:tc>
        <w:tc>
          <w:tcPr>
            <w:tcW w:w="542"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104"/>
              <w:jc w:val="both"/>
              <w:rPr>
                <w:rFonts w:ascii="宋体" w:hAnsi="宋体" w:cs="宋体" w:eastAsia="宋体" w:hint="default"/>
                <w:sz w:val="21"/>
                <w:szCs w:val="21"/>
              </w:rPr>
            </w:pPr>
            <w:r>
              <w:rPr>
                <w:rFonts w:ascii="宋体" w:hAnsi="宋体" w:cs="宋体" w:eastAsia="宋体" w:hint="default"/>
                <w:sz w:val="21"/>
                <w:szCs w:val="21"/>
              </w:rPr>
              <w:t>减 少 投 资</w:t>
            </w:r>
          </w:p>
        </w:tc>
        <w:tc>
          <w:tcPr>
            <w:tcW w:w="1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4" w:right="102"/>
              <w:jc w:val="center"/>
              <w:rPr>
                <w:rFonts w:ascii="宋体" w:hAnsi="宋体" w:cs="宋体" w:eastAsia="宋体" w:hint="default"/>
                <w:sz w:val="21"/>
                <w:szCs w:val="21"/>
              </w:rPr>
            </w:pPr>
            <w:r>
              <w:rPr>
                <w:rFonts w:ascii="宋体" w:hAnsi="宋体" w:cs="宋体" w:eastAsia="宋体" w:hint="default"/>
                <w:sz w:val="21"/>
                <w:szCs w:val="21"/>
              </w:rPr>
              <w:t>权益法下确 认的投资损 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8" w:right="67"/>
              <w:jc w:val="both"/>
              <w:rPr>
                <w:rFonts w:ascii="宋体" w:hAnsi="宋体" w:cs="宋体" w:eastAsia="宋体" w:hint="default"/>
                <w:sz w:val="21"/>
                <w:szCs w:val="21"/>
              </w:rPr>
            </w:pPr>
            <w:r>
              <w:rPr>
                <w:rFonts w:ascii="宋体" w:hAnsi="宋体" w:cs="宋体" w:eastAsia="宋体" w:hint="default"/>
                <w:sz w:val="21"/>
                <w:szCs w:val="21"/>
              </w:rPr>
              <w:t>其他 综合 收益 调整</w:t>
            </w:r>
          </w:p>
        </w:tc>
        <w:tc>
          <w:tcPr>
            <w:tcW w:w="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3" w:right="62"/>
              <w:jc w:val="both"/>
              <w:rPr>
                <w:rFonts w:ascii="宋体" w:hAnsi="宋体" w:cs="宋体" w:eastAsia="宋体" w:hint="default"/>
                <w:sz w:val="21"/>
                <w:szCs w:val="21"/>
              </w:rPr>
            </w:pPr>
            <w:r>
              <w:rPr>
                <w:rFonts w:ascii="宋体" w:hAnsi="宋体" w:cs="宋体" w:eastAsia="宋体" w:hint="default"/>
                <w:sz w:val="21"/>
                <w:szCs w:val="21"/>
              </w:rPr>
              <w:t>其他 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7" w:right="78"/>
              <w:jc w:val="both"/>
              <w:rPr>
                <w:rFonts w:ascii="宋体" w:hAnsi="宋体" w:cs="宋体" w:eastAsia="宋体" w:hint="default"/>
                <w:sz w:val="21"/>
                <w:szCs w:val="21"/>
              </w:rPr>
            </w:pPr>
            <w:r>
              <w:rPr>
                <w:rFonts w:ascii="宋体" w:hAnsi="宋体" w:cs="宋体" w:eastAsia="宋体" w:hint="default"/>
                <w:sz w:val="21"/>
                <w:szCs w:val="21"/>
              </w:rPr>
              <w:t>宣告发 放现金 股利或 利润</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98" w:right="97"/>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1" w:right="101"/>
              <w:jc w:val="left"/>
              <w:rPr>
                <w:rFonts w:ascii="宋体" w:hAnsi="宋体" w:cs="宋体" w:eastAsia="宋体" w:hint="default"/>
                <w:sz w:val="21"/>
                <w:szCs w:val="21"/>
              </w:rPr>
            </w:pPr>
            <w:r>
              <w:rPr>
                <w:rFonts w:ascii="宋体" w:hAnsi="宋体" w:cs="宋体" w:eastAsia="宋体" w:hint="default"/>
                <w:sz w:val="21"/>
                <w:szCs w:val="21"/>
              </w:rPr>
              <w:t>其 他</w:t>
            </w:r>
          </w:p>
        </w:tc>
        <w:tc>
          <w:tcPr>
            <w:tcW w:w="1418"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5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740"/>
        <w:gridCol w:w="542"/>
        <w:gridCol w:w="1418"/>
        <w:gridCol w:w="432"/>
        <w:gridCol w:w="1269"/>
        <w:gridCol w:w="568"/>
        <w:gridCol w:w="558"/>
        <w:gridCol w:w="798"/>
        <w:gridCol w:w="628"/>
        <w:gridCol w:w="425"/>
        <w:gridCol w:w="1418"/>
        <w:gridCol w:w="721"/>
      </w:tblGrid>
      <w:tr>
        <w:trPr>
          <w:trHeight w:val="402" w:hRule="exact"/>
        </w:trPr>
        <w:tc>
          <w:tcPr>
            <w:tcW w:w="105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2" w:hRule="exact"/>
        </w:trPr>
        <w:tc>
          <w:tcPr>
            <w:tcW w:w="105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71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96"/>
              <w:jc w:val="left"/>
              <w:rPr>
                <w:rFonts w:ascii="宋体" w:hAnsi="宋体" w:cs="宋体" w:eastAsia="宋体" w:hint="default"/>
                <w:sz w:val="21"/>
                <w:szCs w:val="21"/>
              </w:rPr>
            </w:pPr>
            <w:r>
              <w:rPr>
                <w:rFonts w:ascii="宋体" w:hAnsi="宋体" w:cs="宋体" w:eastAsia="宋体" w:hint="default"/>
                <w:sz w:val="21"/>
                <w:szCs w:val="21"/>
              </w:rPr>
              <w:t>飞天联合</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系 统技术有限公司</w:t>
            </w:r>
          </w:p>
        </w:tc>
        <w:tc>
          <w:tcPr>
            <w:tcW w:w="54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55,793,684.00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-429,627.57</w:t>
            </w:r>
            <w:r>
              <w:rPr>
                <w:rFonts w:ascii="Times New Roman"/>
                <w:sz w:val="21"/>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55,364,056.43</w:t>
            </w: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7"/>
              <w:jc w:val="left"/>
              <w:rPr>
                <w:rFonts w:ascii="宋体" w:hAnsi="宋体" w:cs="宋体" w:eastAsia="宋体" w:hint="default"/>
                <w:sz w:val="21"/>
                <w:szCs w:val="21"/>
              </w:rPr>
            </w:pPr>
            <w:r>
              <w:rPr>
                <w:rFonts w:ascii="宋体" w:hAnsi="宋体" w:cs="宋体" w:eastAsia="宋体" w:hint="default"/>
                <w:sz w:val="21"/>
                <w:szCs w:val="21"/>
              </w:rPr>
              <w:t>北京赛弗网络科技 有限责任公司</w:t>
            </w:r>
          </w:p>
        </w:tc>
        <w:tc>
          <w:tcPr>
            <w:tcW w:w="54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78,928,300.00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-1,806,537.47</w:t>
            </w:r>
          </w:p>
        </w:tc>
        <w:tc>
          <w:tcPr>
            <w:tcW w:w="568"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77,121,762.53</w:t>
            </w: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54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134,721,984.00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-2,236,165.04</w:t>
            </w:r>
          </w:p>
        </w:tc>
        <w:tc>
          <w:tcPr>
            <w:tcW w:w="568"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132,485,818.96</w:t>
            </w: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4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134,721,984.00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-2,236,165.04</w:t>
            </w:r>
          </w:p>
        </w:tc>
        <w:tc>
          <w:tcPr>
            <w:tcW w:w="568"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132,485,818.96</w:t>
            </w:r>
          </w:p>
        </w:tc>
        <w:tc>
          <w:tcPr>
            <w:tcW w:w="7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52" w:lineRule="auto" w:before="26"/>
        <w:ind w:left="553" w:right="1169" w:firstLine="480"/>
        <w:jc w:val="both"/>
      </w:pPr>
      <w:r>
        <w:rPr/>
        <w:t>根据公司第五届董事会第四次会议决议，投资设立全资子公司河南辉煌信通软件有限公 司，注册资本</w:t>
      </w:r>
      <w:r>
        <w:rPr>
          <w:rFonts w:ascii="宋体" w:hAnsi="宋体" w:cs="宋体" w:eastAsia="宋体" w:hint="default"/>
        </w:rPr>
        <w:t>1,500.00</w:t>
      </w:r>
      <w:r>
        <w:rPr/>
        <w:t>万元，上期出资</w:t>
      </w:r>
      <w:r>
        <w:rPr>
          <w:rFonts w:ascii="宋体" w:hAnsi="宋体" w:cs="宋体" w:eastAsia="宋体" w:hint="default"/>
        </w:rPr>
        <w:t>110.00</w:t>
      </w:r>
      <w:r>
        <w:rPr/>
        <w:t>万元，本期出资</w:t>
      </w:r>
      <w:r>
        <w:rPr>
          <w:rFonts w:ascii="宋体" w:hAnsi="宋体" w:cs="宋体" w:eastAsia="宋体" w:hint="default"/>
        </w:rPr>
        <w:t>440.00</w:t>
      </w:r>
      <w:r>
        <w:rPr/>
        <w:t>万，截止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 </w:t>
      </w:r>
      <w:r>
        <w:rPr/>
        <w:t>日实际出资</w:t>
      </w:r>
      <w:r>
        <w:rPr>
          <w:rFonts w:ascii="宋体" w:hAnsi="宋体" w:cs="宋体" w:eastAsia="宋体" w:hint="default"/>
        </w:rPr>
        <w:t>550.00</w:t>
      </w:r>
      <w:r>
        <w:rPr/>
        <w:t>万。</w:t>
      </w:r>
    </w:p>
    <w:p>
      <w:pPr>
        <w:pStyle w:val="BodyText"/>
        <w:spacing w:line="352" w:lineRule="auto" w:before="32"/>
        <w:ind w:left="553" w:right="1169" w:firstLine="480"/>
        <w:jc w:val="both"/>
      </w:pPr>
      <w:r>
        <w:rPr/>
        <w:t>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日中联资产评估集团有限公司运用“收益法”对国铁路阳的全部权益 进行评估，根据公司以往获利能力及营运资金情况估计公司资产的未来获利能力、净现金流 量，并以</w:t>
      </w:r>
      <w:r>
        <w:rPr>
          <w:rFonts w:ascii="宋体" w:hAnsi="宋体" w:cs="宋体" w:eastAsia="宋体" w:hint="default"/>
        </w:rPr>
        <w:t>12.69%</w:t>
      </w:r>
      <w:r>
        <w:rPr/>
        <w:t>的折现率进行折现，确认评估基准日</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日国铁路阳全部权益价值 为</w:t>
      </w:r>
      <w:r>
        <w:rPr>
          <w:rFonts w:ascii="宋体" w:hAnsi="宋体" w:cs="宋体" w:eastAsia="宋体" w:hint="default"/>
        </w:rPr>
        <w:t>295,621,200.00</w:t>
      </w:r>
      <w:r>
        <w:rPr/>
        <w:t>元，由于确认该长期股权投资的可收回金额，本公司对可收回金额低于账 面价值的部分</w:t>
      </w:r>
      <w:r>
        <w:rPr>
          <w:rFonts w:ascii="宋体" w:hAnsi="宋体" w:cs="宋体" w:eastAsia="宋体" w:hint="default"/>
        </w:rPr>
        <w:t>15,777,057.83</w:t>
      </w:r>
      <w:r>
        <w:rPr/>
        <w:t>元计提了长期投资减值准备。</w:t>
      </w:r>
    </w:p>
    <w:p>
      <w:pPr>
        <w:pStyle w:val="Heading2"/>
        <w:spacing w:line="240" w:lineRule="auto" w:before="33"/>
        <w:ind w:left="1036" w:right="0"/>
        <w:jc w:val="left"/>
        <w:rPr>
          <w:b w:val="0"/>
          <w:bCs w:val="0"/>
        </w:rPr>
      </w:pPr>
      <w:r>
        <w:rPr>
          <w:rFonts w:ascii="宋体" w:hAnsi="宋体" w:cs="宋体" w:eastAsia="宋体" w:hint="default"/>
        </w:rPr>
        <w:t>4</w:t>
      </w:r>
      <w:r>
        <w:rPr/>
        <w:t>、营业收入和营业成本</w:t>
      </w:r>
      <w:r>
        <w:rPr>
          <w:b w:val="0"/>
          <w:bCs w:val="0"/>
        </w:rPr>
      </w:r>
    </w:p>
    <w:p>
      <w:pPr>
        <w:spacing w:before="83"/>
        <w:ind w:left="0" w:right="1129" w:firstLine="0"/>
        <w:jc w:val="right"/>
        <w:rPr>
          <w:rFonts w:ascii="宋体" w:hAnsi="宋体" w:cs="宋体" w:eastAsia="宋体" w:hint="default"/>
          <w:sz w:val="21"/>
          <w:szCs w:val="21"/>
        </w:rPr>
      </w:pPr>
      <w:r>
        <w:rPr>
          <w:rFonts w:ascii="宋体" w:hAnsi="宋体" w:cs="宋体" w:eastAsia="宋体" w:hint="default"/>
          <w:sz w:val="21"/>
          <w:szCs w:val="21"/>
        </w:rPr>
        <w:t>单位： 元</w:t>
      </w:r>
    </w:p>
    <w:p>
      <w:pPr>
        <w:spacing w:line="240" w:lineRule="auto" w:before="0"/>
        <w:rPr>
          <w:rFonts w:ascii="宋体" w:hAnsi="宋体" w:cs="宋体" w:eastAsia="宋体" w:hint="default"/>
          <w:sz w:val="7"/>
          <w:szCs w:val="7"/>
        </w:rPr>
      </w:pPr>
    </w:p>
    <w:tbl>
      <w:tblPr>
        <w:tblW w:w="0" w:type="auto"/>
        <w:jc w:val="left"/>
        <w:tblInd w:w="582"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393,850,739.38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223,151,927.67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324,575,617.31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205,286,179.46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28,335,980.65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13,546,314.85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42,343,624.07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31,659,281.23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422,186,720.03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236,698,242.52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366,919,241.38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236,945,460.69</w:t>
            </w:r>
          </w:p>
        </w:tc>
      </w:tr>
    </w:tbl>
    <w:p>
      <w:pPr>
        <w:spacing w:line="240" w:lineRule="auto" w:before="10"/>
        <w:rPr>
          <w:rFonts w:ascii="宋体" w:hAnsi="宋体" w:cs="宋体" w:eastAsia="宋体" w:hint="default"/>
          <w:sz w:val="4"/>
          <w:szCs w:val="4"/>
        </w:rPr>
      </w:pPr>
    </w:p>
    <w:p>
      <w:pPr>
        <w:pStyle w:val="BodyText"/>
        <w:spacing w:line="240" w:lineRule="auto" w:before="26"/>
        <w:ind w:left="1034" w:right="0"/>
        <w:jc w:val="left"/>
      </w:pPr>
      <w:r>
        <w:rPr/>
        <w:t>（</w:t>
      </w:r>
      <w:r>
        <w:rPr>
          <w:rFonts w:ascii="宋体" w:hAnsi="宋体" w:cs="宋体" w:eastAsia="宋体" w:hint="default"/>
        </w:rPr>
        <w:t>1</w:t>
      </w:r>
      <w:r>
        <w:rPr/>
        <w:t>）主营业务（分产品）</w:t>
      </w:r>
    </w:p>
    <w:p>
      <w:pPr>
        <w:spacing w:line="240" w:lineRule="auto" w:before="12"/>
        <w:rPr>
          <w:rFonts w:ascii="宋体" w:hAnsi="宋体" w:cs="宋体" w:eastAsia="宋体" w:hint="default"/>
          <w:sz w:val="4"/>
          <w:szCs w:val="4"/>
        </w:rPr>
      </w:pPr>
    </w:p>
    <w:tbl>
      <w:tblPr>
        <w:tblW w:w="0" w:type="auto"/>
        <w:jc w:val="left"/>
        <w:tblInd w:w="609" w:type="dxa"/>
        <w:tblLayout w:type="fixed"/>
        <w:tblCellMar>
          <w:top w:w="0" w:type="dxa"/>
          <w:left w:w="0" w:type="dxa"/>
          <w:bottom w:w="0" w:type="dxa"/>
          <w:right w:w="0" w:type="dxa"/>
        </w:tblCellMar>
        <w:tblLook w:val="01E0"/>
      </w:tblPr>
      <w:tblGrid>
        <w:gridCol w:w="3258"/>
        <w:gridCol w:w="1527"/>
        <w:gridCol w:w="1559"/>
        <w:gridCol w:w="1559"/>
        <w:gridCol w:w="1616"/>
      </w:tblGrid>
      <w:tr>
        <w:trPr>
          <w:trHeight w:val="337" w:hRule="exact"/>
        </w:trPr>
        <w:tc>
          <w:tcPr>
            <w:tcW w:w="3258" w:type="dxa"/>
            <w:vMerge w:val="restart"/>
            <w:tcBorders>
              <w:top w:val="single" w:sz="4" w:space="0" w:color="000000"/>
              <w:left w:val="single" w:sz="4" w:space="0" w:color="000000"/>
              <w:right w:val="single" w:sz="4" w:space="0" w:color="000000"/>
            </w:tcBorders>
            <w:shd w:val="clear" w:color="auto" w:fill="D2D2D2"/>
          </w:tcPr>
          <w:p>
            <w:pPr>
              <w:pStyle w:val="TableParagraph"/>
              <w:tabs>
                <w:tab w:pos="461" w:val="left" w:leader="none"/>
              </w:tabs>
              <w:spacing w:line="240" w:lineRule="auto" w:before="161"/>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7" w:hRule="exact"/>
        </w:trPr>
        <w:tc>
          <w:tcPr>
            <w:tcW w:w="3258" w:type="dxa"/>
            <w:vMerge/>
            <w:tcBorders>
              <w:left w:val="single" w:sz="4" w:space="0" w:color="000000"/>
              <w:bottom w:val="single" w:sz="4" w:space="0" w:color="000000"/>
              <w:right w:val="single" w:sz="4" w:space="0" w:color="000000"/>
            </w:tcBorders>
            <w:shd w:val="clear" w:color="auto" w:fill="D2D2D2"/>
          </w:tcPr>
          <w:p>
            <w:pP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33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3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3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38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37"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设备监测类产品</w:t>
            </w:r>
          </w:p>
        </w:tc>
        <w:tc>
          <w:tcPr>
            <w:tcW w:w="1527"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33"/>
              <w:ind w:right="5"/>
              <w:jc w:val="right"/>
              <w:rPr>
                <w:rFonts w:ascii="Times New Roman" w:hAnsi="Times New Roman" w:cs="Times New Roman" w:eastAsia="Times New Roman" w:hint="default"/>
                <w:sz w:val="21"/>
                <w:szCs w:val="21"/>
              </w:rPr>
            </w:pPr>
            <w:r>
              <w:rPr>
                <w:rFonts w:ascii="Times New Roman"/>
                <w:sz w:val="21"/>
              </w:rPr>
              <w:t>248,198,233.44</w:t>
            </w:r>
          </w:p>
        </w:tc>
        <w:tc>
          <w:tcPr>
            <w:tcW w:w="155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3"/>
              <w:ind w:right="5"/>
              <w:jc w:val="right"/>
              <w:rPr>
                <w:rFonts w:ascii="Times New Roman" w:hAnsi="Times New Roman" w:cs="Times New Roman" w:eastAsia="Times New Roman" w:hint="default"/>
                <w:sz w:val="21"/>
                <w:szCs w:val="21"/>
              </w:rPr>
            </w:pPr>
            <w:r>
              <w:rPr>
                <w:rFonts w:ascii="Times New Roman"/>
                <w:sz w:val="21"/>
              </w:rPr>
              <w:t>139,484,165.37</w:t>
            </w:r>
          </w:p>
        </w:tc>
        <w:tc>
          <w:tcPr>
            <w:tcW w:w="155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Times New Roman" w:hAnsi="Times New Roman" w:cs="Times New Roman" w:eastAsia="Times New Roman" w:hint="default"/>
                <w:sz w:val="21"/>
                <w:szCs w:val="21"/>
              </w:rPr>
            </w:pPr>
            <w:r>
              <w:rPr>
                <w:rFonts w:ascii="Times New Roman"/>
                <w:spacing w:val="-1"/>
                <w:sz w:val="21"/>
              </w:rPr>
              <w:t>192,675,997.97</w:t>
            </w:r>
          </w:p>
        </w:tc>
        <w:tc>
          <w:tcPr>
            <w:tcW w:w="16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Times New Roman" w:hAnsi="Times New Roman" w:cs="Times New Roman" w:eastAsia="Times New Roman" w:hint="default"/>
                <w:sz w:val="21"/>
                <w:szCs w:val="21"/>
              </w:rPr>
            </w:pPr>
            <w:r>
              <w:rPr>
                <w:rFonts w:ascii="Times New Roman"/>
                <w:spacing w:val="-1"/>
                <w:sz w:val="21"/>
              </w:rPr>
              <w:t>121,677,634.22</w:t>
            </w:r>
          </w:p>
        </w:tc>
      </w:tr>
      <w:tr>
        <w:trPr>
          <w:trHeight w:val="34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安防类产品</w:t>
            </w:r>
          </w:p>
        </w:tc>
        <w:tc>
          <w:tcPr>
            <w:tcW w:w="15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129,265,181.14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74,883,372.24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82,259,260.40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56,159,964.29</w:t>
            </w:r>
          </w:p>
        </w:tc>
      </w:tr>
      <w:tr>
        <w:trPr>
          <w:trHeight w:val="34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生产指挥及运输调度信息化类产品</w:t>
            </w:r>
          </w:p>
        </w:tc>
        <w:tc>
          <w:tcPr>
            <w:tcW w:w="15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5,341,982.92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2,887,111.15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33,998,034.17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17,424,645.78</w:t>
            </w:r>
          </w:p>
        </w:tc>
      </w:tr>
      <w:tr>
        <w:trPr>
          <w:trHeight w:val="34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信号控制类产品</w:t>
            </w:r>
          </w:p>
        </w:tc>
        <w:tc>
          <w:tcPr>
            <w:tcW w:w="15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11,045,341.88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5,897,278.91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15,642,324.77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10,023,935.17</w:t>
            </w:r>
          </w:p>
        </w:tc>
      </w:tr>
      <w:tr>
        <w:trPr>
          <w:trHeight w:val="34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991" w:right="0"/>
              <w:jc w:val="left"/>
              <w:rPr>
                <w:rFonts w:ascii="宋体" w:hAnsi="宋体" w:cs="宋体" w:eastAsia="宋体" w:hint="default"/>
                <w:sz w:val="21"/>
                <w:szCs w:val="21"/>
              </w:rPr>
            </w:pPr>
            <w:r>
              <w:rPr>
                <w:rFonts w:ascii="宋体" w:hAnsi="宋体" w:cs="宋体" w:eastAsia="宋体" w:hint="default"/>
                <w:b/>
                <w:bCs/>
                <w:sz w:val="21"/>
                <w:szCs w:val="21"/>
              </w:rPr>
              <w:t>主营业务小计</w:t>
            </w:r>
            <w:r>
              <w:rPr>
                <w:rFonts w:ascii="宋体" w:hAnsi="宋体" w:cs="宋体" w:eastAsia="宋体" w:hint="default"/>
                <w:sz w:val="21"/>
                <w:szCs w:val="21"/>
              </w:rPr>
            </w:r>
          </w:p>
        </w:tc>
        <w:tc>
          <w:tcPr>
            <w:tcW w:w="15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393,850,739.38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223,151,927.67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324,575,617.31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205,286,179.46</w:t>
            </w:r>
          </w:p>
        </w:tc>
      </w:tr>
      <w:tr>
        <w:trPr>
          <w:trHeight w:val="34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原材料销售</w:t>
            </w:r>
          </w:p>
        </w:tc>
        <w:tc>
          <w:tcPr>
            <w:tcW w:w="15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16,928,244.72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13,227,301.00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32,747,367.95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30,444,221.45</w:t>
            </w:r>
          </w:p>
        </w:tc>
      </w:tr>
      <w:tr>
        <w:trPr>
          <w:trHeight w:val="34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15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2,205,004.01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122,985.17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2,775,395.29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477,262.17</w:t>
            </w:r>
          </w:p>
        </w:tc>
      </w:tr>
      <w:tr>
        <w:trPr>
          <w:trHeight w:val="34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15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8,294,398.59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196,028.68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6,820,860.83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737,797.61</w:t>
            </w:r>
          </w:p>
        </w:tc>
      </w:tr>
      <w:tr>
        <w:trPr>
          <w:trHeight w:val="342" w:hRule="exact"/>
        </w:trPr>
        <w:tc>
          <w:tcPr>
            <w:tcW w:w="3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资金拆借利息</w:t>
            </w:r>
          </w:p>
        </w:tc>
        <w:tc>
          <w:tcPr>
            <w:tcW w:w="15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908,333.33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580" w:right="0"/>
        </w:sectPr>
      </w:pPr>
    </w:p>
    <w:p>
      <w:pPr>
        <w:spacing w:line="240" w:lineRule="auto" w:before="6"/>
        <w:rPr>
          <w:rFonts w:ascii="宋体" w:hAnsi="宋体" w:cs="宋体" w:eastAsia="宋体" w:hint="default"/>
          <w:sz w:val="28"/>
          <w:szCs w:val="28"/>
        </w:rPr>
      </w:pPr>
    </w:p>
    <w:tbl>
      <w:tblPr>
        <w:tblW w:w="0" w:type="auto"/>
        <w:jc w:val="left"/>
        <w:tblInd w:w="206" w:type="dxa"/>
        <w:tblLayout w:type="fixed"/>
        <w:tblCellMar>
          <w:top w:w="0" w:type="dxa"/>
          <w:left w:w="0" w:type="dxa"/>
          <w:bottom w:w="0" w:type="dxa"/>
          <w:right w:w="0" w:type="dxa"/>
        </w:tblCellMar>
        <w:tblLook w:val="01E0"/>
      </w:tblPr>
      <w:tblGrid>
        <w:gridCol w:w="3262"/>
        <w:gridCol w:w="1527"/>
        <w:gridCol w:w="1559"/>
        <w:gridCol w:w="1559"/>
        <w:gridCol w:w="1616"/>
      </w:tblGrid>
      <w:tr>
        <w:trPr>
          <w:trHeight w:val="34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其他业务小计</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28,335,980.65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13,546,314.85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42,343,624.07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31,659,281.23</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422,186,720.03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236,698,242.52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366,919,241.38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236,945,460.69</w:t>
            </w:r>
          </w:p>
        </w:tc>
      </w:tr>
    </w:tbl>
    <w:p>
      <w:pPr>
        <w:spacing w:line="240" w:lineRule="auto" w:before="10"/>
        <w:rPr>
          <w:rFonts w:ascii="宋体" w:hAnsi="宋体" w:cs="宋体" w:eastAsia="宋体" w:hint="default"/>
          <w:sz w:val="4"/>
          <w:szCs w:val="4"/>
        </w:rPr>
      </w:pPr>
    </w:p>
    <w:p>
      <w:pPr>
        <w:pStyle w:val="BodyText"/>
        <w:spacing w:line="240" w:lineRule="auto" w:before="26"/>
        <w:ind w:left="634" w:right="1153"/>
        <w:jc w:val="left"/>
      </w:pPr>
      <w:r>
        <w:rPr/>
        <w:t>（</w:t>
      </w:r>
      <w:r>
        <w:rPr>
          <w:rFonts w:ascii="宋体" w:hAnsi="宋体" w:cs="宋体" w:eastAsia="宋体" w:hint="default"/>
        </w:rPr>
        <w:t>2</w:t>
      </w:r>
      <w:r>
        <w:rPr/>
        <w:t>）主营业务（分地区）</w:t>
      </w:r>
    </w:p>
    <w:p>
      <w:pPr>
        <w:spacing w:line="240" w:lineRule="auto" w:before="12"/>
        <w:rPr>
          <w:rFonts w:ascii="宋体" w:hAnsi="宋体" w:cs="宋体" w:eastAsia="宋体" w:hint="default"/>
          <w:sz w:val="4"/>
          <w:szCs w:val="4"/>
        </w:rPr>
      </w:pPr>
    </w:p>
    <w:tbl>
      <w:tblPr>
        <w:tblW w:w="0" w:type="auto"/>
        <w:jc w:val="left"/>
        <w:tblInd w:w="569" w:type="dxa"/>
        <w:tblLayout w:type="fixed"/>
        <w:tblCellMar>
          <w:top w:w="0" w:type="dxa"/>
          <w:left w:w="0" w:type="dxa"/>
          <w:bottom w:w="0" w:type="dxa"/>
          <w:right w:w="0" w:type="dxa"/>
        </w:tblCellMar>
        <w:tblLook w:val="01E0"/>
      </w:tblPr>
      <w:tblGrid>
        <w:gridCol w:w="2087"/>
        <w:gridCol w:w="1746"/>
        <w:gridCol w:w="1702"/>
        <w:gridCol w:w="1559"/>
        <w:gridCol w:w="1706"/>
      </w:tblGrid>
      <w:tr>
        <w:trPr>
          <w:trHeight w:val="336" w:hRule="exact"/>
        </w:trPr>
        <w:tc>
          <w:tcPr>
            <w:tcW w:w="2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4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3" w:hRule="exact"/>
        </w:trPr>
        <w:tc>
          <w:tcPr>
            <w:tcW w:w="2087" w:type="dxa"/>
            <w:vMerge/>
            <w:tcBorders>
              <w:left w:val="single" w:sz="4" w:space="0" w:color="000000"/>
              <w:bottom w:val="single" w:sz="4" w:space="0" w:color="000000"/>
              <w:right w:val="single" w:sz="4" w:space="0" w:color="000000"/>
            </w:tcBorders>
            <w:shd w:val="clear" w:color="auto" w:fill="D2D2D2"/>
          </w:tcPr>
          <w:p>
            <w:pPr/>
          </w:p>
        </w:tc>
        <w:tc>
          <w:tcPr>
            <w:tcW w:w="1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4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3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2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2"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74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Times New Roman" w:hAnsi="Times New Roman" w:cs="Times New Roman" w:eastAsia="Times New Roman" w:hint="default"/>
                <w:sz w:val="21"/>
                <w:szCs w:val="21"/>
              </w:rPr>
            </w:pPr>
            <w:r>
              <w:rPr>
                <w:rFonts w:ascii="Times New Roman"/>
                <w:sz w:val="21"/>
              </w:rPr>
              <w:t>175,546,321.05</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Times New Roman" w:hAnsi="Times New Roman" w:cs="Times New Roman" w:eastAsia="Times New Roman" w:hint="default"/>
                <w:sz w:val="21"/>
                <w:szCs w:val="21"/>
              </w:rPr>
            </w:pPr>
            <w:r>
              <w:rPr>
                <w:rFonts w:ascii="Times New Roman"/>
                <w:sz w:val="21"/>
              </w:rPr>
              <w:t>102,188,308.30</w:t>
            </w:r>
          </w:p>
        </w:tc>
        <w:tc>
          <w:tcPr>
            <w:tcW w:w="155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1"/>
                <w:szCs w:val="21"/>
              </w:rPr>
            </w:pPr>
            <w:r>
              <w:rPr>
                <w:rFonts w:ascii="Times New Roman"/>
                <w:spacing w:val="-1"/>
                <w:sz w:val="21"/>
              </w:rPr>
              <w:t>104,457,500.93</w:t>
            </w:r>
          </w:p>
        </w:tc>
        <w:tc>
          <w:tcPr>
            <w:tcW w:w="170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Times New Roman" w:hAnsi="Times New Roman" w:cs="Times New Roman" w:eastAsia="Times New Roman" w:hint="default"/>
                <w:sz w:val="21"/>
                <w:szCs w:val="21"/>
              </w:rPr>
            </w:pPr>
            <w:r>
              <w:rPr>
                <w:rFonts w:ascii="Times New Roman"/>
                <w:sz w:val="21"/>
              </w:rPr>
              <w:t>68,778,784.34</w:t>
            </w:r>
          </w:p>
        </w:tc>
      </w:tr>
      <w:tr>
        <w:trPr>
          <w:trHeight w:val="342"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南方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123,746,623.74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71,314,729.32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100,980,118.55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63,122,946.23</w:t>
            </w:r>
          </w:p>
        </w:tc>
      </w:tr>
      <w:tr>
        <w:trPr>
          <w:trHeight w:val="342"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北方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94,557,794.59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49,648,890.05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119,137,997.83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73,384,448.89</w:t>
            </w:r>
          </w:p>
        </w:tc>
      </w:tr>
      <w:tr>
        <w:trPr>
          <w:trHeight w:val="342" w:hRule="exact"/>
        </w:trPr>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393,850,739.38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223,151,927.67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324,575,617.31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205,286,179.46</w:t>
            </w:r>
          </w:p>
        </w:tc>
      </w:tr>
    </w:tbl>
    <w:p>
      <w:pPr>
        <w:spacing w:line="240" w:lineRule="auto" w:before="10"/>
        <w:rPr>
          <w:rFonts w:ascii="宋体" w:hAnsi="宋体" w:cs="宋体" w:eastAsia="宋体" w:hint="default"/>
          <w:sz w:val="4"/>
          <w:szCs w:val="4"/>
        </w:rPr>
      </w:pPr>
    </w:p>
    <w:p>
      <w:pPr>
        <w:pStyle w:val="BodyText"/>
        <w:spacing w:line="240" w:lineRule="auto" w:before="26"/>
        <w:ind w:left="634" w:right="1153"/>
        <w:jc w:val="left"/>
      </w:pPr>
      <w:r>
        <w:rPr/>
        <w:t>（</w:t>
      </w:r>
      <w:r>
        <w:rPr>
          <w:rFonts w:ascii="宋体" w:hAnsi="宋体" w:cs="宋体" w:eastAsia="宋体" w:hint="default"/>
        </w:rPr>
        <w:t>3</w:t>
      </w:r>
      <w:r>
        <w:rPr/>
        <w:t>）主营业务按客户类别分类</w:t>
      </w:r>
    </w:p>
    <w:p>
      <w:pPr>
        <w:spacing w:line="240" w:lineRule="auto" w:before="11"/>
        <w:rPr>
          <w:rFonts w:ascii="宋体" w:hAnsi="宋体" w:cs="宋体" w:eastAsia="宋体" w:hint="default"/>
          <w:sz w:val="4"/>
          <w:szCs w:val="4"/>
        </w:rPr>
      </w:pPr>
    </w:p>
    <w:tbl>
      <w:tblPr>
        <w:tblW w:w="0" w:type="auto"/>
        <w:jc w:val="left"/>
        <w:tblInd w:w="151" w:type="dxa"/>
        <w:tblLayout w:type="fixed"/>
        <w:tblCellMar>
          <w:top w:w="0" w:type="dxa"/>
          <w:left w:w="0" w:type="dxa"/>
          <w:bottom w:w="0" w:type="dxa"/>
          <w:right w:w="0" w:type="dxa"/>
        </w:tblCellMar>
        <w:tblLook w:val="01E0"/>
      </w:tblPr>
      <w:tblGrid>
        <w:gridCol w:w="1949"/>
        <w:gridCol w:w="1592"/>
        <w:gridCol w:w="1844"/>
        <w:gridCol w:w="1702"/>
        <w:gridCol w:w="2125"/>
      </w:tblGrid>
      <w:tr>
        <w:trPr>
          <w:trHeight w:val="337" w:hRule="exact"/>
        </w:trPr>
        <w:tc>
          <w:tcPr>
            <w:tcW w:w="19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2"/>
              <w:ind w:right="2"/>
              <w:jc w:val="center"/>
              <w:rPr>
                <w:rFonts w:ascii="宋体" w:hAnsi="宋体" w:cs="宋体" w:eastAsia="宋体" w:hint="default"/>
                <w:sz w:val="21"/>
                <w:szCs w:val="21"/>
              </w:rPr>
            </w:pPr>
            <w:r>
              <w:rPr>
                <w:rFonts w:ascii="宋体" w:hAnsi="宋体" w:cs="宋体" w:eastAsia="宋体" w:hint="default"/>
                <w:sz w:val="21"/>
                <w:szCs w:val="21"/>
              </w:rPr>
              <w:t>类别</w:t>
            </w:r>
          </w:p>
        </w:tc>
        <w:tc>
          <w:tcPr>
            <w:tcW w:w="34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1949"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3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9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42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63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国家铁路</w:t>
            </w:r>
          </w:p>
        </w:tc>
        <w:tc>
          <w:tcPr>
            <w:tcW w:w="15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384,399,522.90</w:t>
            </w:r>
          </w:p>
        </w:tc>
        <w:tc>
          <w:tcPr>
            <w:tcW w:w="18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219,811,518.13</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pacing w:val="-1"/>
                <w:sz w:val="21"/>
              </w:rPr>
              <w:t>312,567,128.86</w:t>
            </w:r>
          </w:p>
        </w:tc>
        <w:tc>
          <w:tcPr>
            <w:tcW w:w="212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200,995,207.38</w:t>
            </w:r>
          </w:p>
        </w:tc>
      </w:tr>
      <w:tr>
        <w:trPr>
          <w:trHeight w:val="34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厂矿企业及地方铁路</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5,994,447.86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2,623,014.14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7,016,828.21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3,698,565.59</w:t>
            </w:r>
          </w:p>
        </w:tc>
      </w:tr>
      <w:tr>
        <w:trPr>
          <w:trHeight w:val="34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城市轨道交通</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464,136.76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373,980.80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700,854.70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60,205.68</w:t>
            </w:r>
          </w:p>
        </w:tc>
      </w:tr>
      <w:tr>
        <w:trPr>
          <w:trHeight w:val="34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2,992,631.86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343,414.60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4,290,805.54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532,200.81</w:t>
            </w:r>
          </w:p>
        </w:tc>
      </w:tr>
      <w:tr>
        <w:trPr>
          <w:trHeight w:val="343"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393,850,739.38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223,151,927.67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324,575,617.31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205,286,179.46</w:t>
            </w:r>
          </w:p>
        </w:tc>
      </w:tr>
    </w:tbl>
    <w:p>
      <w:pPr>
        <w:spacing w:line="240" w:lineRule="auto" w:before="10"/>
        <w:rPr>
          <w:rFonts w:ascii="宋体" w:hAnsi="宋体" w:cs="宋体" w:eastAsia="宋体" w:hint="default"/>
          <w:sz w:val="4"/>
          <w:szCs w:val="4"/>
        </w:rPr>
      </w:pPr>
    </w:p>
    <w:p>
      <w:pPr>
        <w:pStyle w:val="BodyText"/>
        <w:spacing w:line="240" w:lineRule="auto" w:before="26"/>
        <w:ind w:left="634" w:right="1153"/>
        <w:jc w:val="left"/>
      </w:pPr>
      <w:r>
        <w:rPr/>
        <w:t>（</w:t>
      </w:r>
      <w:r>
        <w:rPr>
          <w:rFonts w:ascii="宋体" w:hAnsi="宋体" w:cs="宋体" w:eastAsia="宋体" w:hint="default"/>
        </w:rPr>
        <w:t>4</w:t>
      </w:r>
      <w:r>
        <w:rPr/>
        <w:t>）公司前五名客户的营业收入情况</w:t>
      </w:r>
    </w:p>
    <w:p>
      <w:pPr>
        <w:spacing w:line="240" w:lineRule="auto" w:before="11"/>
        <w:rPr>
          <w:rFonts w:ascii="宋体" w:hAnsi="宋体" w:cs="宋体" w:eastAsia="宋体" w:hint="default"/>
          <w:sz w:val="4"/>
          <w:szCs w:val="4"/>
        </w:rPr>
      </w:pPr>
    </w:p>
    <w:tbl>
      <w:tblPr>
        <w:tblW w:w="0" w:type="auto"/>
        <w:jc w:val="left"/>
        <w:tblInd w:w="151" w:type="dxa"/>
        <w:tblLayout w:type="fixed"/>
        <w:tblCellMar>
          <w:top w:w="0" w:type="dxa"/>
          <w:left w:w="0" w:type="dxa"/>
          <w:bottom w:w="0" w:type="dxa"/>
          <w:right w:w="0" w:type="dxa"/>
        </w:tblCellMar>
        <w:tblLook w:val="01E0"/>
      </w:tblPr>
      <w:tblGrid>
        <w:gridCol w:w="4642"/>
        <w:gridCol w:w="1985"/>
        <w:gridCol w:w="2870"/>
      </w:tblGrid>
      <w:tr>
        <w:trPr>
          <w:trHeight w:val="337" w:hRule="exact"/>
        </w:trPr>
        <w:tc>
          <w:tcPr>
            <w:tcW w:w="4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57"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10"/>
              <w:jc w:val="righ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342" w:hRule="exact"/>
        </w:trPr>
        <w:tc>
          <w:tcPr>
            <w:tcW w:w="4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中国铁建电气化局集团有限公司</w:t>
            </w:r>
          </w:p>
        </w:tc>
        <w:tc>
          <w:tcPr>
            <w:tcW w:w="1985"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40"/>
              <w:ind w:right="3"/>
              <w:jc w:val="right"/>
              <w:rPr>
                <w:rFonts w:ascii="Times New Roman" w:hAnsi="Times New Roman" w:cs="Times New Roman" w:eastAsia="Times New Roman" w:hint="default"/>
                <w:sz w:val="21"/>
                <w:szCs w:val="21"/>
              </w:rPr>
            </w:pPr>
            <w:r>
              <w:rPr>
                <w:rFonts w:ascii="Times New Roman"/>
                <w:spacing w:val="-1"/>
                <w:sz w:val="21"/>
              </w:rPr>
              <w:t>50,443,548.78</w:t>
            </w:r>
          </w:p>
        </w:tc>
        <w:tc>
          <w:tcPr>
            <w:tcW w:w="28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Times New Roman" w:hAnsi="Times New Roman" w:cs="Times New Roman" w:eastAsia="Times New Roman" w:hint="default"/>
                <w:sz w:val="21"/>
                <w:szCs w:val="21"/>
              </w:rPr>
            </w:pPr>
            <w:r>
              <w:rPr>
                <w:rFonts w:ascii="Times New Roman"/>
                <w:sz w:val="21"/>
              </w:rPr>
              <w:t>11.97</w:t>
            </w:r>
          </w:p>
        </w:tc>
      </w:tr>
      <w:tr>
        <w:trPr>
          <w:trHeight w:val="342" w:hRule="exact"/>
        </w:trPr>
        <w:tc>
          <w:tcPr>
            <w:tcW w:w="4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西安铁路局</w:t>
            </w:r>
          </w:p>
        </w:tc>
        <w:tc>
          <w:tcPr>
            <w:tcW w:w="198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28,771,991.43</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6.83</w:t>
            </w:r>
          </w:p>
        </w:tc>
      </w:tr>
      <w:tr>
        <w:trPr>
          <w:trHeight w:val="655" w:hRule="exact"/>
        </w:trPr>
        <w:tc>
          <w:tcPr>
            <w:tcW w:w="4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z w:val="21"/>
                <w:szCs w:val="21"/>
              </w:rPr>
              <w:t>中铁电气化局集团有限公司海南西环铁路系统集成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项目经理部</w:t>
            </w:r>
          </w:p>
        </w:tc>
        <w:tc>
          <w:tcPr>
            <w:tcW w:w="198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15,959,918.80</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3.79</w:t>
            </w:r>
          </w:p>
        </w:tc>
      </w:tr>
      <w:tr>
        <w:trPr>
          <w:trHeight w:val="341" w:hRule="exact"/>
        </w:trPr>
        <w:tc>
          <w:tcPr>
            <w:tcW w:w="4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福州电务段</w:t>
            </w:r>
          </w:p>
        </w:tc>
        <w:tc>
          <w:tcPr>
            <w:tcW w:w="198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14,748,846.10</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3.50</w:t>
            </w:r>
          </w:p>
        </w:tc>
      </w:tr>
      <w:tr>
        <w:trPr>
          <w:trHeight w:val="342" w:hRule="exact"/>
        </w:trPr>
        <w:tc>
          <w:tcPr>
            <w:tcW w:w="4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中国铁路通信信号股份有限公司</w:t>
            </w:r>
          </w:p>
        </w:tc>
        <w:tc>
          <w:tcPr>
            <w:tcW w:w="198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12,905,982.91</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3.06</w:t>
            </w:r>
          </w:p>
        </w:tc>
      </w:tr>
      <w:tr>
        <w:trPr>
          <w:trHeight w:val="342" w:hRule="exact"/>
        </w:trPr>
        <w:tc>
          <w:tcPr>
            <w:tcW w:w="4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61" w:val="left" w:leader="none"/>
              </w:tabs>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122,830,288.02</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29.15</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7" w:footer="979" w:top="1060" w:bottom="1160" w:left="980" w:right="0"/>
        </w:sectPr>
      </w:pPr>
    </w:p>
    <w:p>
      <w:pPr>
        <w:pStyle w:val="Heading2"/>
        <w:spacing w:line="240" w:lineRule="auto"/>
        <w:ind w:right="0"/>
        <w:jc w:val="left"/>
        <w:rPr>
          <w:b w:val="0"/>
          <w:bCs w:val="0"/>
        </w:rPr>
      </w:pPr>
      <w:r>
        <w:rPr>
          <w:rFonts w:ascii="宋体" w:hAnsi="宋体" w:cs="宋体" w:eastAsia="宋体" w:hint="default"/>
          <w:w w:val="95"/>
        </w:rPr>
        <w:t>5</w:t>
      </w:r>
      <w:r>
        <w:rPr>
          <w:w w:val="95"/>
        </w:rPr>
        <w:t>、投资收益</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63"/>
        <w:ind w:left="636"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1961" w:space="4897"/>
            <w:col w:w="4072"/>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-2,236,165.04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184,000,000.00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-2,236,165.04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184,000,000.00</w:t>
            </w:r>
          </w:p>
        </w:tc>
      </w:tr>
    </w:tbl>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type w:val="continuous"/>
          <w:pgSz w:w="11910" w:h="16840"/>
          <w:pgMar w:top="1060" w:bottom="1160" w:left="980" w:right="0"/>
        </w:sectPr>
      </w:pPr>
    </w:p>
    <w:p>
      <w:pPr>
        <w:pStyle w:val="Heading2"/>
        <w:spacing w:line="350" w:lineRule="auto"/>
        <w:ind w:right="0"/>
        <w:jc w:val="left"/>
        <w:rPr>
          <w:b w:val="0"/>
          <w:bCs w:val="0"/>
        </w:rPr>
      </w:pPr>
      <w:r>
        <w:rPr/>
        <w:t>十八、补充资料</w:t>
      </w:r>
      <w:r>
        <w:rPr>
          <w:w w:val="99"/>
        </w:rPr>
        <w:t> </w:t>
      </w:r>
      <w:r>
        <w:rPr>
          <w:rFonts w:ascii="宋体" w:hAnsi="宋体" w:cs="宋体" w:eastAsia="宋体" w:hint="default"/>
          <w:w w:val="95"/>
        </w:rPr>
        <w:t>1</w:t>
      </w:r>
      <w:r>
        <w:rPr>
          <w:w w:val="95"/>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before="0"/>
        <w:ind w:left="636" w:right="0" w:firstLine="0"/>
        <w:jc w:val="left"/>
        <w:rPr>
          <w:rFonts w:ascii="宋体" w:hAnsi="宋体" w:cs="宋体" w:eastAsia="宋体" w:hint="default"/>
          <w:sz w:val="21"/>
          <w:szCs w:val="21"/>
        </w:rPr>
      </w:pPr>
      <w:r>
        <w:rPr>
          <w:rFonts w:ascii="宋体" w:hAnsi="宋体" w:cs="宋体" w:eastAsia="宋体" w:hint="default"/>
          <w:sz w:val="21"/>
          <w:szCs w:val="21"/>
        </w:rPr>
        <w:t>单位： 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647" w:space="4566"/>
            <w:col w:w="2717"/>
          </w:cols>
        </w:sectPr>
      </w:pP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507"/>
        <w:gridCol w:w="2138"/>
        <w:gridCol w:w="1914"/>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287" w:right="0"/>
              <w:jc w:val="left"/>
              <w:rPr>
                <w:rFonts w:ascii="Times New Roman" w:hAnsi="Times New Roman" w:cs="Times New Roman" w:eastAsia="Times New Roman" w:hint="default"/>
                <w:sz w:val="21"/>
                <w:szCs w:val="21"/>
              </w:rPr>
            </w:pPr>
            <w:r>
              <w:rPr>
                <w:rFonts w:ascii="Times New Roman"/>
                <w:sz w:val="21"/>
              </w:rPr>
              <w:t>-5,193.93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5530"/>
        <w:gridCol w:w="2126"/>
        <w:gridCol w:w="1914"/>
      </w:tblGrid>
      <w:tr>
        <w:trPr>
          <w:trHeight w:val="714"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5"/>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 统一标准定额或定量享受的政府补助除外）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2,772,891.00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236,055.39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77,799.59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482,280.39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2,599,271.66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350" w:lineRule="auto" w:before="26"/>
        <w:ind w:left="173" w:right="1130" w:firstLine="480"/>
        <w:jc w:val="both"/>
      </w:pPr>
      <w:r>
        <w:rPr>
          <w:spacing w:val="-3"/>
        </w:rPr>
        <w:t>对公司根据《公开发行证券的公司信息披露解释性公告第</w:t>
      </w:r>
      <w:r>
        <w:rPr>
          <w:rFonts w:ascii="宋体" w:hAnsi="宋体" w:cs="宋体" w:eastAsia="宋体" w:hint="default"/>
          <w:spacing w:val="-3"/>
        </w:rPr>
        <w:t>1</w:t>
      </w:r>
      <w:r>
        <w:rPr>
          <w:spacing w:val="-3"/>
        </w:rPr>
        <w:t>号——非经常性损益》定义界</w:t>
      </w:r>
      <w:r>
        <w:rPr/>
        <w:t> </w:t>
      </w:r>
      <w:r>
        <w:rPr>
          <w:spacing w:val="-2"/>
        </w:rPr>
        <w:t>定的非经常性损益项目，以及把《公开发行证券的公司信息披露解释性公告第</w:t>
      </w:r>
      <w:r>
        <w:rPr>
          <w:rFonts w:ascii="宋体" w:hAnsi="宋体" w:cs="宋体" w:eastAsia="宋体" w:hint="default"/>
          <w:spacing w:val="-2"/>
        </w:rPr>
        <w:t>1</w:t>
      </w:r>
      <w:r>
        <w:rPr>
          <w:spacing w:val="-2"/>
        </w:rPr>
        <w:t>号——非经常</w:t>
      </w:r>
      <w:r>
        <w:rPr/>
        <w:t> 性损益》中列举的非经常性损益项目界定为经常性损益的项目，应说明原因。</w:t>
      </w:r>
    </w:p>
    <w:p>
      <w:pPr>
        <w:spacing w:line="350" w:lineRule="auto" w:before="36"/>
        <w:ind w:left="656" w:right="5412" w:hanging="3"/>
        <w:jc w:val="left"/>
        <w:rPr>
          <w:rFonts w:ascii="宋体" w:hAnsi="宋体" w:cs="宋体" w:eastAsia="宋体"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w w:val="95"/>
          <w:sz w:val="24"/>
          <w:szCs w:val="24"/>
        </w:rPr>
        <w:t>2</w:t>
      </w:r>
      <w:r>
        <w:rPr>
          <w:rFonts w:ascii="宋体" w:hAnsi="宋体" w:cs="宋体" w:eastAsia="宋体" w:hint="default"/>
          <w:b/>
          <w:bCs/>
          <w:w w:val="95"/>
          <w:sz w:val="24"/>
          <w:szCs w:val="24"/>
        </w:rPr>
        <w:t>、净资产收益率及每股收益</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35"/>
        <w:ind w:left="0" w:right="2966" w:firstLine="0"/>
        <w:jc w:val="right"/>
        <w:rPr>
          <w:rFonts w:ascii="宋体" w:hAnsi="宋体" w:cs="宋体" w:eastAsia="宋体" w:hint="default"/>
          <w:sz w:val="21"/>
          <w:szCs w:val="21"/>
        </w:rPr>
      </w:pPr>
      <w:r>
        <w:rPr/>
        <w:pict>
          <v:shape style="position:absolute;margin-left:53.43pt;margin-top:-27.986334pt;width:489.3pt;height:112.2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91"/>
                    <w:gridCol w:w="2340"/>
                    <w:gridCol w:w="2056"/>
                    <w:gridCol w:w="100"/>
                    <w:gridCol w:w="1884"/>
                  </w:tblGrid>
                  <w:tr>
                    <w:trPr>
                      <w:trHeight w:val="380" w:hRule="exact"/>
                    </w:trPr>
                    <w:tc>
                      <w:tcPr>
                        <w:tcW w:w="3391"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34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4040" w:type="dxa"/>
                        <w:gridSpan w:val="3"/>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184" w:hRule="exact"/>
                    </w:trPr>
                    <w:tc>
                      <w:tcPr>
                        <w:tcW w:w="3391" w:type="dxa"/>
                        <w:vMerge w:val="restart"/>
                        <w:tcBorders>
                          <w:top w:val="single" w:sz="14" w:space="0" w:color="FFFFFF"/>
                          <w:left w:val="single" w:sz="4" w:space="0" w:color="000000"/>
                          <w:right w:val="single" w:sz="4" w:space="0" w:color="000000"/>
                        </w:tcBorders>
                        <w:shd w:val="clear" w:color="auto" w:fill="D2D2D2"/>
                      </w:tcPr>
                      <w:p>
                        <w:pPr>
                          <w:pStyle w:val="TableParagraph"/>
                          <w:spacing w:line="266" w:lineRule="exact"/>
                          <w:ind w:right="11"/>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340" w:type="dxa"/>
                        <w:vMerge w:val="restart"/>
                        <w:tcBorders>
                          <w:top w:val="single" w:sz="14" w:space="0" w:color="FFFFFF"/>
                          <w:left w:val="single" w:sz="4" w:space="0" w:color="000000"/>
                          <w:right w:val="single" w:sz="4" w:space="0" w:color="000000"/>
                        </w:tcBorders>
                        <w:shd w:val="clear" w:color="auto" w:fill="D2D2D2"/>
                      </w:tcPr>
                      <w:p>
                        <w:pPr>
                          <w:pStyle w:val="TableParagraph"/>
                          <w:spacing w:line="266" w:lineRule="exact"/>
                          <w:ind w:left="11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205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0" w:type="dxa"/>
                        <w:tcBorders>
                          <w:top w:val="single" w:sz="14" w:space="0" w:color="FFFFFF"/>
                          <w:left w:val="single" w:sz="4" w:space="0" w:color="000000"/>
                          <w:bottom w:val="nil" w:sz="6" w:space="0" w:color="auto"/>
                          <w:right w:val="nil" w:sz="6" w:space="0" w:color="auto"/>
                        </w:tcBorders>
                        <w:shd w:val="clear" w:color="auto" w:fill="D2D2D2"/>
                      </w:tcPr>
                      <w:p>
                        <w:pPr/>
                      </w:p>
                    </w:tc>
                    <w:tc>
                      <w:tcPr>
                        <w:tcW w:w="1884" w:type="dxa"/>
                        <w:vMerge w:val="restart"/>
                        <w:tcBorders>
                          <w:top w:val="single" w:sz="14" w:space="0" w:color="FFFFFF"/>
                          <w:left w:val="nil" w:sz="6" w:space="0" w:color="auto"/>
                          <w:right w:val="single" w:sz="4" w:space="0" w:color="000000"/>
                        </w:tcBorders>
                        <w:shd w:val="clear" w:color="auto" w:fill="D2D2D2"/>
                      </w:tcPr>
                      <w:p>
                        <w:pPr>
                          <w:pStyle w:val="TableParagraph"/>
                          <w:spacing w:line="256" w:lineRule="auto" w:before="36"/>
                          <w:ind w:left="681" w:right="116" w:hanging="659"/>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 </w:t>
                        </w:r>
                        <w:r>
                          <w:rPr>
                            <w:rFonts w:ascii="宋体" w:hAnsi="宋体" w:cs="宋体" w:eastAsia="宋体" w:hint="default"/>
                            <w:sz w:val="21"/>
                            <w:szCs w:val="21"/>
                          </w:rPr>
                          <w:t>股）</w:t>
                        </w:r>
                      </w:p>
                    </w:tc>
                  </w:tr>
                  <w:tr>
                    <w:trPr>
                      <w:trHeight w:val="191" w:hRule="exact"/>
                    </w:trPr>
                    <w:tc>
                      <w:tcPr>
                        <w:tcW w:w="3391" w:type="dxa"/>
                        <w:vMerge/>
                        <w:tcBorders>
                          <w:left w:val="single" w:sz="4" w:space="0" w:color="000000"/>
                          <w:bottom w:val="nil" w:sz="6" w:space="0" w:color="auto"/>
                          <w:right w:val="single" w:sz="4" w:space="0" w:color="000000"/>
                        </w:tcBorders>
                        <w:shd w:val="clear" w:color="auto" w:fill="D2D2D2"/>
                      </w:tcPr>
                      <w:p>
                        <w:pPr/>
                      </w:p>
                    </w:tc>
                    <w:tc>
                      <w:tcPr>
                        <w:tcW w:w="2340" w:type="dxa"/>
                        <w:vMerge/>
                        <w:tcBorders>
                          <w:left w:val="single" w:sz="4" w:space="0" w:color="000000"/>
                          <w:bottom w:val="nil" w:sz="6" w:space="0" w:color="auto"/>
                          <w:right w:val="single" w:sz="4" w:space="0" w:color="000000"/>
                        </w:tcBorders>
                        <w:shd w:val="clear" w:color="auto" w:fill="D2D2D2"/>
                      </w:tcPr>
                      <w:p>
                        <w:pPr/>
                      </w:p>
                    </w:tc>
                    <w:tc>
                      <w:tcPr>
                        <w:tcW w:w="2056" w:type="dxa"/>
                        <w:vMerge w:val="restart"/>
                        <w:tcBorders>
                          <w:top w:val="nil" w:sz="6" w:space="0" w:color="auto"/>
                          <w:left w:val="single" w:sz="13" w:space="0" w:color="D2D2D2"/>
                          <w:right w:val="single" w:sz="23" w:space="0" w:color="D2D2D2"/>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6"/>
                            <w:sz w:val="21"/>
                            <w:szCs w:val="21"/>
                            <w:shd w:fill="D2D2D2" w:color="auto" w:val="clear"/>
                          </w:rPr>
                          <w:t>基本每股收益（元</w:t>
                        </w:r>
                        <w:r>
                          <w:rPr>
                            <w:rFonts w:ascii="Times New Roman" w:hAnsi="Times New Roman" w:cs="Times New Roman" w:eastAsia="Times New Roman" w:hint="default"/>
                            <w:spacing w:val="-6"/>
                            <w:sz w:val="21"/>
                            <w:szCs w:val="21"/>
                            <w:shd w:fill="D2D2D2" w:color="auto" w:val="clear"/>
                          </w:rPr>
                          <w:t>/</w:t>
                        </w:r>
                        <w:r>
                          <w:rPr>
                            <w:rFonts w:ascii="宋体" w:hAnsi="宋体" w:cs="宋体" w:eastAsia="宋体" w:hint="default"/>
                            <w:spacing w:val="-6"/>
                            <w:sz w:val="21"/>
                            <w:szCs w:val="21"/>
                            <w:shd w:fill="D2D2D2" w:color="auto" w:val="clear"/>
                          </w:rPr>
                          <w:t>股</w:t>
                        </w:r>
                        <w:r>
                          <w:rPr>
                            <w:rFonts w:ascii="宋体" w:hAnsi="宋体" w:cs="宋体" w:eastAsia="宋体" w:hint="default"/>
                            <w:spacing w:val="-6"/>
                            <w:sz w:val="21"/>
                            <w:szCs w:val="21"/>
                          </w:rPr>
                        </w:r>
                      </w:p>
                    </w:tc>
                    <w:tc>
                      <w:tcPr>
                        <w:tcW w:w="100" w:type="dxa"/>
                        <w:vMerge w:val="restart"/>
                        <w:tcBorders>
                          <w:top w:val="single" w:sz="14" w:space="0" w:color="FFFFFF"/>
                          <w:left w:val="single" w:sz="4" w:space="0" w:color="000000"/>
                          <w:right w:val="nil" w:sz="6" w:space="0" w:color="auto"/>
                        </w:tcBorders>
                        <w:shd w:val="clear" w:color="auto" w:fill="D2D2D2"/>
                      </w:tcPr>
                      <w:p>
                        <w:pPr/>
                      </w:p>
                    </w:tc>
                    <w:tc>
                      <w:tcPr>
                        <w:tcW w:w="1884" w:type="dxa"/>
                        <w:vMerge/>
                        <w:tcBorders>
                          <w:left w:val="nil" w:sz="6" w:space="0" w:color="auto"/>
                          <w:right w:val="single" w:sz="4" w:space="0" w:color="000000"/>
                        </w:tcBorders>
                        <w:shd w:val="clear" w:color="auto" w:fill="D2D2D2"/>
                      </w:tcPr>
                      <w:p>
                        <w:pPr/>
                      </w:p>
                    </w:tc>
                  </w:tr>
                  <w:tr>
                    <w:trPr>
                      <w:trHeight w:val="200" w:hRule="exact"/>
                    </w:trPr>
                    <w:tc>
                      <w:tcPr>
                        <w:tcW w:w="3391" w:type="dxa"/>
                        <w:vMerge w:val="restart"/>
                        <w:tcBorders>
                          <w:top w:val="nil" w:sz="6" w:space="0" w:color="auto"/>
                          <w:left w:val="single" w:sz="4" w:space="0" w:color="000000"/>
                          <w:right w:val="single" w:sz="4" w:space="0" w:color="000000"/>
                        </w:tcBorders>
                        <w:shd w:val="clear" w:color="auto" w:fill="D2D2D2"/>
                      </w:tcPr>
                      <w:p>
                        <w:pPr/>
                      </w:p>
                    </w:tc>
                    <w:tc>
                      <w:tcPr>
                        <w:tcW w:w="2340" w:type="dxa"/>
                        <w:vMerge w:val="restart"/>
                        <w:tcBorders>
                          <w:top w:val="nil" w:sz="6" w:space="0" w:color="auto"/>
                          <w:left w:val="single" w:sz="4" w:space="0" w:color="000000"/>
                          <w:right w:val="single" w:sz="4" w:space="0" w:color="000000"/>
                        </w:tcBorders>
                        <w:shd w:val="clear" w:color="auto" w:fill="D2D2D2"/>
                      </w:tcPr>
                      <w:p>
                        <w:pPr/>
                      </w:p>
                    </w:tc>
                    <w:tc>
                      <w:tcPr>
                        <w:tcW w:w="2056" w:type="dxa"/>
                        <w:vMerge/>
                        <w:tcBorders>
                          <w:left w:val="single" w:sz="13" w:space="0" w:color="D2D2D2"/>
                          <w:bottom w:val="nil" w:sz="6" w:space="0" w:color="auto"/>
                          <w:right w:val="single" w:sz="23" w:space="0" w:color="D2D2D2"/>
                        </w:tcBorders>
                      </w:tcPr>
                      <w:p>
                        <w:pPr/>
                      </w:p>
                    </w:tc>
                    <w:tc>
                      <w:tcPr>
                        <w:tcW w:w="100" w:type="dxa"/>
                        <w:vMerge/>
                        <w:tcBorders>
                          <w:left w:val="single" w:sz="4" w:space="0" w:color="000000"/>
                          <w:bottom w:val="nil" w:sz="6" w:space="0" w:color="auto"/>
                          <w:right w:val="nil" w:sz="6" w:space="0" w:color="auto"/>
                        </w:tcBorders>
                        <w:shd w:val="clear" w:color="auto" w:fill="D2D2D2"/>
                      </w:tcPr>
                      <w:p>
                        <w:pPr/>
                      </w:p>
                    </w:tc>
                    <w:tc>
                      <w:tcPr>
                        <w:tcW w:w="1884" w:type="dxa"/>
                        <w:vMerge/>
                        <w:tcBorders>
                          <w:left w:val="nil" w:sz="6" w:space="0" w:color="auto"/>
                          <w:right w:val="single" w:sz="4" w:space="0" w:color="000000"/>
                        </w:tcBorders>
                        <w:shd w:val="clear" w:color="auto" w:fill="D2D2D2"/>
                      </w:tcPr>
                      <w:p>
                        <w:pPr/>
                      </w:p>
                    </w:tc>
                  </w:tr>
                  <w:tr>
                    <w:trPr>
                      <w:trHeight w:val="161" w:hRule="exact"/>
                    </w:trPr>
                    <w:tc>
                      <w:tcPr>
                        <w:tcW w:w="3391" w:type="dxa"/>
                        <w:vMerge/>
                        <w:tcBorders>
                          <w:left w:val="single" w:sz="4" w:space="0" w:color="000000"/>
                          <w:bottom w:val="single" w:sz="4" w:space="0" w:color="000000"/>
                          <w:right w:val="single" w:sz="4" w:space="0" w:color="000000"/>
                        </w:tcBorders>
                        <w:shd w:val="clear" w:color="auto" w:fill="D2D2D2"/>
                      </w:tcPr>
                      <w:p>
                        <w:pPr/>
                      </w:p>
                    </w:tc>
                    <w:tc>
                      <w:tcPr>
                        <w:tcW w:w="2340" w:type="dxa"/>
                        <w:vMerge/>
                        <w:tcBorders>
                          <w:left w:val="single" w:sz="4" w:space="0" w:color="000000"/>
                          <w:bottom w:val="single" w:sz="4" w:space="0" w:color="000000"/>
                          <w:right w:val="single" w:sz="4" w:space="0" w:color="000000"/>
                        </w:tcBorders>
                        <w:shd w:val="clear" w:color="auto" w:fill="D2D2D2"/>
                      </w:tcPr>
                      <w:p>
                        <w:pPr/>
                      </w:p>
                    </w:tc>
                    <w:tc>
                      <w:tcPr>
                        <w:tcW w:w="20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 w:type="dxa"/>
                        <w:tcBorders>
                          <w:top w:val="single" w:sz="14" w:space="0" w:color="FFFFFF"/>
                          <w:left w:val="single" w:sz="4" w:space="0" w:color="000000"/>
                          <w:bottom w:val="single" w:sz="4" w:space="0" w:color="000000"/>
                          <w:right w:val="nil" w:sz="6" w:space="0" w:color="auto"/>
                        </w:tcBorders>
                        <w:shd w:val="clear" w:color="auto" w:fill="D2D2D2"/>
                      </w:tcPr>
                      <w:p>
                        <w:pPr/>
                      </w:p>
                    </w:tc>
                    <w:tc>
                      <w:tcPr>
                        <w:tcW w:w="1884" w:type="dxa"/>
                        <w:vMerge/>
                        <w:tcBorders>
                          <w:left w:val="nil" w:sz="6" w:space="0" w:color="auto"/>
                          <w:bottom w:val="single" w:sz="4" w:space="0" w:color="000000"/>
                          <w:right w:val="single" w:sz="4" w:space="0" w:color="000000"/>
                        </w:tcBorders>
                        <w:shd w:val="clear" w:color="auto" w:fill="D2D2D2"/>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5.28%</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0.1989</w:t>
                        </w:r>
                        <w:r>
                          <w:rPr>
                            <w:rFonts w:ascii="Times New Roman"/>
                            <w:sz w:val="21"/>
                          </w:rPr>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0.1989</w:t>
                        </w:r>
                        <w:r>
                          <w:rPr>
                            <w:rFonts w:ascii="Times New Roman"/>
                            <w:sz w:val="21"/>
                          </w:rPr>
                        </w:r>
                      </w:p>
                    </w:tc>
                  </w:tr>
                  <w:tr>
                    <w:trPr>
                      <w:trHeight w:val="715"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219"/>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 通股股东的净利润</w:t>
                        </w:r>
                      </w:p>
                    </w:tc>
                    <w:tc>
                      <w:tcPr>
                        <w:tcW w:w="23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5.10%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0.1920</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0.1920</w:t>
                        </w:r>
                      </w:p>
                    </w:tc>
                  </w:tr>
                </w:tbl>
                <w:p>
                  <w:pPr/>
                </w:p>
              </w:txbxContent>
            </v:textbox>
            <w10:wrap type="none"/>
          </v:shape>
        </w:pict>
      </w:r>
      <w:r>
        <w:rPr>
          <w:rFonts w:ascii="宋体" w:hAnsi="宋体" w:cs="宋体" w:eastAsia="宋体" w:hint="default"/>
          <w:sz w:val="21"/>
          <w:szCs w:val="21"/>
        </w:rPr>
      </w:r>
      <w:r>
        <w:rPr>
          <w:rFonts w:ascii="宋体" w:hAnsi="宋体" w:cs="宋体" w:eastAsia="宋体" w:hint="default"/>
          <w:sz w:val="21"/>
          <w:szCs w:val="21"/>
          <w:shd w:fill="D2D2D2" w:color="auto" w:val="clear"/>
        </w:rPr>
        <w:t>）</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spacing w:line="240" w:lineRule="auto"/>
        <w:ind w:left="656" w:right="5412"/>
        <w:jc w:val="left"/>
        <w:rPr>
          <w:b w:val="0"/>
          <w:bCs w:val="0"/>
        </w:rPr>
      </w:pPr>
      <w:r>
        <w:rPr>
          <w:rFonts w:ascii="宋体" w:hAnsi="宋体" w:cs="宋体" w:eastAsia="宋体" w:hint="default"/>
        </w:rPr>
        <w:t>3</w:t>
      </w:r>
      <w:r>
        <w:rPr/>
        <w:t>、境内外会计准则下会计数据差异</w:t>
      </w:r>
      <w:r>
        <w:rPr>
          <w:b w:val="0"/>
          <w:bCs w:val="0"/>
        </w:rPr>
      </w:r>
    </w:p>
    <w:p>
      <w:pPr>
        <w:pStyle w:val="Heading2"/>
        <w:spacing w:line="350" w:lineRule="auto" w:before="145"/>
        <w:ind w:left="173" w:right="1245" w:firstLine="482"/>
        <w:jc w:val="left"/>
        <w:rPr>
          <w:b w:val="0"/>
          <w:bCs w:val="0"/>
        </w:rPr>
      </w:pPr>
      <w:r>
        <w:rPr>
          <w:w w:val="95"/>
        </w:rPr>
        <w:t>（</w:t>
      </w:r>
      <w:r>
        <w:rPr>
          <w:rFonts w:ascii="宋体" w:hAnsi="宋体" w:cs="宋体" w:eastAsia="宋体" w:hint="default"/>
          <w:w w:val="95"/>
        </w:rPr>
        <w:t>1</w:t>
      </w:r>
      <w:r>
        <w:rPr>
          <w:w w:val="95"/>
        </w:rPr>
        <w:t>）同时按照国际会计准则与按中国会计准则披露的财务报告中净利润和净资产差异</w:t>
      </w:r>
      <w:r>
        <w:rPr>
          <w:w w:val="99"/>
        </w:rPr>
        <w:t> </w:t>
      </w:r>
      <w:r>
        <w:rPr/>
        <w:t>情况</w:t>
      </w:r>
      <w:r>
        <w:rPr>
          <w:b w:val="0"/>
          <w:bCs w:val="0"/>
        </w:rPr>
      </w:r>
    </w:p>
    <w:p>
      <w:pPr>
        <w:pStyle w:val="BodyText"/>
        <w:spacing w:line="240" w:lineRule="auto"/>
        <w:ind w:left="653" w:right="5412"/>
        <w:jc w:val="left"/>
      </w:pPr>
      <w:r>
        <w:rPr/>
        <w:t>□ 适用 √</w:t>
      </w:r>
      <w:r>
        <w:rPr>
          <w:spacing w:val="-1"/>
        </w:rPr>
        <w:t> </w:t>
      </w:r>
      <w:r>
        <w:rPr/>
        <w:t>不适用</w:t>
      </w:r>
    </w:p>
    <w:p>
      <w:pPr>
        <w:pStyle w:val="Heading2"/>
        <w:spacing w:line="350" w:lineRule="auto" w:before="145"/>
        <w:ind w:left="173" w:right="1245" w:firstLine="482"/>
        <w:jc w:val="left"/>
        <w:rPr>
          <w:b w:val="0"/>
          <w:bCs w:val="0"/>
        </w:rPr>
      </w:pPr>
      <w:r>
        <w:rPr>
          <w:w w:val="95"/>
        </w:rPr>
        <w:t>（</w:t>
      </w:r>
      <w:r>
        <w:rPr>
          <w:rFonts w:ascii="宋体" w:hAnsi="宋体" w:cs="宋体" w:eastAsia="宋体" w:hint="default"/>
          <w:w w:val="95"/>
        </w:rPr>
        <w:t>2</w:t>
      </w:r>
      <w:r>
        <w:rPr>
          <w:w w:val="95"/>
        </w:rPr>
        <w:t>）同时按照境外会计准则与按中国会计准则披露的财务报告中净利润和净资产差异</w:t>
      </w:r>
      <w:r>
        <w:rPr>
          <w:w w:val="99"/>
        </w:rPr>
        <w:t> </w:t>
      </w:r>
      <w:r>
        <w:rPr/>
        <w:t>情况</w:t>
      </w:r>
      <w:r>
        <w:rPr>
          <w:b w:val="0"/>
          <w:bCs w:val="0"/>
        </w:rPr>
      </w:r>
    </w:p>
    <w:p>
      <w:pPr>
        <w:pStyle w:val="BodyText"/>
        <w:spacing w:line="240" w:lineRule="auto"/>
        <w:ind w:left="653" w:right="5412"/>
        <w:jc w:val="left"/>
      </w:pPr>
      <w:r>
        <w:rPr/>
        <w:t>□ 适用 √</w:t>
      </w:r>
      <w:r>
        <w:rPr>
          <w:spacing w:val="-1"/>
        </w:rPr>
        <w:t> </w:t>
      </w:r>
      <w:r>
        <w:rPr/>
        <w:t>不适用</w:t>
      </w:r>
    </w:p>
    <w:p>
      <w:pPr>
        <w:spacing w:after="0" w:line="240" w:lineRule="auto"/>
        <w:jc w:val="left"/>
        <w:sectPr>
          <w:pgSz w:w="11910" w:h="16840"/>
          <w:pgMar w:header="747" w:footer="979" w:top="1060" w:bottom="1160" w:left="9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left="3286" w:right="1153"/>
        <w:jc w:val="left"/>
        <w:rPr>
          <w:b w:val="0"/>
          <w:bCs w:val="0"/>
        </w:rPr>
      </w:pPr>
      <w:bookmarkStart w:name="第十一节 备查文件目录" w:id="27"/>
      <w:bookmarkEnd w:id="27"/>
      <w:r>
        <w:rPr>
          <w:b w:val="0"/>
          <w:bCs w:val="0"/>
        </w:rPr>
      </w:r>
      <w:bookmarkStart w:name="_bookmark10" w:id="28"/>
      <w:bookmarkEnd w:id="28"/>
      <w:r>
        <w:rPr>
          <w:b w:val="0"/>
          <w:bCs w:val="0"/>
        </w:rPr>
      </w:r>
      <w:r>
        <w:rPr/>
        <w:t>第十一节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352" w:lineRule="auto" w:before="215"/>
        <w:ind w:left="154" w:right="1152" w:firstLine="480"/>
        <w:jc w:val="left"/>
      </w:pPr>
      <w:r>
        <w:rPr/>
        <w:t>一、载有公司法定负责人、主管会计工作负责人、会计机构负责人签名并盖章的会计报 表。</w:t>
      </w:r>
    </w:p>
    <w:p>
      <w:pPr>
        <w:pStyle w:val="BodyText"/>
        <w:spacing w:line="350" w:lineRule="auto" w:before="32"/>
        <w:ind w:left="633" w:right="1153"/>
        <w:jc w:val="left"/>
      </w:pPr>
      <w:r>
        <w:rPr/>
        <w:t>二、载有会计师事务所盖章、注册会计师签名并盖章的财务审计报告原件。 三、报告期内，在中国证监会指定网站上公开披露过的所有公司文件的正本及公告的原</w:t>
      </w:r>
    </w:p>
    <w:p>
      <w:pPr>
        <w:pStyle w:val="BodyText"/>
        <w:spacing w:line="240" w:lineRule="auto"/>
        <w:ind w:right="1153"/>
        <w:jc w:val="left"/>
      </w:pPr>
      <w:r>
        <w:rPr/>
        <w:t>稿。</w:t>
      </w:r>
    </w:p>
    <w:p>
      <w:pPr>
        <w:pStyle w:val="BodyText"/>
        <w:spacing w:line="240" w:lineRule="auto" w:before="145"/>
        <w:ind w:left="634" w:right="1153"/>
        <w:jc w:val="left"/>
      </w:pPr>
      <w:r>
        <w:rPr/>
        <w:t>四、以上备查文件的备置地点：证券办公室。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7896" type="#_x0000_t75" stroked="false">
          <v:imagedata r:id="rId1" o:title=""/>
        </v:shape>
      </w:pict>
    </w:r>
    <w:r>
      <w:rPr/>
      <w:pict>
        <v:shape style="position:absolute;margin-left:253.740005pt;margin-top:795.517944pt;width:6.5pt;height:11pt;mso-position-horizontal-relative:page;mso-position-vertical-relative:page;z-index:-7678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7848" type="#_x0000_t75" stroked="false">
          <v:imagedata r:id="rId1" o:title=""/>
        </v:shape>
      </w:pict>
    </w:r>
    <w:r>
      <w:rPr/>
      <w:pict>
        <v:shape style="position:absolute;margin-left:252.740005pt;margin-top:781.957947pt;width:13pt;height:11pt;mso-position-horizontal-relative:page;mso-position-vertical-relative:page;z-index:-767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7800" type="#_x0000_t75" stroked="false">
          <v:imagedata r:id="rId1" o:title=""/>
        </v:shape>
      </w:pict>
    </w:r>
    <w:r>
      <w:rPr/>
      <w:pict>
        <v:shape style="position:absolute;margin-left:253.740005pt;margin-top:781.957947pt;width:15.5pt;height:11pt;mso-position-horizontal-relative:page;mso-position-vertical-relative:page;z-index:-7677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7752" type="#_x0000_t75" stroked="false">
          <v:imagedata r:id="rId1" o:title=""/>
        </v:shape>
      </w:pict>
    </w:r>
    <w:r>
      <w:rPr/>
      <w:pict>
        <v:shape style="position:absolute;margin-left:252.740005pt;margin-top:781.957947pt;width:17.5pt;height:11pt;mso-position-horizontal-relative:page;mso-position-vertical-relative:page;z-index:-767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767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8"/>
      <w:ind w:left="153"/>
    </w:pPr>
    <w:rPr>
      <w:rFonts w:ascii="宋体" w:hAnsi="宋体" w:eastAsia="宋体"/>
      <w:b/>
      <w:bCs/>
      <w:sz w:val="24"/>
      <w:szCs w:val="24"/>
    </w:rPr>
  </w:style>
  <w:style w:styleId="BodyText" w:type="paragraph">
    <w:name w:val="Body Text"/>
    <w:basedOn w:val="Normal"/>
    <w:uiPriority w:val="1"/>
    <w:qFormat/>
    <w:pPr>
      <w:spacing w:before="36"/>
      <w:ind w:left="153"/>
    </w:pPr>
    <w:rPr>
      <w:rFonts w:ascii="宋体" w:hAnsi="宋体" w:eastAsia="宋体"/>
      <w:sz w:val="24"/>
      <w:szCs w:val="24"/>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spacing w:before="26"/>
      <w:ind w:left="636"/>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hkj.cn/" TargetMode="External"/><Relationship Id="rId10" Type="http://schemas.openxmlformats.org/officeDocument/2006/relationships/hyperlink" Target="mailto:zqb@hhkj.cn" TargetMode="External"/><Relationship Id="rId11" Type="http://schemas.openxmlformats.org/officeDocument/2006/relationships/hyperlink" Target="mailto:hanrui@hhkj.cn"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footer" Target="footer3.xml"/><Relationship Id="rId1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河南辉煌科技股份有限公司</dc:creator>
  <dc:title>河南辉煌科技股份有限公司2015年年度报告全文</dc:title>
  <dcterms:created xsi:type="dcterms:W3CDTF">2020-05-04T13:09:26Z</dcterms:created>
  <dcterms:modified xsi:type="dcterms:W3CDTF">2020-05-04T13:09:26Z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2016-03-04T00:00:00Z</vt:filetime>
  </property>
  <property fmtid="{D5CDD505-2E9C-101B-9397-08002B2CF9AE}" pid="3" name="Creator">
    <vt:lpwstr>Microsoft® Office Word 2007</vt:lpwstr>
  </property>
  <property fmtid="{D5CDD505-2E9C-101B-9397-08002B2CF9AE}" pid="4" name="LastSaved">
    <vt:filetime>2020-05-04T00:00:00Z</vt:filetime>
  </property>
</Properties>
</file>