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r>
        <w:rPr/>
        <w:pict>
          <v:group style="position:absolute;margin-left:55.200001pt;margin-top:49.079983pt;width:485pt;height:.1pt;mso-position-horizontal-relative:page;mso-position-vertical-relative:page;z-index:0" coordorigin="1104,982" coordsize="9700,2">
            <v:shape style="position:absolute;left:1104;top:982;width:9700;height:2" coordorigin="1104,982" coordsize="9700,0" path="m1104,982l10804,982e" filled="false" stroked="true" strokeweight=".72pt" strokecolor="#000000">
              <v:path arrowok="t"/>
            </v:shape>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6"/>
          <w:szCs w:val="16"/>
        </w:rPr>
      </w:pPr>
    </w:p>
    <w:p>
      <w:pPr>
        <w:spacing w:line="816" w:lineRule="exact"/>
        <w:ind w:left="4085"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5"/>
          <w:sz w:val="20"/>
          <w:szCs w:val="20"/>
        </w:rPr>
        <w:drawing>
          <wp:inline distT="0" distB="0" distL="0" distR="0">
            <wp:extent cx="1134712" cy="518159"/>
            <wp:effectExtent l="0" t="0" r="0" b="0"/>
            <wp:docPr id="1" name="image2.png" descr=""/>
            <wp:cNvGraphicFramePr>
              <a:graphicFrameLocks noChangeAspect="1"/>
            </wp:cNvGraphicFramePr>
            <a:graphic>
              <a:graphicData uri="http://schemas.openxmlformats.org/drawingml/2006/picture">
                <pic:pic>
                  <pic:nvPicPr>
                    <pic:cNvPr id="2" name="image2.png"/>
                    <pic:cNvPicPr/>
                  </pic:nvPicPr>
                  <pic:blipFill>
                    <a:blip r:embed="rId7" cstate="print"/>
                    <a:stretch>
                      <a:fillRect/>
                    </a:stretch>
                  </pic:blipFill>
                  <pic:spPr>
                    <a:xfrm>
                      <a:off x="0" y="0"/>
                      <a:ext cx="1134712" cy="518159"/>
                    </a:xfrm>
                    <a:prstGeom prst="rect">
                      <a:avLst/>
                    </a:prstGeom>
                  </pic:spPr>
                </pic:pic>
              </a:graphicData>
            </a:graphic>
          </wp:inline>
        </w:drawing>
      </w:r>
      <w:r>
        <w:rPr>
          <w:rFonts w:ascii="Times New Roman" w:hAnsi="Times New Roman" w:cs="Times New Roman" w:eastAsia="Times New Roman" w:hint="default"/>
          <w:position w:val="-15"/>
          <w:sz w:val="20"/>
          <w:szCs w:val="20"/>
        </w:rPr>
      </w:r>
    </w:p>
    <w:p>
      <w:pPr>
        <w:spacing w:line="240" w:lineRule="auto" w:before="10"/>
        <w:rPr>
          <w:rFonts w:ascii="Times New Roman" w:hAnsi="Times New Roman" w:cs="Times New Roman" w:eastAsia="Times New Roman" w:hint="default"/>
          <w:sz w:val="12"/>
          <w:szCs w:val="12"/>
        </w:rPr>
      </w:pPr>
    </w:p>
    <w:p>
      <w:pPr>
        <w:spacing w:line="460" w:lineRule="exact" w:before="0"/>
        <w:ind w:left="16" w:right="993" w:firstLine="0"/>
        <w:jc w:val="center"/>
        <w:rPr>
          <w:rFonts w:ascii="宋体" w:hAnsi="宋体" w:cs="宋体" w:eastAsia="宋体" w:hint="default"/>
          <w:sz w:val="36"/>
          <w:szCs w:val="36"/>
        </w:rPr>
      </w:pPr>
      <w:r>
        <w:rPr>
          <w:rFonts w:ascii="宋体" w:hAnsi="宋体" w:cs="宋体" w:eastAsia="宋体" w:hint="default"/>
          <w:b/>
          <w:bCs/>
          <w:sz w:val="36"/>
          <w:szCs w:val="36"/>
        </w:rPr>
        <w:t>河南辉煌科技股份有限公司</w:t>
      </w:r>
      <w:r>
        <w:rPr>
          <w:rFonts w:ascii="宋体" w:hAnsi="宋体" w:cs="宋体" w:eastAsia="宋体" w:hint="default"/>
          <w:sz w:val="36"/>
          <w:szCs w:val="36"/>
        </w:rPr>
      </w:r>
    </w:p>
    <w:p>
      <w:pPr>
        <w:spacing w:line="240" w:lineRule="auto" w:before="9"/>
        <w:rPr>
          <w:rFonts w:ascii="宋体" w:hAnsi="宋体" w:cs="宋体" w:eastAsia="宋体" w:hint="default"/>
          <w:b/>
          <w:bCs/>
          <w:sz w:val="30"/>
          <w:szCs w:val="30"/>
        </w:rPr>
      </w:pPr>
    </w:p>
    <w:p>
      <w:pPr>
        <w:spacing w:before="0"/>
        <w:ind w:left="14" w:right="993"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2017</w:t>
      </w:r>
      <w:r>
        <w:rPr>
          <w:rFonts w:ascii="Times New Roman" w:hAnsi="Times New Roman" w:cs="Times New Roman" w:eastAsia="Times New Roman" w:hint="default"/>
          <w:b/>
          <w:bCs/>
          <w:spacing w:val="-4"/>
          <w:sz w:val="32"/>
          <w:szCs w:val="32"/>
        </w:rPr>
        <w:t> </w:t>
      </w:r>
      <w:r>
        <w:rPr>
          <w:rFonts w:ascii="宋体" w:hAnsi="宋体" w:cs="宋体" w:eastAsia="宋体" w:hint="default"/>
          <w:b/>
          <w:bCs/>
          <w:sz w:val="32"/>
          <w:szCs w:val="32"/>
        </w:rPr>
        <w:t>年年度报告</w:t>
      </w:r>
      <w:r>
        <w:rPr>
          <w:rFonts w:ascii="宋体" w:hAnsi="宋体" w:cs="宋体" w:eastAsia="宋体" w:hint="default"/>
          <w:sz w:val="32"/>
          <w:szCs w:val="32"/>
        </w:rPr>
      </w:r>
    </w:p>
    <w:p>
      <w:pPr>
        <w:spacing w:line="240" w:lineRule="auto" w:before="5"/>
        <w:rPr>
          <w:rFonts w:ascii="宋体" w:hAnsi="宋体" w:cs="宋体" w:eastAsia="宋体" w:hint="default"/>
          <w:b/>
          <w:bCs/>
          <w:sz w:val="32"/>
          <w:szCs w:val="32"/>
        </w:rPr>
      </w:pPr>
    </w:p>
    <w:p>
      <w:pPr>
        <w:spacing w:before="0"/>
        <w:ind w:left="18" w:right="993" w:firstLine="0"/>
        <w:jc w:val="center"/>
        <w:rPr>
          <w:rFonts w:ascii="Times New Roman" w:hAnsi="Times New Roman" w:cs="Times New Roman" w:eastAsia="Times New Roman" w:hint="default"/>
          <w:sz w:val="32"/>
          <w:szCs w:val="32"/>
        </w:rPr>
      </w:pPr>
      <w:r>
        <w:rPr>
          <w:rFonts w:ascii="Times New Roman"/>
          <w:b/>
          <w:sz w:val="32"/>
        </w:rPr>
        <w:t>2018-023</w:t>
      </w:r>
      <w:r>
        <w:rPr>
          <w:rFonts w:ascii="Times New Roman"/>
          <w:sz w:val="32"/>
        </w:rPr>
      </w:r>
    </w:p>
    <w:p>
      <w:pPr>
        <w:spacing w:line="240" w:lineRule="auto" w:before="0"/>
        <w:rPr>
          <w:rFonts w:ascii="Times New Roman" w:hAnsi="Times New Roman" w:cs="Times New Roman" w:eastAsia="Times New Roman" w:hint="default"/>
          <w:b/>
          <w:bCs/>
          <w:sz w:val="32"/>
          <w:szCs w:val="32"/>
        </w:rPr>
      </w:pPr>
    </w:p>
    <w:p>
      <w:pPr>
        <w:spacing w:line="240" w:lineRule="auto" w:before="0"/>
        <w:rPr>
          <w:rFonts w:ascii="Times New Roman" w:hAnsi="Times New Roman" w:cs="Times New Roman" w:eastAsia="Times New Roman" w:hint="default"/>
          <w:b/>
          <w:bCs/>
          <w:sz w:val="32"/>
          <w:szCs w:val="32"/>
        </w:rPr>
      </w:pPr>
    </w:p>
    <w:p>
      <w:pPr>
        <w:spacing w:line="240" w:lineRule="auto" w:before="0"/>
        <w:rPr>
          <w:rFonts w:ascii="Times New Roman" w:hAnsi="Times New Roman" w:cs="Times New Roman" w:eastAsia="Times New Roman" w:hint="default"/>
          <w:b/>
          <w:bCs/>
          <w:sz w:val="32"/>
          <w:szCs w:val="32"/>
        </w:rPr>
      </w:pPr>
    </w:p>
    <w:p>
      <w:pPr>
        <w:spacing w:line="240" w:lineRule="auto" w:before="0"/>
        <w:rPr>
          <w:rFonts w:ascii="Times New Roman" w:hAnsi="Times New Roman" w:cs="Times New Roman" w:eastAsia="Times New Roman" w:hint="default"/>
          <w:b/>
          <w:bCs/>
          <w:sz w:val="32"/>
          <w:szCs w:val="32"/>
        </w:rPr>
      </w:pPr>
    </w:p>
    <w:p>
      <w:pPr>
        <w:spacing w:line="240" w:lineRule="auto" w:before="0"/>
        <w:rPr>
          <w:rFonts w:ascii="Times New Roman" w:hAnsi="Times New Roman" w:cs="Times New Roman" w:eastAsia="Times New Roman" w:hint="default"/>
          <w:b/>
          <w:bCs/>
          <w:sz w:val="32"/>
          <w:szCs w:val="32"/>
        </w:rPr>
      </w:pPr>
    </w:p>
    <w:p>
      <w:pPr>
        <w:spacing w:line="240" w:lineRule="auto" w:before="0"/>
        <w:rPr>
          <w:rFonts w:ascii="Times New Roman" w:hAnsi="Times New Roman" w:cs="Times New Roman" w:eastAsia="Times New Roman" w:hint="default"/>
          <w:b/>
          <w:bCs/>
          <w:sz w:val="32"/>
          <w:szCs w:val="32"/>
        </w:rPr>
      </w:pPr>
    </w:p>
    <w:p>
      <w:pPr>
        <w:spacing w:line="240" w:lineRule="auto" w:before="0"/>
        <w:rPr>
          <w:rFonts w:ascii="Times New Roman" w:hAnsi="Times New Roman" w:cs="Times New Roman" w:eastAsia="Times New Roman" w:hint="default"/>
          <w:b/>
          <w:bCs/>
          <w:sz w:val="32"/>
          <w:szCs w:val="32"/>
        </w:rPr>
      </w:pPr>
    </w:p>
    <w:p>
      <w:pPr>
        <w:spacing w:line="240" w:lineRule="auto" w:before="0"/>
        <w:rPr>
          <w:rFonts w:ascii="Times New Roman" w:hAnsi="Times New Roman" w:cs="Times New Roman" w:eastAsia="Times New Roman" w:hint="default"/>
          <w:b/>
          <w:bCs/>
          <w:sz w:val="32"/>
          <w:szCs w:val="32"/>
        </w:rPr>
      </w:pPr>
    </w:p>
    <w:p>
      <w:pPr>
        <w:spacing w:line="240" w:lineRule="auto" w:before="0"/>
        <w:rPr>
          <w:rFonts w:ascii="Times New Roman" w:hAnsi="Times New Roman" w:cs="Times New Roman" w:eastAsia="Times New Roman" w:hint="default"/>
          <w:b/>
          <w:bCs/>
          <w:sz w:val="32"/>
          <w:szCs w:val="32"/>
        </w:rPr>
      </w:pPr>
    </w:p>
    <w:p>
      <w:pPr>
        <w:spacing w:line="240" w:lineRule="auto" w:before="0"/>
        <w:rPr>
          <w:rFonts w:ascii="Times New Roman" w:hAnsi="Times New Roman" w:cs="Times New Roman" w:eastAsia="Times New Roman" w:hint="default"/>
          <w:b/>
          <w:bCs/>
          <w:sz w:val="32"/>
          <w:szCs w:val="32"/>
        </w:rPr>
      </w:pPr>
    </w:p>
    <w:p>
      <w:pPr>
        <w:spacing w:line="240" w:lineRule="auto" w:before="0"/>
        <w:rPr>
          <w:rFonts w:ascii="Times New Roman" w:hAnsi="Times New Roman" w:cs="Times New Roman" w:eastAsia="Times New Roman" w:hint="default"/>
          <w:b/>
          <w:bCs/>
          <w:sz w:val="32"/>
          <w:szCs w:val="32"/>
        </w:rPr>
      </w:pPr>
    </w:p>
    <w:p>
      <w:pPr>
        <w:spacing w:line="240" w:lineRule="auto" w:before="0"/>
        <w:rPr>
          <w:rFonts w:ascii="Times New Roman" w:hAnsi="Times New Roman" w:cs="Times New Roman" w:eastAsia="Times New Roman" w:hint="default"/>
          <w:b/>
          <w:bCs/>
          <w:sz w:val="32"/>
          <w:szCs w:val="32"/>
        </w:rPr>
      </w:pPr>
    </w:p>
    <w:p>
      <w:pPr>
        <w:spacing w:line="240" w:lineRule="auto" w:before="0"/>
        <w:rPr>
          <w:rFonts w:ascii="Times New Roman" w:hAnsi="Times New Roman" w:cs="Times New Roman" w:eastAsia="Times New Roman" w:hint="default"/>
          <w:b/>
          <w:bCs/>
          <w:sz w:val="32"/>
          <w:szCs w:val="32"/>
        </w:rPr>
      </w:pPr>
    </w:p>
    <w:p>
      <w:pPr>
        <w:spacing w:line="240" w:lineRule="auto" w:before="0"/>
        <w:rPr>
          <w:rFonts w:ascii="Times New Roman" w:hAnsi="Times New Roman" w:cs="Times New Roman" w:eastAsia="Times New Roman" w:hint="default"/>
          <w:b/>
          <w:bCs/>
          <w:sz w:val="32"/>
          <w:szCs w:val="32"/>
        </w:rPr>
      </w:pPr>
    </w:p>
    <w:p>
      <w:pPr>
        <w:spacing w:line="240" w:lineRule="auto" w:before="0"/>
        <w:rPr>
          <w:rFonts w:ascii="Times New Roman" w:hAnsi="Times New Roman" w:cs="Times New Roman" w:eastAsia="Times New Roman" w:hint="default"/>
          <w:b/>
          <w:bCs/>
          <w:sz w:val="32"/>
          <w:szCs w:val="32"/>
        </w:rPr>
      </w:pPr>
    </w:p>
    <w:p>
      <w:pPr>
        <w:spacing w:line="240" w:lineRule="auto" w:before="4"/>
        <w:rPr>
          <w:rFonts w:ascii="Times New Roman" w:hAnsi="Times New Roman" w:cs="Times New Roman" w:eastAsia="Times New Roman" w:hint="default"/>
          <w:b/>
          <w:bCs/>
          <w:sz w:val="37"/>
          <w:szCs w:val="37"/>
        </w:rPr>
      </w:pPr>
    </w:p>
    <w:p>
      <w:pPr>
        <w:spacing w:before="0"/>
        <w:ind w:left="17" w:right="993"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2018</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年</w:t>
      </w:r>
      <w:r>
        <w:rPr>
          <w:rFonts w:ascii="宋体" w:hAnsi="宋体" w:cs="宋体" w:eastAsia="宋体" w:hint="default"/>
          <w:b/>
          <w:bCs/>
          <w:spacing w:val="-82"/>
          <w:sz w:val="32"/>
          <w:szCs w:val="32"/>
        </w:rPr>
        <w:t> </w:t>
      </w:r>
      <w:r>
        <w:rPr>
          <w:rFonts w:ascii="Times New Roman" w:hAnsi="Times New Roman" w:cs="Times New Roman" w:eastAsia="Times New Roman" w:hint="default"/>
          <w:b/>
          <w:bCs/>
          <w:sz w:val="32"/>
          <w:szCs w:val="32"/>
        </w:rPr>
        <w:t>04</w:t>
      </w:r>
      <w:r>
        <w:rPr>
          <w:rFonts w:ascii="Times New Roman" w:hAnsi="Times New Roman" w:cs="Times New Roman" w:eastAsia="Times New Roman" w:hint="default"/>
          <w:b/>
          <w:bCs/>
          <w:spacing w:val="-2"/>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headerReference w:type="default" r:id="rId5"/>
          <w:footerReference w:type="default" r:id="rId6"/>
          <w:type w:val="continuous"/>
          <w:pgSz w:w="11910" w:h="16840"/>
          <w:pgMar w:header="747" w:footer="979" w:top="1060" w:bottom="1160" w:left="980" w:right="0"/>
        </w:sectPr>
      </w:pPr>
    </w:p>
    <w:p>
      <w:pPr>
        <w:spacing w:line="240" w:lineRule="auto" w:before="12"/>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8"/>
          <w:szCs w:val="18"/>
        </w:rPr>
      </w:pPr>
    </w:p>
    <w:p>
      <w:pPr>
        <w:pStyle w:val="Heading1"/>
        <w:spacing w:line="240" w:lineRule="auto"/>
        <w:ind w:left="2805" w:right="996"/>
        <w:jc w:val="left"/>
        <w:rPr>
          <w:b w:val="0"/>
          <w:bCs w:val="0"/>
        </w:rPr>
      </w:pPr>
      <w:bookmarkStart w:name="第一节 重要提示、目录和释义" w:id="1"/>
      <w:bookmarkEnd w:id="1"/>
      <w:r>
        <w:rPr>
          <w:b w:val="0"/>
          <w:bCs w:val="0"/>
        </w:rPr>
      </w:r>
      <w:bookmarkStart w:name="_bookmark0" w:id="2"/>
      <w:bookmarkEnd w:id="2"/>
      <w:r>
        <w:rPr>
          <w:b w:val="0"/>
          <w:bCs w:val="0"/>
        </w:rPr>
      </w:r>
      <w:r>
        <w:rPr/>
        <w:t>第一节</w:t>
      </w:r>
      <w:r>
        <w:rPr>
          <w:spacing w:val="-11"/>
        </w:rPr>
        <w:t> </w:t>
      </w:r>
      <w:r>
        <w:rPr/>
        <w:t>重要提示、目录和释义</w:t>
      </w:r>
      <w:r>
        <w:rPr>
          <w:b w:val="0"/>
          <w:bCs w:val="0"/>
        </w:rPr>
      </w:r>
    </w:p>
    <w:p>
      <w:pPr>
        <w:spacing w:line="240" w:lineRule="auto" w:before="1"/>
        <w:rPr>
          <w:rFonts w:ascii="宋体" w:hAnsi="宋体" w:cs="宋体" w:eastAsia="宋体" w:hint="default"/>
          <w:b/>
          <w:bCs/>
          <w:sz w:val="43"/>
          <w:szCs w:val="43"/>
        </w:rPr>
      </w:pPr>
    </w:p>
    <w:p>
      <w:pPr>
        <w:spacing w:before="0"/>
        <w:ind w:left="617" w:right="991" w:firstLine="0"/>
        <w:jc w:val="center"/>
        <w:rPr>
          <w:rFonts w:ascii="宋体" w:hAnsi="宋体" w:cs="宋体" w:eastAsia="宋体" w:hint="default"/>
          <w:sz w:val="30"/>
          <w:szCs w:val="30"/>
        </w:rPr>
      </w:pPr>
      <w:r>
        <w:rPr>
          <w:rFonts w:ascii="宋体" w:hAnsi="宋体" w:cs="宋体" w:eastAsia="宋体" w:hint="default"/>
          <w:b/>
          <w:bCs/>
          <w:sz w:val="30"/>
          <w:szCs w:val="30"/>
        </w:rPr>
        <w:t>重要提示</w:t>
      </w:r>
      <w:r>
        <w:rPr>
          <w:rFonts w:ascii="宋体" w:hAnsi="宋体" w:cs="宋体" w:eastAsia="宋体" w:hint="default"/>
          <w:sz w:val="30"/>
          <w:szCs w:val="30"/>
        </w:rPr>
      </w:r>
    </w:p>
    <w:p>
      <w:pPr>
        <w:pStyle w:val="BodyText"/>
        <w:spacing w:line="352" w:lineRule="auto" w:before="137"/>
        <w:ind w:right="996" w:firstLine="480"/>
        <w:jc w:val="left"/>
      </w:pPr>
      <w:r>
        <w:rPr/>
        <w:t>公司董事会、监事会及董事、监事、高级管理人员保证年度报告内容的真实、准确、完 整，不存在虚假记载、误导性陈述或重大遗漏，并承担个别和连带的法律责任。</w:t>
      </w:r>
    </w:p>
    <w:p>
      <w:pPr>
        <w:pStyle w:val="BodyText"/>
        <w:spacing w:line="350" w:lineRule="auto" w:before="32"/>
        <w:ind w:right="996" w:firstLine="480"/>
        <w:jc w:val="left"/>
      </w:pPr>
      <w:r>
        <w:rPr/>
        <w:t>公司负责人李海鹰、主管会计工作负责人侯菊艳及会计机构负责人</w:t>
      </w:r>
      <w:r>
        <w:rPr>
          <w:rFonts w:ascii="宋体" w:hAnsi="宋体" w:cs="宋体" w:eastAsia="宋体" w:hint="default"/>
        </w:rPr>
        <w:t>(</w:t>
      </w:r>
      <w:r>
        <w:rPr/>
        <w:t>会计主管人员</w:t>
      </w:r>
      <w:r>
        <w:rPr>
          <w:rFonts w:ascii="宋体" w:hAnsi="宋体" w:cs="宋体" w:eastAsia="宋体" w:hint="default"/>
        </w:rPr>
        <w:t>)</w:t>
      </w:r>
      <w:r>
        <w:rPr/>
        <w:t>窦永</w:t>
      </w:r>
      <w:r>
        <w:rPr>
          <w:spacing w:val="2"/>
        </w:rPr>
        <w:t> </w:t>
      </w:r>
      <w:r>
        <w:rPr/>
        <w:t>贺声明：保证年度报告中财务报告的真实、准确、完整。</w:t>
      </w:r>
    </w:p>
    <w:p>
      <w:pPr>
        <w:pStyle w:val="BodyText"/>
        <w:spacing w:line="350" w:lineRule="auto"/>
        <w:ind w:left="633" w:right="996"/>
        <w:jc w:val="left"/>
      </w:pPr>
      <w:r>
        <w:rPr/>
        <w:t>所有董事均已出席了审议本报告的董事会会议。 本年度报告内容中如有涉及未来的计划、业绩预测等方面的前瞻性陈述，均不构成本公</w:t>
      </w:r>
    </w:p>
    <w:p>
      <w:pPr>
        <w:pStyle w:val="BodyText"/>
        <w:spacing w:line="352" w:lineRule="auto" w:before="35"/>
        <w:ind w:right="996"/>
        <w:jc w:val="left"/>
      </w:pPr>
      <w:r>
        <w:rPr/>
        <w:t>司对任何投资者的实质承诺，能否实现取决于市场状况变化、经营团队的努力程度等多种因 素，存在很大的不确定性，请投资者注意投资风险。</w:t>
      </w:r>
    </w:p>
    <w:p>
      <w:pPr>
        <w:spacing w:after="0" w:line="352" w:lineRule="auto"/>
        <w:jc w:val="left"/>
        <w:sectPr>
          <w:footerReference w:type="default" r:id="rId8"/>
          <w:pgSz w:w="11910" w:h="16840"/>
          <w:pgMar w:footer="979" w:header="747" w:top="1060" w:bottom="1160" w:left="980" w:right="0"/>
          <w:pgNumType w:start="2"/>
        </w:sectPr>
      </w:pPr>
    </w:p>
    <w:p>
      <w:pPr>
        <w:spacing w:line="240" w:lineRule="auto" w:before="12"/>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pgSz w:w="11910" w:h="16840"/>
          <w:pgMar w:header="747" w:footer="979" w:top="1060" w:bottom="1160" w:left="980" w:right="0"/>
        </w:sectPr>
      </w:pPr>
    </w:p>
    <w:p>
      <w:pPr>
        <w:spacing w:line="240" w:lineRule="auto" w:before="0"/>
        <w:rPr>
          <w:rFonts w:ascii="宋体" w:hAnsi="宋体" w:cs="宋体" w:eastAsia="宋体" w:hint="default"/>
          <w:sz w:val="24"/>
          <w:szCs w:val="24"/>
        </w:rPr>
      </w:pPr>
    </w:p>
    <w:p>
      <w:pPr>
        <w:spacing w:line="240" w:lineRule="auto" w:before="2"/>
        <w:rPr>
          <w:rFonts w:ascii="宋体" w:hAnsi="宋体" w:cs="宋体" w:eastAsia="宋体" w:hint="default"/>
          <w:sz w:val="17"/>
          <w:szCs w:val="17"/>
        </w:rPr>
      </w:pPr>
    </w:p>
    <w:p>
      <w:pPr>
        <w:pStyle w:val="Heading2"/>
        <w:spacing w:line="240" w:lineRule="auto" w:before="0"/>
        <w:ind w:right="0"/>
        <w:jc w:val="left"/>
        <w:rPr>
          <w:b w:val="0"/>
          <w:bCs w:val="0"/>
        </w:rPr>
      </w:pPr>
      <w:r>
        <w:rPr>
          <w:rFonts w:ascii="宋体" w:hAnsi="宋体" w:cs="宋体" w:eastAsia="宋体" w:hint="default"/>
          <w:w w:val="95"/>
        </w:rPr>
        <w:t>1</w:t>
      </w:r>
      <w:r>
        <w:rPr>
          <w:w w:val="95"/>
        </w:rPr>
        <w:t>、行业政策变化风险。</w:t>
      </w:r>
      <w:r>
        <w:rPr>
          <w:b w:val="0"/>
          <w:bCs w:val="0"/>
        </w:rPr>
      </w:r>
    </w:p>
    <w:p>
      <w:pPr>
        <w:spacing w:before="7"/>
        <w:ind w:left="636" w:right="0" w:firstLine="0"/>
        <w:jc w:val="left"/>
        <w:rPr>
          <w:rFonts w:ascii="宋体" w:hAnsi="宋体" w:cs="宋体" w:eastAsia="宋体" w:hint="default"/>
          <w:sz w:val="30"/>
          <w:szCs w:val="30"/>
        </w:rPr>
      </w:pPr>
      <w:r>
        <w:rPr/>
        <w:br w:type="column"/>
      </w:r>
      <w:r>
        <w:rPr>
          <w:rFonts w:ascii="宋体" w:hAnsi="宋体" w:cs="宋体" w:eastAsia="宋体" w:hint="default"/>
          <w:b/>
          <w:bCs/>
          <w:sz w:val="30"/>
          <w:szCs w:val="30"/>
        </w:rPr>
        <w:t>风险提示</w:t>
      </w:r>
      <w:r>
        <w:rPr>
          <w:rFonts w:ascii="宋体" w:hAnsi="宋体" w:cs="宋体" w:eastAsia="宋体" w:hint="default"/>
          <w:sz w:val="30"/>
          <w:szCs w:val="30"/>
        </w:rPr>
      </w:r>
    </w:p>
    <w:p>
      <w:pPr>
        <w:spacing w:after="0"/>
        <w:jc w:val="left"/>
        <w:rPr>
          <w:rFonts w:ascii="宋体" w:hAnsi="宋体" w:cs="宋体" w:eastAsia="宋体" w:hint="default"/>
          <w:sz w:val="30"/>
          <w:szCs w:val="30"/>
        </w:rPr>
        <w:sectPr>
          <w:type w:val="continuous"/>
          <w:pgSz w:w="11910" w:h="16840"/>
          <w:pgMar w:top="1060" w:bottom="1160" w:left="980" w:right="0"/>
          <w:cols w:num="2" w:equalWidth="0">
            <w:col w:w="3165" w:space="871"/>
            <w:col w:w="6894"/>
          </w:cols>
        </w:sectPr>
      </w:pPr>
    </w:p>
    <w:p>
      <w:pPr>
        <w:spacing w:line="240" w:lineRule="auto" w:before="2"/>
        <w:rPr>
          <w:rFonts w:ascii="宋体" w:hAnsi="宋体" w:cs="宋体" w:eastAsia="宋体" w:hint="default"/>
          <w:b/>
          <w:bCs/>
          <w:sz w:val="9"/>
          <w:szCs w:val="9"/>
        </w:rPr>
      </w:pPr>
    </w:p>
    <w:p>
      <w:pPr>
        <w:pStyle w:val="BodyText"/>
        <w:spacing w:line="350" w:lineRule="auto" w:before="26"/>
        <w:ind w:right="996" w:firstLine="480"/>
        <w:jc w:val="left"/>
      </w:pPr>
      <w:r>
        <w:rPr/>
        <w:t>随着国家不断加大对交通基础设施的投入，相应的政策法规及行业规范陆续出台。国家 </w:t>
      </w:r>
      <w:r>
        <w:rPr>
          <w:spacing w:val="-9"/>
        </w:rPr>
        <w:t>先后制订了《国家铁路“十三五”发展规划》、《交通基础设施重大工程建设三年行动计划》、</w:t>
      </w:r>
    </w:p>
    <w:p>
      <w:pPr>
        <w:pStyle w:val="BodyText"/>
        <w:spacing w:line="350" w:lineRule="auto"/>
        <w:ind w:right="1131"/>
        <w:jc w:val="both"/>
      </w:pPr>
      <w:r>
        <w:rPr/>
        <w:t>《铁路标准化“十三五”发展规划》等新政策与规章制度，从行业政策方向看，轨道交通行</w:t>
      </w:r>
      <w:r>
        <w:rPr>
          <w:spacing w:val="-115"/>
        </w:rPr>
        <w:t> </w:t>
      </w:r>
      <w:r>
        <w:rPr>
          <w:spacing w:val="-115"/>
        </w:rPr>
      </w:r>
      <w:r>
        <w:rPr/>
        <w:t>业的总体发展目标相对明确，有较好的发展前景。但是，随着国家铁路迅速发展，铁路系统</w:t>
      </w:r>
      <w:r>
        <w:rPr>
          <w:spacing w:val="-112"/>
        </w:rPr>
        <w:t> </w:t>
      </w:r>
      <w:r>
        <w:rPr>
          <w:spacing w:val="-112"/>
        </w:rPr>
      </w:r>
      <w:r>
        <w:rPr/>
        <w:t>的改革也会不断进行并可能进一步深化，也会面向市场推出新的监管办法和规章制度；随着 国家宏观经济发展进入新常态，各项改革措施的逐步深入推进，也会给各个地方的城市轨道 交通项目的建设规划、运营管理、监督及创新，推出新的政策机制和管理办法。由于公司产 品目前主要集中于轨道交通行业，面对铁路和城市轨道交通市场，因此，公司业务经营也会 受到轨道交通行业政策发生变化带来的不利风险。应对措施：公司及时收集行业相关信息， 掌握和了解轨道交通行业的政策变化，分析研究政策变化对公司产生的影响，积极应对，提 早防范。同时拓宽市场领域，针对存量市场进行积极开发，使产品市场多元化，增加新的利</w:t>
      </w:r>
      <w:r>
        <w:rPr/>
        <w:t> 润增长点，分散风险。</w:t>
      </w:r>
    </w:p>
    <w:p>
      <w:pPr>
        <w:spacing w:line="350" w:lineRule="auto" w:before="35"/>
        <w:ind w:left="633" w:right="996" w:firstLine="2"/>
        <w:jc w:val="left"/>
        <w:rPr>
          <w:rFonts w:ascii="宋体" w:hAnsi="宋体" w:cs="宋体" w:eastAsia="宋体" w:hint="default"/>
          <w:sz w:val="24"/>
          <w:szCs w:val="24"/>
        </w:rPr>
      </w:pPr>
      <w:r>
        <w:rPr>
          <w:rFonts w:ascii="宋体" w:hAnsi="宋体" w:cs="宋体" w:eastAsia="宋体" w:hint="default"/>
          <w:b/>
          <w:bCs/>
          <w:sz w:val="24"/>
          <w:szCs w:val="24"/>
        </w:rPr>
        <w:t>2</w:t>
      </w:r>
      <w:r>
        <w:rPr>
          <w:rFonts w:ascii="宋体" w:hAnsi="宋体" w:cs="宋体" w:eastAsia="宋体" w:hint="default"/>
          <w:b/>
          <w:bCs/>
          <w:sz w:val="24"/>
          <w:szCs w:val="24"/>
        </w:rPr>
        <w:t>、行业竞争加剧可能导致利润空间变小风险。</w:t>
      </w:r>
      <w:r>
        <w:rPr>
          <w:rFonts w:ascii="宋体" w:hAnsi="宋体" w:cs="宋体" w:eastAsia="宋体" w:hint="default"/>
          <w:b/>
          <w:bCs/>
          <w:w w:val="99"/>
          <w:sz w:val="24"/>
          <w:szCs w:val="24"/>
        </w:rPr>
        <w:t> </w:t>
      </w:r>
      <w:r>
        <w:rPr>
          <w:rFonts w:ascii="宋体" w:hAnsi="宋体" w:cs="宋体" w:eastAsia="宋体" w:hint="default"/>
          <w:sz w:val="24"/>
          <w:szCs w:val="24"/>
        </w:rPr>
        <w:t>随着国铁及城市轨道交通工程建设模式的成熟，及相应技术标准体系的逐步完备，在行</w:t>
      </w:r>
    </w:p>
    <w:p>
      <w:pPr>
        <w:pStyle w:val="BodyText"/>
        <w:spacing w:line="350" w:lineRule="auto"/>
        <w:ind w:right="1129"/>
        <w:jc w:val="both"/>
      </w:pPr>
      <w:r>
        <w:rPr/>
        <w:t>业内，不论哪个产品，随着市场的扩大，竞争对手的加入，做的人越来越多，同时伴随原材 料及人工价格的走高，其销售毛利也会逐渐下降。因此任何公司或产品都面临毛利率降低的 风险。应对措施：加大研发投入，不断提升自主研发产品或部件在订单中的比例，在具有领 先优势的产品领域，深入挖掘用户需求，推动产品标准升级换代，打造以技术和质量为核心</w:t>
      </w:r>
      <w:r>
        <w:rPr>
          <w:spacing w:val="-109"/>
        </w:rPr>
        <w:t> </w:t>
      </w:r>
      <w:r>
        <w:rPr>
          <w:spacing w:val="-109"/>
        </w:rPr>
      </w:r>
      <w:r>
        <w:rPr/>
        <w:t>的产品竞争力，避免恶性价格竞争；积极推进新领域新产品的布局，对公司总体毛利水平产</w:t>
      </w:r>
      <w:r>
        <w:rPr/>
        <w:t> 生正向积极作用。另一方面，持续加强企业内控建设，加强研发、交付、供应等全供应链的 管理，降低成本</w:t>
      </w:r>
      <w:r>
        <w:rPr>
          <w:rFonts w:ascii="宋体" w:hAnsi="宋体" w:cs="宋体" w:eastAsia="宋体" w:hint="default"/>
        </w:rPr>
        <w:t>,</w:t>
      </w:r>
      <w:r>
        <w:rPr/>
        <w:t>提高效率</w:t>
      </w:r>
      <w:r>
        <w:rPr>
          <w:rFonts w:ascii="宋体" w:hAnsi="宋体" w:cs="宋体" w:eastAsia="宋体" w:hint="default"/>
        </w:rPr>
        <w:t>,</w:t>
      </w:r>
      <w:r>
        <w:rPr/>
        <w:t>确保公司主业的整体毛利率处于稳定可控范围。</w:t>
      </w:r>
    </w:p>
    <w:p>
      <w:pPr>
        <w:spacing w:line="350" w:lineRule="auto" w:before="35"/>
        <w:ind w:left="633" w:right="996" w:firstLine="2"/>
        <w:jc w:val="left"/>
        <w:rPr>
          <w:rFonts w:ascii="宋体" w:hAnsi="宋体" w:cs="宋体" w:eastAsia="宋体" w:hint="default"/>
          <w:sz w:val="24"/>
          <w:szCs w:val="24"/>
        </w:rPr>
      </w:pPr>
      <w:r>
        <w:rPr>
          <w:rFonts w:ascii="宋体" w:hAnsi="宋体" w:cs="宋体" w:eastAsia="宋体" w:hint="default"/>
          <w:b/>
          <w:bCs/>
          <w:sz w:val="24"/>
          <w:szCs w:val="24"/>
        </w:rPr>
        <w:t>3</w:t>
      </w:r>
      <w:r>
        <w:rPr>
          <w:rFonts w:ascii="宋体" w:hAnsi="宋体" w:cs="宋体" w:eastAsia="宋体" w:hint="default"/>
          <w:b/>
          <w:bCs/>
          <w:sz w:val="24"/>
          <w:szCs w:val="24"/>
        </w:rPr>
        <w:t>、新领域拓展、业务整合带来的管理风险。</w:t>
      </w:r>
      <w:r>
        <w:rPr>
          <w:rFonts w:ascii="宋体" w:hAnsi="宋体" w:cs="宋体" w:eastAsia="宋体" w:hint="default"/>
          <w:b/>
          <w:bCs/>
          <w:w w:val="99"/>
          <w:sz w:val="24"/>
          <w:szCs w:val="24"/>
        </w:rPr>
        <w:t> </w:t>
      </w:r>
      <w:r>
        <w:rPr>
          <w:rFonts w:ascii="宋体" w:hAnsi="宋体" w:cs="宋体" w:eastAsia="宋体" w:hint="default"/>
          <w:sz w:val="24"/>
          <w:szCs w:val="24"/>
        </w:rPr>
        <w:t>公司根据自身业务和未来战略需要，在业务方向上突破轨道交通行业通信信号领域，稳</w:t>
      </w:r>
    </w:p>
    <w:p>
      <w:pPr>
        <w:pStyle w:val="BodyText"/>
        <w:spacing w:line="352" w:lineRule="auto"/>
        <w:ind w:right="996"/>
        <w:jc w:val="left"/>
      </w:pPr>
      <w:r>
        <w:rPr>
          <w:spacing w:val="-3"/>
        </w:rPr>
        <w:t>步推进在高铁和城市轨道交通后市场方面的投入布局；通过投资参股方式，布局了“大交通”</w:t>
      </w:r>
      <w:r>
        <w:rPr>
          <w:spacing w:val="-80"/>
        </w:rPr>
        <w:t> </w:t>
      </w:r>
      <w:r>
        <w:rPr>
          <w:spacing w:val="-80"/>
        </w:rPr>
      </w:r>
      <w:r>
        <w:rPr>
          <w:rFonts w:ascii="宋体" w:hAnsi="宋体" w:cs="宋体" w:eastAsia="宋体" w:hint="default"/>
        </w:rPr>
        <w:t>WiFi</w:t>
      </w:r>
      <w:r>
        <w:rPr>
          <w:rFonts w:ascii="宋体" w:hAnsi="宋体" w:cs="宋体" w:eastAsia="宋体" w:hint="default"/>
          <w:spacing w:val="-47"/>
        </w:rPr>
        <w:t> </w:t>
      </w:r>
      <w:r>
        <w:rPr>
          <w:spacing w:val="-4"/>
        </w:rPr>
        <w:t>市场，为未来进入广阔的智慧交通市场，获得了有效的切入点。随着这些新领域的拓展，</w:t>
      </w:r>
      <w:r>
        <w:rPr/>
        <w:t> 业务规模的扩大，公司的人员规模也将进一步增加，公司在执行战略规划、人力资源管理、 项目管理、财务管理及内部控制等方面将面临更大的挑战。如何提高整体运营效能，发挥协</w:t>
      </w:r>
    </w:p>
    <w:p>
      <w:pPr>
        <w:spacing w:after="0" w:line="352" w:lineRule="auto"/>
        <w:jc w:val="left"/>
        <w:sectPr>
          <w:type w:val="continuous"/>
          <w:pgSz w:w="11910" w:h="16840"/>
          <w:pgMar w:top="1060" w:bottom="1160" w:left="980" w:right="0"/>
        </w:sectPr>
      </w:pPr>
    </w:p>
    <w:p>
      <w:pPr>
        <w:spacing w:line="240" w:lineRule="auto" w:before="0"/>
        <w:rPr>
          <w:rFonts w:ascii="宋体" w:hAnsi="宋体" w:cs="宋体" w:eastAsia="宋体" w:hint="default"/>
          <w:sz w:val="20"/>
          <w:szCs w:val="20"/>
        </w:rPr>
      </w:pPr>
    </w:p>
    <w:p>
      <w:pPr>
        <w:pStyle w:val="BodyText"/>
        <w:spacing w:line="350" w:lineRule="auto" w:before="199"/>
        <w:ind w:right="1139"/>
        <w:jc w:val="both"/>
      </w:pPr>
      <w:r>
        <w:rPr/>
        <w:t>同优势是发展面临的新的风险因素之一。应对措施：持续优化多业务板块的内部运营机制和 监督机制，保证公司整体运营健康、安全；公司将充分尊重不同企业管理体系的差异性，从 公司治理、战略发展、市场协同、人才激励等各个方面不断完善相关内控制度与流程；使得 新拓展的市场产品尽早尽快形成规模效应。同时，公司将积极引进高端管理人才，以满足公 司高速发展过程中的管理需求。</w:t>
      </w:r>
    </w:p>
    <w:p>
      <w:pPr>
        <w:pStyle w:val="BodyText"/>
        <w:spacing w:line="350" w:lineRule="auto"/>
        <w:ind w:right="1153" w:firstLine="480"/>
        <w:jc w:val="left"/>
      </w:pPr>
      <w:r>
        <w:rPr/>
        <w:t>公司经本次董事会审议通过的利润分配预案为：本年度不派发现金红利，不送红股，不 以公积金转增股本。</w:t>
      </w:r>
    </w:p>
    <w:p>
      <w:pPr>
        <w:spacing w:after="0" w:line="35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2"/>
          <w:szCs w:val="22"/>
        </w:rPr>
      </w:pPr>
    </w:p>
    <w:p>
      <w:pPr>
        <w:pStyle w:val="Heading1"/>
        <w:spacing w:line="240" w:lineRule="auto"/>
        <w:ind w:left="17" w:right="993"/>
        <w:jc w:val="center"/>
        <w:rPr>
          <w:b w:val="0"/>
          <w:bCs w:val="0"/>
        </w:rPr>
      </w:pPr>
      <w:bookmarkStart w:name="目录" w:id="3"/>
      <w:bookmarkEnd w:id="3"/>
      <w:r>
        <w:rPr>
          <w:b w:val="0"/>
          <w:bCs w:val="0"/>
        </w:rPr>
      </w:r>
      <w:bookmarkStart w:name="_bookmark1" w:id="4"/>
      <w:bookmarkEnd w:id="4"/>
      <w:r>
        <w:rPr>
          <w:b w:val="0"/>
          <w:bCs w:val="0"/>
        </w:rPr>
      </w:r>
      <w:r>
        <w:rPr/>
        <w:t>目录</w:t>
      </w:r>
      <w:r>
        <w:rPr>
          <w:b w:val="0"/>
          <w:bCs w:val="0"/>
        </w:rPr>
      </w:r>
    </w:p>
    <w:sdt>
      <w:sdtPr>
        <w:docPartObj>
          <w:docPartGallery w:val="Table of Contents"/>
          <w:docPartUnique/>
        </w:docPartObj>
      </w:sdtPr>
      <w:sdtEndPr/>
      <w:sdtContent>
        <w:p>
          <w:pPr>
            <w:pStyle w:val="TOC1"/>
            <w:tabs>
              <w:tab w:pos="9780" w:val="right" w:leader="dot"/>
            </w:tabs>
            <w:spacing w:line="240" w:lineRule="auto" w:before="631"/>
            <w:ind w:right="0"/>
            <w:jc w:val="left"/>
            <w:rPr>
              <w:rFonts w:ascii="宋体" w:hAnsi="宋体" w:cs="宋体" w:eastAsia="宋体" w:hint="default"/>
              <w:b w:val="0"/>
              <w:bCs w:val="0"/>
            </w:rPr>
          </w:pPr>
          <w:r>
            <w:fldChar w:fldCharType="begin"/>
          </w:r>
          <w:r>
            <w:instrText>TOC \o "1-1" \h \z \u </w:instrText>
          </w:r>
          <w:r>
            <w:fldChar w:fldCharType="separate"/>
          </w:r>
          <w:hyperlink w:history="true" w:anchor="_bookmark0">
            <w:r>
              <w:rPr/>
              <w:t>第一节</w:t>
            </w:r>
            <w:r>
              <w:rPr>
                <w:spacing w:val="1"/>
              </w:rPr>
              <w:t> </w:t>
            </w:r>
            <w:r>
              <w:rPr/>
              <w:t>重要提示、目录和释义</w:t>
            </w:r>
            <w:r>
              <w:rPr>
                <w:rFonts w:ascii="宋体" w:hAnsi="宋体" w:cs="宋体" w:eastAsia="宋体" w:hint="default"/>
              </w:rPr>
              <w:tab/>
              <w:t>2</w:t>
            </w:r>
            <w:r>
              <w:rPr>
                <w:rFonts w:ascii="宋体" w:hAnsi="宋体" w:cs="宋体" w:eastAsia="宋体" w:hint="default"/>
                <w:b w:val="0"/>
                <w:bCs w:val="0"/>
              </w:rPr>
            </w:r>
          </w:hyperlink>
        </w:p>
        <w:p>
          <w:pPr>
            <w:pStyle w:val="TOC1"/>
            <w:tabs>
              <w:tab w:pos="9780" w:val="right" w:leader="dot"/>
            </w:tabs>
            <w:spacing w:line="240" w:lineRule="auto"/>
            <w:ind w:right="0"/>
            <w:jc w:val="left"/>
            <w:rPr>
              <w:rFonts w:ascii="宋体" w:hAnsi="宋体" w:cs="宋体" w:eastAsia="宋体" w:hint="default"/>
              <w:b w:val="0"/>
              <w:bCs w:val="0"/>
            </w:rPr>
          </w:pPr>
          <w:hyperlink w:history="true" w:anchor="_bookmark1">
            <w:r>
              <w:rPr/>
              <w:t>目录</w:t>
            </w:r>
            <w:r>
              <w:rPr>
                <w:rFonts w:ascii="宋体" w:hAnsi="宋体" w:cs="宋体" w:eastAsia="宋体" w:hint="default"/>
              </w:rPr>
              <w:tab/>
              <w:t>5</w:t>
            </w:r>
            <w:r>
              <w:rPr>
                <w:rFonts w:ascii="宋体" w:hAnsi="宋体" w:cs="宋体" w:eastAsia="宋体" w:hint="default"/>
                <w:b w:val="0"/>
                <w:bCs w:val="0"/>
              </w:rPr>
            </w:r>
          </w:hyperlink>
        </w:p>
        <w:p>
          <w:pPr>
            <w:pStyle w:val="TOC1"/>
            <w:tabs>
              <w:tab w:pos="9780" w:val="right" w:leader="dot"/>
            </w:tabs>
            <w:spacing w:line="240" w:lineRule="auto" w:before="298"/>
            <w:ind w:right="0"/>
            <w:jc w:val="left"/>
            <w:rPr>
              <w:rFonts w:ascii="宋体" w:hAnsi="宋体" w:cs="宋体" w:eastAsia="宋体" w:hint="default"/>
              <w:b w:val="0"/>
              <w:bCs w:val="0"/>
            </w:rPr>
          </w:pPr>
          <w:hyperlink w:history="true" w:anchor="_bookmark2">
            <w:r>
              <w:rPr/>
              <w:t>第二节</w:t>
            </w:r>
            <w:r>
              <w:rPr>
                <w:spacing w:val="1"/>
              </w:rPr>
              <w:t> </w:t>
            </w:r>
            <w:r>
              <w:rPr/>
              <w:t>公司简介和主要财务指标</w:t>
            </w:r>
            <w:r>
              <w:rPr>
                <w:rFonts w:ascii="宋体" w:hAnsi="宋体" w:cs="宋体" w:eastAsia="宋体" w:hint="default"/>
              </w:rPr>
              <w:tab/>
              <w:t>7</w:t>
            </w:r>
            <w:r>
              <w:rPr>
                <w:rFonts w:ascii="宋体" w:hAnsi="宋体" w:cs="宋体" w:eastAsia="宋体" w:hint="default"/>
                <w:b w:val="0"/>
                <w:bCs w:val="0"/>
              </w:rPr>
            </w:r>
          </w:hyperlink>
        </w:p>
        <w:p>
          <w:pPr>
            <w:pStyle w:val="TOC1"/>
            <w:tabs>
              <w:tab w:pos="9783" w:val="right" w:leader="dot"/>
            </w:tabs>
            <w:spacing w:line="240" w:lineRule="auto"/>
            <w:ind w:right="0"/>
            <w:jc w:val="left"/>
            <w:rPr>
              <w:rFonts w:ascii="宋体" w:hAnsi="宋体" w:cs="宋体" w:eastAsia="宋体" w:hint="default"/>
              <w:b w:val="0"/>
              <w:bCs w:val="0"/>
            </w:rPr>
          </w:pPr>
          <w:hyperlink w:history="true" w:anchor="_bookmark3">
            <w:r>
              <w:rPr/>
              <w:t>第三节</w:t>
            </w:r>
            <w:r>
              <w:rPr>
                <w:spacing w:val="1"/>
              </w:rPr>
              <w:t> </w:t>
            </w:r>
            <w:r>
              <w:rPr/>
              <w:t>公司业务概要</w:t>
            </w:r>
            <w:r>
              <w:rPr>
                <w:rFonts w:ascii="宋体" w:hAnsi="宋体" w:cs="宋体" w:eastAsia="宋体" w:hint="default"/>
              </w:rPr>
              <w:tab/>
              <w:t>11</w:t>
            </w:r>
            <w:r>
              <w:rPr>
                <w:rFonts w:ascii="宋体" w:hAnsi="宋体" w:cs="宋体" w:eastAsia="宋体" w:hint="default"/>
                <w:b w:val="0"/>
                <w:bCs w:val="0"/>
              </w:rPr>
            </w:r>
          </w:hyperlink>
        </w:p>
        <w:p>
          <w:pPr>
            <w:pStyle w:val="TOC1"/>
            <w:tabs>
              <w:tab w:pos="9783" w:val="right" w:leader="dot"/>
            </w:tabs>
            <w:spacing w:line="240" w:lineRule="auto"/>
            <w:ind w:right="0"/>
            <w:jc w:val="left"/>
            <w:rPr>
              <w:rFonts w:ascii="宋体" w:hAnsi="宋体" w:cs="宋体" w:eastAsia="宋体" w:hint="default"/>
              <w:b w:val="0"/>
              <w:bCs w:val="0"/>
            </w:rPr>
          </w:pPr>
          <w:hyperlink w:history="true" w:anchor="_bookmark4">
            <w:r>
              <w:rPr/>
              <w:t>第四节</w:t>
            </w:r>
            <w:r>
              <w:rPr>
                <w:spacing w:val="1"/>
              </w:rPr>
              <w:t> </w:t>
            </w:r>
            <w:r>
              <w:rPr/>
              <w:t>经营情况讨论与分析</w:t>
            </w:r>
            <w:r>
              <w:rPr>
                <w:rFonts w:ascii="宋体" w:hAnsi="宋体" w:cs="宋体" w:eastAsia="宋体" w:hint="default"/>
              </w:rPr>
              <w:tab/>
              <w:t>20</w:t>
            </w:r>
            <w:r>
              <w:rPr>
                <w:rFonts w:ascii="宋体" w:hAnsi="宋体" w:cs="宋体" w:eastAsia="宋体" w:hint="default"/>
                <w:b w:val="0"/>
                <w:bCs w:val="0"/>
              </w:rPr>
            </w:r>
          </w:hyperlink>
        </w:p>
        <w:p>
          <w:pPr>
            <w:pStyle w:val="TOC1"/>
            <w:tabs>
              <w:tab w:pos="9783" w:val="right" w:leader="dot"/>
            </w:tabs>
            <w:spacing w:line="240" w:lineRule="auto" w:before="298"/>
            <w:ind w:right="0"/>
            <w:jc w:val="left"/>
            <w:rPr>
              <w:rFonts w:ascii="宋体" w:hAnsi="宋体" w:cs="宋体" w:eastAsia="宋体" w:hint="default"/>
              <w:b w:val="0"/>
              <w:bCs w:val="0"/>
            </w:rPr>
          </w:pPr>
          <w:hyperlink w:history="true" w:anchor="_bookmark5">
            <w:r>
              <w:rPr/>
              <w:t>第五节</w:t>
            </w:r>
            <w:r>
              <w:rPr>
                <w:spacing w:val="1"/>
              </w:rPr>
              <w:t> </w:t>
            </w:r>
            <w:r>
              <w:rPr/>
              <w:t>重要事项</w:t>
            </w:r>
            <w:r>
              <w:rPr>
                <w:rFonts w:ascii="宋体" w:hAnsi="宋体" w:cs="宋体" w:eastAsia="宋体" w:hint="default"/>
              </w:rPr>
              <w:tab/>
              <w:t>40</w:t>
            </w:r>
            <w:r>
              <w:rPr>
                <w:rFonts w:ascii="宋体" w:hAnsi="宋体" w:cs="宋体" w:eastAsia="宋体" w:hint="default"/>
                <w:b w:val="0"/>
                <w:bCs w:val="0"/>
              </w:rPr>
            </w:r>
          </w:hyperlink>
        </w:p>
        <w:p>
          <w:pPr>
            <w:pStyle w:val="TOC1"/>
            <w:tabs>
              <w:tab w:pos="9783" w:val="right" w:leader="dot"/>
            </w:tabs>
            <w:spacing w:line="240" w:lineRule="auto"/>
            <w:ind w:right="0"/>
            <w:jc w:val="left"/>
            <w:rPr>
              <w:rFonts w:ascii="宋体" w:hAnsi="宋体" w:cs="宋体" w:eastAsia="宋体" w:hint="default"/>
              <w:b w:val="0"/>
              <w:bCs w:val="0"/>
            </w:rPr>
          </w:pPr>
          <w:hyperlink w:history="true" w:anchor="_bookmark6">
            <w:r>
              <w:rPr/>
              <w:t>第六节</w:t>
            </w:r>
            <w:r>
              <w:rPr>
                <w:spacing w:val="1"/>
              </w:rPr>
              <w:t> </w:t>
            </w:r>
            <w:r>
              <w:rPr/>
              <w:t>股份变动及股东情况</w:t>
            </w:r>
            <w:r>
              <w:rPr>
                <w:rFonts w:ascii="宋体" w:hAnsi="宋体" w:cs="宋体" w:eastAsia="宋体" w:hint="default"/>
              </w:rPr>
              <w:tab/>
              <w:t>52</w:t>
            </w:r>
            <w:r>
              <w:rPr>
                <w:rFonts w:ascii="宋体" w:hAnsi="宋体" w:cs="宋体" w:eastAsia="宋体" w:hint="default"/>
                <w:b w:val="0"/>
                <w:bCs w:val="0"/>
              </w:rPr>
            </w:r>
          </w:hyperlink>
        </w:p>
        <w:p>
          <w:pPr>
            <w:pStyle w:val="TOC1"/>
            <w:tabs>
              <w:tab w:pos="9783" w:val="right" w:leader="dot"/>
            </w:tabs>
            <w:spacing w:line="240" w:lineRule="auto"/>
            <w:ind w:right="0"/>
            <w:jc w:val="left"/>
            <w:rPr>
              <w:rFonts w:ascii="宋体" w:hAnsi="宋体" w:cs="宋体" w:eastAsia="宋体" w:hint="default"/>
              <w:b w:val="0"/>
              <w:bCs w:val="0"/>
            </w:rPr>
          </w:pPr>
          <w:hyperlink w:history="true" w:anchor="_bookmark7">
            <w:r>
              <w:rPr/>
              <w:t>第七节</w:t>
            </w:r>
            <w:r>
              <w:rPr>
                <w:spacing w:val="1"/>
              </w:rPr>
              <w:t> </w:t>
            </w:r>
            <w:r>
              <w:rPr/>
              <w:t>优先股相关情况</w:t>
            </w:r>
            <w:r>
              <w:rPr>
                <w:rFonts w:ascii="宋体" w:hAnsi="宋体" w:cs="宋体" w:eastAsia="宋体" w:hint="default"/>
              </w:rPr>
              <w:tab/>
              <w:t>57</w:t>
            </w:r>
            <w:r>
              <w:rPr>
                <w:rFonts w:ascii="宋体" w:hAnsi="宋体" w:cs="宋体" w:eastAsia="宋体" w:hint="default"/>
                <w:b w:val="0"/>
                <w:bCs w:val="0"/>
              </w:rPr>
            </w:r>
          </w:hyperlink>
        </w:p>
        <w:p>
          <w:pPr>
            <w:pStyle w:val="TOC1"/>
            <w:tabs>
              <w:tab w:pos="9783" w:val="right" w:leader="dot"/>
            </w:tabs>
            <w:spacing w:line="240" w:lineRule="auto" w:before="298"/>
            <w:ind w:right="0"/>
            <w:jc w:val="left"/>
            <w:rPr>
              <w:rFonts w:ascii="宋体" w:hAnsi="宋体" w:cs="宋体" w:eastAsia="宋体" w:hint="default"/>
              <w:b w:val="0"/>
              <w:bCs w:val="0"/>
            </w:rPr>
          </w:pPr>
          <w:hyperlink w:history="true" w:anchor="_bookmark8">
            <w:r>
              <w:rPr/>
              <w:t>第八节</w:t>
            </w:r>
            <w:r>
              <w:rPr>
                <w:spacing w:val="1"/>
              </w:rPr>
              <w:t> </w:t>
            </w:r>
            <w:r>
              <w:rPr/>
              <w:t>董事、监事、高级管理人员和员工情况</w:t>
            </w:r>
            <w:r>
              <w:rPr>
                <w:rFonts w:ascii="宋体" w:hAnsi="宋体" w:cs="宋体" w:eastAsia="宋体" w:hint="default"/>
              </w:rPr>
              <w:tab/>
              <w:t>58</w:t>
            </w:r>
            <w:r>
              <w:rPr>
                <w:rFonts w:ascii="宋体" w:hAnsi="宋体" w:cs="宋体" w:eastAsia="宋体" w:hint="default"/>
                <w:b w:val="0"/>
                <w:bCs w:val="0"/>
              </w:rPr>
            </w:r>
          </w:hyperlink>
        </w:p>
        <w:p>
          <w:pPr>
            <w:pStyle w:val="TOC1"/>
            <w:tabs>
              <w:tab w:pos="9783" w:val="right" w:leader="dot"/>
            </w:tabs>
            <w:spacing w:line="240" w:lineRule="auto"/>
            <w:ind w:right="0"/>
            <w:jc w:val="left"/>
            <w:rPr>
              <w:rFonts w:ascii="宋体" w:hAnsi="宋体" w:cs="宋体" w:eastAsia="宋体" w:hint="default"/>
              <w:b w:val="0"/>
              <w:bCs w:val="0"/>
            </w:rPr>
          </w:pPr>
          <w:hyperlink w:history="true" w:anchor="_bookmark9">
            <w:r>
              <w:rPr/>
              <w:t>第九节</w:t>
            </w:r>
            <w:r>
              <w:rPr>
                <w:spacing w:val="1"/>
              </w:rPr>
              <w:t> </w:t>
            </w:r>
            <w:r>
              <w:rPr/>
              <w:t>公司治理</w:t>
            </w:r>
            <w:r>
              <w:rPr>
                <w:rFonts w:ascii="宋体" w:hAnsi="宋体" w:cs="宋体" w:eastAsia="宋体" w:hint="default"/>
              </w:rPr>
              <w:tab/>
              <w:t>65</w:t>
            </w:r>
            <w:r>
              <w:rPr>
                <w:rFonts w:ascii="宋体" w:hAnsi="宋体" w:cs="宋体" w:eastAsia="宋体" w:hint="default"/>
                <w:b w:val="0"/>
                <w:bCs w:val="0"/>
              </w:rPr>
            </w:r>
          </w:hyperlink>
        </w:p>
        <w:p>
          <w:pPr>
            <w:pStyle w:val="TOC1"/>
            <w:tabs>
              <w:tab w:pos="9783" w:val="right" w:leader="dot"/>
            </w:tabs>
            <w:spacing w:line="240" w:lineRule="auto"/>
            <w:ind w:right="0"/>
            <w:jc w:val="left"/>
            <w:rPr>
              <w:rFonts w:ascii="宋体" w:hAnsi="宋体" w:cs="宋体" w:eastAsia="宋体" w:hint="default"/>
              <w:b w:val="0"/>
              <w:bCs w:val="0"/>
            </w:rPr>
          </w:pPr>
          <w:hyperlink w:history="true" w:anchor="_bookmark10">
            <w:r>
              <w:rPr/>
              <w:t>第十节</w:t>
            </w:r>
            <w:r>
              <w:rPr>
                <w:spacing w:val="1"/>
              </w:rPr>
              <w:t> </w:t>
            </w:r>
            <w:r>
              <w:rPr/>
              <w:t>公司债券相关情况</w:t>
            </w:r>
            <w:r>
              <w:rPr>
                <w:rFonts w:ascii="宋体" w:hAnsi="宋体" w:cs="宋体" w:eastAsia="宋体" w:hint="default"/>
              </w:rPr>
              <w:tab/>
              <w:t>71</w:t>
            </w:r>
            <w:r>
              <w:rPr>
                <w:rFonts w:ascii="宋体" w:hAnsi="宋体" w:cs="宋体" w:eastAsia="宋体" w:hint="default"/>
                <w:b w:val="0"/>
                <w:bCs w:val="0"/>
              </w:rPr>
            </w:r>
          </w:hyperlink>
        </w:p>
        <w:p>
          <w:pPr>
            <w:pStyle w:val="TOC1"/>
            <w:tabs>
              <w:tab w:pos="9783" w:val="right" w:leader="dot"/>
            </w:tabs>
            <w:spacing w:line="240" w:lineRule="auto" w:before="298"/>
            <w:ind w:right="0"/>
            <w:jc w:val="left"/>
            <w:rPr>
              <w:rFonts w:ascii="宋体" w:hAnsi="宋体" w:cs="宋体" w:eastAsia="宋体" w:hint="default"/>
              <w:b w:val="0"/>
              <w:bCs w:val="0"/>
            </w:rPr>
          </w:pPr>
          <w:hyperlink w:history="true" w:anchor="_bookmark11">
            <w:r>
              <w:rPr/>
              <w:t>第十一节</w:t>
            </w:r>
            <w:r>
              <w:rPr>
                <w:spacing w:val="2"/>
              </w:rPr>
              <w:t> </w:t>
            </w:r>
            <w:r>
              <w:rPr/>
              <w:t>财务报告</w:t>
            </w:r>
            <w:r>
              <w:rPr>
                <w:rFonts w:ascii="宋体" w:hAnsi="宋体" w:cs="宋体" w:eastAsia="宋体" w:hint="default"/>
              </w:rPr>
              <w:tab/>
              <w:t>76</w:t>
            </w:r>
            <w:r>
              <w:rPr>
                <w:rFonts w:ascii="宋体" w:hAnsi="宋体" w:cs="宋体" w:eastAsia="宋体" w:hint="default"/>
                <w:b w:val="0"/>
                <w:bCs w:val="0"/>
              </w:rPr>
            </w:r>
          </w:hyperlink>
        </w:p>
        <w:p>
          <w:pPr>
            <w:pStyle w:val="TOC1"/>
            <w:tabs>
              <w:tab w:pos="9783" w:val="right" w:leader="dot"/>
            </w:tabs>
            <w:spacing w:line="240" w:lineRule="auto"/>
            <w:ind w:right="0"/>
            <w:jc w:val="left"/>
            <w:rPr>
              <w:rFonts w:ascii="宋体" w:hAnsi="宋体" w:cs="宋体" w:eastAsia="宋体" w:hint="default"/>
              <w:b w:val="0"/>
              <w:bCs w:val="0"/>
            </w:rPr>
          </w:pPr>
          <w:hyperlink w:history="true" w:anchor="_bookmark12">
            <w:r>
              <w:rPr/>
              <w:t>第十二节</w:t>
            </w:r>
            <w:r>
              <w:rPr>
                <w:spacing w:val="2"/>
              </w:rPr>
              <w:t> </w:t>
            </w:r>
            <w:r>
              <w:rPr/>
              <w:t>备查文件目录</w:t>
            </w:r>
            <w:r>
              <w:rPr>
                <w:rFonts w:ascii="宋体" w:hAnsi="宋体" w:cs="宋体" w:eastAsia="宋体" w:hint="default"/>
              </w:rPr>
              <w:tab/>
              <w:t>198</w:t>
            </w:r>
            <w:r>
              <w:rPr>
                <w:rFonts w:ascii="宋体" w:hAnsi="宋体" w:cs="宋体" w:eastAsia="宋体" w:hint="default"/>
                <w:b w:val="0"/>
                <w:bCs w:val="0"/>
              </w:rPr>
            </w:r>
          </w:hyperlink>
        </w:p>
        <w:p>
          <w:pPr/>
          <w:r>
            <w:fldChar w:fldCharType="end"/>
          </w:r>
        </w:p>
      </w:sdtContent>
    </w:sdt>
    <w:p>
      <w:pPr>
        <w:spacing w:after="0"/>
        <w:sectPr>
          <w:pgSz w:w="11910" w:h="16840"/>
          <w:pgMar w:header="747" w:footer="979" w:top="1060" w:bottom="1160" w:left="980" w:right="0"/>
        </w:sectPr>
      </w:pPr>
    </w:p>
    <w:p>
      <w:pPr>
        <w:spacing w:line="240" w:lineRule="auto" w:before="0"/>
        <w:rPr>
          <w:rFonts w:ascii="宋体" w:hAnsi="宋体" w:cs="宋体" w:eastAsia="宋体" w:hint="default"/>
          <w:b/>
          <w:bCs/>
          <w:sz w:val="32"/>
          <w:szCs w:val="32"/>
        </w:rPr>
      </w:pPr>
    </w:p>
    <w:p>
      <w:pPr>
        <w:spacing w:line="240" w:lineRule="auto" w:before="0"/>
        <w:rPr>
          <w:rFonts w:ascii="宋体" w:hAnsi="宋体" w:cs="宋体" w:eastAsia="宋体" w:hint="default"/>
          <w:b/>
          <w:bCs/>
          <w:sz w:val="32"/>
          <w:szCs w:val="32"/>
        </w:rPr>
      </w:pPr>
    </w:p>
    <w:p>
      <w:pPr>
        <w:spacing w:line="240" w:lineRule="auto" w:before="1"/>
        <w:rPr>
          <w:rFonts w:ascii="宋体" w:hAnsi="宋体" w:cs="宋体" w:eastAsia="宋体" w:hint="default"/>
          <w:b/>
          <w:bCs/>
          <w:sz w:val="22"/>
          <w:szCs w:val="22"/>
        </w:rPr>
      </w:pPr>
    </w:p>
    <w:p>
      <w:pPr>
        <w:spacing w:before="0"/>
        <w:ind w:left="17" w:right="993"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536"/>
        <w:gridCol w:w="598"/>
        <w:gridCol w:w="5436"/>
      </w:tblGrid>
      <w:tr>
        <w:trPr>
          <w:trHeight w:val="402" w:hRule="exact"/>
        </w:trPr>
        <w:tc>
          <w:tcPr>
            <w:tcW w:w="3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11"/>
              <w:jc w:val="center"/>
              <w:rPr>
                <w:rFonts w:ascii="宋体" w:hAnsi="宋体" w:cs="宋体" w:eastAsia="宋体" w:hint="default"/>
                <w:sz w:val="21"/>
                <w:szCs w:val="21"/>
              </w:rPr>
            </w:pPr>
            <w:r>
              <w:rPr>
                <w:rFonts w:ascii="宋体" w:hAnsi="宋体" w:cs="宋体" w:eastAsia="宋体" w:hint="default"/>
                <w:sz w:val="21"/>
                <w:szCs w:val="21"/>
              </w:rPr>
              <w:t>释义项</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指</w:t>
            </w:r>
          </w:p>
        </w:tc>
        <w:tc>
          <w:tcPr>
            <w:tcW w:w="5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8" w:right="0"/>
              <w:jc w:val="center"/>
              <w:rPr>
                <w:rFonts w:ascii="宋体" w:hAnsi="宋体" w:cs="宋体" w:eastAsia="宋体" w:hint="default"/>
                <w:sz w:val="21"/>
                <w:szCs w:val="21"/>
              </w:rPr>
            </w:pPr>
            <w:r>
              <w:rPr>
                <w:rFonts w:ascii="宋体" w:hAnsi="宋体" w:cs="宋体" w:eastAsia="宋体" w:hint="default"/>
                <w:sz w:val="21"/>
                <w:szCs w:val="21"/>
              </w:rPr>
              <w:t>释义内容</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年度报告</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河南辉煌科技股份有限公司</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年年度报告</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公司、辉煌科技</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河南辉煌科技股份有限公司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辉煌软件</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河南辉煌软件有限公司，公司全资子公司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北京全路信通</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北京全路信通软件科技有限公司，公司全资子公司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国铁路阳</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北京国铁路阳技术有限公司，公司全资子公司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辉煌城轨</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河南辉煌城轨科技有限公司，公司全资子公司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辉煌信通</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河南辉煌信通软件有限公司，公司全资子公司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飞天联合</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飞天联合（北京）系统技术有限公司，公司参股子公司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赛弗科技</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北京赛弗网络科技有限责任公司，公司参股子公司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七彩通达</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北京七彩通达传媒股份有限公司，公司参股子公司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智慧图</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北京智慧图科技有限责任公司，公司参股子公司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丰图辉煌</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深圳丰图辉煌基金管理中心（有限合伙</w:t>
            </w:r>
            <w:r>
              <w:rPr>
                <w:rFonts w:ascii="宋体" w:hAnsi="宋体" w:cs="宋体" w:eastAsia="宋体" w:hint="default"/>
                <w:spacing w:val="-105"/>
                <w:sz w:val="21"/>
                <w:szCs w:val="21"/>
              </w:rPr>
              <w:t>）</w:t>
            </w:r>
            <w:r>
              <w:rPr>
                <w:rFonts w:ascii="宋体" w:hAnsi="宋体" w:cs="宋体" w:eastAsia="宋体" w:hint="default"/>
                <w:sz w:val="21"/>
                <w:szCs w:val="21"/>
              </w:rPr>
              <w:t>，公</w:t>
            </w:r>
            <w:r>
              <w:rPr>
                <w:rFonts w:ascii="宋体" w:hAnsi="宋体" w:cs="宋体" w:eastAsia="宋体" w:hint="default"/>
                <w:spacing w:val="-2"/>
                <w:sz w:val="21"/>
                <w:szCs w:val="21"/>
              </w:rPr>
              <w:t>司</w:t>
            </w:r>
            <w:r>
              <w:rPr>
                <w:rFonts w:ascii="宋体" w:hAnsi="宋体" w:cs="宋体" w:eastAsia="宋体" w:hint="default"/>
                <w:sz w:val="21"/>
                <w:szCs w:val="21"/>
              </w:rPr>
              <w:t>合伙企业</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西南交大驱动</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成都西南交大驱动技术有限责任公司，公司控股子公司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股东大会</w:t>
            </w:r>
            <w:r>
              <w:rPr>
                <w:rFonts w:ascii="Times New Roman" w:hAnsi="Times New Roman" w:cs="Times New Roman" w:eastAsia="Times New Roman" w:hint="default"/>
                <w:sz w:val="21"/>
                <w:szCs w:val="21"/>
              </w:rPr>
              <w:t>/</w:t>
            </w:r>
            <w:r>
              <w:rPr>
                <w:rFonts w:ascii="宋体" w:hAnsi="宋体" w:cs="宋体" w:eastAsia="宋体" w:hint="default"/>
                <w:sz w:val="21"/>
                <w:szCs w:val="21"/>
              </w:rPr>
              <w:t>股东会、董事会、监事会</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河南辉煌科技股份有限公司股东大会、董事会、监事会</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《公司法》</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《中华人民共和国公司法》</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《证券法》</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《中华人民共和国证券法》</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《公司章程》</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《河南辉煌科技股份有限公司公司章程》</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铁路总公司</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中国铁路总公司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深交所</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深圳证券交易所</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中小板</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深圳证券交易所中小企业板</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报告期</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元</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人民币元</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75"/>
              <w:ind w:left="22" w:right="0"/>
              <w:jc w:val="left"/>
              <w:rPr>
                <w:rFonts w:ascii="Times New Roman" w:hAnsi="Times New Roman" w:cs="Times New Roman" w:eastAsia="Times New Roman" w:hint="default"/>
                <w:sz w:val="21"/>
                <w:szCs w:val="21"/>
              </w:rPr>
            </w:pPr>
            <w:r>
              <w:rPr>
                <w:rFonts w:ascii="Times New Roman"/>
                <w:sz w:val="21"/>
              </w:rPr>
              <w:t>CRCC</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铁路产品认证管理委员会暨中铁铁路产品认证中心</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城轨</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城市轨道交通</w:t>
            </w:r>
          </w:p>
        </w:tc>
      </w:tr>
    </w:tbl>
    <w:p>
      <w:pPr>
        <w:spacing w:after="0" w:line="240" w:lineRule="auto"/>
        <w:jc w:val="left"/>
        <w:rPr>
          <w:rFonts w:ascii="宋体" w:hAnsi="宋体" w:cs="宋体" w:eastAsia="宋体" w:hint="default"/>
          <w:sz w:val="21"/>
          <w:szCs w:val="21"/>
        </w:rPr>
        <w:sectPr>
          <w:pgSz w:w="11910" w:h="16840"/>
          <w:pgMar w:header="747" w:footer="979" w:top="1060" w:bottom="1160" w:left="98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0"/>
          <w:szCs w:val="20"/>
        </w:rPr>
      </w:pPr>
    </w:p>
    <w:p>
      <w:pPr>
        <w:pStyle w:val="Heading1"/>
        <w:spacing w:line="240" w:lineRule="auto"/>
        <w:ind w:left="2644" w:right="996"/>
        <w:jc w:val="left"/>
        <w:rPr>
          <w:b w:val="0"/>
          <w:bCs w:val="0"/>
        </w:rPr>
      </w:pPr>
      <w:bookmarkStart w:name="第二节 公司简介和主要财务指标" w:id="5"/>
      <w:bookmarkEnd w:id="5"/>
      <w:r>
        <w:rPr>
          <w:b w:val="0"/>
          <w:bCs w:val="0"/>
        </w:rPr>
      </w:r>
      <w:bookmarkStart w:name="_bookmark2" w:id="6"/>
      <w:bookmarkEnd w:id="6"/>
      <w:r>
        <w:rPr>
          <w:b w:val="0"/>
          <w:bCs w:val="0"/>
        </w:rPr>
      </w:r>
      <w:r>
        <w:rPr/>
        <w:t>第二节</w:t>
      </w:r>
      <w:r>
        <w:rPr>
          <w:spacing w:val="-8"/>
        </w:rPr>
        <w:t> </w:t>
      </w:r>
      <w:r>
        <w:rPr/>
        <w:t>公司简介和主要财务指标</w:t>
      </w:r>
      <w:r>
        <w:rPr>
          <w:b w:val="0"/>
          <w:bCs w:val="0"/>
        </w:rPr>
      </w: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6"/>
          <w:szCs w:val="16"/>
        </w:rPr>
      </w:pPr>
    </w:p>
    <w:p>
      <w:pPr>
        <w:pStyle w:val="Heading2"/>
        <w:spacing w:line="240" w:lineRule="auto"/>
        <w:ind w:left="153" w:right="996"/>
        <w:jc w:val="left"/>
        <w:rPr>
          <w:b w:val="0"/>
          <w:bCs w:val="0"/>
        </w:rPr>
      </w:pPr>
      <w:r>
        <w:rPr/>
        <w:pict>
          <v:group style="position:absolute;margin-left:172.339996pt;margin-top:114.735649pt;width:361.5pt;height:19.650pt;mso-position-horizontal-relative:page;mso-position-vertical-relative:paragraph;z-index:-916576" coordorigin="3447,2295" coordsize="7230,393">
            <v:shape style="position:absolute;left:3447;top:2295;width:7230;height:393" coordorigin="3447,2295" coordsize="7230,393" path="m3447,2687l10676,2687,10676,2295,3447,2295,3447,2687xe" filled="true" fillcolor="#ffffff" stroked="false">
              <v:path arrowok="t"/>
              <v:fill type="solid"/>
            </v:shape>
            <w10:wrap type="none"/>
          </v:group>
        </w:pict>
      </w:r>
      <w:bookmarkStart w:name="一、公司信息" w:id="7"/>
      <w:bookmarkEnd w:id="7"/>
      <w:r>
        <w:rPr>
          <w:b w:val="0"/>
          <w:bCs w:val="0"/>
        </w:rPr>
      </w:r>
      <w:r>
        <w:rPr/>
        <w:t>一、公司信息</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273"/>
        <w:gridCol w:w="2976"/>
        <w:gridCol w:w="2133"/>
        <w:gridCol w:w="2188"/>
      </w:tblGrid>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股票简称</w:t>
            </w:r>
          </w:p>
        </w:tc>
        <w:tc>
          <w:tcPr>
            <w:tcW w:w="2976" w:type="dxa"/>
            <w:tcBorders>
              <w:top w:val="single" w:sz="4" w:space="0" w:color="000000"/>
              <w:left w:val="single" w:sz="9" w:space="0" w:color="D2D2D2"/>
              <w:bottom w:val="single" w:sz="4" w:space="0" w:color="000000"/>
              <w:right w:val="single" w:sz="13" w:space="0" w:color="D2D2D2"/>
            </w:tcBorders>
          </w:tcPr>
          <w:p>
            <w:pPr>
              <w:pStyle w:val="TableParagraph"/>
              <w:spacing w:line="240" w:lineRule="auto" w:before="26"/>
              <w:ind w:left="28" w:right="0"/>
              <w:jc w:val="left"/>
              <w:rPr>
                <w:rFonts w:ascii="宋体" w:hAnsi="宋体" w:cs="宋体" w:eastAsia="宋体" w:hint="default"/>
                <w:sz w:val="21"/>
                <w:szCs w:val="21"/>
              </w:rPr>
            </w:pPr>
            <w:r>
              <w:rPr>
                <w:rFonts w:ascii="宋体" w:hAnsi="宋体" w:cs="宋体" w:eastAsia="宋体" w:hint="default"/>
                <w:sz w:val="21"/>
                <w:szCs w:val="21"/>
              </w:rPr>
              <w:t>辉煌科技</w:t>
            </w:r>
          </w:p>
        </w:tc>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股票代码</w:t>
            </w:r>
          </w:p>
        </w:tc>
        <w:tc>
          <w:tcPr>
            <w:tcW w:w="218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6"/>
              <w:ind w:left="27" w:right="0"/>
              <w:jc w:val="left"/>
              <w:rPr>
                <w:rFonts w:ascii="宋体" w:hAnsi="宋体" w:cs="宋体" w:eastAsia="宋体" w:hint="default"/>
                <w:sz w:val="21"/>
                <w:szCs w:val="21"/>
              </w:rPr>
            </w:pPr>
            <w:r>
              <w:rPr>
                <w:rFonts w:ascii="宋体"/>
                <w:sz w:val="21"/>
              </w:rPr>
              <w:t>002296</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股票上市证券交易所</w:t>
            </w:r>
          </w:p>
        </w:tc>
        <w:tc>
          <w:tcPr>
            <w:tcW w:w="729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35" w:right="0"/>
              <w:jc w:val="left"/>
              <w:rPr>
                <w:rFonts w:ascii="宋体" w:hAnsi="宋体" w:cs="宋体" w:eastAsia="宋体" w:hint="default"/>
                <w:sz w:val="21"/>
                <w:szCs w:val="21"/>
              </w:rPr>
            </w:pPr>
            <w:r>
              <w:rPr>
                <w:rFonts w:ascii="宋体" w:hAnsi="宋体" w:cs="宋体" w:eastAsia="宋体" w:hint="default"/>
                <w:sz w:val="21"/>
                <w:szCs w:val="21"/>
              </w:rPr>
              <w:t>深圳证券交易所</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公司的中文名称</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26"/>
              <w:ind w:left="28" w:right="0"/>
              <w:jc w:val="left"/>
              <w:rPr>
                <w:rFonts w:ascii="宋体" w:hAnsi="宋体" w:cs="宋体" w:eastAsia="宋体" w:hint="default"/>
                <w:sz w:val="21"/>
                <w:szCs w:val="21"/>
              </w:rPr>
            </w:pPr>
            <w:r>
              <w:rPr>
                <w:rFonts w:ascii="宋体" w:hAnsi="宋体" w:cs="宋体" w:eastAsia="宋体" w:hint="default"/>
                <w:sz w:val="21"/>
                <w:szCs w:val="21"/>
              </w:rPr>
              <w:t>河南辉煌科技股份有限公司</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公司的中文简称</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26"/>
              <w:ind w:left="28" w:right="0"/>
              <w:jc w:val="left"/>
              <w:rPr>
                <w:rFonts w:ascii="宋体" w:hAnsi="宋体" w:cs="宋体" w:eastAsia="宋体" w:hint="default"/>
                <w:sz w:val="21"/>
                <w:szCs w:val="21"/>
              </w:rPr>
            </w:pPr>
            <w:r>
              <w:rPr>
                <w:rFonts w:ascii="宋体" w:hAnsi="宋体" w:cs="宋体" w:eastAsia="宋体" w:hint="default"/>
                <w:sz w:val="21"/>
                <w:szCs w:val="21"/>
              </w:rPr>
              <w:t>辉煌科技</w:t>
            </w:r>
          </w:p>
        </w:tc>
      </w:tr>
      <w:tr>
        <w:trPr>
          <w:trHeight w:val="402" w:hRule="exact"/>
        </w:trPr>
        <w:tc>
          <w:tcPr>
            <w:tcW w:w="2273"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26"/>
              <w:ind w:left="22" w:right="-58"/>
              <w:jc w:val="left"/>
              <w:rPr>
                <w:rFonts w:ascii="宋体" w:hAnsi="宋体" w:cs="宋体" w:eastAsia="宋体" w:hint="default"/>
                <w:sz w:val="21"/>
                <w:szCs w:val="21"/>
              </w:rPr>
            </w:pPr>
            <w:r>
              <w:rPr>
                <w:rFonts w:ascii="宋体" w:hAnsi="宋体" w:cs="宋体" w:eastAsia="宋体" w:hint="default"/>
                <w:spacing w:val="-3"/>
                <w:sz w:val="21"/>
                <w:szCs w:val="21"/>
              </w:rPr>
              <w:t>公司的外文名称（如有）</w:t>
            </w:r>
            <w:r>
              <w:rPr>
                <w:rFonts w:ascii="宋体" w:hAnsi="宋体" w:cs="宋体" w:eastAsia="宋体" w:hint="default"/>
                <w:sz w:val="21"/>
                <w:szCs w:val="21"/>
              </w:rPr>
            </w:r>
          </w:p>
        </w:tc>
        <w:tc>
          <w:tcPr>
            <w:tcW w:w="7297" w:type="dxa"/>
            <w:gridSpan w:val="3"/>
            <w:tcBorders>
              <w:top w:val="single" w:sz="4" w:space="0" w:color="000000"/>
              <w:left w:val="single" w:sz="23" w:space="0" w:color="FFFFFF"/>
              <w:bottom w:val="single" w:sz="4" w:space="0" w:color="000000"/>
              <w:right w:val="single" w:sz="4" w:space="0" w:color="000000"/>
            </w:tcBorders>
          </w:tcPr>
          <w:p>
            <w:pPr>
              <w:pStyle w:val="TableParagraph"/>
              <w:spacing w:line="240" w:lineRule="auto" w:before="26"/>
              <w:ind w:left="12" w:right="0"/>
              <w:jc w:val="left"/>
              <w:rPr>
                <w:rFonts w:ascii="宋体" w:hAnsi="宋体" w:cs="宋体" w:eastAsia="宋体" w:hint="default"/>
                <w:sz w:val="21"/>
                <w:szCs w:val="21"/>
              </w:rPr>
            </w:pPr>
            <w:r>
              <w:rPr>
                <w:rFonts w:ascii="宋体"/>
                <w:sz w:val="21"/>
              </w:rPr>
              <w:t>HeNan Splendor Science &amp; Technology Co.,</w:t>
            </w:r>
            <w:r>
              <w:rPr>
                <w:rFonts w:ascii="宋体"/>
                <w:spacing w:val="-4"/>
                <w:sz w:val="21"/>
              </w:rPr>
              <w:t> </w:t>
            </w:r>
            <w:r>
              <w:rPr>
                <w:rFonts w:ascii="宋体"/>
                <w:sz w:val="21"/>
              </w:rPr>
              <w:t>Ltd.</w:t>
            </w:r>
          </w:p>
        </w:tc>
      </w:tr>
      <w:tr>
        <w:trPr>
          <w:trHeight w:val="714"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22" w:right="9"/>
              <w:jc w:val="left"/>
              <w:rPr>
                <w:rFonts w:ascii="宋体" w:hAnsi="宋体" w:cs="宋体" w:eastAsia="宋体" w:hint="default"/>
                <w:sz w:val="21"/>
                <w:szCs w:val="21"/>
              </w:rPr>
            </w:pPr>
            <w:r>
              <w:rPr>
                <w:rFonts w:ascii="宋体" w:hAnsi="宋体" w:cs="宋体" w:eastAsia="宋体" w:hint="default"/>
                <w:spacing w:val="-8"/>
                <w:sz w:val="21"/>
                <w:szCs w:val="21"/>
              </w:rPr>
              <w:t>公司的外文名称缩写（如</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有）</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left="28" w:right="0"/>
              <w:jc w:val="left"/>
              <w:rPr>
                <w:rFonts w:ascii="宋体" w:hAnsi="宋体" w:cs="宋体" w:eastAsia="宋体" w:hint="default"/>
                <w:sz w:val="21"/>
                <w:szCs w:val="21"/>
              </w:rPr>
            </w:pPr>
            <w:r>
              <w:rPr>
                <w:rFonts w:ascii="宋体"/>
                <w:sz w:val="21"/>
              </w:rPr>
              <w:t>HHKJ</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公司的法定代表人</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26"/>
              <w:ind w:left="28" w:right="0"/>
              <w:jc w:val="left"/>
              <w:rPr>
                <w:rFonts w:ascii="宋体" w:hAnsi="宋体" w:cs="宋体" w:eastAsia="宋体" w:hint="default"/>
                <w:sz w:val="21"/>
                <w:szCs w:val="21"/>
              </w:rPr>
            </w:pPr>
            <w:r>
              <w:rPr>
                <w:rFonts w:ascii="宋体" w:hAnsi="宋体" w:cs="宋体" w:eastAsia="宋体" w:hint="default"/>
                <w:sz w:val="21"/>
                <w:szCs w:val="21"/>
              </w:rPr>
              <w:t>李海鹰</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注册地址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26"/>
              <w:ind w:left="28" w:right="0"/>
              <w:jc w:val="left"/>
              <w:rPr>
                <w:rFonts w:ascii="宋体" w:hAnsi="宋体" w:cs="宋体" w:eastAsia="宋体" w:hint="default"/>
                <w:sz w:val="21"/>
                <w:szCs w:val="21"/>
              </w:rPr>
            </w:pPr>
            <w:r>
              <w:rPr>
                <w:rFonts w:ascii="宋体" w:hAnsi="宋体" w:cs="宋体" w:eastAsia="宋体" w:hint="default"/>
                <w:sz w:val="21"/>
                <w:szCs w:val="21"/>
              </w:rPr>
              <w:t>郑州市高新技术产业开发区科学大道</w:t>
            </w:r>
            <w:r>
              <w:rPr>
                <w:rFonts w:ascii="宋体" w:hAnsi="宋体" w:cs="宋体" w:eastAsia="宋体" w:hint="default"/>
                <w:spacing w:val="-53"/>
                <w:sz w:val="21"/>
                <w:szCs w:val="21"/>
              </w:rPr>
              <w:t> </w:t>
            </w:r>
            <w:r>
              <w:rPr>
                <w:rFonts w:ascii="宋体" w:hAnsi="宋体" w:cs="宋体" w:eastAsia="宋体" w:hint="default"/>
                <w:sz w:val="21"/>
                <w:szCs w:val="21"/>
              </w:rPr>
              <w:t>74</w:t>
            </w:r>
            <w:r>
              <w:rPr>
                <w:rFonts w:ascii="宋体" w:hAnsi="宋体" w:cs="宋体" w:eastAsia="宋体" w:hint="default"/>
                <w:spacing w:val="-53"/>
                <w:sz w:val="21"/>
                <w:szCs w:val="21"/>
              </w:rPr>
              <w:t> </w:t>
            </w:r>
            <w:r>
              <w:rPr>
                <w:rFonts w:ascii="宋体" w:hAnsi="宋体" w:cs="宋体" w:eastAsia="宋体" w:hint="default"/>
                <w:sz w:val="21"/>
                <w:szCs w:val="21"/>
              </w:rPr>
              <w:t>号</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注册地址的邮政编码</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26"/>
              <w:ind w:left="28" w:right="0"/>
              <w:jc w:val="left"/>
              <w:rPr>
                <w:rFonts w:ascii="宋体" w:hAnsi="宋体" w:cs="宋体" w:eastAsia="宋体" w:hint="default"/>
                <w:sz w:val="21"/>
                <w:szCs w:val="21"/>
              </w:rPr>
            </w:pPr>
            <w:r>
              <w:rPr>
                <w:rFonts w:ascii="宋体"/>
                <w:sz w:val="21"/>
              </w:rPr>
              <w:t>450001</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办公地址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26"/>
              <w:ind w:left="28" w:right="0"/>
              <w:jc w:val="left"/>
              <w:rPr>
                <w:rFonts w:ascii="宋体" w:hAnsi="宋体" w:cs="宋体" w:eastAsia="宋体" w:hint="default"/>
                <w:sz w:val="21"/>
                <w:szCs w:val="21"/>
              </w:rPr>
            </w:pPr>
            <w:r>
              <w:rPr>
                <w:rFonts w:ascii="宋体" w:hAnsi="宋体" w:cs="宋体" w:eastAsia="宋体" w:hint="default"/>
                <w:sz w:val="21"/>
                <w:szCs w:val="21"/>
              </w:rPr>
              <w:t>郑州市高新技术产业开发区科学大道</w:t>
            </w:r>
            <w:r>
              <w:rPr>
                <w:rFonts w:ascii="宋体" w:hAnsi="宋体" w:cs="宋体" w:eastAsia="宋体" w:hint="default"/>
                <w:spacing w:val="-53"/>
                <w:sz w:val="21"/>
                <w:szCs w:val="21"/>
              </w:rPr>
              <w:t> </w:t>
            </w:r>
            <w:r>
              <w:rPr>
                <w:rFonts w:ascii="宋体" w:hAnsi="宋体" w:cs="宋体" w:eastAsia="宋体" w:hint="default"/>
                <w:sz w:val="21"/>
                <w:szCs w:val="21"/>
              </w:rPr>
              <w:t>74</w:t>
            </w:r>
            <w:r>
              <w:rPr>
                <w:rFonts w:ascii="宋体" w:hAnsi="宋体" w:cs="宋体" w:eastAsia="宋体" w:hint="default"/>
                <w:spacing w:val="-53"/>
                <w:sz w:val="21"/>
                <w:szCs w:val="21"/>
              </w:rPr>
              <w:t> </w:t>
            </w:r>
            <w:r>
              <w:rPr>
                <w:rFonts w:ascii="宋体" w:hAnsi="宋体" w:cs="宋体" w:eastAsia="宋体" w:hint="default"/>
                <w:sz w:val="21"/>
                <w:szCs w:val="21"/>
              </w:rPr>
              <w:t>号</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办公地址的邮政编码</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26"/>
              <w:ind w:left="28" w:right="0"/>
              <w:jc w:val="left"/>
              <w:rPr>
                <w:rFonts w:ascii="宋体" w:hAnsi="宋体" w:cs="宋体" w:eastAsia="宋体" w:hint="default"/>
                <w:sz w:val="21"/>
                <w:szCs w:val="21"/>
              </w:rPr>
            </w:pPr>
            <w:r>
              <w:rPr>
                <w:rFonts w:ascii="宋体"/>
                <w:sz w:val="21"/>
              </w:rPr>
              <w:t>450001</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公司网址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26"/>
              <w:ind w:left="28" w:right="0"/>
              <w:jc w:val="left"/>
              <w:rPr>
                <w:rFonts w:ascii="宋体" w:hAnsi="宋体" w:cs="宋体" w:eastAsia="宋体" w:hint="default"/>
                <w:sz w:val="21"/>
                <w:szCs w:val="21"/>
              </w:rPr>
            </w:pPr>
            <w:hyperlink r:id="rId9">
              <w:r>
                <w:rPr>
                  <w:rFonts w:ascii="宋体"/>
                  <w:sz w:val="21"/>
                </w:rPr>
                <w:t>http://www.hhkj.cn</w:t>
              </w:r>
            </w:hyperlink>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电子信箱</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26"/>
              <w:ind w:left="28" w:right="0"/>
              <w:jc w:val="left"/>
              <w:rPr>
                <w:rFonts w:ascii="宋体" w:hAnsi="宋体" w:cs="宋体" w:eastAsia="宋体" w:hint="default"/>
                <w:sz w:val="21"/>
                <w:szCs w:val="21"/>
              </w:rPr>
            </w:pPr>
            <w:hyperlink r:id="rId10">
              <w:r>
                <w:rPr>
                  <w:rFonts w:ascii="宋体"/>
                  <w:sz w:val="21"/>
                </w:rPr>
                <w:t>zqb@hhkj.cn</w:t>
              </w:r>
            </w:hyperlink>
          </w:p>
        </w:tc>
      </w:tr>
    </w:tbl>
    <w:p>
      <w:pPr>
        <w:spacing w:line="240" w:lineRule="auto" w:before="12"/>
        <w:rPr>
          <w:rFonts w:ascii="宋体" w:hAnsi="宋体" w:cs="宋体" w:eastAsia="宋体" w:hint="default"/>
          <w:b/>
          <w:bCs/>
          <w:sz w:val="17"/>
          <w:szCs w:val="17"/>
        </w:rPr>
      </w:pPr>
    </w:p>
    <w:p>
      <w:pPr>
        <w:pStyle w:val="Heading2"/>
        <w:spacing w:line="240" w:lineRule="auto"/>
        <w:ind w:left="154" w:right="996"/>
        <w:jc w:val="left"/>
        <w:rPr>
          <w:b w:val="0"/>
          <w:bCs w:val="0"/>
        </w:rPr>
      </w:pPr>
      <w:bookmarkStart w:name="二、联系人和联系方式" w:id="8"/>
      <w:bookmarkEnd w:id="8"/>
      <w:r>
        <w:rPr>
          <w:b w:val="0"/>
          <w:bCs w:val="0"/>
        </w:rPr>
      </w:r>
      <w:r>
        <w:rPr/>
        <w:t>二、联系人和联系方式</w:t>
      </w:r>
      <w:r>
        <w:rPr>
          <w:b w:val="0"/>
          <w:bCs w:val="0"/>
        </w:rPr>
      </w:r>
    </w:p>
    <w:p>
      <w:pPr>
        <w:spacing w:line="240" w:lineRule="auto" w:before="10"/>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3179"/>
        <w:gridCol w:w="3190"/>
        <w:gridCol w:w="3190"/>
      </w:tblGrid>
      <w:tr>
        <w:trPr>
          <w:trHeight w:val="402"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right="0"/>
              <w:jc w:val="center"/>
              <w:rPr>
                <w:rFonts w:ascii="宋体" w:hAnsi="宋体" w:cs="宋体" w:eastAsia="宋体" w:hint="default"/>
                <w:sz w:val="21"/>
                <w:szCs w:val="21"/>
              </w:rPr>
            </w:pPr>
            <w:r>
              <w:rPr>
                <w:rFonts w:ascii="宋体" w:hAnsi="宋体" w:cs="宋体" w:eastAsia="宋体" w:hint="default"/>
                <w:sz w:val="21"/>
                <w:szCs w:val="21"/>
              </w:rPr>
              <w:t>董事会秘书</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960" w:right="0"/>
              <w:jc w:val="left"/>
              <w:rPr>
                <w:rFonts w:ascii="宋体" w:hAnsi="宋体" w:cs="宋体" w:eastAsia="宋体" w:hint="default"/>
                <w:sz w:val="21"/>
                <w:szCs w:val="21"/>
              </w:rPr>
            </w:pPr>
            <w:r>
              <w:rPr>
                <w:rFonts w:ascii="宋体" w:hAnsi="宋体" w:cs="宋体" w:eastAsia="宋体" w:hint="default"/>
                <w:sz w:val="21"/>
                <w:szCs w:val="21"/>
              </w:rPr>
              <w:t>证券事务代表</w:t>
            </w:r>
          </w:p>
        </w:tc>
      </w:tr>
      <w:tr>
        <w:trPr>
          <w:trHeight w:val="402"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11"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7"/>
              <w:ind w:left="10" w:right="0"/>
              <w:jc w:val="left"/>
              <w:rPr>
                <w:rFonts w:ascii="宋体" w:hAnsi="宋体" w:cs="宋体" w:eastAsia="宋体" w:hint="default"/>
                <w:sz w:val="21"/>
                <w:szCs w:val="21"/>
              </w:rPr>
            </w:pPr>
            <w:r>
              <w:rPr>
                <w:rFonts w:ascii="宋体" w:hAnsi="宋体" w:cs="宋体" w:eastAsia="宋体" w:hint="default"/>
                <w:sz w:val="21"/>
                <w:szCs w:val="21"/>
              </w:rPr>
              <w:t>杜旭升</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郭志敏</w:t>
            </w:r>
          </w:p>
        </w:tc>
      </w:tr>
      <w:tr>
        <w:trPr>
          <w:trHeight w:val="162" w:hRule="exact"/>
        </w:trPr>
        <w:tc>
          <w:tcPr>
            <w:tcW w:w="3179" w:type="dxa"/>
            <w:tcBorders>
              <w:top w:val="single" w:sz="4" w:space="0" w:color="000000"/>
              <w:left w:val="single" w:sz="4" w:space="0" w:color="000000"/>
              <w:bottom w:val="nil" w:sz="6" w:space="0" w:color="auto"/>
              <w:right w:val="single" w:sz="4" w:space="0" w:color="000000"/>
            </w:tcBorders>
            <w:shd w:val="clear" w:color="auto" w:fill="D2D2D2"/>
          </w:tcPr>
          <w:p>
            <w:pPr/>
          </w:p>
        </w:tc>
        <w:tc>
          <w:tcPr>
            <w:tcW w:w="3190" w:type="dxa"/>
            <w:vMerge w:val="restart"/>
            <w:tcBorders>
              <w:top w:val="single" w:sz="4" w:space="0" w:color="000000"/>
              <w:left w:val="single" w:sz="9" w:space="0" w:color="D2D2D2"/>
              <w:right w:val="single" w:sz="4" w:space="0" w:color="000000"/>
            </w:tcBorders>
          </w:tcPr>
          <w:p>
            <w:pPr>
              <w:pStyle w:val="TableParagraph"/>
              <w:spacing w:line="273" w:lineRule="auto" w:before="27"/>
              <w:ind w:left="16" w:right="215"/>
              <w:jc w:val="left"/>
              <w:rPr>
                <w:rFonts w:ascii="宋体" w:hAnsi="宋体" w:cs="宋体" w:eastAsia="宋体" w:hint="default"/>
                <w:sz w:val="21"/>
                <w:szCs w:val="21"/>
              </w:rPr>
            </w:pPr>
            <w:r>
              <w:rPr>
                <w:rFonts w:ascii="宋体" w:hAnsi="宋体" w:cs="宋体" w:eastAsia="宋体" w:hint="default"/>
                <w:sz w:val="21"/>
                <w:szCs w:val="21"/>
              </w:rPr>
              <w:t>郑州市高新技术产业开发区科学 大道</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74 </w:t>
            </w:r>
            <w:r>
              <w:rPr>
                <w:rFonts w:ascii="宋体" w:hAnsi="宋体" w:cs="宋体" w:eastAsia="宋体" w:hint="default"/>
                <w:sz w:val="21"/>
                <w:szCs w:val="21"/>
              </w:rPr>
              <w:t>号</w:t>
            </w:r>
          </w:p>
        </w:tc>
        <w:tc>
          <w:tcPr>
            <w:tcW w:w="3190" w:type="dxa"/>
            <w:vMerge w:val="restart"/>
            <w:tcBorders>
              <w:top w:val="single" w:sz="4" w:space="0" w:color="000000"/>
              <w:left w:val="single" w:sz="4" w:space="0" w:color="000000"/>
              <w:right w:val="single" w:sz="4" w:space="0" w:color="000000"/>
            </w:tcBorders>
          </w:tcPr>
          <w:p>
            <w:pPr>
              <w:pStyle w:val="TableParagraph"/>
              <w:spacing w:line="273" w:lineRule="auto" w:before="27"/>
              <w:ind w:left="22" w:right="215"/>
              <w:jc w:val="left"/>
              <w:rPr>
                <w:rFonts w:ascii="宋体" w:hAnsi="宋体" w:cs="宋体" w:eastAsia="宋体" w:hint="default"/>
                <w:sz w:val="21"/>
                <w:szCs w:val="21"/>
              </w:rPr>
            </w:pPr>
            <w:r>
              <w:rPr>
                <w:rFonts w:ascii="宋体" w:hAnsi="宋体" w:cs="宋体" w:eastAsia="宋体" w:hint="default"/>
                <w:sz w:val="21"/>
                <w:szCs w:val="21"/>
              </w:rPr>
              <w:t>郑州市高新技术产业开发区科学 大道</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74 </w:t>
            </w:r>
            <w:r>
              <w:rPr>
                <w:rFonts w:ascii="宋体" w:hAnsi="宋体" w:cs="宋体" w:eastAsia="宋体" w:hint="default"/>
                <w:sz w:val="21"/>
                <w:szCs w:val="21"/>
              </w:rPr>
              <w:t>号</w:t>
            </w:r>
          </w:p>
        </w:tc>
      </w:tr>
      <w:tr>
        <w:trPr>
          <w:trHeight w:val="391" w:hRule="exact"/>
        </w:trPr>
        <w:tc>
          <w:tcPr>
            <w:tcW w:w="317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联系地址</w:t>
            </w:r>
          </w:p>
        </w:tc>
        <w:tc>
          <w:tcPr>
            <w:tcW w:w="3190" w:type="dxa"/>
            <w:vMerge/>
            <w:tcBorders>
              <w:left w:val="single" w:sz="9" w:space="0" w:color="D2D2D2"/>
              <w:right w:val="single" w:sz="4" w:space="0" w:color="000000"/>
            </w:tcBorders>
          </w:tcPr>
          <w:p>
            <w:pPr/>
          </w:p>
        </w:tc>
        <w:tc>
          <w:tcPr>
            <w:tcW w:w="3190" w:type="dxa"/>
            <w:vMerge/>
            <w:tcBorders>
              <w:left w:val="single" w:sz="4" w:space="0" w:color="000000"/>
              <w:right w:val="single" w:sz="4" w:space="0" w:color="000000"/>
            </w:tcBorders>
          </w:tcPr>
          <w:p>
            <w:pPr/>
          </w:p>
        </w:tc>
      </w:tr>
      <w:tr>
        <w:trPr>
          <w:trHeight w:val="161" w:hRule="exact"/>
        </w:trPr>
        <w:tc>
          <w:tcPr>
            <w:tcW w:w="3179" w:type="dxa"/>
            <w:tcBorders>
              <w:top w:val="nil" w:sz="6" w:space="0" w:color="auto"/>
              <w:left w:val="single" w:sz="4" w:space="0" w:color="000000"/>
              <w:bottom w:val="single" w:sz="4" w:space="0" w:color="000000"/>
              <w:right w:val="single" w:sz="4" w:space="0" w:color="000000"/>
            </w:tcBorders>
            <w:shd w:val="clear" w:color="auto" w:fill="D2D2D2"/>
          </w:tcPr>
          <w:p>
            <w:pPr/>
          </w:p>
        </w:tc>
        <w:tc>
          <w:tcPr>
            <w:tcW w:w="3190" w:type="dxa"/>
            <w:vMerge/>
            <w:tcBorders>
              <w:left w:val="single" w:sz="9" w:space="0" w:color="D2D2D2"/>
              <w:bottom w:val="single" w:sz="4" w:space="0" w:color="000000"/>
              <w:right w:val="single" w:sz="4" w:space="0" w:color="000000"/>
            </w:tcBorders>
          </w:tcPr>
          <w:p>
            <w:pPr/>
          </w:p>
        </w:tc>
        <w:tc>
          <w:tcPr>
            <w:tcW w:w="3190" w:type="dxa"/>
            <w:vMerge/>
            <w:tcBorders>
              <w:left w:val="single" w:sz="4" w:space="0" w:color="000000"/>
              <w:bottom w:val="single" w:sz="4" w:space="0" w:color="000000"/>
              <w:right w:val="single" w:sz="4" w:space="0" w:color="000000"/>
            </w:tcBorders>
          </w:tcPr>
          <w:p>
            <w:pPr/>
          </w:p>
        </w:tc>
      </w:tr>
      <w:tr>
        <w:trPr>
          <w:trHeight w:val="402"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11" w:right="0"/>
              <w:jc w:val="left"/>
              <w:rPr>
                <w:rFonts w:ascii="宋体" w:hAnsi="宋体" w:cs="宋体" w:eastAsia="宋体" w:hint="default"/>
                <w:sz w:val="21"/>
                <w:szCs w:val="21"/>
              </w:rPr>
            </w:pPr>
            <w:r>
              <w:rPr>
                <w:rFonts w:ascii="宋体" w:hAnsi="宋体" w:cs="宋体" w:eastAsia="宋体" w:hint="default"/>
                <w:sz w:val="21"/>
                <w:szCs w:val="21"/>
              </w:rPr>
              <w:t>电话</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6"/>
              <w:ind w:left="10" w:right="0"/>
              <w:jc w:val="left"/>
              <w:rPr>
                <w:rFonts w:ascii="Times New Roman" w:hAnsi="Times New Roman" w:cs="Times New Roman" w:eastAsia="Times New Roman" w:hint="default"/>
                <w:sz w:val="21"/>
                <w:szCs w:val="21"/>
              </w:rPr>
            </w:pPr>
            <w:r>
              <w:rPr>
                <w:rFonts w:ascii="Times New Roman"/>
                <w:sz w:val="21"/>
              </w:rPr>
              <w:t>0371-67371035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22" w:right="0"/>
              <w:jc w:val="left"/>
              <w:rPr>
                <w:rFonts w:ascii="Times New Roman" w:hAnsi="Times New Roman" w:cs="Times New Roman" w:eastAsia="Times New Roman" w:hint="default"/>
                <w:sz w:val="21"/>
                <w:szCs w:val="21"/>
              </w:rPr>
            </w:pPr>
            <w:r>
              <w:rPr>
                <w:rFonts w:ascii="Times New Roman"/>
                <w:sz w:val="21"/>
              </w:rPr>
              <w:t>0371-67371035</w:t>
            </w:r>
          </w:p>
        </w:tc>
      </w:tr>
      <w:tr>
        <w:trPr>
          <w:trHeight w:val="402"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11" w:right="0"/>
              <w:jc w:val="left"/>
              <w:rPr>
                <w:rFonts w:ascii="宋体" w:hAnsi="宋体" w:cs="宋体" w:eastAsia="宋体" w:hint="default"/>
                <w:sz w:val="21"/>
                <w:szCs w:val="21"/>
              </w:rPr>
            </w:pPr>
            <w:r>
              <w:rPr>
                <w:rFonts w:ascii="宋体" w:hAnsi="宋体" w:cs="宋体" w:eastAsia="宋体" w:hint="default"/>
                <w:sz w:val="21"/>
                <w:szCs w:val="21"/>
              </w:rPr>
              <w:t>传真</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6"/>
              <w:ind w:left="10" w:right="0"/>
              <w:jc w:val="left"/>
              <w:rPr>
                <w:rFonts w:ascii="Times New Roman" w:hAnsi="Times New Roman" w:cs="Times New Roman" w:eastAsia="Times New Roman" w:hint="default"/>
                <w:sz w:val="21"/>
                <w:szCs w:val="21"/>
              </w:rPr>
            </w:pPr>
            <w:r>
              <w:rPr>
                <w:rFonts w:ascii="Times New Roman"/>
                <w:sz w:val="21"/>
              </w:rPr>
              <w:t>0371-67388201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22" w:right="0"/>
              <w:jc w:val="left"/>
              <w:rPr>
                <w:rFonts w:ascii="Times New Roman" w:hAnsi="Times New Roman" w:cs="Times New Roman" w:eastAsia="Times New Roman" w:hint="default"/>
                <w:sz w:val="21"/>
                <w:szCs w:val="21"/>
              </w:rPr>
            </w:pPr>
            <w:r>
              <w:rPr>
                <w:rFonts w:ascii="Times New Roman"/>
                <w:sz w:val="21"/>
              </w:rPr>
              <w:t>0371-67388201</w:t>
            </w:r>
          </w:p>
        </w:tc>
      </w:tr>
      <w:tr>
        <w:trPr>
          <w:trHeight w:val="403"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11" w:right="0"/>
              <w:jc w:val="left"/>
              <w:rPr>
                <w:rFonts w:ascii="宋体" w:hAnsi="宋体" w:cs="宋体" w:eastAsia="宋体" w:hint="default"/>
                <w:sz w:val="21"/>
                <w:szCs w:val="21"/>
              </w:rPr>
            </w:pPr>
            <w:r>
              <w:rPr>
                <w:rFonts w:ascii="宋体" w:hAnsi="宋体" w:cs="宋体" w:eastAsia="宋体" w:hint="default"/>
                <w:sz w:val="21"/>
                <w:szCs w:val="21"/>
              </w:rPr>
              <w:t>电子信箱</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6"/>
              <w:ind w:left="10" w:right="0"/>
              <w:jc w:val="left"/>
              <w:rPr>
                <w:rFonts w:ascii="Times New Roman" w:hAnsi="Times New Roman" w:cs="Times New Roman" w:eastAsia="Times New Roman" w:hint="default"/>
                <w:sz w:val="21"/>
                <w:szCs w:val="21"/>
              </w:rPr>
            </w:pPr>
            <w:hyperlink r:id="rId11">
              <w:r>
                <w:rPr>
                  <w:rFonts w:ascii="Times New Roman"/>
                  <w:sz w:val="21"/>
                </w:rPr>
                <w:t>duxusheng@hhkj.cn</w:t>
              </w:r>
            </w:hyperlink>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22" w:right="0"/>
              <w:jc w:val="left"/>
              <w:rPr>
                <w:rFonts w:ascii="Times New Roman" w:hAnsi="Times New Roman" w:cs="Times New Roman" w:eastAsia="Times New Roman" w:hint="default"/>
                <w:sz w:val="21"/>
                <w:szCs w:val="21"/>
              </w:rPr>
            </w:pPr>
            <w:hyperlink r:id="rId12">
              <w:r>
                <w:rPr>
                  <w:rFonts w:ascii="Times New Roman"/>
                  <w:sz w:val="21"/>
                </w:rPr>
                <w:t>guozhimin@hhkj.cn</w:t>
              </w:r>
            </w:hyperlink>
          </w:p>
        </w:tc>
      </w:tr>
    </w:tbl>
    <w:p>
      <w:pPr>
        <w:spacing w:line="240" w:lineRule="auto" w:before="12"/>
        <w:rPr>
          <w:rFonts w:ascii="宋体" w:hAnsi="宋体" w:cs="宋体" w:eastAsia="宋体" w:hint="default"/>
          <w:b/>
          <w:bCs/>
          <w:sz w:val="17"/>
          <w:szCs w:val="17"/>
        </w:rPr>
      </w:pPr>
    </w:p>
    <w:p>
      <w:pPr>
        <w:pStyle w:val="Heading2"/>
        <w:spacing w:line="240" w:lineRule="auto"/>
        <w:ind w:left="154" w:right="996"/>
        <w:jc w:val="left"/>
        <w:rPr>
          <w:b w:val="0"/>
          <w:bCs w:val="0"/>
        </w:rPr>
      </w:pPr>
      <w:bookmarkStart w:name="三、信息披露及备置地点" w:id="9"/>
      <w:bookmarkEnd w:id="9"/>
      <w:r>
        <w:rPr>
          <w:b w:val="0"/>
          <w:bCs w:val="0"/>
        </w:rPr>
      </w:r>
      <w:r>
        <w:rPr/>
        <w:t>三、信息披露及备置地点</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993"/>
        <w:gridCol w:w="5576"/>
      </w:tblGrid>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公司选定的信息披露媒体的名称</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《证券时报</w:t>
            </w:r>
            <w:r>
              <w:rPr>
                <w:rFonts w:ascii="宋体" w:hAnsi="宋体" w:cs="宋体" w:eastAsia="宋体" w:hint="default"/>
                <w:spacing w:val="-106"/>
                <w:sz w:val="21"/>
                <w:szCs w:val="21"/>
              </w:rPr>
              <w:t>》</w:t>
            </w:r>
            <w:r>
              <w:rPr>
                <w:rFonts w:ascii="宋体" w:hAnsi="宋体" w:cs="宋体" w:eastAsia="宋体" w:hint="default"/>
                <w:spacing w:val="-105"/>
                <w:sz w:val="21"/>
                <w:szCs w:val="21"/>
              </w:rPr>
              <w:t>、</w:t>
            </w:r>
            <w:r>
              <w:rPr>
                <w:rFonts w:ascii="宋体" w:hAnsi="宋体" w:cs="宋体" w:eastAsia="宋体" w:hint="default"/>
                <w:sz w:val="21"/>
                <w:szCs w:val="21"/>
              </w:rPr>
              <w:t>《中国证</w:t>
            </w:r>
            <w:r>
              <w:rPr>
                <w:rFonts w:ascii="宋体" w:hAnsi="宋体" w:cs="宋体" w:eastAsia="宋体" w:hint="default"/>
                <w:spacing w:val="-2"/>
                <w:sz w:val="21"/>
                <w:szCs w:val="21"/>
              </w:rPr>
              <w:t>券</w:t>
            </w:r>
            <w:r>
              <w:rPr>
                <w:rFonts w:ascii="宋体" w:hAnsi="宋体" w:cs="宋体" w:eastAsia="宋体" w:hint="default"/>
                <w:sz w:val="21"/>
                <w:szCs w:val="21"/>
              </w:rPr>
              <w:t>报》</w:t>
            </w:r>
          </w:p>
        </w:tc>
      </w:tr>
      <w:tr>
        <w:trPr>
          <w:trHeight w:val="714"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22" w:right="178"/>
              <w:jc w:val="left"/>
              <w:rPr>
                <w:rFonts w:ascii="宋体" w:hAnsi="宋体" w:cs="宋体" w:eastAsia="宋体" w:hint="default"/>
                <w:sz w:val="21"/>
                <w:szCs w:val="21"/>
              </w:rPr>
            </w:pPr>
            <w:r>
              <w:rPr>
                <w:rFonts w:ascii="宋体" w:hAnsi="宋体" w:cs="宋体" w:eastAsia="宋体" w:hint="default"/>
                <w:sz w:val="21"/>
                <w:szCs w:val="21"/>
              </w:rPr>
              <w:t>登载年度报告的中国证监会指定网站的网 址</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left="22" w:right="0"/>
              <w:jc w:val="left"/>
              <w:rPr>
                <w:rFonts w:ascii="Times New Roman" w:hAnsi="Times New Roman" w:cs="Times New Roman" w:eastAsia="Times New Roman" w:hint="default"/>
                <w:sz w:val="21"/>
                <w:szCs w:val="21"/>
              </w:rPr>
            </w:pPr>
            <w:hyperlink r:id="rId13">
              <w:r>
                <w:rPr>
                  <w:rFonts w:ascii="Times New Roman"/>
                  <w:sz w:val="21"/>
                </w:rPr>
                <w:t>http://www.cninfo.com.cn</w:t>
              </w:r>
            </w:hyperlink>
          </w:p>
        </w:tc>
      </w:tr>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公司年度报告备置地点</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证券事务办公室</w:t>
            </w:r>
          </w:p>
        </w:tc>
      </w:tr>
    </w:tbl>
    <w:p>
      <w:pPr>
        <w:spacing w:after="0" w:line="240" w:lineRule="auto"/>
        <w:jc w:val="left"/>
        <w:rPr>
          <w:rFonts w:ascii="宋体" w:hAnsi="宋体" w:cs="宋体" w:eastAsia="宋体" w:hint="default"/>
          <w:sz w:val="21"/>
          <w:szCs w:val="21"/>
        </w:rPr>
        <w:sectPr>
          <w:pgSz w:w="11910" w:h="16840"/>
          <w:pgMar w:header="747" w:footer="979" w:top="1060" w:bottom="1160" w:left="980" w:right="0"/>
        </w:sectPr>
      </w:pPr>
    </w:p>
    <w:p>
      <w:pPr>
        <w:spacing w:line="240" w:lineRule="auto" w:before="7"/>
        <w:rPr>
          <w:rFonts w:ascii="宋体" w:hAnsi="宋体" w:cs="宋体" w:eastAsia="宋体" w:hint="default"/>
          <w:b/>
          <w:bCs/>
          <w:sz w:val="23"/>
          <w:szCs w:val="23"/>
        </w:rPr>
      </w:pPr>
    </w:p>
    <w:p>
      <w:pPr>
        <w:pStyle w:val="Heading2"/>
        <w:spacing w:line="240" w:lineRule="auto"/>
        <w:ind w:left="153" w:right="996"/>
        <w:jc w:val="left"/>
        <w:rPr>
          <w:b w:val="0"/>
          <w:bCs w:val="0"/>
        </w:rPr>
      </w:pPr>
      <w:bookmarkStart w:name="四、注册变更情况" w:id="10"/>
      <w:bookmarkEnd w:id="10"/>
      <w:r>
        <w:rPr>
          <w:b w:val="0"/>
          <w:bCs w:val="0"/>
        </w:rPr>
      </w:r>
      <w:r>
        <w:rPr/>
        <w:t>四、注册变更情况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190"/>
        <w:gridCol w:w="637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统一社会信用代码</w:t>
            </w:r>
          </w:p>
        </w:tc>
        <w:tc>
          <w:tcPr>
            <w:tcW w:w="6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3" w:right="0"/>
              <w:jc w:val="left"/>
              <w:rPr>
                <w:rFonts w:ascii="Times New Roman" w:hAnsi="Times New Roman" w:cs="Times New Roman" w:eastAsia="Times New Roman" w:hint="default"/>
                <w:sz w:val="21"/>
                <w:szCs w:val="21"/>
              </w:rPr>
            </w:pPr>
            <w:r>
              <w:rPr>
                <w:rFonts w:ascii="Times New Roman"/>
                <w:sz w:val="21"/>
              </w:rPr>
              <w:t>914101007324826746</w:t>
            </w:r>
          </w:p>
        </w:tc>
      </w:tr>
      <w:tr>
        <w:trPr>
          <w:trHeight w:val="714"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22" w:right="215"/>
              <w:jc w:val="left"/>
              <w:rPr>
                <w:rFonts w:ascii="宋体" w:hAnsi="宋体" w:cs="宋体" w:eastAsia="宋体" w:hint="default"/>
                <w:sz w:val="21"/>
                <w:szCs w:val="21"/>
              </w:rPr>
            </w:pPr>
            <w:r>
              <w:rPr>
                <w:rFonts w:ascii="宋体" w:hAnsi="宋体" w:cs="宋体" w:eastAsia="宋体" w:hint="default"/>
                <w:sz w:val="21"/>
                <w:szCs w:val="21"/>
              </w:rPr>
              <w:t>公司上市以来主营业务的变化情 况（如有）</w:t>
            </w:r>
          </w:p>
        </w:tc>
        <w:tc>
          <w:tcPr>
            <w:tcW w:w="6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无变更</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历次控股股东的变更情况（如有）</w:t>
            </w:r>
          </w:p>
        </w:tc>
        <w:tc>
          <w:tcPr>
            <w:tcW w:w="6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3" w:right="0"/>
              <w:jc w:val="left"/>
              <w:rPr>
                <w:rFonts w:ascii="宋体" w:hAnsi="宋体" w:cs="宋体" w:eastAsia="宋体" w:hint="default"/>
                <w:sz w:val="21"/>
                <w:szCs w:val="21"/>
              </w:rPr>
            </w:pPr>
            <w:r>
              <w:rPr>
                <w:rFonts w:ascii="宋体" w:hAnsi="宋体" w:cs="宋体" w:eastAsia="宋体" w:hint="default"/>
                <w:sz w:val="21"/>
                <w:szCs w:val="21"/>
              </w:rPr>
              <w:t>无变更</w:t>
            </w:r>
          </w:p>
        </w:tc>
      </w:tr>
    </w:tbl>
    <w:p>
      <w:pPr>
        <w:spacing w:line="240" w:lineRule="auto" w:before="12"/>
        <w:rPr>
          <w:rFonts w:ascii="宋体" w:hAnsi="宋体" w:cs="宋体" w:eastAsia="宋体" w:hint="default"/>
          <w:b/>
          <w:bCs/>
          <w:sz w:val="17"/>
          <w:szCs w:val="17"/>
        </w:rPr>
      </w:pPr>
    </w:p>
    <w:p>
      <w:pPr>
        <w:spacing w:line="468" w:lineRule="auto" w:before="26"/>
        <w:ind w:left="153" w:right="8113" w:firstLine="0"/>
        <w:jc w:val="left"/>
        <w:rPr>
          <w:rFonts w:ascii="宋体" w:hAnsi="宋体" w:cs="宋体" w:eastAsia="宋体" w:hint="default"/>
          <w:sz w:val="24"/>
          <w:szCs w:val="24"/>
        </w:rPr>
      </w:pPr>
      <w:r>
        <w:rPr/>
        <w:pict>
          <v:shape style="position:absolute;margin-left:56.459999pt;margin-top:51.495609pt;width:479.2pt;height:60.8pt;mso-position-horizontal-relative:page;mso-position-vertical-relative:paragraph;z-index:114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662"/>
                    <w:gridCol w:w="6907"/>
                  </w:tblGrid>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会计师事务所名称</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3" w:right="0"/>
                          <w:jc w:val="left"/>
                          <w:rPr>
                            <w:rFonts w:ascii="宋体" w:hAnsi="宋体" w:cs="宋体" w:eastAsia="宋体" w:hint="default"/>
                            <w:sz w:val="21"/>
                            <w:szCs w:val="21"/>
                          </w:rPr>
                        </w:pPr>
                        <w:r>
                          <w:rPr>
                            <w:rFonts w:ascii="宋体" w:hAnsi="宋体" w:cs="宋体" w:eastAsia="宋体" w:hint="default"/>
                            <w:sz w:val="21"/>
                            <w:szCs w:val="21"/>
                          </w:rPr>
                          <w:t>大华会计师事务所（特殊普通合伙）</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会计师事务所办公地址</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3" w:right="0"/>
                          <w:jc w:val="left"/>
                          <w:rPr>
                            <w:rFonts w:ascii="宋体" w:hAnsi="宋体" w:cs="宋体" w:eastAsia="宋体" w:hint="default"/>
                            <w:sz w:val="21"/>
                            <w:szCs w:val="21"/>
                          </w:rPr>
                        </w:pPr>
                        <w:r>
                          <w:rPr>
                            <w:rFonts w:ascii="宋体" w:hAnsi="宋体" w:cs="宋体" w:eastAsia="宋体" w:hint="default"/>
                            <w:sz w:val="21"/>
                            <w:szCs w:val="21"/>
                          </w:rPr>
                          <w:t>北京海淀区西四环中路</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号院</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号楼</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层</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签字会计师姓名</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3" w:right="0"/>
                          <w:jc w:val="left"/>
                          <w:rPr>
                            <w:rFonts w:ascii="宋体" w:hAnsi="宋体" w:cs="宋体" w:eastAsia="宋体" w:hint="default"/>
                            <w:sz w:val="21"/>
                            <w:szCs w:val="21"/>
                          </w:rPr>
                        </w:pPr>
                        <w:r>
                          <w:rPr>
                            <w:rFonts w:ascii="宋体" w:hAnsi="宋体" w:cs="宋体" w:eastAsia="宋体" w:hint="default"/>
                            <w:sz w:val="21"/>
                            <w:szCs w:val="21"/>
                          </w:rPr>
                          <w:t>董超、李斌</w:t>
                        </w:r>
                      </w:p>
                    </w:tc>
                  </w:tr>
                </w:tbl>
                <w:p>
                  <w:pPr/>
                </w:p>
              </w:txbxContent>
            </v:textbox>
            <w10:wrap type="none"/>
          </v:shape>
        </w:pict>
      </w:r>
      <w:bookmarkStart w:name="五、其他有关资料" w:id="11"/>
      <w:bookmarkEnd w:id="11"/>
      <w:r>
        <w:rPr/>
      </w:r>
      <w:r>
        <w:rPr>
          <w:rFonts w:ascii="宋体" w:hAnsi="宋体" w:cs="宋体" w:eastAsia="宋体" w:hint="default"/>
          <w:b/>
          <w:bCs/>
          <w:sz w:val="24"/>
          <w:szCs w:val="24"/>
        </w:rPr>
        <w:t>五、其他有关资料</w:t>
      </w:r>
      <w:r>
        <w:rPr>
          <w:rFonts w:ascii="宋体" w:hAnsi="宋体" w:cs="宋体" w:eastAsia="宋体" w:hint="default"/>
          <w:b/>
          <w:bCs/>
          <w:w w:val="99"/>
          <w:sz w:val="24"/>
          <w:szCs w:val="24"/>
        </w:rPr>
        <w:t> </w:t>
      </w:r>
      <w:r>
        <w:rPr>
          <w:rFonts w:ascii="宋体" w:hAnsi="宋体" w:cs="宋体" w:eastAsia="宋体" w:hint="default"/>
          <w:sz w:val="24"/>
          <w:szCs w:val="24"/>
        </w:rPr>
        <w:t>公司聘请的会计师事务所</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6"/>
          <w:szCs w:val="26"/>
        </w:rPr>
      </w:pPr>
    </w:p>
    <w:p>
      <w:pPr>
        <w:pStyle w:val="BodyText"/>
        <w:spacing w:line="240" w:lineRule="auto" w:before="26"/>
        <w:ind w:left="154" w:right="996"/>
        <w:jc w:val="left"/>
      </w:pPr>
      <w:r>
        <w:rPr/>
        <w:t>公司聘请的报告期内履行持续督导职责的保荐机构</w:t>
      </w:r>
    </w:p>
    <w:p>
      <w:pPr>
        <w:spacing w:line="240" w:lineRule="auto" w:before="10"/>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2128"/>
        <w:gridCol w:w="1984"/>
        <w:gridCol w:w="1700"/>
        <w:gridCol w:w="3756"/>
      </w:tblGrid>
      <w:tr>
        <w:trPr>
          <w:trHeight w:val="402" w:hRule="exact"/>
        </w:trPr>
        <w:tc>
          <w:tcPr>
            <w:tcW w:w="21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28" w:right="0"/>
              <w:jc w:val="left"/>
              <w:rPr>
                <w:rFonts w:ascii="宋体" w:hAnsi="宋体" w:cs="宋体" w:eastAsia="宋体" w:hint="default"/>
                <w:sz w:val="21"/>
                <w:szCs w:val="21"/>
              </w:rPr>
            </w:pPr>
            <w:r>
              <w:rPr>
                <w:rFonts w:ascii="宋体" w:hAnsi="宋体" w:cs="宋体" w:eastAsia="宋体" w:hint="default"/>
                <w:sz w:val="21"/>
                <w:szCs w:val="21"/>
              </w:rPr>
              <w:t>保荐机构名称</w:t>
            </w:r>
          </w:p>
        </w:tc>
        <w:tc>
          <w:tcPr>
            <w:tcW w:w="1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46" w:right="0"/>
              <w:jc w:val="left"/>
              <w:rPr>
                <w:rFonts w:ascii="宋体" w:hAnsi="宋体" w:cs="宋体" w:eastAsia="宋体" w:hint="default"/>
                <w:sz w:val="21"/>
                <w:szCs w:val="21"/>
              </w:rPr>
            </w:pPr>
            <w:r>
              <w:rPr>
                <w:rFonts w:ascii="宋体" w:hAnsi="宋体" w:cs="宋体" w:eastAsia="宋体" w:hint="default"/>
                <w:sz w:val="21"/>
                <w:szCs w:val="21"/>
              </w:rPr>
              <w:t>保荐机构办公地址</w:t>
            </w:r>
          </w:p>
        </w:tc>
        <w:tc>
          <w:tcPr>
            <w:tcW w:w="17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保荐代表人姓名</w:t>
            </w:r>
          </w:p>
        </w:tc>
        <w:tc>
          <w:tcPr>
            <w:tcW w:w="37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243" w:right="0"/>
              <w:jc w:val="left"/>
              <w:rPr>
                <w:rFonts w:ascii="宋体" w:hAnsi="宋体" w:cs="宋体" w:eastAsia="宋体" w:hint="default"/>
                <w:sz w:val="21"/>
                <w:szCs w:val="21"/>
              </w:rPr>
            </w:pPr>
            <w:r>
              <w:rPr>
                <w:rFonts w:ascii="宋体" w:hAnsi="宋体" w:cs="宋体" w:eastAsia="宋体" w:hint="default"/>
                <w:sz w:val="21"/>
                <w:szCs w:val="21"/>
              </w:rPr>
              <w:t>持续督导期间</w:t>
            </w:r>
          </w:p>
        </w:tc>
      </w:tr>
      <w:tr>
        <w:trPr>
          <w:trHeight w:val="1650"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273" w:lineRule="auto"/>
              <w:ind w:left="22" w:right="203"/>
              <w:jc w:val="left"/>
              <w:rPr>
                <w:rFonts w:ascii="宋体" w:hAnsi="宋体" w:cs="宋体" w:eastAsia="宋体" w:hint="default"/>
                <w:sz w:val="21"/>
                <w:szCs w:val="21"/>
              </w:rPr>
            </w:pPr>
            <w:r>
              <w:rPr>
                <w:rFonts w:ascii="宋体" w:hAnsi="宋体" w:cs="宋体" w:eastAsia="宋体" w:hint="default"/>
                <w:sz w:val="21"/>
                <w:szCs w:val="21"/>
              </w:rPr>
              <w:t>申万宏源证券承销保 荐有限责任公司</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上海市徐汇区常熟路</w:t>
            </w:r>
          </w:p>
          <w:p>
            <w:pPr>
              <w:pStyle w:val="TableParagraph"/>
              <w:spacing w:line="240" w:lineRule="auto" w:before="38"/>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239 </w:t>
            </w:r>
            <w:r>
              <w:rPr>
                <w:rFonts w:ascii="宋体" w:hAnsi="宋体" w:cs="宋体" w:eastAsia="宋体" w:hint="default"/>
                <w:sz w:val="21"/>
                <w:szCs w:val="21"/>
              </w:rPr>
              <w:t>号</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9"/>
                <w:szCs w:val="2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纪平、叶强</w:t>
            </w:r>
          </w:p>
        </w:tc>
        <w:tc>
          <w:tcPr>
            <w:tcW w:w="3756" w:type="dxa"/>
            <w:tcBorders>
              <w:top w:val="single" w:sz="4" w:space="0" w:color="000000"/>
              <w:left w:val="single" w:sz="4" w:space="0" w:color="000000"/>
              <w:bottom w:val="single" w:sz="4" w:space="0" w:color="000000"/>
              <w:right w:val="single" w:sz="4" w:space="0" w:color="000000"/>
            </w:tcBorders>
          </w:tcPr>
          <w:p>
            <w:pPr>
              <w:pStyle w:val="TableParagraph"/>
              <w:spacing w:line="256" w:lineRule="auto" w:before="26"/>
              <w:ind w:left="23" w:right="98"/>
              <w:jc w:val="both"/>
              <w:rPr>
                <w:rFonts w:ascii="宋体" w:hAnsi="宋体" w:cs="宋体" w:eastAsia="宋体" w:hint="default"/>
                <w:sz w:val="21"/>
                <w:szCs w:val="21"/>
              </w:rPr>
            </w:pPr>
            <w:r>
              <w:rPr>
                <w:rFonts w:ascii="Times New Roman" w:hAnsi="Times New Roman" w:cs="Times New Roman" w:eastAsia="Times New Roman" w:hint="default"/>
                <w:sz w:val="21"/>
                <w:szCs w:val="21"/>
              </w:rPr>
              <w:t>2016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年度非公开发 行募集资金使用完毕；</w:t>
            </w: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年度非公开 发行股票上市当年剩余时间及其后</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 </w:t>
            </w:r>
            <w:r>
              <w:rPr>
                <w:rFonts w:ascii="宋体" w:hAnsi="宋体" w:cs="宋体" w:eastAsia="宋体" w:hint="default"/>
                <w:sz w:val="21"/>
                <w:szCs w:val="21"/>
              </w:rPr>
              <w:t>个</w:t>
            </w:r>
          </w:p>
          <w:p>
            <w:pPr>
              <w:pStyle w:val="TableParagraph"/>
              <w:spacing w:line="240" w:lineRule="auto" w:before="5"/>
              <w:ind w:left="23" w:right="0"/>
              <w:jc w:val="both"/>
              <w:rPr>
                <w:rFonts w:ascii="Times New Roman" w:hAnsi="Times New Roman" w:cs="Times New Roman" w:eastAsia="Times New Roman" w:hint="default"/>
                <w:sz w:val="21"/>
                <w:szCs w:val="21"/>
              </w:rPr>
            </w:pPr>
            <w:r>
              <w:rPr>
                <w:rFonts w:ascii="宋体" w:hAnsi="宋体" w:cs="宋体" w:eastAsia="宋体" w:hint="default"/>
                <w:sz w:val="21"/>
                <w:szCs w:val="21"/>
              </w:rPr>
              <w:t>完整会计年度，公司已于</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年</w:t>
            </w:r>
            <w:r>
              <w:rPr>
                <w:rFonts w:ascii="宋体" w:hAnsi="宋体" w:cs="宋体" w:eastAsia="宋体" w:hint="default"/>
                <w:spacing w:val="-58"/>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月</w:t>
            </w:r>
            <w:r>
              <w:rPr>
                <w:rFonts w:ascii="宋体" w:hAnsi="宋体" w:cs="宋体" w:eastAsia="宋体" w:hint="default"/>
                <w:spacing w:val="-57"/>
                <w:sz w:val="21"/>
                <w:szCs w:val="21"/>
              </w:rPr>
              <w:t> </w:t>
            </w:r>
            <w:r>
              <w:rPr>
                <w:rFonts w:ascii="Times New Roman" w:hAnsi="Times New Roman" w:cs="Times New Roman" w:eastAsia="Times New Roman" w:hint="default"/>
                <w:spacing w:val="-8"/>
                <w:sz w:val="21"/>
                <w:szCs w:val="21"/>
              </w:rPr>
              <w:t>11</w:t>
            </w:r>
            <w:r>
              <w:rPr>
                <w:rFonts w:ascii="Times New Roman" w:hAnsi="Times New Roman" w:cs="Times New Roman" w:eastAsia="Times New Roman" w:hint="default"/>
                <w:sz w:val="21"/>
                <w:szCs w:val="21"/>
              </w:rPr>
            </w:r>
          </w:p>
          <w:p>
            <w:pPr>
              <w:pStyle w:val="TableParagraph"/>
              <w:spacing w:line="240" w:lineRule="auto" w:before="22"/>
              <w:ind w:left="23" w:right="0"/>
              <w:jc w:val="both"/>
              <w:rPr>
                <w:rFonts w:ascii="宋体" w:hAnsi="宋体" w:cs="宋体" w:eastAsia="宋体" w:hint="default"/>
                <w:sz w:val="21"/>
                <w:szCs w:val="21"/>
              </w:rPr>
            </w:pPr>
            <w:r>
              <w:rPr>
                <w:rFonts w:ascii="宋体" w:hAnsi="宋体" w:cs="宋体" w:eastAsia="宋体" w:hint="default"/>
                <w:sz w:val="21"/>
                <w:szCs w:val="21"/>
              </w:rPr>
              <w:t>日终止此次非公开发行事宜。</w:t>
            </w:r>
          </w:p>
        </w:tc>
      </w:tr>
    </w:tbl>
    <w:p>
      <w:pPr>
        <w:spacing w:line="240" w:lineRule="auto" w:before="1"/>
        <w:rPr>
          <w:rFonts w:ascii="宋体" w:hAnsi="宋体" w:cs="宋体" w:eastAsia="宋体" w:hint="default"/>
          <w:sz w:val="25"/>
          <w:szCs w:val="25"/>
        </w:rPr>
      </w:pPr>
    </w:p>
    <w:p>
      <w:pPr>
        <w:pStyle w:val="BodyText"/>
        <w:spacing w:line="240" w:lineRule="auto" w:before="26"/>
        <w:ind w:left="154" w:right="996"/>
        <w:jc w:val="left"/>
      </w:pPr>
      <w:r>
        <w:rPr/>
        <w:t>公司聘请的报告期内履行持续督导职责的财务顾问</w:t>
      </w:r>
    </w:p>
    <w:p>
      <w:pPr>
        <w:spacing w:line="441" w:lineRule="auto" w:before="37"/>
        <w:ind w:left="153" w:right="6192" w:firstLine="0"/>
        <w:jc w:val="left"/>
        <w:rPr>
          <w:rFonts w:ascii="宋体" w:hAnsi="宋体" w:cs="宋体" w:eastAsia="宋体" w:hint="default"/>
          <w:sz w:val="24"/>
          <w:szCs w:val="24"/>
        </w:rPr>
      </w:pPr>
      <w:r>
        <w:rPr>
          <w:rFonts w:ascii="Times New Roman" w:hAnsi="Times New Roman" w:cs="Times New Roman" w:eastAsia="Times New Roman" w:hint="default"/>
          <w:sz w:val="24"/>
          <w:szCs w:val="24"/>
        </w:rPr>
        <w:t>□ </w:t>
      </w:r>
      <w:r>
        <w:rPr>
          <w:rFonts w:ascii="宋体" w:hAnsi="宋体" w:cs="宋体" w:eastAsia="宋体" w:hint="default"/>
          <w:sz w:val="24"/>
          <w:szCs w:val="24"/>
        </w:rPr>
        <w:t>适用 </w:t>
      </w:r>
      <w:r>
        <w:rPr>
          <w:rFonts w:ascii="Times New Roman" w:hAnsi="Times New Roman" w:cs="Times New Roman" w:eastAsia="Times New Roman" w:hint="default"/>
          <w:sz w:val="24"/>
          <w:szCs w:val="24"/>
        </w:rPr>
        <w:t>√ </w:t>
      </w:r>
      <w:r>
        <w:rPr>
          <w:rFonts w:ascii="宋体" w:hAnsi="宋体" w:cs="宋体" w:eastAsia="宋体" w:hint="default"/>
          <w:sz w:val="24"/>
          <w:szCs w:val="24"/>
        </w:rPr>
        <w:t>不适用 </w:t>
      </w:r>
      <w:bookmarkStart w:name="六、主要会计数据和财务指标" w:id="12"/>
      <w:bookmarkEnd w:id="12"/>
      <w:r>
        <w:rPr>
          <w:rFonts w:ascii="宋体" w:hAnsi="宋体" w:cs="宋体" w:eastAsia="宋体" w:hint="default"/>
          <w:sz w:val="24"/>
          <w:szCs w:val="24"/>
        </w:rPr>
      </w:r>
      <w:r>
        <w:rPr>
          <w:rFonts w:ascii="宋体" w:hAnsi="宋体" w:cs="宋体" w:eastAsia="宋体" w:hint="default"/>
          <w:b/>
          <w:bCs/>
          <w:sz w:val="24"/>
          <w:szCs w:val="24"/>
        </w:rPr>
        <w:t>六、主要会计数据和财务指标</w:t>
      </w:r>
      <w:r>
        <w:rPr>
          <w:rFonts w:ascii="宋体" w:hAnsi="宋体" w:cs="宋体" w:eastAsia="宋体" w:hint="default"/>
          <w:sz w:val="24"/>
          <w:szCs w:val="24"/>
        </w:rPr>
      </w:r>
    </w:p>
    <w:p>
      <w:pPr>
        <w:pStyle w:val="BodyText"/>
        <w:spacing w:line="240" w:lineRule="auto" w:before="96"/>
        <w:ind w:right="996"/>
        <w:jc w:val="left"/>
      </w:pPr>
      <w:r>
        <w:rPr/>
        <w:t>公司是否需追溯调整或重述以前年度会计数据</w:t>
      </w:r>
    </w:p>
    <w:p>
      <w:pPr>
        <w:pStyle w:val="BodyText"/>
        <w:spacing w:line="240" w:lineRule="auto" w:before="38"/>
        <w:ind w:left="154" w:right="996"/>
        <w:jc w:val="left"/>
      </w:pPr>
      <w:r>
        <w:rPr/>
        <w:pict>
          <v:group style="position:absolute;margin-left:188pt;margin-top:104.985626pt;width:86.45pt;height:28pt;mso-position-horizontal-relative:page;mso-position-vertical-relative:paragraph;z-index:-916552" coordorigin="3760,2100" coordsize="1729,560">
            <v:group style="position:absolute;left:3771;top:2111;width:2;height:393" coordorigin="3771,2111" coordsize="2,393">
              <v:shape style="position:absolute;left:3771;top:2111;width:2;height:393" coordorigin="3771,2111" coordsize="0,393" path="m3771,2111l3771,2504e" filled="false" stroked="true" strokeweight="1.140pt" strokecolor="#ffffff">
                <v:path arrowok="t"/>
              </v:shape>
            </v:group>
            <v:group style="position:absolute;left:3760;top:2504;width:1729;height:156" coordorigin="3760,2504" coordsize="1729,156">
              <v:shape style="position:absolute;left:3760;top:2504;width:1729;height:156" coordorigin="3760,2504" coordsize="1729,156" path="m3760,2660l5488,2660,5488,2504,3760,2504,3760,2660xe" filled="true" fillcolor="#ffffff" stroked="false">
                <v:path arrowok="t"/>
                <v:fill type="solid"/>
              </v:shape>
            </v:group>
            <v:group style="position:absolute;left:3783;top:2111;width:1683;height:393" coordorigin="3783,2111" coordsize="1683,393">
              <v:shape style="position:absolute;left:3783;top:2111;width:1683;height:393" coordorigin="3783,2111" coordsize="1683,393" path="m3783,2504l5466,2504,5466,2111,3783,2111,3783,2504xe" filled="true" fillcolor="#ffffff" stroked="false">
                <v:path arrowok="t"/>
                <v:fill type="solid"/>
              </v:shape>
            </v:group>
            <w10:wrap type="none"/>
          </v:group>
        </w:pict>
      </w: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w:t>
      </w:r>
    </w:p>
    <w:p>
      <w:pPr>
        <w:spacing w:line="240" w:lineRule="auto" w:before="5"/>
        <w:rPr>
          <w:rFonts w:ascii="宋体" w:hAnsi="宋体" w:cs="宋体" w:eastAsia="宋体" w:hint="default"/>
          <w:sz w:val="4"/>
          <w:szCs w:val="4"/>
        </w:rPr>
      </w:pPr>
    </w:p>
    <w:tbl>
      <w:tblPr>
        <w:tblW w:w="0" w:type="auto"/>
        <w:jc w:val="left"/>
        <w:tblInd w:w="160" w:type="dxa"/>
        <w:tblLayout w:type="fixed"/>
        <w:tblCellMar>
          <w:top w:w="0" w:type="dxa"/>
          <w:left w:w="0" w:type="dxa"/>
          <w:bottom w:w="0" w:type="dxa"/>
          <w:right w:w="0" w:type="dxa"/>
        </w:tblCellMar>
        <w:tblLook w:val="01E0"/>
      </w:tblPr>
      <w:tblGrid>
        <w:gridCol w:w="2598"/>
        <w:gridCol w:w="213"/>
        <w:gridCol w:w="1537"/>
        <w:gridCol w:w="1736"/>
        <w:gridCol w:w="1738"/>
        <w:gridCol w:w="1735"/>
      </w:tblGrid>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53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52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28" w:right="0"/>
              <w:jc w:val="left"/>
              <w:rPr>
                <w:rFonts w:ascii="宋体" w:hAnsi="宋体" w:cs="宋体" w:eastAsia="宋体" w:hint="default"/>
                <w:sz w:val="21"/>
                <w:szCs w:val="21"/>
              </w:rPr>
            </w:pPr>
            <w:r>
              <w:rPr>
                <w:rFonts w:ascii="宋体" w:hAnsi="宋体" w:cs="宋体" w:eastAsia="宋体" w:hint="default"/>
                <w:sz w:val="21"/>
                <w:szCs w:val="21"/>
              </w:rPr>
              <w:t>本年比上年增减</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52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营业收入（元）</w:t>
            </w:r>
          </w:p>
        </w:tc>
        <w:tc>
          <w:tcPr>
            <w:tcW w:w="1751"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left="393" w:right="0"/>
              <w:jc w:val="left"/>
              <w:rPr>
                <w:rFonts w:ascii="Times New Roman" w:hAnsi="Times New Roman" w:cs="Times New Roman" w:eastAsia="Times New Roman" w:hint="default"/>
                <w:sz w:val="21"/>
                <w:szCs w:val="21"/>
              </w:rPr>
            </w:pPr>
            <w:r>
              <w:rPr>
                <w:rFonts w:ascii="Times New Roman"/>
                <w:sz w:val="21"/>
              </w:rPr>
              <w:t>546,892,512.85</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514,609,100.85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6.27%</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566,026,914.58</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11" w:right="55"/>
              <w:jc w:val="left"/>
              <w:rPr>
                <w:rFonts w:ascii="宋体" w:hAnsi="宋体" w:cs="宋体" w:eastAsia="宋体" w:hint="default"/>
                <w:sz w:val="21"/>
                <w:szCs w:val="21"/>
              </w:rPr>
            </w:pPr>
            <w:r>
              <w:rPr>
                <w:rFonts w:ascii="宋体" w:hAnsi="宋体" w:cs="宋体" w:eastAsia="宋体" w:hint="default"/>
                <w:sz w:val="21"/>
                <w:szCs w:val="21"/>
              </w:rPr>
              <w:t>归属于上市公司股东的净利 润（元）</w:t>
            </w:r>
          </w:p>
        </w:tc>
        <w:tc>
          <w:tcPr>
            <w:tcW w:w="1751"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322" w:right="0"/>
              <w:jc w:val="left"/>
              <w:rPr>
                <w:rFonts w:ascii="Times New Roman" w:hAnsi="Times New Roman" w:cs="Times New Roman" w:eastAsia="Times New Roman" w:hint="default"/>
                <w:sz w:val="21"/>
                <w:szCs w:val="21"/>
              </w:rPr>
            </w:pPr>
            <w:r>
              <w:rPr>
                <w:rFonts w:ascii="Times New Roman"/>
                <w:sz w:val="21"/>
              </w:rPr>
              <w:t>-151,742,824.19</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z w:val="21"/>
              </w:rPr>
              <w:t>85,070,143.95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-283.37%</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z w:val="21"/>
              </w:rPr>
              <w:t>74,923,796.86</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11" w:right="55"/>
              <w:jc w:val="left"/>
              <w:rPr>
                <w:rFonts w:ascii="宋体" w:hAnsi="宋体" w:cs="宋体" w:eastAsia="宋体" w:hint="default"/>
                <w:sz w:val="21"/>
                <w:szCs w:val="21"/>
              </w:rPr>
            </w:pPr>
            <w:r>
              <w:rPr>
                <w:rFonts w:ascii="宋体" w:hAnsi="宋体" w:cs="宋体" w:eastAsia="宋体" w:hint="default"/>
                <w:sz w:val="21"/>
                <w:szCs w:val="21"/>
              </w:rPr>
              <w:t>归属于上市公司股东的扣除 </w:t>
            </w:r>
            <w:r>
              <w:rPr>
                <w:rFonts w:ascii="宋体" w:hAnsi="宋体" w:cs="宋体" w:eastAsia="宋体" w:hint="default"/>
                <w:spacing w:val="-6"/>
                <w:sz w:val="21"/>
                <w:szCs w:val="21"/>
              </w:rPr>
              <w:t>非经常性损益的净利润（元</w:t>
            </w:r>
          </w:p>
        </w:tc>
        <w:tc>
          <w:tcPr>
            <w:tcW w:w="213"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left="-139" w:right="0"/>
              <w:jc w:val="left"/>
              <w:rPr>
                <w:rFonts w:ascii="宋体" w:hAnsi="宋体" w:cs="宋体" w:eastAsia="宋体" w:hint="default"/>
                <w:sz w:val="21"/>
                <w:szCs w:val="21"/>
              </w:rPr>
            </w:pPr>
            <w:r>
              <w:rPr>
                <w:rFonts w:ascii="宋体" w:hAnsi="宋体" w:cs="宋体" w:eastAsia="宋体" w:hint="default"/>
                <w:sz w:val="21"/>
                <w:szCs w:val="21"/>
              </w:rPr>
              <w:t>）</w:t>
            </w:r>
          </w:p>
        </w:tc>
        <w:tc>
          <w:tcPr>
            <w:tcW w:w="15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125" w:right="0"/>
              <w:jc w:val="left"/>
              <w:rPr>
                <w:rFonts w:ascii="Times New Roman" w:hAnsi="Times New Roman" w:cs="Times New Roman" w:eastAsia="Times New Roman" w:hint="default"/>
                <w:sz w:val="21"/>
                <w:szCs w:val="21"/>
              </w:rPr>
            </w:pPr>
            <w:r>
              <w:rPr>
                <w:rFonts w:ascii="Times New Roman"/>
                <w:sz w:val="21"/>
              </w:rPr>
              <w:t>-150,273,799.41</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z w:val="21"/>
              </w:rPr>
              <w:t>81,784,769.61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w w:val="95"/>
                <w:sz w:val="21"/>
              </w:rPr>
              <w:t>-283.74%</w:t>
            </w:r>
            <w:r>
              <w:rPr>
                <w:rFonts w:ascii="Times New Roman"/>
                <w:sz w:val="21"/>
              </w:rPr>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z w:val="21"/>
              </w:rPr>
              <w:t>72,324,525.20</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11" w:right="55"/>
              <w:jc w:val="left"/>
              <w:rPr>
                <w:rFonts w:ascii="宋体" w:hAnsi="宋体" w:cs="宋体" w:eastAsia="宋体" w:hint="default"/>
                <w:sz w:val="21"/>
                <w:szCs w:val="21"/>
              </w:rPr>
            </w:pPr>
            <w:r>
              <w:rPr>
                <w:rFonts w:ascii="宋体" w:hAnsi="宋体" w:cs="宋体" w:eastAsia="宋体" w:hint="default"/>
                <w:sz w:val="21"/>
                <w:szCs w:val="21"/>
              </w:rPr>
              <w:t>经营活动产生的现金流量净 额（元）</w:t>
            </w:r>
          </w:p>
        </w:tc>
        <w:tc>
          <w:tcPr>
            <w:tcW w:w="1751"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498" w:right="0"/>
              <w:jc w:val="left"/>
              <w:rPr>
                <w:rFonts w:ascii="Times New Roman" w:hAnsi="Times New Roman" w:cs="Times New Roman" w:eastAsia="Times New Roman" w:hint="default"/>
                <w:sz w:val="21"/>
                <w:szCs w:val="21"/>
              </w:rPr>
            </w:pPr>
            <w:r>
              <w:rPr>
                <w:rFonts w:ascii="Times New Roman"/>
                <w:sz w:val="21"/>
              </w:rPr>
              <w:t>59,718,910.31</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136,569,208.18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w w:val="95"/>
                <w:sz w:val="21"/>
              </w:rPr>
              <w:t>-56.27%</w:t>
            </w:r>
            <w:r>
              <w:rPr>
                <w:rFonts w:ascii="Times New Roman"/>
                <w:sz w:val="21"/>
              </w:rPr>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z w:val="21"/>
              </w:rPr>
              <w:t>94,728,291.03</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基本每股收益（元</w:t>
            </w:r>
            <w:r>
              <w:rPr>
                <w:rFonts w:ascii="Times New Roman" w:hAnsi="Times New Roman" w:cs="Times New Roman" w:eastAsia="Times New Roman" w:hint="default"/>
                <w:sz w:val="21"/>
                <w:szCs w:val="21"/>
              </w:rPr>
              <w:t>/</w:t>
            </w:r>
            <w:r>
              <w:rPr>
                <w:rFonts w:ascii="宋体" w:hAnsi="宋体" w:cs="宋体" w:eastAsia="宋体" w:hint="default"/>
                <w:sz w:val="21"/>
                <w:szCs w:val="21"/>
              </w:rPr>
              <w:t>股）</w:t>
            </w:r>
          </w:p>
        </w:tc>
        <w:tc>
          <w:tcPr>
            <w:tcW w:w="1751"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left="1058" w:right="0"/>
              <w:jc w:val="left"/>
              <w:rPr>
                <w:rFonts w:ascii="Times New Roman" w:hAnsi="Times New Roman" w:cs="Times New Roman" w:eastAsia="Times New Roman" w:hint="default"/>
                <w:sz w:val="21"/>
                <w:szCs w:val="21"/>
              </w:rPr>
            </w:pPr>
            <w:r>
              <w:rPr>
                <w:rFonts w:ascii="Times New Roman"/>
                <w:sz w:val="21"/>
              </w:rPr>
              <w:t>-0.4029</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z w:val="21"/>
              </w:rPr>
              <w:t>0.2259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w w:val="95"/>
                <w:sz w:val="21"/>
              </w:rPr>
              <w:t>-278.35%</w:t>
            </w:r>
            <w:r>
              <w:rPr>
                <w:rFonts w:ascii="Times New Roman"/>
                <w:sz w:val="21"/>
              </w:rPr>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z w:val="21"/>
              </w:rPr>
              <w:t>0.1989</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稀释每股收益（元</w:t>
            </w:r>
            <w:r>
              <w:rPr>
                <w:rFonts w:ascii="Times New Roman" w:hAnsi="Times New Roman" w:cs="Times New Roman" w:eastAsia="Times New Roman" w:hint="default"/>
                <w:sz w:val="21"/>
                <w:szCs w:val="21"/>
              </w:rPr>
              <w:t>/</w:t>
            </w:r>
            <w:r>
              <w:rPr>
                <w:rFonts w:ascii="宋体" w:hAnsi="宋体" w:cs="宋体" w:eastAsia="宋体" w:hint="default"/>
                <w:sz w:val="21"/>
                <w:szCs w:val="21"/>
              </w:rPr>
              <w:t>股）</w:t>
            </w:r>
          </w:p>
        </w:tc>
        <w:tc>
          <w:tcPr>
            <w:tcW w:w="1751"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left="1057" w:right="0"/>
              <w:jc w:val="left"/>
              <w:rPr>
                <w:rFonts w:ascii="Times New Roman" w:hAnsi="Times New Roman" w:cs="Times New Roman" w:eastAsia="Times New Roman" w:hint="default"/>
                <w:sz w:val="21"/>
                <w:szCs w:val="21"/>
              </w:rPr>
            </w:pPr>
            <w:r>
              <w:rPr>
                <w:rFonts w:ascii="Times New Roman"/>
                <w:sz w:val="21"/>
              </w:rPr>
              <w:t>-0.4029</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z w:val="21"/>
              </w:rPr>
              <w:t>0.2259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-278.35%</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z w:val="21"/>
              </w:rPr>
              <w:t>0.1989</w:t>
            </w:r>
          </w:p>
        </w:tc>
      </w:tr>
    </w:tbl>
    <w:p>
      <w:pPr>
        <w:spacing w:after="0" w:line="240" w:lineRule="auto"/>
        <w:jc w:val="right"/>
        <w:rPr>
          <w:rFonts w:ascii="Times New Roman" w:hAnsi="Times New Roman" w:cs="Times New Roman" w:eastAsia="Times New Roman" w:hint="default"/>
          <w:sz w:val="21"/>
          <w:szCs w:val="21"/>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621"/>
        <w:gridCol w:w="1739"/>
        <w:gridCol w:w="1736"/>
        <w:gridCol w:w="1738"/>
        <w:gridCol w:w="1735"/>
      </w:tblGrid>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加权平均净资产收益率</w:t>
            </w:r>
          </w:p>
        </w:tc>
        <w:tc>
          <w:tcPr>
            <w:tcW w:w="173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-10.36%</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5.72%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w w:val="95"/>
                <w:sz w:val="21"/>
              </w:rPr>
              <w:t>-16.08%</w:t>
            </w:r>
            <w:r>
              <w:rPr>
                <w:rFonts w:ascii="Times New Roman"/>
                <w:sz w:val="21"/>
              </w:rPr>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5.28%</w:t>
            </w:r>
          </w:p>
        </w:tc>
      </w:tr>
      <w:tr>
        <w:trPr>
          <w:trHeight w:val="161" w:hRule="exact"/>
        </w:trPr>
        <w:tc>
          <w:tcPr>
            <w:tcW w:w="2621" w:type="dxa"/>
            <w:tcBorders>
              <w:top w:val="single" w:sz="4" w:space="0" w:color="000000"/>
              <w:left w:val="single" w:sz="4" w:space="0" w:color="000000"/>
              <w:bottom w:val="nil" w:sz="6" w:space="0" w:color="auto"/>
              <w:right w:val="single" w:sz="4" w:space="0" w:color="000000"/>
            </w:tcBorders>
            <w:shd w:val="clear" w:color="auto" w:fill="D2D2D2"/>
          </w:tcPr>
          <w:p>
            <w:pPr/>
          </w:p>
        </w:tc>
        <w:tc>
          <w:tcPr>
            <w:tcW w:w="1739" w:type="dxa"/>
            <w:tcBorders>
              <w:top w:val="single" w:sz="4" w:space="0" w:color="000000"/>
              <w:left w:val="single" w:sz="4" w:space="0" w:color="000000"/>
              <w:bottom w:val="nil" w:sz="6" w:space="0" w:color="auto"/>
              <w:right w:val="single" w:sz="4" w:space="0" w:color="000000"/>
            </w:tcBorders>
            <w:shd w:val="clear" w:color="auto" w:fill="D2D2D2"/>
          </w:tcPr>
          <w:p>
            <w:pPr/>
          </w:p>
        </w:tc>
        <w:tc>
          <w:tcPr>
            <w:tcW w:w="1736" w:type="dxa"/>
            <w:tcBorders>
              <w:top w:val="single" w:sz="4" w:space="0" w:color="000000"/>
              <w:left w:val="single" w:sz="4" w:space="0" w:color="000000"/>
              <w:bottom w:val="nil" w:sz="6" w:space="0" w:color="auto"/>
              <w:right w:val="single" w:sz="4" w:space="0" w:color="000000"/>
            </w:tcBorders>
            <w:shd w:val="clear" w:color="auto" w:fill="D2D2D2"/>
          </w:tcPr>
          <w:p>
            <w:pPr/>
          </w:p>
        </w:tc>
        <w:tc>
          <w:tcPr>
            <w:tcW w:w="1738"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26"/>
              <w:ind w:left="758" w:right="23" w:hanging="736"/>
              <w:jc w:val="left"/>
              <w:rPr>
                <w:rFonts w:ascii="宋体" w:hAnsi="宋体" w:cs="宋体" w:eastAsia="宋体" w:hint="default"/>
                <w:sz w:val="21"/>
                <w:szCs w:val="21"/>
              </w:rPr>
            </w:pPr>
            <w:r>
              <w:rPr>
                <w:rFonts w:ascii="宋体" w:hAnsi="宋体" w:cs="宋体" w:eastAsia="宋体" w:hint="default"/>
                <w:sz w:val="21"/>
                <w:szCs w:val="21"/>
              </w:rPr>
              <w:t>本年末比上年末增 减</w:t>
            </w:r>
          </w:p>
        </w:tc>
        <w:tc>
          <w:tcPr>
            <w:tcW w:w="173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2621" w:type="dxa"/>
            <w:tcBorders>
              <w:top w:val="nil" w:sz="6" w:space="0" w:color="auto"/>
              <w:left w:val="single" w:sz="4" w:space="0" w:color="000000"/>
              <w:bottom w:val="nil" w:sz="6" w:space="0" w:color="auto"/>
              <w:right w:val="single" w:sz="4" w:space="0" w:color="000000"/>
            </w:tcBorders>
            <w:shd w:val="clear" w:color="auto" w:fill="D2D2D2"/>
          </w:tcPr>
          <w:p>
            <w:pPr/>
          </w:p>
        </w:tc>
        <w:tc>
          <w:tcPr>
            <w:tcW w:w="173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6"/>
              <w:ind w:left="41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年末</w:t>
            </w:r>
          </w:p>
        </w:tc>
        <w:tc>
          <w:tcPr>
            <w:tcW w:w="173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6"/>
              <w:ind w:left="41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年末</w:t>
            </w:r>
          </w:p>
        </w:tc>
        <w:tc>
          <w:tcPr>
            <w:tcW w:w="1738" w:type="dxa"/>
            <w:vMerge/>
            <w:tcBorders>
              <w:left w:val="single" w:sz="4" w:space="0" w:color="000000"/>
              <w:right w:val="single" w:sz="4" w:space="0" w:color="000000"/>
            </w:tcBorders>
            <w:shd w:val="clear" w:color="auto" w:fill="D2D2D2"/>
          </w:tcPr>
          <w:p>
            <w:pPr/>
          </w:p>
        </w:tc>
        <w:tc>
          <w:tcPr>
            <w:tcW w:w="173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6"/>
              <w:ind w:left="41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年末</w:t>
            </w:r>
          </w:p>
        </w:tc>
      </w:tr>
      <w:tr>
        <w:trPr>
          <w:trHeight w:val="161" w:hRule="exact"/>
        </w:trPr>
        <w:tc>
          <w:tcPr>
            <w:tcW w:w="2621" w:type="dxa"/>
            <w:tcBorders>
              <w:top w:val="nil" w:sz="6" w:space="0" w:color="auto"/>
              <w:left w:val="single" w:sz="4" w:space="0" w:color="000000"/>
              <w:bottom w:val="single" w:sz="4" w:space="0" w:color="000000"/>
              <w:right w:val="single" w:sz="4" w:space="0" w:color="000000"/>
            </w:tcBorders>
            <w:shd w:val="clear" w:color="auto" w:fill="D2D2D2"/>
          </w:tcPr>
          <w:p>
            <w:pPr/>
          </w:p>
        </w:tc>
        <w:tc>
          <w:tcPr>
            <w:tcW w:w="1739" w:type="dxa"/>
            <w:tcBorders>
              <w:top w:val="nil" w:sz="6" w:space="0" w:color="auto"/>
              <w:left w:val="single" w:sz="4" w:space="0" w:color="000000"/>
              <w:bottom w:val="single" w:sz="4" w:space="0" w:color="000000"/>
              <w:right w:val="single" w:sz="4" w:space="0" w:color="000000"/>
            </w:tcBorders>
            <w:shd w:val="clear" w:color="auto" w:fill="D2D2D2"/>
          </w:tcPr>
          <w:p>
            <w:pPr/>
          </w:p>
        </w:tc>
        <w:tc>
          <w:tcPr>
            <w:tcW w:w="1736" w:type="dxa"/>
            <w:tcBorders>
              <w:top w:val="nil" w:sz="6" w:space="0" w:color="auto"/>
              <w:left w:val="single" w:sz="4" w:space="0" w:color="000000"/>
              <w:bottom w:val="single" w:sz="4" w:space="0" w:color="000000"/>
              <w:right w:val="single" w:sz="4" w:space="0" w:color="000000"/>
            </w:tcBorders>
            <w:shd w:val="clear" w:color="auto" w:fill="D2D2D2"/>
          </w:tcPr>
          <w:p>
            <w:pPr/>
          </w:p>
        </w:tc>
        <w:tc>
          <w:tcPr>
            <w:tcW w:w="1738" w:type="dxa"/>
            <w:vMerge/>
            <w:tcBorders>
              <w:left w:val="single" w:sz="4" w:space="0" w:color="000000"/>
              <w:bottom w:val="single" w:sz="4" w:space="0" w:color="000000"/>
              <w:right w:val="single" w:sz="4" w:space="0" w:color="000000"/>
            </w:tcBorders>
            <w:shd w:val="clear" w:color="auto" w:fill="D2D2D2"/>
          </w:tcPr>
          <w:p>
            <w:pPr/>
          </w:p>
        </w:tc>
        <w:tc>
          <w:tcPr>
            <w:tcW w:w="173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总资产（元）</w:t>
            </w:r>
          </w:p>
        </w:tc>
        <w:tc>
          <w:tcPr>
            <w:tcW w:w="173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spacing w:val="-1"/>
                <w:sz w:val="21"/>
              </w:rPr>
              <w:t>2,248,890,482.18</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2,234,977,805.50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0.62%</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2,142,982,119.35</w:t>
            </w:r>
          </w:p>
        </w:tc>
      </w:tr>
      <w:tr>
        <w:trPr>
          <w:trHeight w:val="714"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22" w:right="66"/>
              <w:jc w:val="left"/>
              <w:rPr>
                <w:rFonts w:ascii="宋体" w:hAnsi="宋体" w:cs="宋体" w:eastAsia="宋体" w:hint="default"/>
                <w:sz w:val="21"/>
                <w:szCs w:val="21"/>
              </w:rPr>
            </w:pPr>
            <w:r>
              <w:rPr>
                <w:rFonts w:ascii="宋体" w:hAnsi="宋体" w:cs="宋体" w:eastAsia="宋体" w:hint="default"/>
                <w:sz w:val="21"/>
                <w:szCs w:val="21"/>
              </w:rPr>
              <w:t>归属于上市公司股东的净资 产（元）</w:t>
            </w:r>
          </w:p>
        </w:tc>
        <w:tc>
          <w:tcPr>
            <w:tcW w:w="173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1,387,768,462.35</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pacing w:val="-1"/>
                <w:sz w:val="21"/>
              </w:rPr>
              <w:t>1,542,269,197.82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w w:val="95"/>
                <w:sz w:val="21"/>
              </w:rPr>
              <w:t>-10.02%</w:t>
            </w:r>
            <w:r>
              <w:rPr>
                <w:rFonts w:ascii="Times New Roman"/>
                <w:sz w:val="21"/>
              </w:rPr>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pacing w:val="-1"/>
                <w:sz w:val="21"/>
              </w:rPr>
              <w:t>1,451,526,151.67</w:t>
            </w:r>
          </w:p>
        </w:tc>
      </w:tr>
    </w:tbl>
    <w:p>
      <w:pPr>
        <w:spacing w:line="240" w:lineRule="auto" w:before="12"/>
        <w:rPr>
          <w:rFonts w:ascii="宋体" w:hAnsi="宋体" w:cs="宋体" w:eastAsia="宋体" w:hint="default"/>
          <w:sz w:val="17"/>
          <w:szCs w:val="17"/>
        </w:rPr>
      </w:pPr>
    </w:p>
    <w:p>
      <w:pPr>
        <w:pStyle w:val="Heading2"/>
        <w:spacing w:line="240" w:lineRule="auto"/>
        <w:ind w:left="154" w:right="996"/>
        <w:jc w:val="left"/>
        <w:rPr>
          <w:b w:val="0"/>
          <w:bCs w:val="0"/>
        </w:rPr>
      </w:pPr>
      <w:bookmarkStart w:name="七、境内外会计准则下会计数据差异" w:id="13"/>
      <w:bookmarkEnd w:id="13"/>
      <w:r>
        <w:rPr>
          <w:b w:val="0"/>
          <w:bCs w:val="0"/>
        </w:rPr>
      </w:r>
      <w:r>
        <w:rPr/>
        <w:t>七、境内外会计准则下会计数据差异</w:t>
      </w:r>
      <w:r>
        <w:rPr>
          <w:b w:val="0"/>
          <w:bCs w:val="0"/>
        </w:rPr>
      </w:r>
    </w:p>
    <w:p>
      <w:pPr>
        <w:spacing w:line="240" w:lineRule="auto" w:before="4"/>
        <w:rPr>
          <w:rFonts w:ascii="宋体" w:hAnsi="宋体" w:cs="宋体" w:eastAsia="宋体" w:hint="default"/>
          <w:b/>
          <w:bCs/>
          <w:sz w:val="25"/>
          <w:szCs w:val="25"/>
        </w:rPr>
      </w:pPr>
    </w:p>
    <w:p>
      <w:pPr>
        <w:spacing w:before="0"/>
        <w:ind w:left="153" w:right="996" w:firstLine="0"/>
        <w:jc w:val="left"/>
        <w:rPr>
          <w:rFonts w:ascii="宋体" w:hAnsi="宋体" w:cs="宋体" w:eastAsia="宋体" w:hint="default"/>
          <w:sz w:val="20"/>
          <w:szCs w:val="20"/>
        </w:rPr>
      </w:pPr>
      <w:bookmarkStart w:name="1、同时按照国际会计准则与按照中国会计准则披露的财务报告中净利润和净资产差异情况" w:id="14"/>
      <w:bookmarkEnd w:id="14"/>
      <w:r>
        <w:rPr/>
      </w:r>
      <w:r>
        <w:rPr>
          <w:rFonts w:ascii="Times New Roman" w:hAnsi="Times New Roman" w:cs="Times New Roman" w:eastAsia="Times New Roman" w:hint="default"/>
          <w:b/>
          <w:bCs/>
          <w:sz w:val="20"/>
          <w:szCs w:val="20"/>
        </w:rPr>
        <w:t>1</w:t>
      </w:r>
      <w:r>
        <w:rPr>
          <w:rFonts w:ascii="宋体" w:hAnsi="宋体" w:cs="宋体" w:eastAsia="宋体" w:hint="default"/>
          <w:b/>
          <w:bCs/>
          <w:sz w:val="20"/>
          <w:szCs w:val="20"/>
        </w:rPr>
        <w:t>、同时按照国际会计准则与按照中国会计准则披露的财务报告中净利润和净资产差异情况</w:t>
      </w:r>
      <w:r>
        <w:rPr>
          <w:rFonts w:ascii="宋体" w:hAnsi="宋体" w:cs="宋体" w:eastAsia="宋体" w:hint="default"/>
          <w:sz w:val="20"/>
          <w:szCs w:val="20"/>
        </w:rPr>
      </w:r>
    </w:p>
    <w:p>
      <w:pPr>
        <w:spacing w:line="240" w:lineRule="auto" w:before="0"/>
        <w:rPr>
          <w:rFonts w:ascii="宋体" w:hAnsi="宋体" w:cs="宋体" w:eastAsia="宋体" w:hint="default"/>
          <w:b/>
          <w:bCs/>
          <w:sz w:val="20"/>
          <w:szCs w:val="20"/>
        </w:rPr>
      </w:pPr>
    </w:p>
    <w:p>
      <w:pPr>
        <w:pStyle w:val="BodyText"/>
        <w:spacing w:line="333" w:lineRule="auto" w:before="167"/>
        <w:ind w:left="634" w:right="115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60"/>
        </w:rPr>
        <w:t> </w:t>
      </w:r>
      <w:r>
        <w:rPr/>
        <w:t>不适用 公司报告期不存在按照国际会计准则与按照中国会计准则披露的财务报告中净利润和净</w:t>
      </w:r>
    </w:p>
    <w:p>
      <w:pPr>
        <w:pStyle w:val="BodyText"/>
        <w:spacing w:line="240" w:lineRule="auto" w:before="52"/>
        <w:ind w:left="154" w:right="996"/>
        <w:jc w:val="left"/>
      </w:pPr>
      <w:r>
        <w:rPr/>
        <w:t>资产差异情况。</w:t>
      </w:r>
    </w:p>
    <w:p>
      <w:pPr>
        <w:spacing w:line="240" w:lineRule="auto" w:before="12"/>
        <w:rPr>
          <w:rFonts w:ascii="宋体" w:hAnsi="宋体" w:cs="宋体" w:eastAsia="宋体" w:hint="default"/>
          <w:sz w:val="26"/>
          <w:szCs w:val="26"/>
        </w:rPr>
      </w:pPr>
    </w:p>
    <w:p>
      <w:pPr>
        <w:spacing w:before="0"/>
        <w:ind w:left="154" w:right="996" w:firstLine="0"/>
        <w:jc w:val="left"/>
        <w:rPr>
          <w:rFonts w:ascii="宋体" w:hAnsi="宋体" w:cs="宋体" w:eastAsia="宋体" w:hint="default"/>
          <w:sz w:val="20"/>
          <w:szCs w:val="20"/>
        </w:rPr>
      </w:pPr>
      <w:bookmarkStart w:name="2、同时按照境外会计准则与按照中国会计准则披露的财务报告中净利润和净资产差异情况" w:id="15"/>
      <w:bookmarkEnd w:id="15"/>
      <w:r>
        <w:rPr/>
      </w:r>
      <w:r>
        <w:rPr>
          <w:rFonts w:ascii="Times New Roman" w:hAnsi="Times New Roman" w:cs="Times New Roman" w:eastAsia="Times New Roman" w:hint="default"/>
          <w:b/>
          <w:bCs/>
          <w:sz w:val="20"/>
          <w:szCs w:val="20"/>
        </w:rPr>
        <w:t>2</w:t>
      </w:r>
      <w:r>
        <w:rPr>
          <w:rFonts w:ascii="宋体" w:hAnsi="宋体" w:cs="宋体" w:eastAsia="宋体" w:hint="default"/>
          <w:b/>
          <w:bCs/>
          <w:sz w:val="20"/>
          <w:szCs w:val="20"/>
        </w:rPr>
        <w:t>、同时按照境外会计准则与按照中国会计准则披露的财务报告中净利润和净资产差异情况</w:t>
      </w:r>
      <w:r>
        <w:rPr>
          <w:rFonts w:ascii="宋体" w:hAnsi="宋体" w:cs="宋体" w:eastAsia="宋体" w:hint="default"/>
          <w:sz w:val="20"/>
          <w:szCs w:val="20"/>
        </w:rPr>
      </w:r>
    </w:p>
    <w:p>
      <w:pPr>
        <w:spacing w:line="240" w:lineRule="auto" w:before="0"/>
        <w:rPr>
          <w:rFonts w:ascii="宋体" w:hAnsi="宋体" w:cs="宋体" w:eastAsia="宋体" w:hint="default"/>
          <w:b/>
          <w:bCs/>
          <w:sz w:val="20"/>
          <w:szCs w:val="20"/>
        </w:rPr>
      </w:pPr>
    </w:p>
    <w:p>
      <w:pPr>
        <w:pStyle w:val="BodyText"/>
        <w:spacing w:line="333" w:lineRule="auto" w:before="167"/>
        <w:ind w:left="634" w:right="115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60"/>
        </w:rPr>
        <w:t> </w:t>
      </w:r>
      <w:r>
        <w:rPr/>
        <w:t>不适用 公司报告期不存在按照境外会计准则与按照中国会计准则披露的财务报告中净利润和净</w:t>
      </w:r>
    </w:p>
    <w:p>
      <w:pPr>
        <w:spacing w:line="482" w:lineRule="auto" w:before="52"/>
        <w:ind w:left="154" w:right="8113" w:firstLine="0"/>
        <w:jc w:val="left"/>
        <w:rPr>
          <w:rFonts w:ascii="宋体" w:hAnsi="宋体" w:cs="宋体" w:eastAsia="宋体" w:hint="default"/>
          <w:sz w:val="24"/>
          <w:szCs w:val="24"/>
        </w:rPr>
      </w:pPr>
      <w:r>
        <w:rPr>
          <w:rFonts w:ascii="宋体" w:hAnsi="宋体" w:cs="宋体" w:eastAsia="宋体" w:hint="default"/>
          <w:sz w:val="24"/>
          <w:szCs w:val="24"/>
        </w:rPr>
        <w:t>资产差异情况。 </w:t>
      </w:r>
      <w:bookmarkStart w:name="八、分季度主要财务指标" w:id="16"/>
      <w:bookmarkEnd w:id="16"/>
      <w:r>
        <w:rPr>
          <w:rFonts w:ascii="宋体" w:hAnsi="宋体" w:cs="宋体" w:eastAsia="宋体" w:hint="default"/>
          <w:sz w:val="24"/>
          <w:szCs w:val="24"/>
        </w:rPr>
      </w:r>
      <w:r>
        <w:rPr>
          <w:rFonts w:ascii="宋体" w:hAnsi="宋体" w:cs="宋体" w:eastAsia="宋体" w:hint="default"/>
          <w:b/>
          <w:bCs/>
          <w:w w:val="95"/>
          <w:sz w:val="24"/>
          <w:szCs w:val="24"/>
        </w:rPr>
        <w:t>八、分季度主要财务指标</w:t>
      </w:r>
      <w:r>
        <w:rPr>
          <w:rFonts w:ascii="宋体" w:hAnsi="宋体" w:cs="宋体" w:eastAsia="宋体" w:hint="default"/>
          <w:sz w:val="24"/>
          <w:szCs w:val="24"/>
        </w:rPr>
      </w:r>
    </w:p>
    <w:p>
      <w:pPr>
        <w:spacing w:before="81"/>
        <w:ind w:left="0" w:right="1130" w:firstLine="0"/>
        <w:jc w:val="right"/>
        <w:rPr>
          <w:rFonts w:ascii="宋体" w:hAnsi="宋体" w:cs="宋体" w:eastAsia="宋体" w:hint="default"/>
          <w:sz w:val="21"/>
          <w:szCs w:val="21"/>
        </w:rPr>
      </w:pPr>
      <w:r>
        <w:rPr>
          <w:rFonts w:ascii="宋体" w:hAnsi="宋体" w:cs="宋体" w:eastAsia="宋体" w:hint="default"/>
          <w:sz w:val="21"/>
          <w:szCs w:val="21"/>
        </w:rPr>
        <w:t>单位：元</w:t>
      </w:r>
    </w:p>
    <w:p>
      <w:pPr>
        <w:spacing w:line="240" w:lineRule="auto" w:before="0"/>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598"/>
        <w:gridCol w:w="1752"/>
        <w:gridCol w:w="1739"/>
        <w:gridCol w:w="1740"/>
        <w:gridCol w:w="1729"/>
      </w:tblGrid>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55" w:right="0"/>
              <w:jc w:val="left"/>
              <w:rPr>
                <w:rFonts w:ascii="宋体" w:hAnsi="宋体" w:cs="宋体" w:eastAsia="宋体" w:hint="default"/>
                <w:sz w:val="21"/>
                <w:szCs w:val="21"/>
              </w:rPr>
            </w:pPr>
            <w:r>
              <w:rPr>
                <w:rFonts w:ascii="宋体" w:hAnsi="宋体" w:cs="宋体" w:eastAsia="宋体" w:hint="default"/>
                <w:sz w:val="21"/>
                <w:szCs w:val="21"/>
              </w:rPr>
              <w:t>第一季度</w:t>
            </w:r>
          </w:p>
        </w:tc>
        <w:tc>
          <w:tcPr>
            <w:tcW w:w="17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43" w:right="0"/>
              <w:jc w:val="left"/>
              <w:rPr>
                <w:rFonts w:ascii="宋体" w:hAnsi="宋体" w:cs="宋体" w:eastAsia="宋体" w:hint="default"/>
                <w:sz w:val="21"/>
                <w:szCs w:val="21"/>
              </w:rPr>
            </w:pPr>
            <w:r>
              <w:rPr>
                <w:rFonts w:ascii="宋体" w:hAnsi="宋体" w:cs="宋体" w:eastAsia="宋体" w:hint="default"/>
                <w:sz w:val="21"/>
                <w:szCs w:val="21"/>
              </w:rPr>
              <w:t>第二季度</w:t>
            </w:r>
          </w:p>
        </w:tc>
        <w:tc>
          <w:tcPr>
            <w:tcW w:w="1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45" w:right="0"/>
              <w:jc w:val="left"/>
              <w:rPr>
                <w:rFonts w:ascii="宋体" w:hAnsi="宋体" w:cs="宋体" w:eastAsia="宋体" w:hint="default"/>
                <w:sz w:val="21"/>
                <w:szCs w:val="21"/>
              </w:rPr>
            </w:pPr>
            <w:r>
              <w:rPr>
                <w:rFonts w:ascii="宋体" w:hAnsi="宋体" w:cs="宋体" w:eastAsia="宋体" w:hint="default"/>
                <w:sz w:val="21"/>
                <w:szCs w:val="21"/>
              </w:rPr>
              <w:t>第三季度</w:t>
            </w:r>
          </w:p>
        </w:tc>
        <w:tc>
          <w:tcPr>
            <w:tcW w:w="17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9" w:right="0"/>
              <w:jc w:val="left"/>
              <w:rPr>
                <w:rFonts w:ascii="宋体" w:hAnsi="宋体" w:cs="宋体" w:eastAsia="宋体" w:hint="default"/>
                <w:sz w:val="21"/>
                <w:szCs w:val="21"/>
              </w:rPr>
            </w:pPr>
            <w:r>
              <w:rPr>
                <w:rFonts w:ascii="宋体" w:hAnsi="宋体" w:cs="宋体" w:eastAsia="宋体" w:hint="default"/>
                <w:sz w:val="21"/>
                <w:szCs w:val="21"/>
              </w:rPr>
              <w:t>第四季度</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68,877,884.98</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147,129,710.74</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100,210,770.54</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230,674,146.59</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11" w:right="55"/>
              <w:jc w:val="left"/>
              <w:rPr>
                <w:rFonts w:ascii="宋体" w:hAnsi="宋体" w:cs="宋体" w:eastAsia="宋体" w:hint="default"/>
                <w:sz w:val="21"/>
                <w:szCs w:val="21"/>
              </w:rPr>
            </w:pPr>
            <w:r>
              <w:rPr>
                <w:rFonts w:ascii="宋体" w:hAnsi="宋体" w:cs="宋体" w:eastAsia="宋体" w:hint="default"/>
                <w:sz w:val="21"/>
                <w:szCs w:val="21"/>
              </w:rPr>
              <w:t>归属于上市公司股东的净利 润</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8,105,749.77</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16,862,731.57</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13,331,948.66</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pacing w:val="-1"/>
                <w:sz w:val="21"/>
              </w:rPr>
              <w:t>-190,043,254.19</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11" w:right="55"/>
              <w:jc w:val="left"/>
              <w:rPr>
                <w:rFonts w:ascii="宋体" w:hAnsi="宋体" w:cs="宋体" w:eastAsia="宋体" w:hint="default"/>
                <w:sz w:val="21"/>
                <w:szCs w:val="21"/>
              </w:rPr>
            </w:pPr>
            <w:r>
              <w:rPr>
                <w:rFonts w:ascii="宋体" w:hAnsi="宋体" w:cs="宋体" w:eastAsia="宋体" w:hint="default"/>
                <w:sz w:val="21"/>
                <w:szCs w:val="21"/>
              </w:rPr>
              <w:t>归属于上市公司股东的扣除 非经常性损益的净利润</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7,567,682.63</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15,784,795.73</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11,687,425.70</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pacing w:val="-1"/>
                <w:sz w:val="21"/>
              </w:rPr>
              <w:t>-185,313,703.46</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11" w:right="55"/>
              <w:jc w:val="left"/>
              <w:rPr>
                <w:rFonts w:ascii="宋体" w:hAnsi="宋体" w:cs="宋体" w:eastAsia="宋体" w:hint="default"/>
                <w:sz w:val="21"/>
                <w:szCs w:val="21"/>
              </w:rPr>
            </w:pPr>
            <w:r>
              <w:rPr>
                <w:rFonts w:ascii="宋体" w:hAnsi="宋体" w:cs="宋体" w:eastAsia="宋体" w:hint="default"/>
                <w:sz w:val="21"/>
                <w:szCs w:val="21"/>
              </w:rPr>
              <w:t>经营活动产生的现金流量净 额</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-28,757,514.07</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-6,942,004.22</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9,080,426.94</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z w:val="21"/>
              </w:rPr>
              <w:t>86,338,001.66</w:t>
            </w:r>
          </w:p>
        </w:tc>
      </w:tr>
    </w:tbl>
    <w:p>
      <w:pPr>
        <w:spacing w:line="240" w:lineRule="auto" w:before="10"/>
        <w:rPr>
          <w:rFonts w:ascii="宋体" w:hAnsi="宋体" w:cs="宋体" w:eastAsia="宋体" w:hint="default"/>
          <w:sz w:val="4"/>
          <w:szCs w:val="4"/>
        </w:rPr>
      </w:pPr>
    </w:p>
    <w:p>
      <w:pPr>
        <w:pStyle w:val="BodyText"/>
        <w:spacing w:line="350" w:lineRule="auto" w:before="26"/>
        <w:ind w:left="154" w:right="1152" w:firstLine="480"/>
        <w:jc w:val="left"/>
      </w:pPr>
      <w:r>
        <w:rPr/>
        <w:t>上述财务指标或其加总数是否与公司已披露季度报告、半年度报告相关财务指标存在重 大差异</w:t>
      </w:r>
    </w:p>
    <w:p>
      <w:pPr>
        <w:pStyle w:val="BodyText"/>
        <w:spacing w:line="240" w:lineRule="auto"/>
        <w:ind w:left="634" w:right="996"/>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w:t>
      </w:r>
    </w:p>
    <w:p>
      <w:pPr>
        <w:spacing w:after="0" w:line="240" w:lineRule="auto"/>
        <w:jc w:val="left"/>
        <w:sectPr>
          <w:pgSz w:w="11910" w:h="16840"/>
          <w:pgMar w:header="747" w:footer="979" w:top="1060" w:bottom="1160" w:left="980" w:right="0"/>
        </w:sectPr>
      </w:pPr>
    </w:p>
    <w:p>
      <w:pPr>
        <w:spacing w:line="240" w:lineRule="auto" w:before="7"/>
        <w:rPr>
          <w:rFonts w:ascii="宋体" w:hAnsi="宋体" w:cs="宋体" w:eastAsia="宋体" w:hint="default"/>
          <w:sz w:val="23"/>
          <w:szCs w:val="23"/>
        </w:rPr>
      </w:pPr>
    </w:p>
    <w:p>
      <w:pPr>
        <w:pStyle w:val="Heading2"/>
        <w:spacing w:line="240" w:lineRule="auto"/>
        <w:ind w:left="153" w:right="996"/>
        <w:jc w:val="left"/>
        <w:rPr>
          <w:b w:val="0"/>
          <w:bCs w:val="0"/>
        </w:rPr>
      </w:pPr>
      <w:bookmarkStart w:name="九、非经常性损益项目及金额" w:id="17"/>
      <w:bookmarkEnd w:id="17"/>
      <w:r>
        <w:rPr>
          <w:b w:val="0"/>
          <w:bCs w:val="0"/>
        </w:rPr>
      </w:r>
      <w:r>
        <w:rPr/>
        <w:t>九、非经常性损益项目及金额</w:t>
      </w:r>
      <w:r>
        <w:rPr>
          <w:b w:val="0"/>
          <w:bCs w:val="0"/>
        </w:rPr>
      </w:r>
    </w:p>
    <w:p>
      <w:pPr>
        <w:spacing w:line="240" w:lineRule="auto" w:before="0"/>
        <w:rPr>
          <w:rFonts w:ascii="宋体" w:hAnsi="宋体" w:cs="宋体" w:eastAsia="宋体" w:hint="default"/>
          <w:b/>
          <w:bCs/>
          <w:sz w:val="22"/>
          <w:szCs w:val="22"/>
        </w:rPr>
      </w:pPr>
    </w:p>
    <w:p>
      <w:pPr>
        <w:spacing w:before="35"/>
        <w:ind w:left="0" w:right="1130" w:firstLine="0"/>
        <w:jc w:val="right"/>
        <w:rPr>
          <w:rFonts w:ascii="宋体" w:hAnsi="宋体" w:cs="宋体" w:eastAsia="宋体" w:hint="default"/>
          <w:sz w:val="21"/>
          <w:szCs w:val="21"/>
        </w:rPr>
      </w:pPr>
      <w:r>
        <w:rPr>
          <w:rFonts w:ascii="宋体" w:hAnsi="宋体" w:cs="宋体" w:eastAsia="宋体" w:hint="default"/>
          <w:sz w:val="21"/>
          <w:szCs w:val="21"/>
        </w:rPr>
        <w:t>单位：元</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3273"/>
        <w:gridCol w:w="1532"/>
        <w:gridCol w:w="1520"/>
        <w:gridCol w:w="1522"/>
        <w:gridCol w:w="1710"/>
      </w:tblGrid>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21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年金额</w:t>
            </w:r>
          </w:p>
        </w:tc>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2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2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年金额</w:t>
            </w:r>
          </w:p>
        </w:tc>
        <w:tc>
          <w:tcPr>
            <w:tcW w:w="1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1" w:right="0"/>
              <w:jc w:val="center"/>
              <w:rPr>
                <w:rFonts w:ascii="宋体" w:hAnsi="宋体" w:cs="宋体" w:eastAsia="宋体" w:hint="default"/>
                <w:sz w:val="21"/>
                <w:szCs w:val="21"/>
              </w:rPr>
            </w:pPr>
            <w:r>
              <w:rPr>
                <w:rFonts w:ascii="宋体" w:hAnsi="宋体" w:cs="宋体" w:eastAsia="宋体" w:hint="default"/>
                <w:sz w:val="21"/>
                <w:szCs w:val="21"/>
              </w:rPr>
              <w:t>说明</w:t>
            </w:r>
          </w:p>
        </w:tc>
      </w:tr>
      <w:tr>
        <w:trPr>
          <w:trHeight w:val="714"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7"/>
              <w:ind w:left="11" w:right="100"/>
              <w:jc w:val="left"/>
              <w:rPr>
                <w:rFonts w:ascii="宋体" w:hAnsi="宋体" w:cs="宋体" w:eastAsia="宋体" w:hint="default"/>
                <w:sz w:val="21"/>
                <w:szCs w:val="21"/>
              </w:rPr>
            </w:pPr>
            <w:r>
              <w:rPr>
                <w:rFonts w:ascii="宋体" w:hAnsi="宋体" w:cs="宋体" w:eastAsia="宋体" w:hint="default"/>
                <w:sz w:val="21"/>
                <w:szCs w:val="21"/>
              </w:rPr>
              <w:t>非流动资产处置损益（包括已计提 资产减值准备的冲销部分）</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w w:val="95"/>
                <w:sz w:val="21"/>
              </w:rPr>
              <w:t>-12,381.05</w:t>
            </w:r>
            <w:r>
              <w:rPr>
                <w:rFonts w:ascii="Times New Roman"/>
                <w:sz w:val="21"/>
              </w:rPr>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z w:val="21"/>
              </w:rPr>
              <w:t>24,856.79</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pacing w:val="-1"/>
                <w:sz w:val="21"/>
              </w:rPr>
              <w:t>-5,193.93</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7"/>
              <w:ind w:left="11" w:right="100"/>
              <w:jc w:val="both"/>
              <w:rPr>
                <w:rFonts w:ascii="宋体" w:hAnsi="宋体" w:cs="宋体" w:eastAsia="宋体" w:hint="default"/>
                <w:sz w:val="21"/>
                <w:szCs w:val="21"/>
              </w:rPr>
            </w:pPr>
            <w:r>
              <w:rPr>
                <w:rFonts w:ascii="宋体" w:hAnsi="宋体" w:cs="宋体" w:eastAsia="宋体" w:hint="default"/>
                <w:sz w:val="21"/>
                <w:szCs w:val="21"/>
              </w:rPr>
              <w:t>计入当期损益的政府补助（与企业 业务密切相关，按照国家统一标准 定额或定量享受的政府补助除外）</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9"/>
                <w:szCs w:val="29"/>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4,047,876.18</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9"/>
                <w:szCs w:val="29"/>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3,766,150.00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9"/>
                <w:szCs w:val="29"/>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2,772,891.00</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11" w:right="0"/>
              <w:jc w:val="left"/>
              <w:rPr>
                <w:rFonts w:ascii="宋体" w:hAnsi="宋体" w:cs="宋体" w:eastAsia="宋体" w:hint="default"/>
                <w:sz w:val="21"/>
                <w:szCs w:val="21"/>
              </w:rPr>
            </w:pPr>
            <w:r>
              <w:rPr>
                <w:rFonts w:ascii="宋体" w:hAnsi="宋体" w:cs="宋体" w:eastAsia="宋体" w:hint="default"/>
                <w:sz w:val="21"/>
                <w:szCs w:val="21"/>
              </w:rPr>
              <w:t>委托他人投资或管理资产的损益</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pacing w:val="-1"/>
                <w:sz w:val="21"/>
              </w:rPr>
              <w:t>195,569.93</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pacing w:val="-1"/>
                <w:sz w:val="21"/>
              </w:rPr>
              <w:t>8,712.28</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pacing w:val="-1"/>
                <w:sz w:val="21"/>
              </w:rPr>
              <w:t>236,055.39</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7"/>
              <w:ind w:left="11" w:right="100"/>
              <w:jc w:val="left"/>
              <w:rPr>
                <w:rFonts w:ascii="宋体" w:hAnsi="宋体" w:cs="宋体" w:eastAsia="宋体" w:hint="default"/>
                <w:sz w:val="21"/>
                <w:szCs w:val="21"/>
              </w:rPr>
            </w:pPr>
            <w:r>
              <w:rPr>
                <w:rFonts w:ascii="宋体" w:hAnsi="宋体" w:cs="宋体" w:eastAsia="宋体" w:hint="default"/>
                <w:sz w:val="21"/>
                <w:szCs w:val="21"/>
              </w:rPr>
              <w:t>除上述各项之外的其他营业外收入 和支出</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pacing w:val="-1"/>
                <w:sz w:val="21"/>
              </w:rPr>
              <w:t>-5,291,844.94</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z w:val="21"/>
              </w:rPr>
              <w:t>71,920.80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z w:val="21"/>
              </w:rPr>
              <w:t>77,799.59</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11" w:right="0"/>
              <w:jc w:val="left"/>
              <w:rPr>
                <w:rFonts w:ascii="宋体" w:hAnsi="宋体" w:cs="宋体" w:eastAsia="宋体" w:hint="default"/>
                <w:sz w:val="21"/>
                <w:szCs w:val="21"/>
              </w:rPr>
            </w:pPr>
            <w:r>
              <w:rPr>
                <w:rFonts w:ascii="宋体" w:hAnsi="宋体" w:cs="宋体" w:eastAsia="宋体" w:hint="default"/>
                <w:sz w:val="21"/>
                <w:szCs w:val="21"/>
              </w:rPr>
              <w:t>减：所得税影响额</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w w:val="95"/>
                <w:sz w:val="21"/>
              </w:rPr>
              <w:t>-106,790.73</w:t>
            </w:r>
            <w:r>
              <w:rPr>
                <w:rFonts w:ascii="Times New Roman"/>
                <w:sz w:val="21"/>
              </w:rPr>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pacing w:val="-1"/>
                <w:sz w:val="21"/>
              </w:rPr>
              <w:t>586,265.53</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pacing w:val="-1"/>
                <w:sz w:val="21"/>
              </w:rPr>
              <w:t>482,280.39</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431" w:right="0"/>
              <w:jc w:val="left"/>
              <w:rPr>
                <w:rFonts w:ascii="宋体" w:hAnsi="宋体" w:cs="宋体" w:eastAsia="宋体" w:hint="default"/>
                <w:sz w:val="21"/>
                <w:szCs w:val="21"/>
              </w:rPr>
            </w:pPr>
            <w:r>
              <w:rPr>
                <w:rFonts w:ascii="宋体" w:hAnsi="宋体" w:cs="宋体" w:eastAsia="宋体" w:hint="default"/>
                <w:sz w:val="21"/>
                <w:szCs w:val="21"/>
              </w:rPr>
              <w:t>少数股东权益影响额（税后）</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pacing w:val="-1"/>
                <w:sz w:val="21"/>
              </w:rPr>
              <w:t>515,035.63</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11"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pacing w:val="-1"/>
                <w:sz w:val="21"/>
              </w:rPr>
              <w:t>-1,469,024.78</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pacing w:val="-1"/>
                <w:sz w:val="21"/>
              </w:rPr>
              <w:t>3,285,374.34</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pacing w:val="-1"/>
                <w:sz w:val="21"/>
              </w:rPr>
              <w:t>2,599,271.66</w:t>
            </w:r>
          </w:p>
        </w:tc>
        <w:tc>
          <w:tcPr>
            <w:tcW w:w="1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6"/>
              <w:ind w:right="1"/>
              <w:jc w:val="center"/>
              <w:rPr>
                <w:rFonts w:ascii="Times New Roman" w:hAnsi="Times New Roman" w:cs="Times New Roman" w:eastAsia="Times New Roman" w:hint="default"/>
                <w:sz w:val="21"/>
                <w:szCs w:val="21"/>
              </w:rPr>
            </w:pPr>
            <w:r>
              <w:rPr>
                <w:rFonts w:ascii="Times New Roman"/>
                <w:sz w:val="21"/>
              </w:rPr>
              <w:t>--</w:t>
            </w:r>
          </w:p>
        </w:tc>
      </w:tr>
    </w:tbl>
    <w:p>
      <w:pPr>
        <w:spacing w:line="240" w:lineRule="auto" w:before="10"/>
        <w:rPr>
          <w:rFonts w:ascii="宋体" w:hAnsi="宋体" w:cs="宋体" w:eastAsia="宋体" w:hint="default"/>
          <w:sz w:val="4"/>
          <w:szCs w:val="4"/>
        </w:rPr>
      </w:pPr>
    </w:p>
    <w:p>
      <w:pPr>
        <w:pStyle w:val="BodyText"/>
        <w:spacing w:line="240" w:lineRule="auto" w:before="26"/>
        <w:ind w:left="634" w:right="996"/>
        <w:jc w:val="left"/>
      </w:pPr>
      <w:r>
        <w:rPr/>
        <w:t>对公司根据《公开发行证券的公司信息披露解释性公告第</w:t>
      </w:r>
      <w:r>
        <w:rPr>
          <w:spacing w:val="-60"/>
        </w:rPr>
        <w:t> </w:t>
      </w:r>
      <w:r>
        <w:rPr>
          <w:rFonts w:ascii="Times New Roman" w:hAnsi="Times New Roman" w:cs="Times New Roman" w:eastAsia="Times New Roman" w:hint="default"/>
        </w:rPr>
        <w:t>1 </w:t>
      </w:r>
      <w:r>
        <w:rPr/>
        <w:t>号</w:t>
      </w:r>
      <w:r>
        <w:rPr>
          <w:rFonts w:ascii="Times New Roman" w:hAnsi="Times New Roman" w:cs="Times New Roman" w:eastAsia="Times New Roman" w:hint="default"/>
        </w:rPr>
        <w:t>——</w:t>
      </w:r>
      <w:r>
        <w:rPr/>
        <w:t>非经常性损益》定义</w:t>
      </w:r>
    </w:p>
    <w:p>
      <w:pPr>
        <w:pStyle w:val="BodyText"/>
        <w:spacing w:line="331" w:lineRule="auto" w:before="127"/>
        <w:ind w:right="1152"/>
        <w:jc w:val="left"/>
      </w:pPr>
      <w:r>
        <w:rPr/>
        <w:t>界定的非经常性损益项目，以及把《公开发行证券的公司信息披露解释性公告第</w:t>
      </w:r>
      <w:r>
        <w:rPr>
          <w:spacing w:val="-59"/>
        </w:rPr>
        <w:t> </w:t>
      </w:r>
      <w:r>
        <w:rPr>
          <w:rFonts w:ascii="Times New Roman" w:hAnsi="Times New Roman" w:cs="Times New Roman" w:eastAsia="Times New Roman" w:hint="default"/>
        </w:rPr>
        <w:t>1 </w:t>
      </w:r>
      <w:r>
        <w:rPr/>
        <w:t>号</w:t>
      </w:r>
      <w:r>
        <w:rPr>
          <w:rFonts w:ascii="Times New Roman" w:hAnsi="Times New Roman" w:cs="Times New Roman" w:eastAsia="Times New Roman" w:hint="default"/>
        </w:rPr>
        <w:t>——</w:t>
      </w:r>
      <w:r>
        <w:rPr/>
        <w:t>非 经常性损益》中列举的非经常性损益项目界定为经常性损益的项目，应说明原因。</w:t>
      </w:r>
    </w:p>
    <w:p>
      <w:pPr>
        <w:pStyle w:val="BodyText"/>
        <w:spacing w:line="331" w:lineRule="auto" w:before="56"/>
        <w:ind w:left="634" w:right="115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60"/>
        </w:rPr>
        <w:t> </w:t>
      </w:r>
      <w:r>
        <w:rPr/>
        <w:t>不适用 公司报告期不存在将根据《公开发行证券的公司信息披露解释性公告第</w:t>
      </w:r>
      <w:r>
        <w:rPr>
          <w:spacing w:val="-60"/>
        </w:rPr>
        <w:t> </w:t>
      </w:r>
      <w:r>
        <w:rPr>
          <w:rFonts w:ascii="Times New Roman" w:hAnsi="Times New Roman" w:cs="Times New Roman" w:eastAsia="Times New Roman" w:hint="default"/>
        </w:rPr>
        <w:t>1 </w:t>
      </w:r>
      <w:r>
        <w:rPr/>
        <w:t>号</w:t>
      </w:r>
      <w:r>
        <w:rPr>
          <w:rFonts w:ascii="Times New Roman" w:hAnsi="Times New Roman" w:cs="Times New Roman" w:eastAsia="Times New Roman" w:hint="default"/>
        </w:rPr>
        <w:t>——</w:t>
      </w:r>
      <w:r>
        <w:rPr/>
        <w:t>非经常</w:t>
      </w:r>
    </w:p>
    <w:p>
      <w:pPr>
        <w:pStyle w:val="BodyText"/>
        <w:spacing w:line="240" w:lineRule="auto" w:before="26"/>
        <w:ind w:right="996"/>
        <w:jc w:val="left"/>
      </w:pPr>
      <w:r>
        <w:rPr/>
        <w:t>性损益》定义、列举的非经常性损益项目界定为经常性损益的项目的情形。</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3"/>
          <w:szCs w:val="23"/>
        </w:rPr>
      </w:pPr>
    </w:p>
    <w:p>
      <w:pPr>
        <w:pStyle w:val="Heading1"/>
        <w:spacing w:line="240" w:lineRule="auto"/>
        <w:ind w:right="993"/>
        <w:jc w:val="center"/>
        <w:rPr>
          <w:b w:val="0"/>
          <w:bCs w:val="0"/>
        </w:rPr>
      </w:pPr>
      <w:bookmarkStart w:name="第三节 公司业务概要" w:id="18"/>
      <w:bookmarkEnd w:id="18"/>
      <w:r>
        <w:rPr>
          <w:b w:val="0"/>
          <w:bCs w:val="0"/>
        </w:rPr>
      </w:r>
      <w:bookmarkStart w:name="_bookmark3" w:id="19"/>
      <w:bookmarkEnd w:id="19"/>
      <w:r>
        <w:rPr>
          <w:b w:val="0"/>
          <w:bCs w:val="0"/>
        </w:rPr>
      </w:r>
      <w:r>
        <w:rPr/>
        <w:t>第三节</w:t>
      </w:r>
      <w:r>
        <w:rPr>
          <w:spacing w:val="-7"/>
        </w:rPr>
        <w:t> </w:t>
      </w:r>
      <w:r>
        <w:rPr/>
        <w:t>公司业务概要</w:t>
      </w:r>
      <w:r>
        <w:rPr>
          <w:b w:val="0"/>
          <w:bCs w:val="0"/>
        </w:rPr>
      </w:r>
    </w:p>
    <w:p>
      <w:pPr>
        <w:spacing w:line="240" w:lineRule="auto" w:before="8"/>
        <w:rPr>
          <w:rFonts w:ascii="宋体" w:hAnsi="宋体" w:cs="宋体" w:eastAsia="宋体" w:hint="default"/>
          <w:b/>
          <w:bCs/>
          <w:sz w:val="38"/>
          <w:szCs w:val="38"/>
        </w:rPr>
      </w:pPr>
    </w:p>
    <w:p>
      <w:pPr>
        <w:pStyle w:val="Heading2"/>
        <w:spacing w:line="240" w:lineRule="auto" w:before="0"/>
        <w:ind w:left="153" w:right="996"/>
        <w:jc w:val="left"/>
        <w:rPr>
          <w:b w:val="0"/>
          <w:bCs w:val="0"/>
        </w:rPr>
      </w:pPr>
      <w:bookmarkStart w:name="一、报告期内公司从事的主要业务" w:id="20"/>
      <w:bookmarkEnd w:id="20"/>
      <w:r>
        <w:rPr>
          <w:b w:val="0"/>
          <w:bCs w:val="0"/>
        </w:rPr>
      </w:r>
      <w:r>
        <w:rPr/>
        <w:t>一、报告期内公司从事的主要业务</w:t>
      </w:r>
      <w:r>
        <w:rPr>
          <w:b w:val="0"/>
          <w:bCs w:val="0"/>
        </w:rPr>
      </w:r>
    </w:p>
    <w:p>
      <w:pPr>
        <w:spacing w:line="240" w:lineRule="auto" w:before="6"/>
        <w:rPr>
          <w:rFonts w:ascii="宋体" w:hAnsi="宋体" w:cs="宋体" w:eastAsia="宋体" w:hint="default"/>
          <w:b/>
          <w:bCs/>
          <w:sz w:val="32"/>
          <w:szCs w:val="32"/>
        </w:rPr>
      </w:pPr>
    </w:p>
    <w:p>
      <w:pPr>
        <w:pStyle w:val="BodyText"/>
        <w:spacing w:line="352" w:lineRule="auto" w:before="0"/>
        <w:ind w:left="634" w:right="6192"/>
        <w:jc w:val="left"/>
      </w:pPr>
      <w:r>
        <w:rPr/>
        <w:t>公司是否需要遵守特殊行业的披露要求 否</w:t>
      </w:r>
    </w:p>
    <w:p>
      <w:pPr>
        <w:pStyle w:val="Heading2"/>
        <w:spacing w:line="350" w:lineRule="auto" w:before="32"/>
        <w:ind w:right="6192"/>
        <w:jc w:val="left"/>
        <w:rPr>
          <w:b w:val="0"/>
          <w:bCs w:val="0"/>
        </w:rPr>
      </w:pPr>
      <w:r>
        <w:rPr>
          <w:w w:val="95"/>
        </w:rPr>
        <w:t>（一）公司主营业务及经营模式</w:t>
      </w:r>
      <w:r>
        <w:rPr>
          <w:spacing w:val="40"/>
          <w:w w:val="95"/>
        </w:rPr>
        <w:t> </w:t>
      </w:r>
      <w:r>
        <w:rPr>
          <w:rFonts w:ascii="宋体" w:hAnsi="宋体" w:cs="宋体" w:eastAsia="宋体" w:hint="default"/>
        </w:rPr>
        <w:t>1</w:t>
      </w:r>
      <w:r>
        <w:rPr/>
        <w:t>、公司主营业务</w:t>
      </w:r>
      <w:r>
        <w:rPr>
          <w:b w:val="0"/>
          <w:bCs w:val="0"/>
        </w:rPr>
      </w:r>
    </w:p>
    <w:p>
      <w:pPr>
        <w:pStyle w:val="BodyText"/>
        <w:spacing w:line="350" w:lineRule="auto"/>
        <w:ind w:right="1139" w:firstLine="480"/>
        <w:jc w:val="both"/>
      </w:pPr>
      <w:r>
        <w:rPr/>
        <w:t>公司以服务轨道交通为己任，专注于轨道交通测控技术的研发推广，是国内领先的轨道 交通行业成套解决方案提供商，主营业务为轨道交通各类高端装备的研发、生产、销售、安 装和维护等，主要面向国家铁路和城市轨道交通两个市场。</w:t>
      </w:r>
    </w:p>
    <w:p>
      <w:pPr>
        <w:pStyle w:val="BodyText"/>
        <w:spacing w:line="350" w:lineRule="auto"/>
        <w:ind w:right="1010" w:firstLine="480"/>
        <w:jc w:val="both"/>
      </w:pPr>
      <w:r>
        <w:rPr/>
        <w:t>公司主要产品分为设备监控产品线、运营管理产品线、信号基础设备产品线和信息化产 品线四大系列。监控产品线是对铁路运营设备在运用过程中的状态进行监测和管理，提高设 备的运用质量，降低维护人员的工作强度，降低设备的维护成本，主要产品包括信号集中监 </w:t>
      </w:r>
      <w:r>
        <w:rPr>
          <w:spacing w:val="-3"/>
        </w:rPr>
        <w:t>测系统（</w:t>
      </w:r>
      <w:r>
        <w:rPr>
          <w:rFonts w:ascii="宋体" w:hAnsi="宋体" w:cs="宋体" w:eastAsia="宋体" w:hint="default"/>
          <w:spacing w:val="-3"/>
        </w:rPr>
        <w:t>CSM</w:t>
      </w:r>
      <w:r>
        <w:rPr>
          <w:spacing w:val="-3"/>
        </w:rPr>
        <w:t>）、铁路防灾安全监控系统、电加热道岔融雪系统设备、动力及机房环境监控系</w:t>
      </w:r>
      <w:r>
        <w:rPr>
          <w:spacing w:val="-79"/>
        </w:rPr>
        <w:t> </w:t>
      </w:r>
      <w:r>
        <w:rPr>
          <w:spacing w:val="-79"/>
        </w:rPr>
      </w:r>
      <w:r>
        <w:rPr/>
        <w:t>统、城市轨道交通综合监控系统（</w:t>
      </w:r>
      <w:r>
        <w:rPr>
          <w:rFonts w:ascii="宋体" w:hAnsi="宋体" w:cs="宋体" w:eastAsia="宋体" w:hint="default"/>
        </w:rPr>
        <w:t>ISCS</w:t>
      </w:r>
      <w:r>
        <w:rPr/>
        <w:t>）、环境与设备监控系统（</w:t>
      </w:r>
      <w:r>
        <w:rPr>
          <w:rFonts w:ascii="宋体" w:hAnsi="宋体" w:cs="宋体" w:eastAsia="宋体" w:hint="default"/>
        </w:rPr>
        <w:t>BAS</w:t>
      </w:r>
      <w:r>
        <w:rPr/>
        <w:t>）和城市轨道交通信号 维护支持系统（</w:t>
      </w:r>
      <w:r>
        <w:rPr>
          <w:rFonts w:ascii="宋体" w:hAnsi="宋体" w:cs="宋体" w:eastAsia="宋体" w:hint="default"/>
        </w:rPr>
        <w:t>MSS</w:t>
      </w:r>
      <w:r>
        <w:rPr/>
        <w:t>）；运营管理产品线是为铁路运营管理提供增效服务，提高运营管理的效 率，主要产品包括分散自律调度集中系统（</w:t>
      </w:r>
      <w:r>
        <w:rPr>
          <w:rFonts w:ascii="宋体" w:hAnsi="宋体" w:cs="宋体" w:eastAsia="宋体" w:hint="default"/>
        </w:rPr>
        <w:t>CTC</w:t>
      </w:r>
      <w:r>
        <w:rPr/>
        <w:t>）、列车调度指挥系统（</w:t>
      </w:r>
      <w:r>
        <w:rPr>
          <w:rFonts w:ascii="宋体" w:hAnsi="宋体" w:cs="宋体" w:eastAsia="宋体" w:hint="default"/>
        </w:rPr>
        <w:t>TDCS</w:t>
      </w:r>
      <w:r>
        <w:rPr/>
        <w:t>）、无线调车机 </w:t>
      </w:r>
      <w:r>
        <w:rPr>
          <w:spacing w:val="-11"/>
        </w:rPr>
        <w:t>车信号和监控系统（</w:t>
      </w:r>
      <w:r>
        <w:rPr>
          <w:rFonts w:ascii="宋体" w:hAnsi="宋体" w:cs="宋体" w:eastAsia="宋体" w:hint="default"/>
          <w:spacing w:val="-11"/>
        </w:rPr>
        <w:t>STP</w:t>
      </w:r>
      <w:r>
        <w:rPr>
          <w:spacing w:val="-11"/>
        </w:rPr>
        <w:t>）、列车自动监控系统（</w:t>
      </w:r>
      <w:r>
        <w:rPr>
          <w:rFonts w:ascii="宋体" w:hAnsi="宋体" w:cs="宋体" w:eastAsia="宋体" w:hint="default"/>
          <w:spacing w:val="-11"/>
        </w:rPr>
        <w:t>ATS</w:t>
      </w:r>
      <w:r>
        <w:rPr>
          <w:spacing w:val="-11"/>
        </w:rPr>
        <w:t>）和城市轨道交通自动售检票系统（</w:t>
      </w:r>
      <w:r>
        <w:rPr>
          <w:rFonts w:ascii="宋体" w:hAnsi="宋体" w:cs="宋体" w:eastAsia="宋体" w:hint="default"/>
          <w:spacing w:val="-11"/>
        </w:rPr>
        <w:t>AFC</w:t>
      </w:r>
      <w:r>
        <w:rPr>
          <w:spacing w:val="-11"/>
        </w:rPr>
        <w:t>）；</w:t>
      </w:r>
      <w:r>
        <w:rPr>
          <w:spacing w:val="-113"/>
        </w:rPr>
        <w:t> </w:t>
      </w:r>
      <w:r>
        <w:rPr/>
        <w:t>铁路运输安全基础设备产品线是向铁路基层站段提供保障列车运行安全的的基础设备，主要</w:t>
      </w:r>
      <w:r>
        <w:rPr/>
        <w:t> 产品包括铁路信号计算机联锁系统（</w:t>
      </w:r>
      <w:r>
        <w:rPr>
          <w:rFonts w:ascii="宋体" w:hAnsi="宋体" w:cs="宋体" w:eastAsia="宋体" w:hint="default"/>
        </w:rPr>
        <w:t>CBI</w:t>
      </w:r>
      <w:r>
        <w:rPr/>
        <w:t>）、计轴设备、智能电源设备和道岔转辙机；信息化 </w:t>
      </w:r>
      <w:r>
        <w:rPr>
          <w:spacing w:val="-5"/>
        </w:rPr>
        <w:t>产品线是为运维单位提供设备及人员资产管理服务，主要产品包括电务生产指挥系统（</w:t>
      </w:r>
      <w:r>
        <w:rPr>
          <w:rFonts w:ascii="宋体" w:hAnsi="宋体" w:cs="宋体" w:eastAsia="宋体" w:hint="default"/>
          <w:spacing w:val="-5"/>
        </w:rPr>
        <w:t>CSMIS</w:t>
      </w:r>
      <w:r>
        <w:rPr>
          <w:spacing w:val="-5"/>
        </w:rPr>
        <w:t>）</w:t>
      </w:r>
      <w:r>
        <w:rPr>
          <w:spacing w:val="-101"/>
        </w:rPr>
        <w:t> </w:t>
      </w:r>
      <w:r>
        <w:rPr/>
        <w:t>和城市轨道交通资产管理信息系统（</w:t>
      </w:r>
      <w:r>
        <w:rPr>
          <w:rFonts w:ascii="宋体" w:hAnsi="宋体" w:cs="宋体" w:eastAsia="宋体" w:hint="default"/>
        </w:rPr>
        <w:t>EAM</w:t>
      </w:r>
      <w:r>
        <w:rPr/>
        <w:t>）。公司也根据客户需求提供其他配套产品及服务。</w:t>
      </w:r>
    </w:p>
    <w:p>
      <w:pPr>
        <w:pStyle w:val="BodyText"/>
        <w:spacing w:line="350" w:lineRule="auto"/>
        <w:ind w:left="154" w:right="1136" w:firstLine="480"/>
        <w:jc w:val="both"/>
      </w:pPr>
      <w:r>
        <w:rPr/>
        <w:t>经过二十余年的发展，公司产品已覆盖轨道交通电务、工务、机务、供电、运营等专业 领域，成为轨道交通设备运维设备供应商及运营维护集成化解决方案提供商。</w:t>
      </w:r>
    </w:p>
    <w:p>
      <w:pPr>
        <w:pStyle w:val="BodyText"/>
        <w:spacing w:line="352" w:lineRule="auto" w:before="35"/>
        <w:ind w:left="634" w:right="996" w:firstLine="2"/>
        <w:jc w:val="left"/>
      </w:pPr>
      <w:r>
        <w:rPr>
          <w:rFonts w:ascii="宋体" w:hAnsi="宋体" w:cs="宋体" w:eastAsia="宋体" w:hint="default"/>
          <w:b/>
          <w:bCs/>
        </w:rPr>
        <w:t>2</w:t>
      </w:r>
      <w:r>
        <w:rPr>
          <w:rFonts w:ascii="宋体" w:hAnsi="宋体" w:cs="宋体" w:eastAsia="宋体" w:hint="default"/>
          <w:b/>
          <w:bCs/>
        </w:rPr>
        <w:t>、公司经营模式</w:t>
      </w:r>
      <w:r>
        <w:rPr>
          <w:rFonts w:ascii="宋体" w:hAnsi="宋体" w:cs="宋体" w:eastAsia="宋体" w:hint="default"/>
          <w:b/>
          <w:bCs/>
          <w:w w:val="99"/>
        </w:rPr>
        <w:t> </w:t>
      </w:r>
      <w:r>
        <w:rPr/>
        <w:t>本公司产品、系统分为标准型和定制型。对于标准型产品，在销售阶段，有产品直接向</w:t>
      </w:r>
    </w:p>
    <w:p>
      <w:pPr>
        <w:pStyle w:val="BodyText"/>
        <w:spacing w:line="350" w:lineRule="auto" w:before="33"/>
        <w:ind w:left="154" w:right="996"/>
        <w:jc w:val="left"/>
      </w:pPr>
      <w:r>
        <w:rPr/>
        <w:t>客户销售和系统集成商合作配套销售两种方式，行业的销售模式主要为参与招标或议标，通 过投标或议标方式进行沟通和商议后最终定价并获得订单，产品经过安装、现场调试、用户</w:t>
      </w:r>
    </w:p>
    <w:p>
      <w:pPr>
        <w:spacing w:after="0" w:line="35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350" w:lineRule="auto" w:before="199"/>
        <w:ind w:left="633" w:right="996" w:hanging="480"/>
        <w:jc w:val="left"/>
      </w:pPr>
      <w:r>
        <w:rPr/>
        <w:t>验收等环节后投入使用。 </w:t>
      </w:r>
      <w:r>
        <w:rPr>
          <w:spacing w:val="-3"/>
        </w:rPr>
        <w:t>对于根据客户特定需求定制型产品</w:t>
      </w:r>
      <w:r>
        <w:rPr>
          <w:rFonts w:ascii="宋体" w:hAnsi="宋体" w:cs="宋体" w:eastAsia="宋体" w:hint="default"/>
          <w:spacing w:val="-3"/>
        </w:rPr>
        <w:t>/</w:t>
      </w:r>
      <w:r>
        <w:rPr>
          <w:spacing w:val="-3"/>
        </w:rPr>
        <w:t>系统，在具体的营销过程中，首先进行售前支持，协</w:t>
      </w:r>
    </w:p>
    <w:p>
      <w:pPr>
        <w:pStyle w:val="BodyText"/>
        <w:spacing w:line="350" w:lineRule="auto"/>
        <w:ind w:left="154" w:right="996"/>
        <w:jc w:val="left"/>
      </w:pPr>
      <w:r>
        <w:rPr/>
        <w:t>助用户完成项目设计工作，在已经研发发布的框架基础上，进行二次开发，以项目管理的方</w:t>
      </w:r>
      <w:r>
        <w:rPr>
          <w:spacing w:val="-116"/>
        </w:rPr>
        <w:t> </w:t>
      </w:r>
      <w:r>
        <w:rPr>
          <w:spacing w:val="-116"/>
        </w:rPr>
      </w:r>
      <w:r>
        <w:rPr/>
        <w:t>式进行订单制造、交付。</w:t>
      </w:r>
    </w:p>
    <w:p>
      <w:pPr>
        <w:pStyle w:val="BodyText"/>
        <w:spacing w:line="352" w:lineRule="auto" w:before="35"/>
        <w:ind w:left="154" w:right="996" w:firstLine="480"/>
        <w:jc w:val="left"/>
      </w:pPr>
      <w:r>
        <w:rPr>
          <w:spacing w:val="-3"/>
        </w:rPr>
        <w:t>在生产阶段，主要采取以销定产的经营模式，根据客户订单及需求计划安排、组织生产。</w:t>
      </w:r>
      <w:r>
        <w:rPr/>
        <w:t> 在质量保障方面，公司已经构建起以</w:t>
      </w:r>
      <w:r>
        <w:rPr>
          <w:rFonts w:ascii="宋体" w:hAnsi="宋体" w:cs="宋体" w:eastAsia="宋体" w:hint="default"/>
        </w:rPr>
        <w:t>IRIS</w:t>
      </w:r>
      <w:r>
        <w:rPr/>
        <w:t>、</w:t>
      </w:r>
      <w:r>
        <w:rPr>
          <w:rFonts w:ascii="宋体" w:hAnsi="宋体" w:cs="宋体" w:eastAsia="宋体" w:hint="default"/>
        </w:rPr>
        <w:t>ISO9001</w:t>
      </w:r>
      <w:r>
        <w:rPr/>
        <w:t>、</w:t>
      </w:r>
      <w:r>
        <w:rPr>
          <w:rFonts w:ascii="宋体" w:hAnsi="宋体" w:cs="宋体" w:eastAsia="宋体" w:hint="default"/>
        </w:rPr>
        <w:t>CMMI</w:t>
      </w:r>
      <w:r>
        <w:rPr/>
        <w:t>为基础，</w:t>
      </w:r>
      <w:r>
        <w:rPr>
          <w:rFonts w:ascii="宋体" w:hAnsi="宋体" w:cs="宋体" w:eastAsia="宋体" w:hint="default"/>
        </w:rPr>
        <w:t>CRCC</w:t>
      </w:r>
      <w:r>
        <w:rPr/>
        <w:t>、</w:t>
      </w:r>
      <w:r>
        <w:rPr>
          <w:rFonts w:ascii="宋体" w:hAnsi="宋体" w:cs="宋体" w:eastAsia="宋体" w:hint="default"/>
        </w:rPr>
        <w:t>SIL4 </w:t>
      </w:r>
      <w:r>
        <w:rPr/>
        <w:t>产品认证为</w:t>
      </w:r>
      <w:r>
        <w:rPr>
          <w:spacing w:val="-87"/>
        </w:rPr>
        <w:t> </w:t>
      </w:r>
      <w:r>
        <w:rPr/>
        <w:t>标准，精密的检测仪器、严格的检验制度为支撑的质量控制体系，确保产品质量持续稳定。</w:t>
      </w:r>
    </w:p>
    <w:p>
      <w:pPr>
        <w:spacing w:line="352" w:lineRule="auto" w:before="32"/>
        <w:ind w:left="633" w:right="996" w:firstLine="2"/>
        <w:jc w:val="left"/>
        <w:rPr>
          <w:rFonts w:ascii="宋体" w:hAnsi="宋体" w:cs="宋体" w:eastAsia="宋体" w:hint="default"/>
          <w:sz w:val="24"/>
          <w:szCs w:val="24"/>
        </w:rPr>
      </w:pPr>
      <w:r>
        <w:rPr>
          <w:rFonts w:ascii="宋体" w:hAnsi="宋体" w:cs="宋体" w:eastAsia="宋体" w:hint="default"/>
          <w:b/>
          <w:bCs/>
          <w:sz w:val="24"/>
          <w:szCs w:val="24"/>
        </w:rPr>
        <w:t>（二）行业发展情况</w:t>
      </w:r>
      <w:r>
        <w:rPr>
          <w:rFonts w:ascii="宋体" w:hAnsi="宋体" w:cs="宋体" w:eastAsia="宋体" w:hint="default"/>
          <w:b/>
          <w:bCs/>
          <w:w w:val="99"/>
          <w:sz w:val="24"/>
          <w:szCs w:val="24"/>
        </w:rPr>
        <w:t> </w:t>
      </w:r>
      <w:r>
        <w:rPr>
          <w:rFonts w:ascii="宋体" w:hAnsi="宋体" w:cs="宋体" w:eastAsia="宋体" w:hint="default"/>
          <w:sz w:val="24"/>
          <w:szCs w:val="24"/>
        </w:rPr>
        <w:t>按照国家“十三五”规划及相关产业政策，铁路、城市轨道交通、能源等相关领域都是</w:t>
      </w:r>
    </w:p>
    <w:p>
      <w:pPr>
        <w:pStyle w:val="BodyText"/>
        <w:spacing w:line="350" w:lineRule="auto" w:before="32"/>
        <w:ind w:right="996"/>
        <w:jc w:val="left"/>
      </w:pPr>
      <w:r>
        <w:rPr/>
        <w:t>国家重点高速投入的行业，为公司的持续盈利奠定了坚实基础。根据国家发改委、交通运输 部、中国铁路总公司于</w:t>
      </w:r>
      <w:r>
        <w:rPr>
          <w:rFonts w:ascii="宋体" w:hAnsi="宋体" w:cs="宋体" w:eastAsia="宋体" w:hint="default"/>
        </w:rPr>
        <w:t>2016</w:t>
      </w:r>
      <w:r>
        <w:rPr/>
        <w:t>年联合印发的《中长期铁路网规划》和</w:t>
      </w:r>
      <w:r>
        <w:rPr>
          <w:rFonts w:ascii="宋体" w:hAnsi="宋体" w:cs="宋体" w:eastAsia="宋体" w:hint="default"/>
        </w:rPr>
        <w:t>2017</w:t>
      </w:r>
      <w:r>
        <w:rPr/>
        <w:t>年联合印发的《铁路</w:t>
      </w:r>
      <w:r>
        <w:rPr>
          <w:spacing w:val="-108"/>
        </w:rPr>
        <w:t> </w:t>
      </w:r>
      <w:r>
        <w:rPr>
          <w:spacing w:val="-108"/>
        </w:rPr>
      </w:r>
      <w:r>
        <w:rPr/>
        <w:t>“十三五”发展规划》中的要求，我国高速铁路网将由“四纵四横”升级为“八纵八横”，</w:t>
      </w:r>
      <w:r>
        <w:rPr>
          <w:spacing w:val="-103"/>
        </w:rPr>
        <w:t> </w:t>
      </w:r>
      <w:r>
        <w:rPr>
          <w:spacing w:val="-103"/>
        </w:rPr>
      </w:r>
      <w:r>
        <w:rPr/>
        <w:t>中国铁路版图将基本实现“省会高铁连通、地市快速通达、县域基本覆盖”。到</w:t>
      </w:r>
      <w:r>
        <w:rPr>
          <w:rFonts w:ascii="宋体" w:hAnsi="宋体" w:cs="宋体" w:eastAsia="宋体" w:hint="default"/>
        </w:rPr>
        <w:t>2020</w:t>
      </w:r>
      <w:r>
        <w:rPr/>
        <w:t>年</w:t>
      </w:r>
      <w:r>
        <w:rPr>
          <w:rFonts w:ascii="宋体" w:hAnsi="宋体" w:cs="宋体" w:eastAsia="宋体" w:hint="default"/>
        </w:rPr>
        <w:t>,</w:t>
      </w:r>
      <w:r>
        <w:rPr/>
        <w:t>全国 </w:t>
      </w:r>
      <w:r>
        <w:rPr>
          <w:spacing w:val="3"/>
        </w:rPr>
        <w:t>铁路营运里程达到</w:t>
      </w:r>
      <w:r>
        <w:rPr>
          <w:rFonts w:ascii="宋体" w:hAnsi="宋体" w:cs="宋体" w:eastAsia="宋体" w:hint="default"/>
          <w:spacing w:val="3"/>
        </w:rPr>
        <w:t>15</w:t>
      </w:r>
      <w:r>
        <w:rPr>
          <w:spacing w:val="3"/>
        </w:rPr>
        <w:t>万公里，其中高速铁路</w:t>
      </w:r>
      <w:r>
        <w:rPr>
          <w:rFonts w:ascii="宋体" w:hAnsi="宋体" w:cs="宋体" w:eastAsia="宋体" w:hint="default"/>
          <w:spacing w:val="3"/>
        </w:rPr>
        <w:t>3</w:t>
      </w:r>
      <w:r>
        <w:rPr>
          <w:spacing w:val="3"/>
        </w:rPr>
        <w:t>万公里，复线率和电气化率分别达到</w:t>
      </w:r>
      <w:r>
        <w:rPr>
          <w:rFonts w:ascii="宋体" w:hAnsi="宋体" w:cs="宋体" w:eastAsia="宋体" w:hint="default"/>
          <w:spacing w:val="3"/>
        </w:rPr>
        <w:t>60%</w:t>
      </w:r>
      <w:r>
        <w:rPr>
          <w:spacing w:val="3"/>
        </w:rPr>
        <w:t>和</w:t>
      </w:r>
      <w:r>
        <w:rPr>
          <w:rFonts w:ascii="宋体" w:hAnsi="宋体" w:cs="宋体" w:eastAsia="宋体" w:hint="default"/>
          <w:spacing w:val="3"/>
        </w:rPr>
        <w:t>70%</w:t>
      </w:r>
      <w:r>
        <w:rPr>
          <w:rFonts w:ascii="宋体" w:hAnsi="宋体" w:cs="宋体" w:eastAsia="宋体" w:hint="default"/>
          <w:spacing w:val="-113"/>
        </w:rPr>
        <w:t> </w:t>
      </w:r>
      <w:r>
        <w:rPr/>
        <w:t>左右，基本形成布局合理、覆盖广泛、层次分明、安全高效的铁路网络。展望到</w:t>
      </w:r>
      <w:r>
        <w:rPr>
          <w:rFonts w:ascii="宋体" w:hAnsi="宋体" w:cs="宋体" w:eastAsia="宋体" w:hint="default"/>
        </w:rPr>
        <w:t>2030</w:t>
      </w:r>
      <w:r>
        <w:rPr/>
        <w:t>年，基</w:t>
      </w:r>
      <w:r>
        <w:rPr>
          <w:spacing w:val="-110"/>
        </w:rPr>
        <w:t> </w:t>
      </w:r>
      <w:r>
        <w:rPr>
          <w:spacing w:val="-110"/>
        </w:rPr>
      </w:r>
      <w:r>
        <w:rPr>
          <w:spacing w:val="-3"/>
        </w:rPr>
        <w:t>本实现内外互联互通、区际多路畅通、省会高铁连通、地市快速通达、县域基本覆盖。因此，</w:t>
      </w:r>
      <w:r>
        <w:rPr>
          <w:spacing w:val="-82"/>
        </w:rPr>
        <w:t> </w:t>
      </w:r>
      <w:r>
        <w:rPr>
          <w:spacing w:val="-82"/>
        </w:rPr>
      </w:r>
      <w:r>
        <w:rPr/>
        <w:t>未来较长时间内，我国铁路建设行业还将保持较快的发展势头。</w:t>
      </w:r>
    </w:p>
    <w:p>
      <w:pPr>
        <w:pStyle w:val="BodyText"/>
        <w:spacing w:line="350" w:lineRule="auto"/>
        <w:ind w:right="1001" w:firstLine="480"/>
        <w:jc w:val="left"/>
      </w:pPr>
      <w:r>
        <w:rPr>
          <w:spacing w:val="3"/>
        </w:rPr>
        <w:t>在</w:t>
      </w:r>
      <w:r>
        <w:rPr>
          <w:rFonts w:ascii="宋体" w:hAnsi="宋体" w:cs="宋体" w:eastAsia="宋体" w:hint="default"/>
          <w:spacing w:val="3"/>
        </w:rPr>
        <w:t>2018</w:t>
      </w:r>
      <w:r>
        <w:rPr>
          <w:spacing w:val="3"/>
        </w:rPr>
        <w:t>年</w:t>
      </w:r>
      <w:r>
        <w:rPr>
          <w:rFonts w:ascii="宋体" w:hAnsi="宋体" w:cs="宋体" w:eastAsia="宋体" w:hint="default"/>
          <w:spacing w:val="3"/>
        </w:rPr>
        <w:t>1</w:t>
      </w:r>
      <w:r>
        <w:rPr>
          <w:spacing w:val="3"/>
        </w:rPr>
        <w:t>月召开的中国铁路总公司工作会议中，中国铁路总公司详细提出了</w:t>
      </w:r>
      <w:r>
        <w:rPr>
          <w:rFonts w:ascii="宋体" w:hAnsi="宋体" w:cs="宋体" w:eastAsia="宋体" w:hint="default"/>
          <w:spacing w:val="3"/>
        </w:rPr>
        <w:t>2020</w:t>
      </w:r>
      <w:r>
        <w:rPr>
          <w:spacing w:val="3"/>
        </w:rPr>
        <w:t>年、</w:t>
      </w:r>
      <w:r>
        <w:rPr>
          <w:spacing w:val="4"/>
        </w:rPr>
        <w:t> </w:t>
      </w:r>
      <w:r>
        <w:rPr>
          <w:rFonts w:ascii="宋体" w:hAnsi="宋体" w:cs="宋体" w:eastAsia="宋体" w:hint="default"/>
        </w:rPr>
        <w:t>2025</w:t>
      </w:r>
      <w:r>
        <w:rPr/>
        <w:t>年、</w:t>
      </w:r>
      <w:r>
        <w:rPr>
          <w:rFonts w:ascii="宋体" w:hAnsi="宋体" w:cs="宋体" w:eastAsia="宋体" w:hint="default"/>
        </w:rPr>
        <w:t>2035</w:t>
      </w:r>
      <w:r>
        <w:rPr/>
        <w:t>年奋斗目标。在规划中，除了对铁路网规模提出了要求外，还对铁路装备智能</w:t>
      </w:r>
      <w:r>
        <w:rPr>
          <w:spacing w:val="-115"/>
        </w:rPr>
        <w:t> </w:t>
      </w:r>
      <w:r>
        <w:rPr>
          <w:spacing w:val="-115"/>
        </w:rPr>
      </w:r>
      <w:r>
        <w:rPr>
          <w:spacing w:val="-2"/>
        </w:rPr>
        <w:t>化提出了更高的要求，要求在智能动车组、</w:t>
      </w:r>
      <w:r>
        <w:rPr>
          <w:rFonts w:ascii="宋体" w:hAnsi="宋体" w:cs="宋体" w:eastAsia="宋体" w:hint="default"/>
          <w:spacing w:val="-2"/>
        </w:rPr>
        <w:t>C3+ATO</w:t>
      </w:r>
      <w:r>
        <w:rPr>
          <w:spacing w:val="-2"/>
        </w:rPr>
        <w:t>列控系统、智能牵引供电、智能调度系统、</w:t>
      </w:r>
      <w:r>
        <w:rPr>
          <w:spacing w:val="-115"/>
        </w:rPr>
        <w:t> </w:t>
      </w:r>
      <w:r>
        <w:rPr>
          <w:spacing w:val="-115"/>
        </w:rPr>
      </w:r>
      <w:r>
        <w:rPr/>
        <w:t>智能安全保障、智能设备设施检测监测系统、大型养路机械等技术装备的研制和配备实现新 突破。还要求大幅提升铁路信息化水平，将高铁网和互联网深度融合，在数字铁路、智能铁 路建设取得系统性成果。</w:t>
      </w:r>
    </w:p>
    <w:p>
      <w:pPr>
        <w:pStyle w:val="BodyText"/>
        <w:spacing w:line="350" w:lineRule="auto"/>
        <w:ind w:right="1128" w:firstLine="480"/>
        <w:jc w:val="both"/>
      </w:pPr>
      <w:r>
        <w:rPr>
          <w:spacing w:val="-3"/>
        </w:rPr>
        <w:t>中国高铁海外项目里程超过</w:t>
      </w:r>
      <w:r>
        <w:rPr>
          <w:rFonts w:ascii="宋体" w:hAnsi="宋体" w:cs="宋体" w:eastAsia="宋体" w:hint="default"/>
          <w:spacing w:val="-3"/>
        </w:rPr>
        <w:t>4,200</w:t>
      </w:r>
      <w:r>
        <w:rPr>
          <w:spacing w:val="-3"/>
        </w:rPr>
        <w:t>公里，“一带一路”倡议提出四年多以来，海外铁路建</w:t>
      </w:r>
      <w:r>
        <w:rPr/>
        <w:t> 设取得了令人瞩目的成绩，一批有影响力的标志性建设正在逐步落地。截止</w:t>
      </w:r>
      <w:r>
        <w:rPr>
          <w:rFonts w:ascii="宋体" w:hAnsi="宋体" w:cs="宋体" w:eastAsia="宋体" w:hint="default"/>
        </w:rPr>
        <w:t>2017</w:t>
      </w:r>
      <w:r>
        <w:rPr/>
        <w:t>年底，中国</w:t>
      </w:r>
      <w:r>
        <w:rPr>
          <w:spacing w:val="-110"/>
        </w:rPr>
        <w:t> </w:t>
      </w:r>
      <w:r>
        <w:rPr>
          <w:spacing w:val="-110"/>
        </w:rPr>
      </w:r>
      <w:r>
        <w:rPr/>
        <w:t>高铁海外项目共有包括印尼雅万高铁、中老铁路、中泰铁路、马来西亚南部铁路、莫斯科喀 </w:t>
      </w:r>
      <w:r>
        <w:rPr>
          <w:spacing w:val="3"/>
        </w:rPr>
        <w:t>山高铁、匈塞铁路、蒙内铁路、尼日利亚阿卡铁路、亚吉铁路共九条，涉及里程超过</w:t>
      </w:r>
      <w:r>
        <w:rPr>
          <w:rFonts w:ascii="宋体" w:hAnsi="宋体" w:cs="宋体" w:eastAsia="宋体" w:hint="default"/>
          <w:spacing w:val="3"/>
        </w:rPr>
        <w:t>4,200</w:t>
      </w:r>
      <w:r>
        <w:rPr>
          <w:rFonts w:ascii="宋体" w:hAnsi="宋体" w:cs="宋体" w:eastAsia="宋体" w:hint="default"/>
          <w:spacing w:val="-103"/>
        </w:rPr>
        <w:t> </w:t>
      </w:r>
      <w:r>
        <w:rPr/>
        <w:t>公里（不包含中欧班列）。</w:t>
      </w:r>
    </w:p>
    <w:p>
      <w:pPr>
        <w:pStyle w:val="BodyText"/>
        <w:spacing w:line="352" w:lineRule="auto" w:before="35"/>
        <w:ind w:right="996" w:firstLine="480"/>
        <w:jc w:val="left"/>
      </w:pPr>
      <w:r>
        <w:rPr>
          <w:rFonts w:ascii="宋体" w:hAnsi="宋体" w:cs="宋体" w:eastAsia="宋体" w:hint="default"/>
        </w:rPr>
        <w:t>2017</w:t>
      </w:r>
      <w:r>
        <w:rPr/>
        <w:t>年度全国铁路行业固定资产投资完成</w:t>
      </w:r>
      <w:r>
        <w:rPr>
          <w:rFonts w:ascii="宋体" w:hAnsi="宋体" w:cs="宋体" w:eastAsia="宋体" w:hint="default"/>
        </w:rPr>
        <w:t>8,010</w:t>
      </w:r>
      <w:r>
        <w:rPr/>
        <w:t>亿元，投产新线</w:t>
      </w:r>
      <w:r>
        <w:rPr>
          <w:rFonts w:ascii="宋体" w:hAnsi="宋体" w:cs="宋体" w:eastAsia="宋体" w:hint="default"/>
        </w:rPr>
        <w:t>3,038</w:t>
      </w:r>
      <w:r>
        <w:rPr/>
        <w:t>公里，其中高速铁</w:t>
      </w:r>
      <w:r>
        <w:rPr>
          <w:spacing w:val="1"/>
        </w:rPr>
        <w:t> </w:t>
      </w:r>
      <w:r>
        <w:rPr>
          <w:spacing w:val="-2"/>
        </w:rPr>
        <w:t>路</w:t>
      </w:r>
      <w:r>
        <w:rPr>
          <w:rFonts w:ascii="宋体" w:hAnsi="宋体" w:cs="宋体" w:eastAsia="宋体" w:hint="default"/>
          <w:spacing w:val="-2"/>
        </w:rPr>
        <w:t>2,182</w:t>
      </w:r>
      <w:r>
        <w:rPr>
          <w:spacing w:val="-2"/>
        </w:rPr>
        <w:t>公里，复线铁路</w:t>
      </w:r>
      <w:r>
        <w:rPr>
          <w:rFonts w:ascii="宋体" w:hAnsi="宋体" w:cs="宋体" w:eastAsia="宋体" w:hint="default"/>
          <w:spacing w:val="-2"/>
        </w:rPr>
        <w:t>3,223</w:t>
      </w:r>
      <w:r>
        <w:rPr>
          <w:spacing w:val="-2"/>
        </w:rPr>
        <w:t>公里，电气化铁路</w:t>
      </w:r>
      <w:r>
        <w:rPr>
          <w:rFonts w:ascii="宋体" w:hAnsi="宋体" w:cs="宋体" w:eastAsia="宋体" w:hint="default"/>
          <w:spacing w:val="-2"/>
        </w:rPr>
        <w:t>4,583</w:t>
      </w:r>
      <w:r>
        <w:rPr>
          <w:spacing w:val="-2"/>
        </w:rPr>
        <w:t>公里；至</w:t>
      </w:r>
      <w:r>
        <w:rPr>
          <w:rFonts w:ascii="宋体" w:hAnsi="宋体" w:cs="宋体" w:eastAsia="宋体" w:hint="default"/>
          <w:spacing w:val="-2"/>
        </w:rPr>
        <w:t>2017</w:t>
      </w:r>
      <w:r>
        <w:rPr>
          <w:spacing w:val="-2"/>
        </w:rPr>
        <w:t>年底，全国铁路营运里程</w:t>
      </w:r>
    </w:p>
    <w:p>
      <w:pPr>
        <w:spacing w:after="0" w:line="352"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350" w:lineRule="auto" w:before="199"/>
        <w:ind w:right="1033"/>
        <w:jc w:val="left"/>
      </w:pPr>
      <w:r>
        <w:rPr/>
        <w:t>达</w:t>
      </w:r>
      <w:r>
        <w:rPr>
          <w:rFonts w:ascii="宋体" w:hAnsi="宋体" w:cs="宋体" w:eastAsia="宋体" w:hint="default"/>
        </w:rPr>
        <w:t>12.7</w:t>
      </w:r>
      <w:r>
        <w:rPr/>
        <w:t>万公里，其中高速铁路</w:t>
      </w:r>
      <w:r>
        <w:rPr>
          <w:rFonts w:ascii="宋体" w:hAnsi="宋体" w:cs="宋体" w:eastAsia="宋体" w:hint="default"/>
        </w:rPr>
        <w:t>2.5</w:t>
      </w:r>
      <w:r>
        <w:rPr/>
        <w:t>万公里以上，中西部地区（含东三省）铁路营运里程达</w:t>
      </w:r>
      <w:r>
        <w:rPr>
          <w:rFonts w:ascii="宋体" w:hAnsi="宋体" w:cs="宋体" w:eastAsia="宋体" w:hint="default"/>
        </w:rPr>
        <w:t>9.7</w:t>
      </w:r>
      <w:r>
        <w:rPr>
          <w:rFonts w:ascii="宋体" w:hAnsi="宋体" w:cs="宋体" w:eastAsia="宋体" w:hint="default"/>
          <w:spacing w:val="-110"/>
        </w:rPr>
        <w:t> </w:t>
      </w:r>
      <w:r>
        <w:rPr/>
        <w:t>万公里。铁路投资将持续保持在高位规模，根据铁路总公司工作会议的要求，</w:t>
      </w:r>
      <w:r>
        <w:rPr>
          <w:rFonts w:ascii="宋体" w:hAnsi="宋体" w:cs="宋体" w:eastAsia="宋体" w:hint="default"/>
        </w:rPr>
        <w:t>2018</w:t>
      </w:r>
      <w:r>
        <w:rPr/>
        <w:t>年度全国</w:t>
      </w:r>
      <w:r>
        <w:rPr>
          <w:spacing w:val="-111"/>
        </w:rPr>
        <w:t> </w:t>
      </w:r>
      <w:r>
        <w:rPr>
          <w:spacing w:val="-111"/>
        </w:rPr>
      </w:r>
      <w:r>
        <w:rPr/>
        <w:t>铁路固定资产投资安排</w:t>
      </w:r>
      <w:r>
        <w:rPr>
          <w:rFonts w:ascii="宋体" w:hAnsi="宋体" w:cs="宋体" w:eastAsia="宋体" w:hint="default"/>
        </w:rPr>
        <w:t>7,320</w:t>
      </w:r>
      <w:r>
        <w:rPr/>
        <w:t>亿元，其中，国家铁路</w:t>
      </w:r>
      <w:r>
        <w:rPr>
          <w:rFonts w:ascii="宋体" w:hAnsi="宋体" w:cs="宋体" w:eastAsia="宋体" w:hint="default"/>
        </w:rPr>
        <w:t>7,020</w:t>
      </w:r>
      <w:r>
        <w:rPr/>
        <w:t>亿元。投产新线</w:t>
      </w:r>
      <w:r>
        <w:rPr>
          <w:rFonts w:ascii="宋体" w:hAnsi="宋体" w:cs="宋体" w:eastAsia="宋体" w:hint="default"/>
        </w:rPr>
        <w:t>4,000</w:t>
      </w:r>
      <w:r>
        <w:rPr/>
        <w:t>公里，其中， </w:t>
      </w:r>
      <w:r>
        <w:rPr>
          <w:spacing w:val="-2"/>
        </w:rPr>
        <w:t>高铁</w:t>
      </w:r>
      <w:r>
        <w:rPr>
          <w:rFonts w:ascii="宋体" w:hAnsi="宋体" w:cs="宋体" w:eastAsia="宋体" w:hint="default"/>
          <w:spacing w:val="-2"/>
        </w:rPr>
        <w:t>3,500</w:t>
      </w:r>
      <w:r>
        <w:rPr>
          <w:spacing w:val="-2"/>
        </w:rPr>
        <w:t>公里。随着铁路投融资改革等系列政策的出台和执行，也为明后年铁路投资建设发</w:t>
      </w:r>
      <w:r>
        <w:rPr>
          <w:spacing w:val="-116"/>
        </w:rPr>
        <w:t> </w:t>
      </w:r>
      <w:r>
        <w:rPr>
          <w:spacing w:val="-116"/>
        </w:rPr>
      </w:r>
      <w:r>
        <w:rPr/>
        <w:t>展提供资金保证，铁路市场景气度有望持续保持高位。</w:t>
      </w:r>
    </w:p>
    <w:p>
      <w:pPr>
        <w:pStyle w:val="BodyText"/>
        <w:spacing w:line="350" w:lineRule="auto"/>
        <w:ind w:right="1132" w:firstLine="480"/>
        <w:jc w:val="both"/>
      </w:pPr>
      <w:r>
        <w:rPr>
          <w:rFonts w:ascii="宋体" w:hAnsi="宋体" w:cs="宋体" w:eastAsia="宋体" w:hint="default"/>
          <w:spacing w:val="-3"/>
        </w:rPr>
        <w:t>2017</w:t>
      </w:r>
      <w:r>
        <w:rPr>
          <w:spacing w:val="-3"/>
        </w:rPr>
        <w:t>年</w:t>
      </w:r>
      <w:r>
        <w:rPr>
          <w:rFonts w:ascii="宋体" w:hAnsi="宋体" w:cs="宋体" w:eastAsia="宋体" w:hint="default"/>
          <w:spacing w:val="-3"/>
        </w:rPr>
        <w:t>6</w:t>
      </w:r>
      <w:r>
        <w:rPr>
          <w:spacing w:val="-3"/>
        </w:rPr>
        <w:t>月，国家发展改革委、交通运输部等部委发布了《关于促进市域（郊）铁路发展</w:t>
      </w:r>
      <w:r>
        <w:rPr/>
        <w:t> 的指导意见》，要求到</w:t>
      </w:r>
      <w:r>
        <w:rPr>
          <w:rFonts w:ascii="宋体" w:hAnsi="宋体" w:cs="宋体" w:eastAsia="宋体" w:hint="default"/>
        </w:rPr>
        <w:t>2020</w:t>
      </w:r>
      <w:r>
        <w:rPr/>
        <w:t>年，京津冀、长江三角洲、珠江三角洲、长江中游、成渝等经济</w:t>
      </w:r>
      <w:r>
        <w:rPr>
          <w:spacing w:val="-113"/>
        </w:rPr>
        <w:t> </w:t>
      </w:r>
      <w:r>
        <w:rPr>
          <w:spacing w:val="-113"/>
        </w:rPr>
      </w:r>
      <w:r>
        <w:rPr/>
        <w:t>发达地区的超大、特大城市及具备条件的大城市，市域（郊）铁路骨干线路基本形成，构建 </w:t>
      </w:r>
      <w:r>
        <w:rPr>
          <w:spacing w:val="3"/>
        </w:rPr>
        <w:t>核心区至周边主要区域的</w:t>
      </w:r>
      <w:r>
        <w:rPr>
          <w:rFonts w:ascii="宋体" w:hAnsi="宋体" w:cs="宋体" w:eastAsia="宋体" w:hint="default"/>
          <w:spacing w:val="3"/>
        </w:rPr>
        <w:t>1</w:t>
      </w:r>
      <w:r>
        <w:rPr>
          <w:spacing w:val="3"/>
        </w:rPr>
        <w:t>小时通勤圈，其余城市群和城镇化地区具备条件的城市启动市域</w:t>
      </w:r>
    </w:p>
    <w:p>
      <w:pPr>
        <w:pStyle w:val="BodyText"/>
        <w:spacing w:line="350" w:lineRule="auto" w:before="35"/>
        <w:ind w:right="1033"/>
        <w:jc w:val="left"/>
      </w:pPr>
      <w:r>
        <w:rPr/>
        <w:t>（郊）铁路规划建设工作，并首批公布了</w:t>
      </w:r>
      <w:r>
        <w:rPr>
          <w:rFonts w:ascii="宋体" w:hAnsi="宋体" w:cs="宋体" w:eastAsia="宋体" w:hint="default"/>
        </w:rPr>
        <w:t>11</w:t>
      </w:r>
      <w:r>
        <w:rPr/>
        <w:t>个市域铁路项目。近两年，国家发展改革委陆续</w:t>
      </w:r>
      <w:r>
        <w:rPr>
          <w:spacing w:val="-114"/>
        </w:rPr>
        <w:t> </w:t>
      </w:r>
      <w:r>
        <w:rPr/>
        <w:t>批复了重庆</w:t>
      </w:r>
      <w:r>
        <w:rPr>
          <w:rFonts w:ascii="宋体" w:hAnsi="宋体" w:cs="宋体" w:eastAsia="宋体" w:hint="default"/>
        </w:rPr>
        <w:t>3</w:t>
      </w:r>
      <w:r>
        <w:rPr/>
        <w:t>条</w:t>
      </w:r>
      <w:r>
        <w:rPr>
          <w:rFonts w:ascii="宋体" w:hAnsi="宋体" w:cs="宋体" w:eastAsia="宋体" w:hint="default"/>
        </w:rPr>
        <w:t>146</w:t>
      </w:r>
      <w:r>
        <w:rPr/>
        <w:t>公里、天津</w:t>
      </w:r>
      <w:r>
        <w:rPr>
          <w:rFonts w:ascii="宋体" w:hAnsi="宋体" w:cs="宋体" w:eastAsia="宋体" w:hint="default"/>
        </w:rPr>
        <w:t>2</w:t>
      </w:r>
      <w:r>
        <w:rPr/>
        <w:t>条</w:t>
      </w:r>
      <w:r>
        <w:rPr>
          <w:rFonts w:ascii="宋体" w:hAnsi="宋体" w:cs="宋体" w:eastAsia="宋体" w:hint="default"/>
        </w:rPr>
        <w:t>96.5</w:t>
      </w:r>
      <w:r>
        <w:rPr/>
        <w:t>公里、广州</w:t>
      </w:r>
      <w:r>
        <w:rPr>
          <w:rFonts w:ascii="宋体" w:hAnsi="宋体" w:cs="宋体" w:eastAsia="宋体" w:hint="default"/>
        </w:rPr>
        <w:t>2</w:t>
      </w:r>
      <w:r>
        <w:rPr/>
        <w:t>条</w:t>
      </w:r>
      <w:r>
        <w:rPr>
          <w:rFonts w:ascii="宋体" w:hAnsi="宋体" w:cs="宋体" w:eastAsia="宋体" w:hint="default"/>
        </w:rPr>
        <w:t>94.3</w:t>
      </w:r>
      <w:r>
        <w:rPr/>
        <w:t>公里的近期市域（郊）铁路建设规</w:t>
      </w:r>
      <w:r>
        <w:rPr>
          <w:spacing w:val="-110"/>
        </w:rPr>
        <w:t> </w:t>
      </w:r>
      <w:r>
        <w:rPr/>
        <w:t>划，一些市域（郊）铁路工程已经进入建设阶段。截止</w:t>
      </w:r>
      <w:r>
        <w:rPr>
          <w:rFonts w:ascii="宋体" w:hAnsi="宋体" w:cs="宋体" w:eastAsia="宋体" w:hint="default"/>
        </w:rPr>
        <w:t>2017</w:t>
      </w:r>
      <w:r>
        <w:rPr/>
        <w:t>年</w:t>
      </w:r>
      <w:r>
        <w:rPr>
          <w:rFonts w:ascii="宋体" w:hAnsi="宋体" w:cs="宋体" w:eastAsia="宋体" w:hint="default"/>
        </w:rPr>
        <w:t>12</w:t>
      </w:r>
      <w:r>
        <w:rPr/>
        <w:t>月</w:t>
      </w:r>
      <w:r>
        <w:rPr>
          <w:rFonts w:ascii="宋体" w:hAnsi="宋体" w:cs="宋体" w:eastAsia="宋体" w:hint="default"/>
        </w:rPr>
        <w:t>31</w:t>
      </w:r>
      <w:r>
        <w:rPr/>
        <w:t>日，我国开通市域铁路</w:t>
      </w:r>
      <w:r>
        <w:rPr>
          <w:spacing w:val="-110"/>
        </w:rPr>
        <w:t> </w:t>
      </w:r>
      <w:r>
        <w:rPr>
          <w:spacing w:val="-110"/>
        </w:rPr>
      </w:r>
      <w:r>
        <w:rPr/>
        <w:t>的城市共</w:t>
      </w:r>
      <w:r>
        <w:rPr>
          <w:rFonts w:ascii="宋体" w:hAnsi="宋体" w:cs="宋体" w:eastAsia="宋体" w:hint="default"/>
        </w:rPr>
        <w:t>4</w:t>
      </w:r>
      <w:r>
        <w:rPr/>
        <w:t>个，计有</w:t>
      </w:r>
      <w:r>
        <w:rPr>
          <w:rFonts w:ascii="宋体" w:hAnsi="宋体" w:cs="宋体" w:eastAsia="宋体" w:hint="default"/>
        </w:rPr>
        <w:t>5</w:t>
      </w:r>
      <w:r>
        <w:rPr/>
        <w:t>条线，共</w:t>
      </w:r>
      <w:r>
        <w:rPr>
          <w:rFonts w:ascii="宋体" w:hAnsi="宋体" w:cs="宋体" w:eastAsia="宋体" w:hint="default"/>
        </w:rPr>
        <w:t>364</w:t>
      </w:r>
      <w:r>
        <w:rPr/>
        <w:t>公里，</w:t>
      </w:r>
      <w:r>
        <w:rPr>
          <w:rFonts w:ascii="宋体" w:hAnsi="宋体" w:cs="宋体" w:eastAsia="宋体" w:hint="default"/>
        </w:rPr>
        <w:t>50</w:t>
      </w:r>
      <w:r>
        <w:rPr/>
        <w:t>座车站。按照目前国家已经批复的近期建设规划， </w:t>
      </w:r>
      <w:r>
        <w:rPr>
          <w:spacing w:val="-2"/>
        </w:rPr>
        <w:t>我国未来</w:t>
      </w:r>
      <w:r>
        <w:rPr>
          <w:rFonts w:ascii="宋体" w:hAnsi="宋体" w:cs="宋体" w:eastAsia="宋体" w:hint="default"/>
          <w:spacing w:val="-2"/>
        </w:rPr>
        <w:t>10</w:t>
      </w:r>
      <w:r>
        <w:rPr>
          <w:spacing w:val="-2"/>
        </w:rPr>
        <w:t>年将建设</w:t>
      </w:r>
      <w:r>
        <w:rPr>
          <w:rFonts w:ascii="宋体" w:hAnsi="宋体" w:cs="宋体" w:eastAsia="宋体" w:hint="default"/>
          <w:spacing w:val="-2"/>
        </w:rPr>
        <w:t>2,000</w:t>
      </w:r>
      <w:r>
        <w:rPr>
          <w:spacing w:val="-2"/>
        </w:rPr>
        <w:t>公里以上的市域（郊）铁路，《指导意见》发布后，会有更多的城</w:t>
      </w:r>
      <w:r>
        <w:rPr>
          <w:spacing w:val="-117"/>
        </w:rPr>
        <w:t> </w:t>
      </w:r>
      <w:r>
        <w:rPr>
          <w:spacing w:val="-117"/>
        </w:rPr>
      </w:r>
      <w:r>
        <w:rPr/>
        <w:t>市谋划市域（郊）铁路的建设。仅以当前正在建设或者已经列入近期建设规划的市域（郊） 铁路项目估算，全国市域（郊）铁路投资规模超万亿元，今后市域（郊）铁路建设还会继续 提速，将成为交通基础设施投资的重要领域，市域铁路的发展将会为公司的业务发展提供新 的增长点。</w:t>
      </w:r>
    </w:p>
    <w:p>
      <w:pPr>
        <w:pStyle w:val="BodyText"/>
        <w:spacing w:line="350" w:lineRule="auto" w:before="35"/>
        <w:ind w:right="1130" w:firstLine="480"/>
        <w:jc w:val="both"/>
      </w:pPr>
      <w:r>
        <w:rPr/>
        <w:t>城市轨道交通方面，根据中国城市轨道交通协会的数据显示，截至</w:t>
      </w:r>
      <w:r>
        <w:rPr>
          <w:rFonts w:ascii="宋体" w:hAnsi="宋体" w:cs="宋体" w:eastAsia="宋体" w:hint="default"/>
        </w:rPr>
        <w:t>2017</w:t>
      </w:r>
      <w:r>
        <w:rPr/>
        <w:t>年底，全国共有 </w:t>
      </w:r>
      <w:r>
        <w:rPr>
          <w:rFonts w:ascii="宋体" w:hAnsi="宋体" w:cs="宋体" w:eastAsia="宋体" w:hint="default"/>
        </w:rPr>
        <w:t>35</w:t>
      </w:r>
      <w:r>
        <w:rPr/>
        <w:t>个城市（内地</w:t>
      </w:r>
      <w:r>
        <w:rPr>
          <w:rFonts w:ascii="宋体" w:hAnsi="宋体" w:cs="宋体" w:eastAsia="宋体" w:hint="default"/>
        </w:rPr>
        <w:t>31</w:t>
      </w:r>
      <w:r>
        <w:rPr/>
        <w:t>个，港台地区</w:t>
      </w:r>
      <w:r>
        <w:rPr>
          <w:rFonts w:ascii="宋体" w:hAnsi="宋体" w:cs="宋体" w:eastAsia="宋体" w:hint="default"/>
        </w:rPr>
        <w:t>4</w:t>
      </w:r>
      <w:r>
        <w:rPr/>
        <w:t>个）开通城市轨道交通运营，运营线路总长度达</w:t>
      </w:r>
      <w:r>
        <w:rPr>
          <w:rFonts w:ascii="宋体" w:hAnsi="宋体" w:cs="宋体" w:eastAsia="宋体" w:hint="default"/>
        </w:rPr>
        <w:t>5,021.7</w:t>
      </w:r>
      <w:r>
        <w:rPr/>
        <w:t>公</w:t>
      </w:r>
      <w:r>
        <w:rPr>
          <w:spacing w:val="-108"/>
        </w:rPr>
        <w:t> </w:t>
      </w:r>
      <w:r>
        <w:rPr>
          <w:spacing w:val="-2"/>
        </w:rPr>
        <w:t>里，其中地铁</w:t>
      </w:r>
      <w:r>
        <w:rPr>
          <w:rFonts w:ascii="宋体" w:hAnsi="宋体" w:cs="宋体" w:eastAsia="宋体" w:hint="default"/>
          <w:spacing w:val="-2"/>
        </w:rPr>
        <w:t>3,881.8</w:t>
      </w:r>
      <w:r>
        <w:rPr>
          <w:spacing w:val="-2"/>
        </w:rPr>
        <w:t>公里，占线路总长的</w:t>
      </w:r>
      <w:r>
        <w:rPr>
          <w:rFonts w:ascii="宋体" w:hAnsi="宋体" w:cs="宋体" w:eastAsia="宋体" w:hint="default"/>
          <w:spacing w:val="-2"/>
        </w:rPr>
        <w:t>77.3%</w:t>
      </w:r>
      <w:r>
        <w:rPr>
          <w:spacing w:val="-2"/>
        </w:rPr>
        <w:t>；其它制式线路</w:t>
      </w:r>
      <w:r>
        <w:rPr>
          <w:rFonts w:ascii="宋体" w:hAnsi="宋体" w:cs="宋体" w:eastAsia="宋体" w:hint="default"/>
          <w:spacing w:val="-2"/>
        </w:rPr>
        <w:t>1,139.9</w:t>
      </w:r>
      <w:r>
        <w:rPr>
          <w:spacing w:val="-2"/>
        </w:rPr>
        <w:t>公里，占线路总长的</w:t>
      </w:r>
      <w:r>
        <w:rPr>
          <w:spacing w:val="-104"/>
        </w:rPr>
        <w:t> </w:t>
      </w:r>
      <w:r>
        <w:rPr>
          <w:spacing w:val="-104"/>
        </w:rPr>
      </w:r>
      <w:r>
        <w:rPr>
          <w:rFonts w:ascii="宋体" w:hAnsi="宋体" w:cs="宋体" w:eastAsia="宋体" w:hint="default"/>
          <w:spacing w:val="-2"/>
        </w:rPr>
        <w:t>22.7%</w:t>
      </w:r>
      <w:r>
        <w:rPr>
          <w:spacing w:val="-2"/>
        </w:rPr>
        <w:t>。</w:t>
      </w:r>
      <w:r>
        <w:rPr>
          <w:rFonts w:ascii="宋体" w:hAnsi="宋体" w:cs="宋体" w:eastAsia="宋体" w:hint="default"/>
          <w:spacing w:val="-2"/>
        </w:rPr>
        <w:t>2017</w:t>
      </w:r>
      <w:r>
        <w:rPr>
          <w:spacing w:val="-2"/>
        </w:rPr>
        <w:t>年度新增</w:t>
      </w:r>
      <w:r>
        <w:rPr>
          <w:rFonts w:ascii="宋体" w:hAnsi="宋体" w:cs="宋体" w:eastAsia="宋体" w:hint="default"/>
          <w:spacing w:val="-2"/>
        </w:rPr>
        <w:t>33</w:t>
      </w:r>
      <w:r>
        <w:rPr>
          <w:spacing w:val="-2"/>
        </w:rPr>
        <w:t>条运营线路</w:t>
      </w:r>
      <w:r>
        <w:rPr>
          <w:rFonts w:ascii="宋体" w:hAnsi="宋体" w:cs="宋体" w:eastAsia="宋体" w:hint="default"/>
          <w:spacing w:val="-2"/>
        </w:rPr>
        <w:t>,</w:t>
      </w:r>
      <w:r>
        <w:rPr>
          <w:spacing w:val="-2"/>
        </w:rPr>
        <w:t>运营线路长度达</w:t>
      </w:r>
      <w:r>
        <w:rPr>
          <w:rFonts w:ascii="宋体" w:hAnsi="宋体" w:cs="宋体" w:eastAsia="宋体" w:hint="default"/>
          <w:spacing w:val="-2"/>
        </w:rPr>
        <w:t>868.9</w:t>
      </w:r>
      <w:r>
        <w:rPr>
          <w:spacing w:val="-2"/>
        </w:rPr>
        <w:t>公里，新增线路再创历史新高，同</w:t>
      </w:r>
      <w:r>
        <w:rPr>
          <w:spacing w:val="-106"/>
        </w:rPr>
        <w:t> </w:t>
      </w:r>
      <w:r>
        <w:rPr>
          <w:spacing w:val="-106"/>
        </w:rPr>
      </w:r>
      <w:r>
        <w:rPr>
          <w:spacing w:val="-2"/>
        </w:rPr>
        <w:t>比增幅达</w:t>
      </w:r>
      <w:r>
        <w:rPr>
          <w:rFonts w:ascii="宋体" w:hAnsi="宋体" w:cs="宋体" w:eastAsia="宋体" w:hint="default"/>
          <w:spacing w:val="-2"/>
        </w:rPr>
        <w:t>62.5%</w:t>
      </w:r>
      <w:r>
        <w:rPr>
          <w:spacing w:val="-2"/>
        </w:rPr>
        <w:t>；其中新增地铁线路</w:t>
      </w:r>
      <w:r>
        <w:rPr>
          <w:rFonts w:ascii="宋体" w:hAnsi="宋体" w:cs="宋体" w:eastAsia="宋体" w:hint="default"/>
          <w:spacing w:val="-2"/>
        </w:rPr>
        <w:t>713.07</w:t>
      </w:r>
      <w:r>
        <w:rPr>
          <w:spacing w:val="-2"/>
        </w:rPr>
        <w:t>公里，拥有两条及以上城市轨道交通运营线路的城</w:t>
      </w:r>
      <w:r>
        <w:rPr>
          <w:spacing w:val="-110"/>
        </w:rPr>
        <w:t> </w:t>
      </w:r>
      <w:r>
        <w:rPr>
          <w:spacing w:val="-110"/>
        </w:rPr>
      </w:r>
      <w:r>
        <w:rPr/>
        <w:t>市已增加至</w:t>
      </w:r>
      <w:r>
        <w:rPr>
          <w:rFonts w:ascii="宋体" w:hAnsi="宋体" w:cs="宋体" w:eastAsia="宋体" w:hint="default"/>
        </w:rPr>
        <w:t>21</w:t>
      </w:r>
      <w:r>
        <w:rPr/>
        <w:t>个。预计</w:t>
      </w:r>
      <w:r>
        <w:rPr>
          <w:rFonts w:ascii="宋体" w:hAnsi="宋体" w:cs="宋体" w:eastAsia="宋体" w:hint="default"/>
        </w:rPr>
        <w:t>2018</w:t>
      </w:r>
      <w:r>
        <w:rPr/>
        <w:t>年，中国将有</w:t>
      </w:r>
      <w:r>
        <w:rPr>
          <w:rFonts w:ascii="宋体" w:hAnsi="宋体" w:cs="宋体" w:eastAsia="宋体" w:hint="default"/>
        </w:rPr>
        <w:t>26</w:t>
      </w:r>
      <w:r>
        <w:rPr/>
        <w:t>座城市新增开工</w:t>
      </w:r>
      <w:r>
        <w:rPr>
          <w:rFonts w:ascii="宋体" w:hAnsi="宋体" w:cs="宋体" w:eastAsia="宋体" w:hint="default"/>
        </w:rPr>
        <w:t>55</w:t>
      </w:r>
      <w:r>
        <w:rPr/>
        <w:t>条（段）轨道交通开工线路，</w:t>
      </w:r>
      <w:r>
        <w:rPr>
          <w:spacing w:val="-104"/>
        </w:rPr>
        <w:t> </w:t>
      </w:r>
      <w:r>
        <w:rPr>
          <w:spacing w:val="-104"/>
        </w:rPr>
      </w:r>
      <w:r>
        <w:rPr/>
        <w:t>合计里程</w:t>
      </w:r>
      <w:r>
        <w:rPr>
          <w:rFonts w:ascii="宋体" w:hAnsi="宋体" w:cs="宋体" w:eastAsia="宋体" w:hint="default"/>
        </w:rPr>
        <w:t>1,339.45</w:t>
      </w:r>
      <w:r>
        <w:rPr/>
        <w:t>公里，车站</w:t>
      </w:r>
      <w:r>
        <w:rPr>
          <w:rFonts w:ascii="宋体" w:hAnsi="宋体" w:cs="宋体" w:eastAsia="宋体" w:hint="default"/>
        </w:rPr>
        <w:t>778</w:t>
      </w:r>
      <w:r>
        <w:rPr/>
        <w:t>座，总投资额约</w:t>
      </w:r>
      <w:r>
        <w:rPr>
          <w:rFonts w:ascii="宋体" w:hAnsi="宋体" w:cs="宋体" w:eastAsia="宋体" w:hint="default"/>
        </w:rPr>
        <w:t>7,700</w:t>
      </w:r>
      <w:r>
        <w:rPr/>
        <w:t>亿元。</w:t>
      </w:r>
    </w:p>
    <w:p>
      <w:pPr>
        <w:pStyle w:val="BodyText"/>
        <w:spacing w:line="352" w:lineRule="auto" w:before="35"/>
        <w:ind w:right="995" w:firstLine="480"/>
        <w:jc w:val="left"/>
      </w:pPr>
      <w:r>
        <w:rPr/>
        <w:t>在经济发展新常态下，轨道交通作为国家重要的基础设施，是国家重要投资方向，将继 续发挥拉动经济发展的关键作用。各级地方政府也把轨道交通建设作为稳增长的重要举措， </w:t>
      </w:r>
      <w:r>
        <w:rPr>
          <w:spacing w:val="-2"/>
        </w:rPr>
        <w:t>把城市综合交通体系作为推动新型城镇化建设的重要内容，国内轨道交通装备需求维持高位，</w:t>
      </w:r>
      <w:r>
        <w:rPr/>
        <w:t> 行业发展形势总体向好。 “十三五”期间预计城轨交通投资将超过</w:t>
      </w:r>
      <w:r>
        <w:rPr>
          <w:rFonts w:ascii="宋体" w:hAnsi="宋体" w:cs="宋体" w:eastAsia="宋体" w:hint="default"/>
        </w:rPr>
        <w:t>2</w:t>
      </w:r>
      <w:r>
        <w:rPr/>
        <w:t>万亿元，到</w:t>
      </w:r>
      <w:r>
        <w:rPr>
          <w:rFonts w:ascii="宋体" w:hAnsi="宋体" w:cs="宋体" w:eastAsia="宋体" w:hint="default"/>
        </w:rPr>
        <w:t>2020</w:t>
      </w:r>
      <w:r>
        <w:rPr/>
        <w:t>年，中</w:t>
      </w:r>
      <w:r>
        <w:rPr>
          <w:spacing w:val="-110"/>
        </w:rPr>
        <w:t> </w:t>
      </w:r>
      <w:r>
        <w:rPr/>
        <w:t>国轨道交通运营里程将达到</w:t>
      </w:r>
      <w:r>
        <w:rPr>
          <w:rFonts w:ascii="宋体" w:hAnsi="宋体" w:cs="宋体" w:eastAsia="宋体" w:hint="default"/>
        </w:rPr>
        <w:t>7,700</w:t>
      </w:r>
      <w:r>
        <w:rPr/>
        <w:t>公里。</w:t>
      </w:r>
    </w:p>
    <w:p>
      <w:pPr>
        <w:spacing w:after="0" w:line="352"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350" w:lineRule="auto" w:before="199"/>
        <w:ind w:left="636" w:right="996" w:firstLine="0"/>
        <w:jc w:val="left"/>
        <w:rPr>
          <w:rFonts w:ascii="宋体" w:hAnsi="宋体" w:cs="宋体" w:eastAsia="宋体" w:hint="default"/>
          <w:sz w:val="24"/>
          <w:szCs w:val="24"/>
        </w:rPr>
      </w:pPr>
      <w:r>
        <w:rPr>
          <w:rFonts w:ascii="宋体" w:hAnsi="宋体" w:cs="宋体" w:eastAsia="宋体" w:hint="default"/>
          <w:b/>
          <w:bCs/>
          <w:sz w:val="24"/>
          <w:szCs w:val="24"/>
        </w:rPr>
        <w:t>（三）公司所处的行业地位</w:t>
      </w:r>
      <w:r>
        <w:rPr>
          <w:rFonts w:ascii="宋体" w:hAnsi="宋体" w:cs="宋体" w:eastAsia="宋体" w:hint="default"/>
          <w:b/>
          <w:bCs/>
          <w:w w:val="99"/>
          <w:sz w:val="24"/>
          <w:szCs w:val="24"/>
        </w:rPr>
        <w:t> </w:t>
      </w:r>
      <w:r>
        <w:rPr>
          <w:rFonts w:ascii="宋体" w:hAnsi="宋体" w:cs="宋体" w:eastAsia="宋体" w:hint="default"/>
          <w:b/>
          <w:bCs/>
          <w:spacing w:val="-3"/>
          <w:sz w:val="24"/>
          <w:szCs w:val="24"/>
        </w:rPr>
        <w:t>1</w:t>
      </w:r>
      <w:r>
        <w:rPr>
          <w:rFonts w:ascii="宋体" w:hAnsi="宋体" w:cs="宋体" w:eastAsia="宋体" w:hint="default"/>
          <w:b/>
          <w:bCs/>
          <w:spacing w:val="-3"/>
          <w:sz w:val="24"/>
          <w:szCs w:val="24"/>
        </w:rPr>
        <w:t>、国家铁路行业</w:t>
      </w:r>
      <w:r>
        <w:rPr>
          <w:rFonts w:ascii="宋体" w:hAnsi="宋体" w:cs="宋体" w:eastAsia="宋体" w:hint="default"/>
          <w:spacing w:val="-3"/>
          <w:sz w:val="24"/>
          <w:szCs w:val="24"/>
        </w:rPr>
        <w:t>：面向国家铁路的监测监控产品、运营维护信息化系统及电力接触网维</w:t>
      </w:r>
    </w:p>
    <w:p>
      <w:pPr>
        <w:pStyle w:val="BodyText"/>
        <w:spacing w:line="350" w:lineRule="auto"/>
        <w:ind w:right="1136"/>
        <w:jc w:val="both"/>
      </w:pPr>
      <w:r>
        <w:rPr/>
        <w:t>护方面的大型装备，如铁路信号集中监测系统、铁路防灾安全监控系统、电务安全生产指挥</w:t>
      </w:r>
      <w:r>
        <w:rPr>
          <w:spacing w:val="-117"/>
        </w:rPr>
        <w:t> </w:t>
      </w:r>
      <w:r>
        <w:rPr>
          <w:spacing w:val="-117"/>
        </w:rPr>
      </w:r>
      <w:r>
        <w:rPr/>
        <w:t>系统及接触网水冲洗车等，经过多年的积累，在技术上、标准影响度及品牌推广上具有优势 地位。</w:t>
      </w:r>
    </w:p>
    <w:p>
      <w:pPr>
        <w:pStyle w:val="BodyText"/>
        <w:spacing w:line="350" w:lineRule="auto"/>
        <w:ind w:right="1131" w:firstLine="482"/>
        <w:jc w:val="both"/>
      </w:pPr>
      <w:r>
        <w:rPr>
          <w:rFonts w:ascii="宋体" w:hAnsi="宋体" w:cs="宋体" w:eastAsia="宋体" w:hint="default"/>
          <w:b/>
          <w:bCs/>
          <w:spacing w:val="-3"/>
        </w:rPr>
        <w:t>2</w:t>
      </w:r>
      <w:r>
        <w:rPr>
          <w:rFonts w:ascii="宋体" w:hAnsi="宋体" w:cs="宋体" w:eastAsia="宋体" w:hint="default"/>
          <w:b/>
          <w:bCs/>
          <w:spacing w:val="-3"/>
        </w:rPr>
        <w:t>、城市轨道交通行业：</w:t>
      </w:r>
      <w:r>
        <w:rPr>
          <w:spacing w:val="-3"/>
        </w:rPr>
        <w:t>随着不断参与并实施了郑州轨道交通市场多条线路的弱电集成系</w:t>
      </w:r>
      <w:r>
        <w:rPr/>
        <w:t> 统，自主研发的嵌入国密技术的综合监控软件平台已通过第三方评估测试，并成功中标在建 项目，借助公司区域优势和国铁方面的技术和经验积累，目前在河南区域内有较强优势，在 轨道交通行业有一定的优势。</w:t>
      </w:r>
    </w:p>
    <w:p>
      <w:pPr>
        <w:pStyle w:val="BodyText"/>
        <w:spacing w:line="350" w:lineRule="auto" w:before="35"/>
        <w:ind w:right="996" w:firstLine="480"/>
        <w:jc w:val="left"/>
      </w:pPr>
      <w:r>
        <w:rPr/>
        <w:t>公司在提高现有系统和解决方案竞争力的同时，不断创造新价值和新服务，持续满足并 </w:t>
      </w:r>
      <w:r>
        <w:rPr>
          <w:spacing w:val="-3"/>
        </w:rPr>
        <w:t>引导客户需求，增强与行业客户的粘性，深化与行业客户的合作，不断扩大公司的领先优势。</w:t>
      </w:r>
    </w:p>
    <w:p>
      <w:pPr>
        <w:pStyle w:val="Heading2"/>
        <w:spacing w:line="240" w:lineRule="auto" w:before="209"/>
        <w:ind w:left="153" w:right="0"/>
        <w:jc w:val="both"/>
        <w:rPr>
          <w:b w:val="0"/>
          <w:bCs w:val="0"/>
        </w:rPr>
      </w:pPr>
      <w:bookmarkStart w:name="二、主要资产重大变化情况" w:id="21"/>
      <w:bookmarkEnd w:id="21"/>
      <w:r>
        <w:rPr>
          <w:b w:val="0"/>
          <w:bCs w:val="0"/>
        </w:rPr>
      </w:r>
      <w:r>
        <w:rPr/>
        <w:t>二、主要资产重大变化情况</w:t>
      </w:r>
      <w:r>
        <w:rPr>
          <w:b w:val="0"/>
          <w:bCs w:val="0"/>
        </w:rPr>
      </w:r>
    </w:p>
    <w:p>
      <w:pPr>
        <w:spacing w:line="240" w:lineRule="auto" w:before="6"/>
        <w:rPr>
          <w:rFonts w:ascii="宋体" w:hAnsi="宋体" w:cs="宋体" w:eastAsia="宋体" w:hint="default"/>
          <w:b/>
          <w:bCs/>
          <w:sz w:val="32"/>
          <w:szCs w:val="32"/>
        </w:rPr>
      </w:pPr>
    </w:p>
    <w:p>
      <w:pPr>
        <w:pStyle w:val="Heading2"/>
        <w:spacing w:line="240" w:lineRule="auto" w:before="0"/>
        <w:ind w:right="996"/>
        <w:jc w:val="left"/>
        <w:rPr>
          <w:b w:val="0"/>
          <w:bCs w:val="0"/>
        </w:rPr>
      </w:pPr>
      <w:bookmarkStart w:name="1、主要资产重大变化情况" w:id="22"/>
      <w:bookmarkEnd w:id="22"/>
      <w:r>
        <w:rPr>
          <w:b w:val="0"/>
          <w:bCs w:val="0"/>
        </w:rPr>
      </w:r>
      <w:r>
        <w:rPr>
          <w:rFonts w:ascii="Times New Roman" w:hAnsi="Times New Roman" w:cs="Times New Roman" w:eastAsia="Times New Roman" w:hint="default"/>
        </w:rPr>
        <w:t>1</w:t>
      </w:r>
      <w:r>
        <w:rPr/>
        <w:t>、主要资产重大变化情况</w:t>
      </w:r>
      <w:r>
        <w:rPr>
          <w:b w:val="0"/>
          <w:bCs w:val="0"/>
        </w:rPr>
      </w:r>
    </w:p>
    <w:p>
      <w:pPr>
        <w:spacing w:line="240" w:lineRule="auto" w:before="0"/>
        <w:rPr>
          <w:rFonts w:ascii="宋体" w:hAnsi="宋体" w:cs="宋体" w:eastAsia="宋体" w:hint="default"/>
          <w:b/>
          <w:bCs/>
          <w:sz w:val="3"/>
          <w:szCs w:val="3"/>
        </w:rPr>
      </w:pPr>
    </w:p>
    <w:tbl>
      <w:tblPr>
        <w:tblW w:w="0" w:type="auto"/>
        <w:jc w:val="left"/>
        <w:tblInd w:w="149" w:type="dxa"/>
        <w:tblLayout w:type="fixed"/>
        <w:tblCellMar>
          <w:top w:w="0" w:type="dxa"/>
          <w:left w:w="0" w:type="dxa"/>
          <w:bottom w:w="0" w:type="dxa"/>
          <w:right w:w="0" w:type="dxa"/>
        </w:tblCellMar>
        <w:tblLook w:val="01E0"/>
      </w:tblPr>
      <w:tblGrid>
        <w:gridCol w:w="3052"/>
        <w:gridCol w:w="6517"/>
      </w:tblGrid>
      <w:tr>
        <w:trPr>
          <w:trHeight w:val="765" w:hRule="exact"/>
        </w:trPr>
        <w:tc>
          <w:tcPr>
            <w:tcW w:w="30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主要资产</w:t>
            </w:r>
          </w:p>
        </w:tc>
        <w:tc>
          <w:tcPr>
            <w:tcW w:w="65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重大变化说明</w:t>
            </w:r>
          </w:p>
        </w:tc>
      </w:tr>
      <w:tr>
        <w:trPr>
          <w:trHeight w:val="402" w:hRule="exact"/>
        </w:trPr>
        <w:tc>
          <w:tcPr>
            <w:tcW w:w="3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股权资产</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无重大变化</w:t>
            </w:r>
          </w:p>
        </w:tc>
      </w:tr>
      <w:tr>
        <w:trPr>
          <w:trHeight w:val="402" w:hRule="exact"/>
        </w:trPr>
        <w:tc>
          <w:tcPr>
            <w:tcW w:w="3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无重大变化</w:t>
            </w:r>
          </w:p>
        </w:tc>
      </w:tr>
      <w:tr>
        <w:trPr>
          <w:trHeight w:val="402" w:hRule="exact"/>
        </w:trPr>
        <w:tc>
          <w:tcPr>
            <w:tcW w:w="3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无重大变化</w:t>
            </w:r>
          </w:p>
        </w:tc>
      </w:tr>
      <w:tr>
        <w:trPr>
          <w:trHeight w:val="714" w:hRule="exact"/>
        </w:trPr>
        <w:tc>
          <w:tcPr>
            <w:tcW w:w="3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256" w:lineRule="auto" w:before="26"/>
              <w:ind w:left="22" w:right="112"/>
              <w:jc w:val="left"/>
              <w:rPr>
                <w:rFonts w:ascii="宋体" w:hAnsi="宋体" w:cs="宋体" w:eastAsia="宋体" w:hint="default"/>
                <w:sz w:val="21"/>
                <w:szCs w:val="21"/>
              </w:rPr>
            </w:pPr>
            <w:r>
              <w:rPr>
                <w:rFonts w:ascii="宋体" w:hAnsi="宋体" w:cs="宋体" w:eastAsia="宋体" w:hint="default"/>
                <w:sz w:val="21"/>
                <w:szCs w:val="21"/>
              </w:rPr>
              <w:t>在建工程本期期末余额比期初减少</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15.42%</w:t>
            </w:r>
            <w:r>
              <w:rPr>
                <w:rFonts w:ascii="宋体" w:hAnsi="宋体" w:cs="宋体" w:eastAsia="宋体" w:hint="default"/>
                <w:sz w:val="21"/>
                <w:szCs w:val="21"/>
              </w:rPr>
              <w:t>，主要是由于本期在建工程 转固定资产所致。</w:t>
            </w:r>
          </w:p>
        </w:tc>
      </w:tr>
      <w:tr>
        <w:trPr>
          <w:trHeight w:val="714" w:hRule="exact"/>
        </w:trPr>
        <w:tc>
          <w:tcPr>
            <w:tcW w:w="3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256" w:lineRule="auto" w:before="26"/>
              <w:ind w:left="22" w:right="112"/>
              <w:jc w:val="left"/>
              <w:rPr>
                <w:rFonts w:ascii="宋体" w:hAnsi="宋体" w:cs="宋体" w:eastAsia="宋体" w:hint="default"/>
                <w:sz w:val="21"/>
                <w:szCs w:val="21"/>
              </w:rPr>
            </w:pPr>
            <w:r>
              <w:rPr>
                <w:rFonts w:ascii="宋体" w:hAnsi="宋体" w:cs="宋体" w:eastAsia="宋体" w:hint="default"/>
                <w:sz w:val="21"/>
                <w:szCs w:val="21"/>
              </w:rPr>
              <w:t>可供出售金融资产本期期末余额比期初减少</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76.42%</w:t>
            </w:r>
            <w:r>
              <w:rPr>
                <w:rFonts w:ascii="宋体" w:hAnsi="宋体" w:cs="宋体" w:eastAsia="宋体" w:hint="default"/>
                <w:sz w:val="21"/>
                <w:szCs w:val="21"/>
              </w:rPr>
              <w:t>，主要原因系本期 计提资产减值</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11,463.41</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万元所致。</w:t>
            </w:r>
          </w:p>
        </w:tc>
      </w:tr>
      <w:tr>
        <w:trPr>
          <w:trHeight w:val="714" w:hRule="exact"/>
        </w:trPr>
        <w:tc>
          <w:tcPr>
            <w:tcW w:w="3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256" w:lineRule="auto" w:before="26"/>
              <w:ind w:left="22" w:right="113"/>
              <w:jc w:val="left"/>
              <w:rPr>
                <w:rFonts w:ascii="宋体" w:hAnsi="宋体" w:cs="宋体" w:eastAsia="宋体" w:hint="default"/>
                <w:sz w:val="21"/>
                <w:szCs w:val="21"/>
              </w:rPr>
            </w:pPr>
            <w:r>
              <w:rPr>
                <w:rFonts w:ascii="宋体" w:hAnsi="宋体" w:cs="宋体" w:eastAsia="宋体" w:hint="default"/>
                <w:sz w:val="21"/>
                <w:szCs w:val="21"/>
              </w:rPr>
              <w:t>长期股权投资本期期末余额比期初减少</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49.19%</w:t>
            </w:r>
            <w:r>
              <w:rPr>
                <w:rFonts w:ascii="宋体" w:hAnsi="宋体" w:cs="宋体" w:eastAsia="宋体" w:hint="default"/>
                <w:sz w:val="21"/>
                <w:szCs w:val="21"/>
              </w:rPr>
              <w:t>，主要原因系本期计提 资产减值</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7,036.97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万元所致。</w:t>
            </w:r>
          </w:p>
        </w:tc>
      </w:tr>
      <w:tr>
        <w:trPr>
          <w:trHeight w:val="1026" w:hRule="exact"/>
        </w:trPr>
        <w:tc>
          <w:tcPr>
            <w:tcW w:w="3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25"/>
                <w:szCs w:val="25"/>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商誉</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256" w:lineRule="auto" w:before="26"/>
              <w:ind w:left="22" w:right="20"/>
              <w:jc w:val="left"/>
              <w:rPr>
                <w:rFonts w:ascii="宋体" w:hAnsi="宋体" w:cs="宋体" w:eastAsia="宋体" w:hint="default"/>
                <w:sz w:val="21"/>
                <w:szCs w:val="21"/>
              </w:rPr>
            </w:pPr>
            <w:r>
              <w:rPr>
                <w:rFonts w:ascii="宋体" w:hAnsi="宋体" w:cs="宋体" w:eastAsia="宋体" w:hint="default"/>
                <w:sz w:val="21"/>
                <w:szCs w:val="21"/>
              </w:rPr>
              <w:t>商誉本期期末余额比期初减少</w:t>
            </w:r>
            <w:r>
              <w:rPr>
                <w:rFonts w:ascii="宋体" w:hAnsi="宋体" w:cs="宋体" w:eastAsia="宋体" w:hint="default"/>
                <w:spacing w:val="-65"/>
                <w:sz w:val="21"/>
                <w:szCs w:val="21"/>
              </w:rPr>
              <w:t> </w:t>
            </w:r>
            <w:r>
              <w:rPr>
                <w:rFonts w:ascii="Times New Roman" w:hAnsi="Times New Roman" w:cs="Times New Roman" w:eastAsia="Times New Roman" w:hint="default"/>
                <w:sz w:val="21"/>
                <w:szCs w:val="21"/>
              </w:rPr>
              <w:t>4.73%</w:t>
            </w:r>
            <w:r>
              <w:rPr>
                <w:rFonts w:ascii="宋体" w:hAnsi="宋体" w:cs="宋体" w:eastAsia="宋体" w:hint="default"/>
                <w:sz w:val="21"/>
                <w:szCs w:val="21"/>
              </w:rPr>
              <w:t>，主要原因系收购北京国铁路阳技 术有限公司形成的商誉本期计提减值</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3,761.98</w:t>
            </w:r>
            <w:r>
              <w:rPr>
                <w:rFonts w:ascii="Times New Roman" w:hAnsi="Times New Roman" w:cs="Times New Roman" w:eastAsia="Times New Roman" w:hint="default"/>
                <w:spacing w:val="2"/>
                <w:sz w:val="21"/>
                <w:szCs w:val="21"/>
              </w:rPr>
              <w:t> </w:t>
            </w:r>
            <w:r>
              <w:rPr>
                <w:rFonts w:ascii="宋体" w:hAnsi="宋体" w:cs="宋体" w:eastAsia="宋体" w:hint="default"/>
                <w:spacing w:val="-5"/>
                <w:sz w:val="21"/>
                <w:szCs w:val="21"/>
              </w:rPr>
              <w:t>万元；本期合并成都西南</w:t>
            </w:r>
          </w:p>
          <w:p>
            <w:pPr>
              <w:pStyle w:val="TableParagraph"/>
              <w:spacing w:line="240" w:lineRule="auto" w:before="6"/>
              <w:ind w:left="22" w:right="0"/>
              <w:jc w:val="left"/>
              <w:rPr>
                <w:rFonts w:ascii="宋体" w:hAnsi="宋体" w:cs="宋体" w:eastAsia="宋体" w:hint="default"/>
                <w:sz w:val="21"/>
                <w:szCs w:val="21"/>
              </w:rPr>
            </w:pPr>
            <w:r>
              <w:rPr>
                <w:rFonts w:ascii="宋体" w:hAnsi="宋体" w:cs="宋体" w:eastAsia="宋体" w:hint="default"/>
                <w:sz w:val="21"/>
                <w:szCs w:val="21"/>
              </w:rPr>
              <w:t>交大驱动技术有限责任公司确认商誉</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3,414.13 </w:t>
            </w:r>
            <w:r>
              <w:rPr>
                <w:rFonts w:ascii="宋体" w:hAnsi="宋体" w:cs="宋体" w:eastAsia="宋体" w:hint="default"/>
                <w:sz w:val="21"/>
                <w:szCs w:val="21"/>
              </w:rPr>
              <w:t>万元。</w:t>
            </w:r>
          </w:p>
        </w:tc>
      </w:tr>
    </w:tbl>
    <w:p>
      <w:pPr>
        <w:spacing w:line="240" w:lineRule="auto" w:before="10"/>
        <w:rPr>
          <w:rFonts w:ascii="宋体" w:hAnsi="宋体" w:cs="宋体" w:eastAsia="宋体" w:hint="default"/>
          <w:b/>
          <w:bCs/>
          <w:sz w:val="4"/>
          <w:szCs w:val="4"/>
        </w:rPr>
      </w:pPr>
    </w:p>
    <w:p>
      <w:pPr>
        <w:pStyle w:val="Heading2"/>
        <w:spacing w:line="240" w:lineRule="auto"/>
        <w:ind w:right="996"/>
        <w:jc w:val="left"/>
        <w:rPr>
          <w:b w:val="0"/>
          <w:bCs w:val="0"/>
        </w:rPr>
      </w:pPr>
      <w:bookmarkStart w:name="2、主要境外资产情况" w:id="23"/>
      <w:bookmarkEnd w:id="23"/>
      <w:r>
        <w:rPr>
          <w:b w:val="0"/>
          <w:bCs w:val="0"/>
        </w:rPr>
      </w:r>
      <w:r>
        <w:rPr>
          <w:rFonts w:ascii="Times New Roman" w:hAnsi="Times New Roman" w:cs="Times New Roman" w:eastAsia="Times New Roman" w:hint="default"/>
        </w:rPr>
        <w:t>2</w:t>
      </w:r>
      <w:r>
        <w:rPr/>
        <w:t>、主要境外资产情况</w:t>
      </w:r>
      <w:r>
        <w:rPr>
          <w:b w:val="0"/>
          <w:bCs w:val="0"/>
        </w:rPr>
      </w:r>
    </w:p>
    <w:p>
      <w:pPr>
        <w:spacing w:line="484" w:lineRule="auto" w:before="127"/>
        <w:ind w:left="153" w:right="8233" w:firstLine="480"/>
        <w:jc w:val="left"/>
        <w:rPr>
          <w:rFonts w:ascii="宋体" w:hAnsi="宋体" w:cs="宋体" w:eastAsia="宋体" w:hint="default"/>
          <w:sz w:val="24"/>
          <w:szCs w:val="24"/>
        </w:rPr>
      </w:pPr>
      <w:r>
        <w:rPr>
          <w:rFonts w:ascii="宋体" w:hAnsi="宋体" w:cs="宋体" w:eastAsia="宋体" w:hint="default"/>
          <w:sz w:val="24"/>
          <w:szCs w:val="24"/>
        </w:rPr>
        <w:t>□ 适用 √ 不适用 </w:t>
      </w:r>
      <w:bookmarkStart w:name="三、核心竞争力分析" w:id="24"/>
      <w:bookmarkEnd w:id="24"/>
      <w:r>
        <w:rPr>
          <w:rFonts w:ascii="宋体" w:hAnsi="宋体" w:cs="宋体" w:eastAsia="宋体" w:hint="default"/>
          <w:sz w:val="24"/>
          <w:szCs w:val="24"/>
        </w:rPr>
      </w:r>
      <w:r>
        <w:rPr>
          <w:rFonts w:ascii="宋体" w:hAnsi="宋体" w:cs="宋体" w:eastAsia="宋体" w:hint="default"/>
          <w:b/>
          <w:bCs/>
          <w:sz w:val="24"/>
          <w:szCs w:val="24"/>
        </w:rPr>
        <w:t>三、核心竞争力分析</w:t>
      </w:r>
      <w:r>
        <w:rPr>
          <w:rFonts w:ascii="宋体" w:hAnsi="宋体" w:cs="宋体" w:eastAsia="宋体" w:hint="default"/>
          <w:sz w:val="24"/>
          <w:szCs w:val="24"/>
        </w:rPr>
      </w:r>
    </w:p>
    <w:p>
      <w:pPr>
        <w:pStyle w:val="BodyText"/>
        <w:spacing w:line="240" w:lineRule="auto" w:before="180"/>
        <w:ind w:left="633" w:right="996"/>
        <w:jc w:val="left"/>
      </w:pPr>
      <w:r>
        <w:rPr/>
        <w:t>公司是否需要遵守特殊行业的披露要求</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350" w:lineRule="auto" w:before="199"/>
        <w:ind w:left="636" w:right="8944" w:hanging="3"/>
        <w:jc w:val="left"/>
        <w:rPr>
          <w:rFonts w:ascii="宋体" w:hAnsi="宋体" w:cs="宋体" w:eastAsia="宋体" w:hint="default"/>
          <w:sz w:val="24"/>
          <w:szCs w:val="24"/>
        </w:rPr>
      </w:pPr>
      <w:r>
        <w:rPr>
          <w:rFonts w:ascii="宋体" w:hAnsi="宋体" w:cs="宋体" w:eastAsia="宋体" w:hint="default"/>
          <w:sz w:val="24"/>
          <w:szCs w:val="24"/>
        </w:rPr>
        <w:t>否 </w:t>
      </w:r>
      <w:r>
        <w:rPr>
          <w:rFonts w:ascii="宋体" w:hAnsi="宋体" w:cs="宋体" w:eastAsia="宋体" w:hint="default"/>
          <w:b/>
          <w:bCs/>
          <w:sz w:val="24"/>
          <w:szCs w:val="24"/>
        </w:rPr>
        <w:t>1</w:t>
      </w:r>
      <w:r>
        <w:rPr>
          <w:rFonts w:ascii="宋体" w:hAnsi="宋体" w:cs="宋体" w:eastAsia="宋体" w:hint="default"/>
          <w:b/>
          <w:bCs/>
          <w:sz w:val="24"/>
          <w:szCs w:val="24"/>
        </w:rPr>
        <w:t>、专利情况</w:t>
      </w:r>
      <w:r>
        <w:rPr>
          <w:rFonts w:ascii="宋体" w:hAnsi="宋体" w:cs="宋体" w:eastAsia="宋体" w:hint="default"/>
          <w:sz w:val="24"/>
          <w:szCs w:val="24"/>
        </w:rPr>
      </w:r>
    </w:p>
    <w:p>
      <w:pPr>
        <w:pStyle w:val="BodyText"/>
        <w:spacing w:line="350" w:lineRule="auto"/>
        <w:ind w:right="1130" w:firstLine="480"/>
        <w:jc w:val="both"/>
      </w:pPr>
      <w:r>
        <w:rPr/>
        <w:t>报告期内，公司共有</w:t>
      </w:r>
      <w:r>
        <w:rPr>
          <w:rFonts w:ascii="宋体" w:hAnsi="宋体" w:cs="宋体" w:eastAsia="宋体" w:hint="default"/>
        </w:rPr>
        <w:t>18</w:t>
      </w:r>
      <w:r>
        <w:rPr/>
        <w:t>项专利获得授权，其中发明专利</w:t>
      </w:r>
      <w:r>
        <w:rPr>
          <w:rFonts w:ascii="宋体" w:hAnsi="宋体" w:cs="宋体" w:eastAsia="宋体" w:hint="default"/>
        </w:rPr>
        <w:t>4</w:t>
      </w:r>
      <w:r>
        <w:rPr/>
        <w:t>项；</w:t>
      </w:r>
      <w:r>
        <w:rPr>
          <w:rFonts w:ascii="宋体" w:hAnsi="宋体" w:cs="宋体" w:eastAsia="宋体" w:hint="default"/>
        </w:rPr>
        <w:t>106</w:t>
      </w:r>
      <w:r>
        <w:rPr/>
        <w:t>项专利获得受理，其中 </w:t>
      </w:r>
      <w:r>
        <w:rPr>
          <w:spacing w:val="-2"/>
        </w:rPr>
        <w:t>发明专利</w:t>
      </w:r>
      <w:r>
        <w:rPr>
          <w:rFonts w:ascii="宋体" w:hAnsi="宋体" w:cs="宋体" w:eastAsia="宋体" w:hint="default"/>
          <w:spacing w:val="-2"/>
        </w:rPr>
        <w:t>41</w:t>
      </w:r>
      <w:r>
        <w:rPr>
          <w:spacing w:val="-2"/>
        </w:rPr>
        <w:t>项。截止到报告期末，公司共计拥有专利</w:t>
      </w:r>
      <w:r>
        <w:rPr>
          <w:rFonts w:ascii="宋体" w:hAnsi="宋体" w:cs="宋体" w:eastAsia="宋体" w:hint="default"/>
          <w:spacing w:val="-2"/>
        </w:rPr>
        <w:t>206</w:t>
      </w:r>
      <w:r>
        <w:rPr>
          <w:spacing w:val="-2"/>
        </w:rPr>
        <w:t>项，其中发明专利</w:t>
      </w:r>
      <w:r>
        <w:rPr>
          <w:rFonts w:ascii="宋体" w:hAnsi="宋体" w:cs="宋体" w:eastAsia="宋体" w:hint="default"/>
          <w:spacing w:val="-2"/>
        </w:rPr>
        <w:t>40</w:t>
      </w:r>
      <w:r>
        <w:rPr>
          <w:spacing w:val="-2"/>
        </w:rPr>
        <w:t>项，实用新型专</w:t>
      </w:r>
      <w:r>
        <w:rPr>
          <w:spacing w:val="-116"/>
        </w:rPr>
        <w:t> </w:t>
      </w:r>
      <w:r>
        <w:rPr>
          <w:spacing w:val="-116"/>
        </w:rPr>
      </w:r>
      <w:r>
        <w:rPr/>
        <w:t>利</w:t>
      </w:r>
      <w:r>
        <w:rPr>
          <w:rFonts w:ascii="宋体" w:hAnsi="宋体" w:cs="宋体" w:eastAsia="宋体" w:hint="default"/>
        </w:rPr>
        <w:t>165</w:t>
      </w:r>
      <w:r>
        <w:rPr/>
        <w:t>项，外观专利</w:t>
      </w:r>
      <w:r>
        <w:rPr>
          <w:rFonts w:ascii="宋体" w:hAnsi="宋体" w:cs="宋体" w:eastAsia="宋体" w:hint="default"/>
        </w:rPr>
        <w:t>1</w:t>
      </w:r>
      <w:r>
        <w:rPr/>
        <w:t>项。</w:t>
      </w:r>
    </w:p>
    <w:p>
      <w:pPr>
        <w:pStyle w:val="Heading2"/>
        <w:spacing w:line="240" w:lineRule="auto" w:before="65"/>
        <w:ind w:left="2925" w:right="996"/>
        <w:jc w:val="left"/>
        <w:rPr>
          <w:b w:val="0"/>
          <w:bCs w:val="0"/>
        </w:rPr>
      </w:pPr>
      <w:r>
        <w:rPr>
          <w:rFonts w:ascii="Times New Roman" w:hAnsi="Times New Roman" w:cs="Times New Roman" w:eastAsia="Times New Roman" w:hint="default"/>
        </w:rPr>
        <w:t>2017</w:t>
      </w:r>
      <w:r>
        <w:rPr/>
        <w:t>年专利授权情况一览表</w:t>
      </w:r>
      <w:r>
        <w:rPr>
          <w:b w:val="0"/>
          <w:bCs w:val="0"/>
        </w:rPr>
      </w:r>
    </w:p>
    <w:p>
      <w:pPr>
        <w:spacing w:line="240" w:lineRule="auto" w:before="5"/>
        <w:rPr>
          <w:rFonts w:ascii="宋体" w:hAnsi="宋体" w:cs="宋体" w:eastAsia="宋体" w:hint="default"/>
          <w:b/>
          <w:bCs/>
          <w:sz w:val="13"/>
          <w:szCs w:val="13"/>
        </w:rPr>
      </w:pPr>
    </w:p>
    <w:tbl>
      <w:tblPr>
        <w:tblW w:w="0" w:type="auto"/>
        <w:jc w:val="left"/>
        <w:tblInd w:w="146" w:type="dxa"/>
        <w:tblLayout w:type="fixed"/>
        <w:tblCellMar>
          <w:top w:w="0" w:type="dxa"/>
          <w:left w:w="0" w:type="dxa"/>
          <w:bottom w:w="0" w:type="dxa"/>
          <w:right w:w="0" w:type="dxa"/>
        </w:tblCellMar>
        <w:tblLook w:val="01E0"/>
      </w:tblPr>
      <w:tblGrid>
        <w:gridCol w:w="533"/>
        <w:gridCol w:w="2561"/>
        <w:gridCol w:w="993"/>
        <w:gridCol w:w="1018"/>
        <w:gridCol w:w="1842"/>
        <w:gridCol w:w="1277"/>
        <w:gridCol w:w="1134"/>
      </w:tblGrid>
      <w:tr>
        <w:trPr>
          <w:trHeight w:val="426" w:hRule="exact"/>
        </w:trPr>
        <w:tc>
          <w:tcPr>
            <w:tcW w:w="5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宋体" w:hAnsi="宋体" w:cs="宋体" w:eastAsia="宋体" w:hint="default"/>
                <w:sz w:val="21"/>
                <w:szCs w:val="21"/>
              </w:rPr>
            </w:pPr>
            <w:r>
              <w:rPr>
                <w:rFonts w:ascii="宋体" w:hAnsi="宋体" w:cs="宋体" w:eastAsia="宋体" w:hint="default"/>
                <w:b/>
                <w:bCs/>
                <w:sz w:val="21"/>
                <w:szCs w:val="21"/>
              </w:rPr>
              <w:t>序号</w:t>
            </w:r>
            <w:r>
              <w:rPr>
                <w:rFonts w:ascii="宋体" w:hAnsi="宋体" w:cs="宋体" w:eastAsia="宋体" w:hint="default"/>
                <w:sz w:val="21"/>
                <w:szCs w:val="21"/>
              </w:rPr>
            </w:r>
          </w:p>
        </w:tc>
        <w:tc>
          <w:tcPr>
            <w:tcW w:w="2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宋体" w:hAnsi="宋体" w:cs="宋体" w:eastAsia="宋体" w:hint="default"/>
                <w:sz w:val="21"/>
                <w:szCs w:val="21"/>
              </w:rPr>
            </w:pPr>
            <w:r>
              <w:rPr>
                <w:rFonts w:ascii="宋体" w:hAnsi="宋体" w:cs="宋体" w:eastAsia="宋体" w:hint="default"/>
                <w:b/>
                <w:bCs/>
                <w:sz w:val="21"/>
                <w:szCs w:val="21"/>
              </w:rPr>
              <w:t>专利名称</w:t>
            </w:r>
            <w:r>
              <w:rPr>
                <w:rFonts w:ascii="宋体" w:hAnsi="宋体" w:cs="宋体" w:eastAsia="宋体" w:hint="default"/>
                <w:sz w:val="21"/>
                <w:szCs w:val="21"/>
              </w:rPr>
            </w:r>
          </w:p>
        </w:tc>
        <w:tc>
          <w:tcPr>
            <w:tcW w:w="9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宋体" w:hAnsi="宋体" w:cs="宋体" w:eastAsia="宋体" w:hint="default"/>
                <w:sz w:val="21"/>
                <w:szCs w:val="21"/>
              </w:rPr>
            </w:pPr>
            <w:r>
              <w:rPr>
                <w:rFonts w:ascii="宋体" w:hAnsi="宋体" w:cs="宋体" w:eastAsia="宋体" w:hint="default"/>
                <w:b/>
                <w:bCs/>
                <w:sz w:val="21"/>
                <w:szCs w:val="21"/>
              </w:rPr>
              <w:t>类型</w:t>
            </w:r>
            <w:r>
              <w:rPr>
                <w:rFonts w:ascii="宋体" w:hAnsi="宋体" w:cs="宋体" w:eastAsia="宋体" w:hint="default"/>
                <w:sz w:val="21"/>
                <w:szCs w:val="21"/>
              </w:rPr>
            </w:r>
          </w:p>
        </w:tc>
        <w:tc>
          <w:tcPr>
            <w:tcW w:w="10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宋体" w:hAnsi="宋体" w:cs="宋体" w:eastAsia="宋体" w:hint="default"/>
                <w:sz w:val="21"/>
                <w:szCs w:val="21"/>
              </w:rPr>
            </w:pPr>
            <w:r>
              <w:rPr>
                <w:rFonts w:ascii="宋体" w:hAnsi="宋体" w:cs="宋体" w:eastAsia="宋体" w:hint="default"/>
                <w:b/>
                <w:bCs/>
                <w:sz w:val="21"/>
                <w:szCs w:val="21"/>
              </w:rPr>
              <w:t>取得方式</w:t>
            </w:r>
            <w:r>
              <w:rPr>
                <w:rFonts w:ascii="宋体" w:hAnsi="宋体" w:cs="宋体" w:eastAsia="宋体" w:hint="default"/>
                <w:sz w:val="21"/>
                <w:szCs w:val="21"/>
              </w:rPr>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597" w:right="0"/>
              <w:jc w:val="left"/>
              <w:rPr>
                <w:rFonts w:ascii="宋体" w:hAnsi="宋体" w:cs="宋体" w:eastAsia="宋体" w:hint="default"/>
                <w:sz w:val="21"/>
                <w:szCs w:val="21"/>
              </w:rPr>
            </w:pPr>
            <w:r>
              <w:rPr>
                <w:rFonts w:ascii="宋体" w:hAnsi="宋体" w:cs="宋体" w:eastAsia="宋体" w:hint="default"/>
                <w:b/>
                <w:bCs/>
                <w:sz w:val="21"/>
                <w:szCs w:val="21"/>
              </w:rPr>
              <w:t>专利号</w:t>
            </w:r>
            <w:r>
              <w:rPr>
                <w:rFonts w:ascii="宋体" w:hAnsi="宋体" w:cs="宋体" w:eastAsia="宋体" w:hint="default"/>
                <w:sz w:val="21"/>
                <w:szCs w:val="21"/>
              </w:rPr>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205"/>
              <w:jc w:val="right"/>
              <w:rPr>
                <w:rFonts w:ascii="宋体" w:hAnsi="宋体" w:cs="宋体" w:eastAsia="宋体" w:hint="default"/>
                <w:sz w:val="21"/>
                <w:szCs w:val="21"/>
              </w:rPr>
            </w:pPr>
            <w:r>
              <w:rPr>
                <w:rFonts w:ascii="宋体" w:hAnsi="宋体" w:cs="宋体" w:eastAsia="宋体" w:hint="default"/>
                <w:b/>
                <w:bCs/>
                <w:sz w:val="21"/>
                <w:szCs w:val="21"/>
              </w:rPr>
              <w:t>申请日期</w:t>
            </w:r>
            <w:r>
              <w:rPr>
                <w:rFonts w:ascii="宋体" w:hAnsi="宋体" w:cs="宋体" w:eastAsia="宋体" w:hint="default"/>
                <w:sz w:val="21"/>
                <w:szCs w:val="21"/>
              </w:rPr>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37"/>
              <w:jc w:val="right"/>
              <w:rPr>
                <w:rFonts w:ascii="宋体" w:hAnsi="宋体" w:cs="宋体" w:eastAsia="宋体" w:hint="default"/>
                <w:sz w:val="21"/>
                <w:szCs w:val="21"/>
              </w:rPr>
            </w:pPr>
            <w:r>
              <w:rPr>
                <w:rFonts w:ascii="宋体" w:hAnsi="宋体" w:cs="宋体" w:eastAsia="宋体" w:hint="default"/>
                <w:b/>
                <w:bCs/>
                <w:sz w:val="21"/>
                <w:szCs w:val="21"/>
              </w:rPr>
              <w:t>公告日期</w:t>
            </w:r>
            <w:r>
              <w:rPr>
                <w:rFonts w:ascii="宋体" w:hAnsi="宋体" w:cs="宋体" w:eastAsia="宋体" w:hint="default"/>
                <w:sz w:val="21"/>
                <w:szCs w:val="21"/>
              </w:rPr>
            </w:r>
          </w:p>
        </w:tc>
      </w:tr>
      <w:tr>
        <w:trPr>
          <w:trHeight w:val="427" w:hRule="exact"/>
        </w:trPr>
        <w:tc>
          <w:tcPr>
            <w:tcW w:w="5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0"/>
              <w:jc w:val="center"/>
              <w:rPr>
                <w:rFonts w:ascii="Times New Roman" w:hAnsi="Times New Roman" w:cs="Times New Roman" w:eastAsia="Times New Roman" w:hint="default"/>
                <w:sz w:val="21"/>
                <w:szCs w:val="21"/>
              </w:rPr>
            </w:pPr>
            <w:r>
              <w:rPr>
                <w:rFonts w:ascii="Times New Roman"/>
                <w:sz w:val="21"/>
              </w:rPr>
              <w:t>1</w:t>
            </w:r>
          </w:p>
        </w:tc>
        <w:tc>
          <w:tcPr>
            <w:tcW w:w="2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2" w:right="0"/>
              <w:jc w:val="left"/>
              <w:rPr>
                <w:rFonts w:ascii="宋体" w:hAnsi="宋体" w:cs="宋体" w:eastAsia="宋体" w:hint="default"/>
                <w:sz w:val="21"/>
                <w:szCs w:val="21"/>
              </w:rPr>
            </w:pPr>
            <w:r>
              <w:rPr>
                <w:rFonts w:ascii="宋体" w:hAnsi="宋体" w:cs="宋体" w:eastAsia="宋体" w:hint="default"/>
                <w:sz w:val="21"/>
                <w:szCs w:val="21"/>
              </w:rPr>
              <w:t>转辙机自适应机盖密封结构</w:t>
            </w:r>
          </w:p>
        </w:tc>
        <w:tc>
          <w:tcPr>
            <w:tcW w:w="9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0"/>
              <w:jc w:val="center"/>
              <w:rPr>
                <w:rFonts w:ascii="宋体" w:hAnsi="宋体" w:cs="宋体" w:eastAsia="宋体" w:hint="default"/>
                <w:sz w:val="21"/>
                <w:szCs w:val="21"/>
              </w:rPr>
            </w:pPr>
            <w:r>
              <w:rPr>
                <w:rFonts w:ascii="宋体" w:hAnsi="宋体" w:cs="宋体" w:eastAsia="宋体" w:hint="default"/>
                <w:sz w:val="21"/>
                <w:szCs w:val="21"/>
              </w:rPr>
              <w:t>实用新型</w:t>
            </w:r>
          </w:p>
        </w:tc>
        <w:tc>
          <w:tcPr>
            <w:tcW w:w="10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0"/>
              <w:jc w:val="center"/>
              <w:rPr>
                <w:rFonts w:ascii="宋体" w:hAnsi="宋体" w:cs="宋体" w:eastAsia="宋体" w:hint="default"/>
                <w:sz w:val="21"/>
                <w:szCs w:val="21"/>
              </w:rPr>
            </w:pPr>
            <w:r>
              <w:rPr>
                <w:rFonts w:ascii="宋体" w:hAnsi="宋体" w:cs="宋体" w:eastAsia="宋体" w:hint="default"/>
                <w:sz w:val="21"/>
                <w:szCs w:val="21"/>
              </w:rPr>
              <w:t>自主研发</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74"/>
              <w:jc w:val="right"/>
              <w:rPr>
                <w:rFonts w:ascii="Times New Roman" w:hAnsi="Times New Roman" w:cs="Times New Roman" w:eastAsia="Times New Roman" w:hint="default"/>
                <w:sz w:val="21"/>
                <w:szCs w:val="21"/>
              </w:rPr>
            </w:pPr>
            <w:r>
              <w:rPr>
                <w:rFonts w:ascii="Times New Roman"/>
                <w:spacing w:val="-1"/>
                <w:sz w:val="21"/>
              </w:rPr>
              <w:t>ZL201620997105.3</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210"/>
              <w:jc w:val="right"/>
              <w:rPr>
                <w:rFonts w:ascii="Times New Roman" w:hAnsi="Times New Roman" w:cs="Times New Roman" w:eastAsia="Times New Roman" w:hint="default"/>
                <w:sz w:val="21"/>
                <w:szCs w:val="21"/>
              </w:rPr>
            </w:pPr>
            <w:r>
              <w:rPr>
                <w:rFonts w:ascii="Times New Roman"/>
                <w:sz w:val="21"/>
              </w:rPr>
              <w:t>2016.8.30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38"/>
              <w:jc w:val="right"/>
              <w:rPr>
                <w:rFonts w:ascii="Times New Roman" w:hAnsi="Times New Roman" w:cs="Times New Roman" w:eastAsia="Times New Roman" w:hint="default"/>
                <w:sz w:val="21"/>
                <w:szCs w:val="21"/>
              </w:rPr>
            </w:pPr>
            <w:r>
              <w:rPr>
                <w:rFonts w:ascii="Times New Roman"/>
                <w:sz w:val="21"/>
              </w:rPr>
              <w:t>2017.2.15</w:t>
            </w:r>
          </w:p>
        </w:tc>
      </w:tr>
      <w:tr>
        <w:trPr>
          <w:trHeight w:val="427" w:hRule="exact"/>
        </w:trPr>
        <w:tc>
          <w:tcPr>
            <w:tcW w:w="5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0"/>
              <w:jc w:val="center"/>
              <w:rPr>
                <w:rFonts w:ascii="Times New Roman" w:hAnsi="Times New Roman" w:cs="Times New Roman" w:eastAsia="Times New Roman" w:hint="default"/>
                <w:sz w:val="21"/>
                <w:szCs w:val="21"/>
              </w:rPr>
            </w:pPr>
            <w:r>
              <w:rPr>
                <w:rFonts w:ascii="Times New Roman"/>
                <w:sz w:val="21"/>
              </w:rPr>
              <w:t>2</w:t>
            </w:r>
          </w:p>
        </w:tc>
        <w:tc>
          <w:tcPr>
            <w:tcW w:w="2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2" w:right="0"/>
              <w:jc w:val="left"/>
              <w:rPr>
                <w:rFonts w:ascii="宋体" w:hAnsi="宋体" w:cs="宋体" w:eastAsia="宋体" w:hint="default"/>
                <w:sz w:val="21"/>
                <w:szCs w:val="21"/>
              </w:rPr>
            </w:pPr>
            <w:r>
              <w:rPr>
                <w:rFonts w:ascii="宋体" w:hAnsi="宋体" w:cs="宋体" w:eastAsia="宋体" w:hint="default"/>
                <w:sz w:val="21"/>
                <w:szCs w:val="21"/>
              </w:rPr>
              <w:t>带通风结构的转辙机机盖</w:t>
            </w:r>
          </w:p>
        </w:tc>
        <w:tc>
          <w:tcPr>
            <w:tcW w:w="9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0"/>
              <w:jc w:val="center"/>
              <w:rPr>
                <w:rFonts w:ascii="宋体" w:hAnsi="宋体" w:cs="宋体" w:eastAsia="宋体" w:hint="default"/>
                <w:sz w:val="21"/>
                <w:szCs w:val="21"/>
              </w:rPr>
            </w:pPr>
            <w:r>
              <w:rPr>
                <w:rFonts w:ascii="宋体" w:hAnsi="宋体" w:cs="宋体" w:eastAsia="宋体" w:hint="default"/>
                <w:sz w:val="21"/>
                <w:szCs w:val="21"/>
              </w:rPr>
              <w:t>实用新型</w:t>
            </w:r>
          </w:p>
        </w:tc>
        <w:tc>
          <w:tcPr>
            <w:tcW w:w="10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0"/>
              <w:jc w:val="center"/>
              <w:rPr>
                <w:rFonts w:ascii="宋体" w:hAnsi="宋体" w:cs="宋体" w:eastAsia="宋体" w:hint="default"/>
                <w:sz w:val="21"/>
                <w:szCs w:val="21"/>
              </w:rPr>
            </w:pPr>
            <w:r>
              <w:rPr>
                <w:rFonts w:ascii="宋体" w:hAnsi="宋体" w:cs="宋体" w:eastAsia="宋体" w:hint="default"/>
                <w:sz w:val="21"/>
                <w:szCs w:val="21"/>
              </w:rPr>
              <w:t>自主研发</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74"/>
              <w:jc w:val="right"/>
              <w:rPr>
                <w:rFonts w:ascii="Times New Roman" w:hAnsi="Times New Roman" w:cs="Times New Roman" w:eastAsia="Times New Roman" w:hint="default"/>
                <w:sz w:val="21"/>
                <w:szCs w:val="21"/>
              </w:rPr>
            </w:pPr>
            <w:r>
              <w:rPr>
                <w:rFonts w:ascii="Times New Roman"/>
                <w:spacing w:val="-1"/>
                <w:sz w:val="21"/>
              </w:rPr>
              <w:t>ZL201620991486.4</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210"/>
              <w:jc w:val="right"/>
              <w:rPr>
                <w:rFonts w:ascii="Times New Roman" w:hAnsi="Times New Roman" w:cs="Times New Roman" w:eastAsia="Times New Roman" w:hint="default"/>
                <w:sz w:val="21"/>
                <w:szCs w:val="21"/>
              </w:rPr>
            </w:pPr>
            <w:r>
              <w:rPr>
                <w:rFonts w:ascii="Times New Roman"/>
                <w:sz w:val="21"/>
              </w:rPr>
              <w:t>2016.8.30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90"/>
              <w:jc w:val="right"/>
              <w:rPr>
                <w:rFonts w:ascii="Times New Roman" w:hAnsi="Times New Roman" w:cs="Times New Roman" w:eastAsia="Times New Roman" w:hint="default"/>
                <w:sz w:val="21"/>
                <w:szCs w:val="21"/>
              </w:rPr>
            </w:pPr>
            <w:r>
              <w:rPr>
                <w:rFonts w:ascii="Times New Roman"/>
                <w:sz w:val="21"/>
              </w:rPr>
              <w:t>2017.3.8</w:t>
            </w:r>
          </w:p>
        </w:tc>
      </w:tr>
      <w:tr>
        <w:trPr>
          <w:trHeight w:val="427" w:hRule="exact"/>
        </w:trPr>
        <w:tc>
          <w:tcPr>
            <w:tcW w:w="5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0"/>
              <w:jc w:val="center"/>
              <w:rPr>
                <w:rFonts w:ascii="Times New Roman" w:hAnsi="Times New Roman" w:cs="Times New Roman" w:eastAsia="Times New Roman" w:hint="default"/>
                <w:sz w:val="21"/>
                <w:szCs w:val="21"/>
              </w:rPr>
            </w:pPr>
            <w:r>
              <w:rPr>
                <w:rFonts w:ascii="Times New Roman"/>
                <w:sz w:val="21"/>
              </w:rPr>
              <w:t>3</w:t>
            </w:r>
          </w:p>
        </w:tc>
        <w:tc>
          <w:tcPr>
            <w:tcW w:w="2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2" w:right="0"/>
              <w:jc w:val="left"/>
              <w:rPr>
                <w:rFonts w:ascii="宋体" w:hAnsi="宋体" w:cs="宋体" w:eastAsia="宋体" w:hint="default"/>
                <w:sz w:val="21"/>
                <w:szCs w:val="21"/>
              </w:rPr>
            </w:pPr>
            <w:r>
              <w:rPr>
                <w:rFonts w:ascii="宋体" w:hAnsi="宋体" w:cs="宋体" w:eastAsia="宋体" w:hint="default"/>
                <w:sz w:val="21"/>
                <w:szCs w:val="21"/>
              </w:rPr>
              <w:t>转辙机用油缸</w:t>
            </w:r>
          </w:p>
        </w:tc>
        <w:tc>
          <w:tcPr>
            <w:tcW w:w="9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0"/>
              <w:jc w:val="center"/>
              <w:rPr>
                <w:rFonts w:ascii="宋体" w:hAnsi="宋体" w:cs="宋体" w:eastAsia="宋体" w:hint="default"/>
                <w:sz w:val="21"/>
                <w:szCs w:val="21"/>
              </w:rPr>
            </w:pPr>
            <w:r>
              <w:rPr>
                <w:rFonts w:ascii="宋体" w:hAnsi="宋体" w:cs="宋体" w:eastAsia="宋体" w:hint="default"/>
                <w:sz w:val="21"/>
                <w:szCs w:val="21"/>
              </w:rPr>
              <w:t>实用新型</w:t>
            </w:r>
          </w:p>
        </w:tc>
        <w:tc>
          <w:tcPr>
            <w:tcW w:w="10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0"/>
              <w:jc w:val="center"/>
              <w:rPr>
                <w:rFonts w:ascii="宋体" w:hAnsi="宋体" w:cs="宋体" w:eastAsia="宋体" w:hint="default"/>
                <w:sz w:val="21"/>
                <w:szCs w:val="21"/>
              </w:rPr>
            </w:pPr>
            <w:r>
              <w:rPr>
                <w:rFonts w:ascii="宋体" w:hAnsi="宋体" w:cs="宋体" w:eastAsia="宋体" w:hint="default"/>
                <w:sz w:val="21"/>
                <w:szCs w:val="21"/>
              </w:rPr>
              <w:t>自主研发</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74"/>
              <w:jc w:val="right"/>
              <w:rPr>
                <w:rFonts w:ascii="Times New Roman" w:hAnsi="Times New Roman" w:cs="Times New Roman" w:eastAsia="Times New Roman" w:hint="default"/>
                <w:sz w:val="21"/>
                <w:szCs w:val="21"/>
              </w:rPr>
            </w:pPr>
            <w:r>
              <w:rPr>
                <w:rFonts w:ascii="Times New Roman"/>
                <w:spacing w:val="-1"/>
                <w:sz w:val="21"/>
              </w:rPr>
              <w:t>ZL201620995493.1</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210"/>
              <w:jc w:val="right"/>
              <w:rPr>
                <w:rFonts w:ascii="Times New Roman" w:hAnsi="Times New Roman" w:cs="Times New Roman" w:eastAsia="Times New Roman" w:hint="default"/>
                <w:sz w:val="21"/>
                <w:szCs w:val="21"/>
              </w:rPr>
            </w:pPr>
            <w:r>
              <w:rPr>
                <w:rFonts w:ascii="Times New Roman"/>
                <w:sz w:val="21"/>
              </w:rPr>
              <w:t>2016.8.30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38"/>
              <w:jc w:val="right"/>
              <w:rPr>
                <w:rFonts w:ascii="Times New Roman" w:hAnsi="Times New Roman" w:cs="Times New Roman" w:eastAsia="Times New Roman" w:hint="default"/>
                <w:sz w:val="21"/>
                <w:szCs w:val="21"/>
              </w:rPr>
            </w:pPr>
            <w:r>
              <w:rPr>
                <w:rFonts w:ascii="Times New Roman"/>
                <w:sz w:val="21"/>
              </w:rPr>
              <w:t>2017.2.22</w:t>
            </w:r>
          </w:p>
        </w:tc>
      </w:tr>
      <w:tr>
        <w:trPr>
          <w:trHeight w:val="427" w:hRule="exact"/>
        </w:trPr>
        <w:tc>
          <w:tcPr>
            <w:tcW w:w="5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0"/>
              <w:jc w:val="center"/>
              <w:rPr>
                <w:rFonts w:ascii="Times New Roman" w:hAnsi="Times New Roman" w:cs="Times New Roman" w:eastAsia="Times New Roman" w:hint="default"/>
                <w:sz w:val="21"/>
                <w:szCs w:val="21"/>
              </w:rPr>
            </w:pPr>
            <w:r>
              <w:rPr>
                <w:rFonts w:ascii="Times New Roman"/>
                <w:sz w:val="21"/>
              </w:rPr>
              <w:t>4</w:t>
            </w:r>
          </w:p>
        </w:tc>
        <w:tc>
          <w:tcPr>
            <w:tcW w:w="2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2" w:right="0"/>
              <w:jc w:val="left"/>
              <w:rPr>
                <w:rFonts w:ascii="宋体" w:hAnsi="宋体" w:cs="宋体" w:eastAsia="宋体" w:hint="default"/>
                <w:sz w:val="21"/>
                <w:szCs w:val="21"/>
              </w:rPr>
            </w:pPr>
            <w:r>
              <w:rPr>
                <w:rFonts w:ascii="宋体" w:hAnsi="宋体" w:cs="宋体" w:eastAsia="宋体" w:hint="default"/>
                <w:sz w:val="21"/>
                <w:szCs w:val="21"/>
              </w:rPr>
              <w:t>双向截止阀</w:t>
            </w:r>
          </w:p>
        </w:tc>
        <w:tc>
          <w:tcPr>
            <w:tcW w:w="9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0"/>
              <w:jc w:val="center"/>
              <w:rPr>
                <w:rFonts w:ascii="宋体" w:hAnsi="宋体" w:cs="宋体" w:eastAsia="宋体" w:hint="default"/>
                <w:sz w:val="21"/>
                <w:szCs w:val="21"/>
              </w:rPr>
            </w:pPr>
            <w:r>
              <w:rPr>
                <w:rFonts w:ascii="宋体" w:hAnsi="宋体" w:cs="宋体" w:eastAsia="宋体" w:hint="default"/>
                <w:sz w:val="21"/>
                <w:szCs w:val="21"/>
              </w:rPr>
              <w:t>实用新型</w:t>
            </w:r>
          </w:p>
        </w:tc>
        <w:tc>
          <w:tcPr>
            <w:tcW w:w="10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0"/>
              <w:jc w:val="center"/>
              <w:rPr>
                <w:rFonts w:ascii="宋体" w:hAnsi="宋体" w:cs="宋体" w:eastAsia="宋体" w:hint="default"/>
                <w:sz w:val="21"/>
                <w:szCs w:val="21"/>
              </w:rPr>
            </w:pPr>
            <w:r>
              <w:rPr>
                <w:rFonts w:ascii="宋体" w:hAnsi="宋体" w:cs="宋体" w:eastAsia="宋体" w:hint="default"/>
                <w:sz w:val="21"/>
                <w:szCs w:val="21"/>
              </w:rPr>
              <w:t>自主研发</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74"/>
              <w:jc w:val="right"/>
              <w:rPr>
                <w:rFonts w:ascii="Times New Roman" w:hAnsi="Times New Roman" w:cs="Times New Roman" w:eastAsia="Times New Roman" w:hint="default"/>
                <w:sz w:val="21"/>
                <w:szCs w:val="21"/>
              </w:rPr>
            </w:pPr>
            <w:r>
              <w:rPr>
                <w:rFonts w:ascii="Times New Roman"/>
                <w:spacing w:val="-1"/>
                <w:sz w:val="21"/>
              </w:rPr>
              <w:t>ZL201620996875.6</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210"/>
              <w:jc w:val="right"/>
              <w:rPr>
                <w:rFonts w:ascii="Times New Roman" w:hAnsi="Times New Roman" w:cs="Times New Roman" w:eastAsia="Times New Roman" w:hint="default"/>
                <w:sz w:val="21"/>
                <w:szCs w:val="21"/>
              </w:rPr>
            </w:pPr>
            <w:r>
              <w:rPr>
                <w:rFonts w:ascii="Times New Roman"/>
                <w:sz w:val="21"/>
              </w:rPr>
              <w:t>2016.8.30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38"/>
              <w:jc w:val="right"/>
              <w:rPr>
                <w:rFonts w:ascii="Times New Roman" w:hAnsi="Times New Roman" w:cs="Times New Roman" w:eastAsia="Times New Roman" w:hint="default"/>
                <w:sz w:val="21"/>
                <w:szCs w:val="21"/>
              </w:rPr>
            </w:pPr>
            <w:r>
              <w:rPr>
                <w:rFonts w:ascii="Times New Roman"/>
                <w:sz w:val="21"/>
              </w:rPr>
              <w:t>2017.2.15</w:t>
            </w:r>
          </w:p>
        </w:tc>
      </w:tr>
      <w:tr>
        <w:trPr>
          <w:trHeight w:val="427" w:hRule="exact"/>
        </w:trPr>
        <w:tc>
          <w:tcPr>
            <w:tcW w:w="5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0"/>
              <w:jc w:val="center"/>
              <w:rPr>
                <w:rFonts w:ascii="Times New Roman" w:hAnsi="Times New Roman" w:cs="Times New Roman" w:eastAsia="Times New Roman" w:hint="default"/>
                <w:sz w:val="21"/>
                <w:szCs w:val="21"/>
              </w:rPr>
            </w:pPr>
            <w:r>
              <w:rPr>
                <w:rFonts w:ascii="Times New Roman"/>
                <w:sz w:val="21"/>
              </w:rPr>
              <w:t>5</w:t>
            </w:r>
          </w:p>
        </w:tc>
        <w:tc>
          <w:tcPr>
            <w:tcW w:w="2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2" w:right="0"/>
              <w:jc w:val="left"/>
              <w:rPr>
                <w:rFonts w:ascii="宋体" w:hAnsi="宋体" w:cs="宋体" w:eastAsia="宋体" w:hint="default"/>
                <w:sz w:val="21"/>
                <w:szCs w:val="21"/>
              </w:rPr>
            </w:pPr>
            <w:r>
              <w:rPr>
                <w:rFonts w:ascii="宋体" w:hAnsi="宋体" w:cs="宋体" w:eastAsia="宋体" w:hint="default"/>
                <w:sz w:val="21"/>
                <w:szCs w:val="21"/>
              </w:rPr>
              <w:t>动作锁闭分离式电液转辙机</w:t>
            </w:r>
          </w:p>
        </w:tc>
        <w:tc>
          <w:tcPr>
            <w:tcW w:w="9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0"/>
              <w:jc w:val="center"/>
              <w:rPr>
                <w:rFonts w:ascii="宋体" w:hAnsi="宋体" w:cs="宋体" w:eastAsia="宋体" w:hint="default"/>
                <w:sz w:val="21"/>
                <w:szCs w:val="21"/>
              </w:rPr>
            </w:pPr>
            <w:r>
              <w:rPr>
                <w:rFonts w:ascii="宋体" w:hAnsi="宋体" w:cs="宋体" w:eastAsia="宋体" w:hint="default"/>
                <w:sz w:val="21"/>
                <w:szCs w:val="21"/>
              </w:rPr>
              <w:t>实用新型</w:t>
            </w:r>
          </w:p>
        </w:tc>
        <w:tc>
          <w:tcPr>
            <w:tcW w:w="10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0"/>
              <w:jc w:val="center"/>
              <w:rPr>
                <w:rFonts w:ascii="宋体" w:hAnsi="宋体" w:cs="宋体" w:eastAsia="宋体" w:hint="default"/>
                <w:sz w:val="21"/>
                <w:szCs w:val="21"/>
              </w:rPr>
            </w:pPr>
            <w:r>
              <w:rPr>
                <w:rFonts w:ascii="宋体" w:hAnsi="宋体" w:cs="宋体" w:eastAsia="宋体" w:hint="default"/>
                <w:sz w:val="21"/>
                <w:szCs w:val="21"/>
              </w:rPr>
              <w:t>自主研发</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74"/>
              <w:jc w:val="right"/>
              <w:rPr>
                <w:rFonts w:ascii="Times New Roman" w:hAnsi="Times New Roman" w:cs="Times New Roman" w:eastAsia="Times New Roman" w:hint="default"/>
                <w:sz w:val="21"/>
                <w:szCs w:val="21"/>
              </w:rPr>
            </w:pPr>
            <w:r>
              <w:rPr>
                <w:rFonts w:ascii="Times New Roman"/>
                <w:spacing w:val="-1"/>
                <w:sz w:val="21"/>
              </w:rPr>
              <w:t>ZL201621006153.8</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210"/>
              <w:jc w:val="right"/>
              <w:rPr>
                <w:rFonts w:ascii="Times New Roman" w:hAnsi="Times New Roman" w:cs="Times New Roman" w:eastAsia="Times New Roman" w:hint="default"/>
                <w:sz w:val="21"/>
                <w:szCs w:val="21"/>
              </w:rPr>
            </w:pPr>
            <w:r>
              <w:rPr>
                <w:rFonts w:ascii="Times New Roman"/>
                <w:sz w:val="21"/>
              </w:rPr>
              <w:t>2016.8.30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38"/>
              <w:jc w:val="right"/>
              <w:rPr>
                <w:rFonts w:ascii="Times New Roman" w:hAnsi="Times New Roman" w:cs="Times New Roman" w:eastAsia="Times New Roman" w:hint="default"/>
                <w:sz w:val="21"/>
                <w:szCs w:val="21"/>
              </w:rPr>
            </w:pPr>
            <w:r>
              <w:rPr>
                <w:rFonts w:ascii="Times New Roman"/>
                <w:sz w:val="21"/>
              </w:rPr>
              <w:t>2017.2.22</w:t>
            </w:r>
          </w:p>
        </w:tc>
      </w:tr>
      <w:tr>
        <w:trPr>
          <w:trHeight w:val="659" w:hRule="exact"/>
        </w:trPr>
        <w:tc>
          <w:tcPr>
            <w:tcW w:w="5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center"/>
              <w:rPr>
                <w:rFonts w:ascii="Times New Roman" w:hAnsi="Times New Roman" w:cs="Times New Roman" w:eastAsia="Times New Roman" w:hint="default"/>
                <w:sz w:val="21"/>
                <w:szCs w:val="21"/>
              </w:rPr>
            </w:pPr>
            <w:r>
              <w:rPr>
                <w:rFonts w:ascii="Times New Roman"/>
                <w:sz w:val="21"/>
              </w:rPr>
              <w:t>6</w:t>
            </w:r>
          </w:p>
        </w:tc>
        <w:tc>
          <w:tcPr>
            <w:tcW w:w="2561"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 w:right="3"/>
              <w:jc w:val="left"/>
              <w:rPr>
                <w:rFonts w:ascii="宋体" w:hAnsi="宋体" w:cs="宋体" w:eastAsia="宋体" w:hint="default"/>
                <w:sz w:val="21"/>
                <w:szCs w:val="21"/>
              </w:rPr>
            </w:pPr>
            <w:r>
              <w:rPr>
                <w:rFonts w:ascii="宋体" w:hAnsi="宋体" w:cs="宋体" w:eastAsia="宋体" w:hint="default"/>
                <w:sz w:val="21"/>
                <w:szCs w:val="21"/>
              </w:rPr>
              <w:t>一种三相交流电压信号的相</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位检测装置</w:t>
            </w:r>
          </w:p>
        </w:tc>
        <w:tc>
          <w:tcPr>
            <w:tcW w:w="993"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0"/>
              <w:jc w:val="center"/>
              <w:rPr>
                <w:rFonts w:ascii="宋体" w:hAnsi="宋体" w:cs="宋体" w:eastAsia="宋体" w:hint="default"/>
                <w:sz w:val="21"/>
                <w:szCs w:val="21"/>
              </w:rPr>
            </w:pPr>
            <w:r>
              <w:rPr>
                <w:rFonts w:ascii="宋体" w:hAnsi="宋体" w:cs="宋体" w:eastAsia="宋体" w:hint="default"/>
                <w:sz w:val="21"/>
                <w:szCs w:val="21"/>
              </w:rPr>
              <w:t>实用新型</w:t>
            </w:r>
          </w:p>
        </w:tc>
        <w:tc>
          <w:tcPr>
            <w:tcW w:w="1018"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0"/>
              <w:jc w:val="center"/>
              <w:rPr>
                <w:rFonts w:ascii="宋体" w:hAnsi="宋体" w:cs="宋体" w:eastAsia="宋体" w:hint="default"/>
                <w:sz w:val="21"/>
                <w:szCs w:val="21"/>
              </w:rPr>
            </w:pPr>
            <w:r>
              <w:rPr>
                <w:rFonts w:ascii="宋体" w:hAnsi="宋体" w:cs="宋体" w:eastAsia="宋体" w:hint="default"/>
                <w:sz w:val="21"/>
                <w:szCs w:val="21"/>
              </w:rPr>
              <w:t>自主研发</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74"/>
              <w:jc w:val="right"/>
              <w:rPr>
                <w:rFonts w:ascii="Times New Roman" w:hAnsi="Times New Roman" w:cs="Times New Roman" w:eastAsia="Times New Roman" w:hint="default"/>
                <w:sz w:val="21"/>
                <w:szCs w:val="21"/>
              </w:rPr>
            </w:pPr>
            <w:r>
              <w:rPr>
                <w:rFonts w:ascii="Times New Roman"/>
                <w:spacing w:val="-1"/>
                <w:sz w:val="21"/>
              </w:rPr>
              <w:t>ZL201620794782.5</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210"/>
              <w:jc w:val="right"/>
              <w:rPr>
                <w:rFonts w:ascii="Times New Roman" w:hAnsi="Times New Roman" w:cs="Times New Roman" w:eastAsia="Times New Roman" w:hint="default"/>
                <w:sz w:val="21"/>
                <w:szCs w:val="21"/>
              </w:rPr>
            </w:pPr>
            <w:r>
              <w:rPr>
                <w:rFonts w:ascii="Times New Roman"/>
                <w:sz w:val="21"/>
              </w:rPr>
              <w:t>2016.7.26</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90"/>
              <w:jc w:val="right"/>
              <w:rPr>
                <w:rFonts w:ascii="Times New Roman" w:hAnsi="Times New Roman" w:cs="Times New Roman" w:eastAsia="Times New Roman" w:hint="default"/>
                <w:sz w:val="21"/>
                <w:szCs w:val="21"/>
              </w:rPr>
            </w:pPr>
            <w:r>
              <w:rPr>
                <w:rFonts w:ascii="Times New Roman"/>
                <w:sz w:val="21"/>
              </w:rPr>
              <w:t>2017.2.8</w:t>
            </w:r>
          </w:p>
        </w:tc>
      </w:tr>
      <w:tr>
        <w:trPr>
          <w:trHeight w:val="427" w:hRule="exact"/>
        </w:trPr>
        <w:tc>
          <w:tcPr>
            <w:tcW w:w="5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0"/>
              <w:jc w:val="center"/>
              <w:rPr>
                <w:rFonts w:ascii="Times New Roman" w:hAnsi="Times New Roman" w:cs="Times New Roman" w:eastAsia="Times New Roman" w:hint="default"/>
                <w:sz w:val="21"/>
                <w:szCs w:val="21"/>
              </w:rPr>
            </w:pPr>
            <w:r>
              <w:rPr>
                <w:rFonts w:ascii="Times New Roman"/>
                <w:sz w:val="21"/>
              </w:rPr>
              <w:t>7</w:t>
            </w:r>
          </w:p>
        </w:tc>
        <w:tc>
          <w:tcPr>
            <w:tcW w:w="2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2" w:right="0"/>
              <w:jc w:val="left"/>
              <w:rPr>
                <w:rFonts w:ascii="宋体" w:hAnsi="宋体" w:cs="宋体" w:eastAsia="宋体" w:hint="default"/>
                <w:sz w:val="21"/>
                <w:szCs w:val="21"/>
              </w:rPr>
            </w:pPr>
            <w:r>
              <w:rPr>
                <w:rFonts w:ascii="宋体" w:hAnsi="宋体" w:cs="宋体" w:eastAsia="宋体" w:hint="default"/>
                <w:sz w:val="21"/>
                <w:szCs w:val="21"/>
              </w:rPr>
              <w:t>一种火车智能叫醒座椅</w:t>
            </w:r>
          </w:p>
        </w:tc>
        <w:tc>
          <w:tcPr>
            <w:tcW w:w="9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0"/>
              <w:jc w:val="center"/>
              <w:rPr>
                <w:rFonts w:ascii="宋体" w:hAnsi="宋体" w:cs="宋体" w:eastAsia="宋体" w:hint="default"/>
                <w:sz w:val="21"/>
                <w:szCs w:val="21"/>
              </w:rPr>
            </w:pPr>
            <w:r>
              <w:rPr>
                <w:rFonts w:ascii="宋体" w:hAnsi="宋体" w:cs="宋体" w:eastAsia="宋体" w:hint="default"/>
                <w:sz w:val="21"/>
                <w:szCs w:val="21"/>
              </w:rPr>
              <w:t>实用新型</w:t>
            </w:r>
          </w:p>
        </w:tc>
        <w:tc>
          <w:tcPr>
            <w:tcW w:w="10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0"/>
              <w:jc w:val="center"/>
              <w:rPr>
                <w:rFonts w:ascii="宋体" w:hAnsi="宋体" w:cs="宋体" w:eastAsia="宋体" w:hint="default"/>
                <w:sz w:val="21"/>
                <w:szCs w:val="21"/>
              </w:rPr>
            </w:pPr>
            <w:r>
              <w:rPr>
                <w:rFonts w:ascii="宋体" w:hAnsi="宋体" w:cs="宋体" w:eastAsia="宋体" w:hint="default"/>
                <w:sz w:val="21"/>
                <w:szCs w:val="21"/>
              </w:rPr>
              <w:t>自主研发</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74"/>
              <w:jc w:val="right"/>
              <w:rPr>
                <w:rFonts w:ascii="Times New Roman" w:hAnsi="Times New Roman" w:cs="Times New Roman" w:eastAsia="Times New Roman" w:hint="default"/>
                <w:sz w:val="21"/>
                <w:szCs w:val="21"/>
              </w:rPr>
            </w:pPr>
            <w:r>
              <w:rPr>
                <w:rFonts w:ascii="Times New Roman"/>
                <w:spacing w:val="-1"/>
                <w:sz w:val="21"/>
              </w:rPr>
              <w:t>ZL201621483370.6</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55"/>
              <w:jc w:val="right"/>
              <w:rPr>
                <w:rFonts w:ascii="Times New Roman" w:hAnsi="Times New Roman" w:cs="Times New Roman" w:eastAsia="Times New Roman" w:hint="default"/>
                <w:sz w:val="21"/>
                <w:szCs w:val="21"/>
              </w:rPr>
            </w:pPr>
            <w:r>
              <w:rPr>
                <w:rFonts w:ascii="Times New Roman"/>
                <w:sz w:val="21"/>
              </w:rPr>
              <w:t>2016.12.30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38"/>
              <w:jc w:val="right"/>
              <w:rPr>
                <w:rFonts w:ascii="Times New Roman" w:hAnsi="Times New Roman" w:cs="Times New Roman" w:eastAsia="Times New Roman" w:hint="default"/>
                <w:sz w:val="21"/>
                <w:szCs w:val="21"/>
              </w:rPr>
            </w:pPr>
            <w:r>
              <w:rPr>
                <w:rFonts w:ascii="Times New Roman"/>
                <w:sz w:val="21"/>
              </w:rPr>
              <w:t>2017.8.18</w:t>
            </w:r>
          </w:p>
        </w:tc>
      </w:tr>
      <w:tr>
        <w:trPr>
          <w:trHeight w:val="738" w:hRule="exact"/>
        </w:trPr>
        <w:tc>
          <w:tcPr>
            <w:tcW w:w="5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0"/>
              <w:jc w:val="center"/>
              <w:rPr>
                <w:rFonts w:ascii="Times New Roman" w:hAnsi="Times New Roman" w:cs="Times New Roman" w:eastAsia="Times New Roman" w:hint="default"/>
                <w:sz w:val="21"/>
                <w:szCs w:val="21"/>
              </w:rPr>
            </w:pPr>
            <w:r>
              <w:rPr>
                <w:rFonts w:ascii="Times New Roman"/>
                <w:sz w:val="21"/>
              </w:rPr>
              <w:t>8</w:t>
            </w:r>
          </w:p>
        </w:tc>
        <w:tc>
          <w:tcPr>
            <w:tcW w:w="2561"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35"/>
              <w:ind w:left="2" w:right="3"/>
              <w:jc w:val="left"/>
              <w:rPr>
                <w:rFonts w:ascii="宋体" w:hAnsi="宋体" w:cs="宋体" w:eastAsia="宋体" w:hint="default"/>
                <w:sz w:val="21"/>
                <w:szCs w:val="21"/>
              </w:rPr>
            </w:pPr>
            <w:r>
              <w:rPr>
                <w:rFonts w:ascii="宋体" w:hAnsi="宋体" w:cs="宋体" w:eastAsia="宋体" w:hint="default"/>
                <w:sz w:val="21"/>
                <w:szCs w:val="21"/>
              </w:rPr>
              <w:t>一种用于火车车厢的排烟装</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置</w:t>
            </w:r>
          </w:p>
        </w:tc>
        <w:tc>
          <w:tcPr>
            <w:tcW w:w="9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宋体" w:hAnsi="宋体" w:cs="宋体" w:eastAsia="宋体" w:hint="default"/>
                <w:sz w:val="21"/>
                <w:szCs w:val="21"/>
              </w:rPr>
            </w:pPr>
            <w:r>
              <w:rPr>
                <w:rFonts w:ascii="宋体" w:hAnsi="宋体" w:cs="宋体" w:eastAsia="宋体" w:hint="default"/>
                <w:sz w:val="21"/>
                <w:szCs w:val="21"/>
              </w:rPr>
              <w:t>实用新型</w:t>
            </w:r>
          </w:p>
        </w:tc>
        <w:tc>
          <w:tcPr>
            <w:tcW w:w="10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宋体" w:hAnsi="宋体" w:cs="宋体" w:eastAsia="宋体" w:hint="default"/>
                <w:sz w:val="21"/>
                <w:szCs w:val="21"/>
              </w:rPr>
            </w:pPr>
            <w:r>
              <w:rPr>
                <w:rFonts w:ascii="宋体" w:hAnsi="宋体" w:cs="宋体" w:eastAsia="宋体" w:hint="default"/>
                <w:sz w:val="21"/>
                <w:szCs w:val="21"/>
              </w:rPr>
              <w:t>自主研发</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74"/>
              <w:jc w:val="right"/>
              <w:rPr>
                <w:rFonts w:ascii="Times New Roman" w:hAnsi="Times New Roman" w:cs="Times New Roman" w:eastAsia="Times New Roman" w:hint="default"/>
                <w:sz w:val="21"/>
                <w:szCs w:val="21"/>
              </w:rPr>
            </w:pPr>
            <w:r>
              <w:rPr>
                <w:rFonts w:ascii="Times New Roman"/>
                <w:spacing w:val="-1"/>
                <w:sz w:val="21"/>
              </w:rPr>
              <w:t>ZL201720009538.8</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261"/>
              <w:jc w:val="right"/>
              <w:rPr>
                <w:rFonts w:ascii="Times New Roman" w:hAnsi="Times New Roman" w:cs="Times New Roman" w:eastAsia="Times New Roman" w:hint="default"/>
                <w:sz w:val="21"/>
                <w:szCs w:val="21"/>
              </w:rPr>
            </w:pPr>
            <w:r>
              <w:rPr>
                <w:rFonts w:ascii="Times New Roman"/>
                <w:sz w:val="21"/>
              </w:rPr>
              <w:t>2017.1.5</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138"/>
              <w:jc w:val="right"/>
              <w:rPr>
                <w:rFonts w:ascii="Times New Roman" w:hAnsi="Times New Roman" w:cs="Times New Roman" w:eastAsia="Times New Roman" w:hint="default"/>
                <w:sz w:val="21"/>
                <w:szCs w:val="21"/>
              </w:rPr>
            </w:pPr>
            <w:r>
              <w:rPr>
                <w:rFonts w:ascii="Times New Roman"/>
                <w:sz w:val="21"/>
              </w:rPr>
              <w:t>2017.8.22</w:t>
            </w:r>
          </w:p>
        </w:tc>
      </w:tr>
      <w:tr>
        <w:trPr>
          <w:trHeight w:val="427" w:hRule="exact"/>
        </w:trPr>
        <w:tc>
          <w:tcPr>
            <w:tcW w:w="5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0"/>
              <w:jc w:val="center"/>
              <w:rPr>
                <w:rFonts w:ascii="Times New Roman" w:hAnsi="Times New Roman" w:cs="Times New Roman" w:eastAsia="Times New Roman" w:hint="default"/>
                <w:sz w:val="21"/>
                <w:szCs w:val="21"/>
              </w:rPr>
            </w:pPr>
            <w:r>
              <w:rPr>
                <w:rFonts w:ascii="Times New Roman"/>
                <w:sz w:val="21"/>
              </w:rPr>
              <w:t>9</w:t>
            </w:r>
          </w:p>
        </w:tc>
        <w:tc>
          <w:tcPr>
            <w:tcW w:w="2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2" w:right="0"/>
              <w:jc w:val="left"/>
              <w:rPr>
                <w:rFonts w:ascii="宋体" w:hAnsi="宋体" w:cs="宋体" w:eastAsia="宋体" w:hint="default"/>
                <w:sz w:val="21"/>
                <w:szCs w:val="21"/>
              </w:rPr>
            </w:pPr>
            <w:r>
              <w:rPr>
                <w:rFonts w:ascii="宋体" w:hAnsi="宋体" w:cs="宋体" w:eastAsia="宋体" w:hint="default"/>
                <w:sz w:val="21"/>
                <w:szCs w:val="21"/>
              </w:rPr>
              <w:t>一种用于火车车厢的悬挂车</w:t>
            </w:r>
          </w:p>
        </w:tc>
        <w:tc>
          <w:tcPr>
            <w:tcW w:w="9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0"/>
              <w:jc w:val="center"/>
              <w:rPr>
                <w:rFonts w:ascii="宋体" w:hAnsi="宋体" w:cs="宋体" w:eastAsia="宋体" w:hint="default"/>
                <w:sz w:val="21"/>
                <w:szCs w:val="21"/>
              </w:rPr>
            </w:pPr>
            <w:r>
              <w:rPr>
                <w:rFonts w:ascii="宋体" w:hAnsi="宋体" w:cs="宋体" w:eastAsia="宋体" w:hint="default"/>
                <w:sz w:val="21"/>
                <w:szCs w:val="21"/>
              </w:rPr>
              <w:t>实用新型</w:t>
            </w:r>
          </w:p>
        </w:tc>
        <w:tc>
          <w:tcPr>
            <w:tcW w:w="10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0"/>
              <w:jc w:val="center"/>
              <w:rPr>
                <w:rFonts w:ascii="宋体" w:hAnsi="宋体" w:cs="宋体" w:eastAsia="宋体" w:hint="default"/>
                <w:sz w:val="21"/>
                <w:szCs w:val="21"/>
              </w:rPr>
            </w:pPr>
            <w:r>
              <w:rPr>
                <w:rFonts w:ascii="宋体" w:hAnsi="宋体" w:cs="宋体" w:eastAsia="宋体" w:hint="default"/>
                <w:sz w:val="21"/>
                <w:szCs w:val="21"/>
              </w:rPr>
              <w:t>自主研发</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74"/>
              <w:jc w:val="right"/>
              <w:rPr>
                <w:rFonts w:ascii="Times New Roman" w:hAnsi="Times New Roman" w:cs="Times New Roman" w:eastAsia="Times New Roman" w:hint="default"/>
                <w:sz w:val="21"/>
                <w:szCs w:val="21"/>
              </w:rPr>
            </w:pPr>
            <w:r>
              <w:rPr>
                <w:rFonts w:ascii="Times New Roman"/>
                <w:spacing w:val="-1"/>
                <w:sz w:val="21"/>
              </w:rPr>
              <w:t>ZL201720009619.8</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261"/>
              <w:jc w:val="right"/>
              <w:rPr>
                <w:rFonts w:ascii="Times New Roman" w:hAnsi="Times New Roman" w:cs="Times New Roman" w:eastAsia="Times New Roman" w:hint="default"/>
                <w:sz w:val="21"/>
                <w:szCs w:val="21"/>
              </w:rPr>
            </w:pPr>
            <w:r>
              <w:rPr>
                <w:rFonts w:ascii="Times New Roman"/>
                <w:sz w:val="21"/>
              </w:rPr>
              <w:t>2017.1.5</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38"/>
              <w:jc w:val="right"/>
              <w:rPr>
                <w:rFonts w:ascii="Times New Roman" w:hAnsi="Times New Roman" w:cs="Times New Roman" w:eastAsia="Times New Roman" w:hint="default"/>
                <w:sz w:val="21"/>
                <w:szCs w:val="21"/>
              </w:rPr>
            </w:pPr>
            <w:r>
              <w:rPr>
                <w:rFonts w:ascii="Times New Roman"/>
                <w:sz w:val="21"/>
              </w:rPr>
              <w:t>2017.8.22</w:t>
            </w:r>
          </w:p>
        </w:tc>
      </w:tr>
      <w:tr>
        <w:trPr>
          <w:trHeight w:val="427" w:hRule="exact"/>
        </w:trPr>
        <w:tc>
          <w:tcPr>
            <w:tcW w:w="5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0"/>
              <w:jc w:val="center"/>
              <w:rPr>
                <w:rFonts w:ascii="Times New Roman" w:hAnsi="Times New Roman" w:cs="Times New Roman" w:eastAsia="Times New Roman" w:hint="default"/>
                <w:sz w:val="21"/>
                <w:szCs w:val="21"/>
              </w:rPr>
            </w:pPr>
            <w:r>
              <w:rPr>
                <w:rFonts w:ascii="Times New Roman"/>
                <w:sz w:val="21"/>
              </w:rPr>
              <w:t>10</w:t>
            </w:r>
          </w:p>
        </w:tc>
        <w:tc>
          <w:tcPr>
            <w:tcW w:w="2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2" w:right="0"/>
              <w:jc w:val="left"/>
              <w:rPr>
                <w:rFonts w:ascii="宋体" w:hAnsi="宋体" w:cs="宋体" w:eastAsia="宋体" w:hint="default"/>
                <w:sz w:val="21"/>
                <w:szCs w:val="21"/>
              </w:rPr>
            </w:pPr>
            <w:r>
              <w:rPr>
                <w:rFonts w:ascii="宋体" w:hAnsi="宋体" w:cs="宋体" w:eastAsia="宋体" w:hint="default"/>
                <w:sz w:val="21"/>
                <w:szCs w:val="21"/>
              </w:rPr>
              <w:t>一种多用途站台护栏</w:t>
            </w:r>
          </w:p>
        </w:tc>
        <w:tc>
          <w:tcPr>
            <w:tcW w:w="9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0"/>
              <w:jc w:val="center"/>
              <w:rPr>
                <w:rFonts w:ascii="宋体" w:hAnsi="宋体" w:cs="宋体" w:eastAsia="宋体" w:hint="default"/>
                <w:sz w:val="21"/>
                <w:szCs w:val="21"/>
              </w:rPr>
            </w:pPr>
            <w:r>
              <w:rPr>
                <w:rFonts w:ascii="宋体" w:hAnsi="宋体" w:cs="宋体" w:eastAsia="宋体" w:hint="default"/>
                <w:sz w:val="21"/>
                <w:szCs w:val="21"/>
              </w:rPr>
              <w:t>实用新型</w:t>
            </w:r>
          </w:p>
        </w:tc>
        <w:tc>
          <w:tcPr>
            <w:tcW w:w="10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0"/>
              <w:jc w:val="center"/>
              <w:rPr>
                <w:rFonts w:ascii="宋体" w:hAnsi="宋体" w:cs="宋体" w:eastAsia="宋体" w:hint="default"/>
                <w:sz w:val="21"/>
                <w:szCs w:val="21"/>
              </w:rPr>
            </w:pPr>
            <w:r>
              <w:rPr>
                <w:rFonts w:ascii="宋体" w:hAnsi="宋体" w:cs="宋体" w:eastAsia="宋体" w:hint="default"/>
                <w:sz w:val="21"/>
                <w:szCs w:val="21"/>
              </w:rPr>
              <w:t>自主研发</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74"/>
              <w:jc w:val="right"/>
              <w:rPr>
                <w:rFonts w:ascii="Times New Roman" w:hAnsi="Times New Roman" w:cs="Times New Roman" w:eastAsia="Times New Roman" w:hint="default"/>
                <w:sz w:val="21"/>
                <w:szCs w:val="21"/>
              </w:rPr>
            </w:pPr>
            <w:r>
              <w:rPr>
                <w:rFonts w:ascii="Times New Roman"/>
                <w:spacing w:val="-1"/>
                <w:sz w:val="21"/>
              </w:rPr>
              <w:t>ZL201720009539.2</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261"/>
              <w:jc w:val="right"/>
              <w:rPr>
                <w:rFonts w:ascii="Times New Roman" w:hAnsi="Times New Roman" w:cs="Times New Roman" w:eastAsia="Times New Roman" w:hint="default"/>
                <w:sz w:val="21"/>
                <w:szCs w:val="21"/>
              </w:rPr>
            </w:pPr>
            <w:r>
              <w:rPr>
                <w:rFonts w:ascii="Times New Roman"/>
                <w:sz w:val="21"/>
              </w:rPr>
              <w:t>2017.1.5</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38"/>
              <w:jc w:val="right"/>
              <w:rPr>
                <w:rFonts w:ascii="Times New Roman" w:hAnsi="Times New Roman" w:cs="Times New Roman" w:eastAsia="Times New Roman" w:hint="default"/>
                <w:sz w:val="21"/>
                <w:szCs w:val="21"/>
              </w:rPr>
            </w:pPr>
            <w:r>
              <w:rPr>
                <w:rFonts w:ascii="Times New Roman"/>
                <w:sz w:val="21"/>
              </w:rPr>
              <w:t>2017.8.22</w:t>
            </w:r>
          </w:p>
        </w:tc>
      </w:tr>
      <w:tr>
        <w:trPr>
          <w:trHeight w:val="659" w:hRule="exact"/>
        </w:trPr>
        <w:tc>
          <w:tcPr>
            <w:tcW w:w="5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center"/>
              <w:rPr>
                <w:rFonts w:ascii="Times New Roman" w:hAnsi="Times New Roman" w:cs="Times New Roman" w:eastAsia="Times New Roman" w:hint="default"/>
                <w:sz w:val="21"/>
                <w:szCs w:val="21"/>
              </w:rPr>
            </w:pPr>
            <w:r>
              <w:rPr>
                <w:rFonts w:ascii="Times New Roman"/>
                <w:sz w:val="21"/>
              </w:rPr>
              <w:t>11</w:t>
            </w:r>
          </w:p>
        </w:tc>
        <w:tc>
          <w:tcPr>
            <w:tcW w:w="2561"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 w:right="3"/>
              <w:jc w:val="left"/>
              <w:rPr>
                <w:rFonts w:ascii="宋体" w:hAnsi="宋体" w:cs="宋体" w:eastAsia="宋体" w:hint="default"/>
                <w:sz w:val="21"/>
                <w:szCs w:val="21"/>
              </w:rPr>
            </w:pPr>
            <w:r>
              <w:rPr>
                <w:rFonts w:ascii="宋体" w:hAnsi="宋体" w:cs="宋体" w:eastAsia="宋体" w:hint="default"/>
                <w:sz w:val="21"/>
                <w:szCs w:val="21"/>
              </w:rPr>
              <w:t>一种便携式机车北斗数据采</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集设备</w:t>
            </w:r>
          </w:p>
        </w:tc>
        <w:tc>
          <w:tcPr>
            <w:tcW w:w="993"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实用新型</w:t>
            </w:r>
          </w:p>
        </w:tc>
        <w:tc>
          <w:tcPr>
            <w:tcW w:w="1018"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自主研发</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74"/>
              <w:jc w:val="right"/>
              <w:rPr>
                <w:rFonts w:ascii="Times New Roman" w:hAnsi="Times New Roman" w:cs="Times New Roman" w:eastAsia="Times New Roman" w:hint="default"/>
                <w:sz w:val="21"/>
                <w:szCs w:val="21"/>
              </w:rPr>
            </w:pPr>
            <w:r>
              <w:rPr>
                <w:rFonts w:ascii="Times New Roman"/>
                <w:spacing w:val="-1"/>
                <w:sz w:val="21"/>
              </w:rPr>
              <w:t>ZL201621483371.0</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55"/>
              <w:jc w:val="right"/>
              <w:rPr>
                <w:rFonts w:ascii="Times New Roman" w:hAnsi="Times New Roman" w:cs="Times New Roman" w:eastAsia="Times New Roman" w:hint="default"/>
                <w:sz w:val="21"/>
                <w:szCs w:val="21"/>
              </w:rPr>
            </w:pPr>
            <w:r>
              <w:rPr>
                <w:rFonts w:ascii="Times New Roman"/>
                <w:sz w:val="21"/>
              </w:rPr>
              <w:t>2016.12.30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38"/>
              <w:jc w:val="right"/>
              <w:rPr>
                <w:rFonts w:ascii="Times New Roman" w:hAnsi="Times New Roman" w:cs="Times New Roman" w:eastAsia="Times New Roman" w:hint="default"/>
                <w:sz w:val="21"/>
                <w:szCs w:val="21"/>
              </w:rPr>
            </w:pPr>
            <w:r>
              <w:rPr>
                <w:rFonts w:ascii="Times New Roman"/>
                <w:sz w:val="21"/>
              </w:rPr>
              <w:t>2017.8.22</w:t>
            </w:r>
          </w:p>
        </w:tc>
      </w:tr>
      <w:tr>
        <w:trPr>
          <w:trHeight w:val="659" w:hRule="exact"/>
        </w:trPr>
        <w:tc>
          <w:tcPr>
            <w:tcW w:w="5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center"/>
              <w:rPr>
                <w:rFonts w:ascii="Times New Roman" w:hAnsi="Times New Roman" w:cs="Times New Roman" w:eastAsia="Times New Roman" w:hint="default"/>
                <w:sz w:val="21"/>
                <w:szCs w:val="21"/>
              </w:rPr>
            </w:pPr>
            <w:r>
              <w:rPr>
                <w:rFonts w:ascii="Times New Roman"/>
                <w:sz w:val="21"/>
              </w:rPr>
              <w:t>12</w:t>
            </w:r>
          </w:p>
        </w:tc>
        <w:tc>
          <w:tcPr>
            <w:tcW w:w="2561"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 w:right="3"/>
              <w:jc w:val="left"/>
              <w:rPr>
                <w:rFonts w:ascii="宋体" w:hAnsi="宋体" w:cs="宋体" w:eastAsia="宋体" w:hint="default"/>
                <w:sz w:val="21"/>
                <w:szCs w:val="21"/>
              </w:rPr>
            </w:pPr>
            <w:r>
              <w:rPr>
                <w:rFonts w:ascii="宋体" w:hAnsi="宋体" w:cs="宋体" w:eastAsia="宋体" w:hint="default"/>
                <w:sz w:val="21"/>
                <w:szCs w:val="21"/>
              </w:rPr>
              <w:t>一种用于地铁隧道的电驱动</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水清洗系统</w:t>
            </w:r>
          </w:p>
        </w:tc>
        <w:tc>
          <w:tcPr>
            <w:tcW w:w="993"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实用新型</w:t>
            </w:r>
          </w:p>
        </w:tc>
        <w:tc>
          <w:tcPr>
            <w:tcW w:w="1018"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自主研发</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49"/>
              <w:jc w:val="right"/>
              <w:rPr>
                <w:rFonts w:ascii="Times New Roman" w:hAnsi="Times New Roman" w:cs="Times New Roman" w:eastAsia="Times New Roman" w:hint="default"/>
                <w:sz w:val="21"/>
                <w:szCs w:val="21"/>
              </w:rPr>
            </w:pPr>
            <w:r>
              <w:rPr>
                <w:rFonts w:ascii="Times New Roman"/>
                <w:spacing w:val="-1"/>
                <w:sz w:val="21"/>
              </w:rPr>
              <w:t>ZL201720082311.6</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210"/>
              <w:jc w:val="right"/>
              <w:rPr>
                <w:rFonts w:ascii="Times New Roman" w:hAnsi="Times New Roman" w:cs="Times New Roman" w:eastAsia="Times New Roman" w:hint="default"/>
                <w:sz w:val="21"/>
                <w:szCs w:val="21"/>
              </w:rPr>
            </w:pPr>
            <w:r>
              <w:rPr>
                <w:rFonts w:ascii="Times New Roman"/>
                <w:sz w:val="21"/>
              </w:rPr>
              <w:t>2017.1.21</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38"/>
              <w:jc w:val="right"/>
              <w:rPr>
                <w:rFonts w:ascii="Times New Roman" w:hAnsi="Times New Roman" w:cs="Times New Roman" w:eastAsia="Times New Roman" w:hint="default"/>
                <w:sz w:val="21"/>
                <w:szCs w:val="21"/>
              </w:rPr>
            </w:pPr>
            <w:r>
              <w:rPr>
                <w:rFonts w:ascii="Times New Roman"/>
                <w:sz w:val="21"/>
              </w:rPr>
              <w:t>2017.7.27</w:t>
            </w:r>
          </w:p>
        </w:tc>
      </w:tr>
      <w:tr>
        <w:trPr>
          <w:trHeight w:val="427" w:hRule="exact"/>
        </w:trPr>
        <w:tc>
          <w:tcPr>
            <w:tcW w:w="5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0"/>
              <w:jc w:val="center"/>
              <w:rPr>
                <w:rFonts w:ascii="Times New Roman" w:hAnsi="Times New Roman" w:cs="Times New Roman" w:eastAsia="Times New Roman" w:hint="default"/>
                <w:sz w:val="21"/>
                <w:szCs w:val="21"/>
              </w:rPr>
            </w:pPr>
            <w:r>
              <w:rPr>
                <w:rFonts w:ascii="Times New Roman"/>
                <w:sz w:val="21"/>
              </w:rPr>
              <w:t>13</w:t>
            </w:r>
          </w:p>
        </w:tc>
        <w:tc>
          <w:tcPr>
            <w:tcW w:w="2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2" w:right="0"/>
              <w:jc w:val="left"/>
              <w:rPr>
                <w:rFonts w:ascii="宋体" w:hAnsi="宋体" w:cs="宋体" w:eastAsia="宋体" w:hint="default"/>
                <w:sz w:val="21"/>
                <w:szCs w:val="21"/>
              </w:rPr>
            </w:pPr>
            <w:r>
              <w:rPr>
                <w:rFonts w:ascii="宋体" w:hAnsi="宋体" w:cs="宋体" w:eastAsia="宋体" w:hint="default"/>
                <w:sz w:val="21"/>
                <w:szCs w:val="21"/>
              </w:rPr>
              <w:t>一种双动力地铁清洗车</w:t>
            </w:r>
          </w:p>
        </w:tc>
        <w:tc>
          <w:tcPr>
            <w:tcW w:w="9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0"/>
              <w:jc w:val="center"/>
              <w:rPr>
                <w:rFonts w:ascii="宋体" w:hAnsi="宋体" w:cs="宋体" w:eastAsia="宋体" w:hint="default"/>
                <w:sz w:val="21"/>
                <w:szCs w:val="21"/>
              </w:rPr>
            </w:pPr>
            <w:r>
              <w:rPr>
                <w:rFonts w:ascii="宋体" w:hAnsi="宋体" w:cs="宋体" w:eastAsia="宋体" w:hint="default"/>
                <w:sz w:val="21"/>
                <w:szCs w:val="21"/>
              </w:rPr>
              <w:t>实用新型</w:t>
            </w:r>
          </w:p>
        </w:tc>
        <w:tc>
          <w:tcPr>
            <w:tcW w:w="10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0"/>
              <w:jc w:val="center"/>
              <w:rPr>
                <w:rFonts w:ascii="宋体" w:hAnsi="宋体" w:cs="宋体" w:eastAsia="宋体" w:hint="default"/>
                <w:sz w:val="21"/>
                <w:szCs w:val="21"/>
              </w:rPr>
            </w:pPr>
            <w:r>
              <w:rPr>
                <w:rFonts w:ascii="宋体" w:hAnsi="宋体" w:cs="宋体" w:eastAsia="宋体" w:hint="default"/>
                <w:sz w:val="21"/>
                <w:szCs w:val="21"/>
              </w:rPr>
              <w:t>自主研发</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74"/>
              <w:jc w:val="right"/>
              <w:rPr>
                <w:rFonts w:ascii="Times New Roman" w:hAnsi="Times New Roman" w:cs="Times New Roman" w:eastAsia="Times New Roman" w:hint="default"/>
                <w:sz w:val="21"/>
                <w:szCs w:val="21"/>
              </w:rPr>
            </w:pPr>
            <w:r>
              <w:rPr>
                <w:rFonts w:ascii="Times New Roman"/>
                <w:spacing w:val="-1"/>
                <w:sz w:val="21"/>
              </w:rPr>
              <w:t>ZL201720488331.3</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261"/>
              <w:jc w:val="right"/>
              <w:rPr>
                <w:rFonts w:ascii="Times New Roman" w:hAnsi="Times New Roman" w:cs="Times New Roman" w:eastAsia="Times New Roman" w:hint="default"/>
                <w:sz w:val="21"/>
                <w:szCs w:val="21"/>
              </w:rPr>
            </w:pPr>
            <w:r>
              <w:rPr>
                <w:rFonts w:ascii="Times New Roman"/>
                <w:sz w:val="21"/>
              </w:rPr>
              <w:t>2017.5.4</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38"/>
              <w:jc w:val="right"/>
              <w:rPr>
                <w:rFonts w:ascii="Times New Roman" w:hAnsi="Times New Roman" w:cs="Times New Roman" w:eastAsia="Times New Roman" w:hint="default"/>
                <w:sz w:val="21"/>
                <w:szCs w:val="21"/>
              </w:rPr>
            </w:pPr>
            <w:r>
              <w:rPr>
                <w:rFonts w:ascii="Times New Roman"/>
                <w:sz w:val="21"/>
              </w:rPr>
              <w:t>2017.7.27</w:t>
            </w:r>
          </w:p>
        </w:tc>
      </w:tr>
      <w:tr>
        <w:trPr>
          <w:trHeight w:val="427" w:hRule="exact"/>
        </w:trPr>
        <w:tc>
          <w:tcPr>
            <w:tcW w:w="5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0"/>
              <w:jc w:val="center"/>
              <w:rPr>
                <w:rFonts w:ascii="Times New Roman" w:hAnsi="Times New Roman" w:cs="Times New Roman" w:eastAsia="Times New Roman" w:hint="default"/>
                <w:sz w:val="21"/>
                <w:szCs w:val="21"/>
              </w:rPr>
            </w:pPr>
            <w:r>
              <w:rPr>
                <w:rFonts w:ascii="Times New Roman"/>
                <w:sz w:val="21"/>
              </w:rPr>
              <w:t>14</w:t>
            </w:r>
          </w:p>
        </w:tc>
        <w:tc>
          <w:tcPr>
            <w:tcW w:w="2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2" w:right="0"/>
              <w:jc w:val="left"/>
              <w:rPr>
                <w:rFonts w:ascii="宋体" w:hAnsi="宋体" w:cs="宋体" w:eastAsia="宋体" w:hint="default"/>
                <w:sz w:val="21"/>
                <w:szCs w:val="21"/>
              </w:rPr>
            </w:pPr>
            <w:r>
              <w:rPr>
                <w:rFonts w:ascii="宋体" w:hAnsi="宋体" w:cs="宋体" w:eastAsia="宋体" w:hint="default"/>
                <w:sz w:val="21"/>
                <w:szCs w:val="21"/>
              </w:rPr>
              <w:t>一种水冲洗车辆接地系统</w:t>
            </w:r>
          </w:p>
        </w:tc>
        <w:tc>
          <w:tcPr>
            <w:tcW w:w="9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0"/>
              <w:jc w:val="center"/>
              <w:rPr>
                <w:rFonts w:ascii="宋体" w:hAnsi="宋体" w:cs="宋体" w:eastAsia="宋体" w:hint="default"/>
                <w:sz w:val="21"/>
                <w:szCs w:val="21"/>
              </w:rPr>
            </w:pPr>
            <w:r>
              <w:rPr>
                <w:rFonts w:ascii="宋体" w:hAnsi="宋体" w:cs="宋体" w:eastAsia="宋体" w:hint="default"/>
                <w:sz w:val="21"/>
                <w:szCs w:val="21"/>
              </w:rPr>
              <w:t>实用新型</w:t>
            </w:r>
          </w:p>
        </w:tc>
        <w:tc>
          <w:tcPr>
            <w:tcW w:w="10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0"/>
              <w:jc w:val="center"/>
              <w:rPr>
                <w:rFonts w:ascii="宋体" w:hAnsi="宋体" w:cs="宋体" w:eastAsia="宋体" w:hint="default"/>
                <w:sz w:val="21"/>
                <w:szCs w:val="21"/>
              </w:rPr>
            </w:pPr>
            <w:r>
              <w:rPr>
                <w:rFonts w:ascii="宋体" w:hAnsi="宋体" w:cs="宋体" w:eastAsia="宋体" w:hint="default"/>
                <w:sz w:val="21"/>
                <w:szCs w:val="21"/>
              </w:rPr>
              <w:t>自主研发</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74"/>
              <w:jc w:val="right"/>
              <w:rPr>
                <w:rFonts w:ascii="Times New Roman" w:hAnsi="Times New Roman" w:cs="Times New Roman" w:eastAsia="Times New Roman" w:hint="default"/>
                <w:sz w:val="21"/>
                <w:szCs w:val="21"/>
              </w:rPr>
            </w:pPr>
            <w:r>
              <w:rPr>
                <w:rFonts w:ascii="Times New Roman"/>
                <w:spacing w:val="-1"/>
                <w:sz w:val="21"/>
              </w:rPr>
              <w:t>ZL201720485971.9</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261"/>
              <w:jc w:val="right"/>
              <w:rPr>
                <w:rFonts w:ascii="Times New Roman" w:hAnsi="Times New Roman" w:cs="Times New Roman" w:eastAsia="Times New Roman" w:hint="default"/>
                <w:sz w:val="21"/>
                <w:szCs w:val="21"/>
              </w:rPr>
            </w:pPr>
            <w:r>
              <w:rPr>
                <w:rFonts w:ascii="Times New Roman"/>
                <w:sz w:val="21"/>
              </w:rPr>
              <w:t>2017.5.4</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38"/>
              <w:jc w:val="right"/>
              <w:rPr>
                <w:rFonts w:ascii="Times New Roman" w:hAnsi="Times New Roman" w:cs="Times New Roman" w:eastAsia="Times New Roman" w:hint="default"/>
                <w:sz w:val="21"/>
                <w:szCs w:val="21"/>
              </w:rPr>
            </w:pPr>
            <w:r>
              <w:rPr>
                <w:rFonts w:ascii="Times New Roman"/>
                <w:sz w:val="21"/>
              </w:rPr>
              <w:t>2017.7.27</w:t>
            </w:r>
          </w:p>
        </w:tc>
      </w:tr>
      <w:tr>
        <w:trPr>
          <w:trHeight w:val="739" w:hRule="exact"/>
        </w:trPr>
        <w:tc>
          <w:tcPr>
            <w:tcW w:w="5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0"/>
              <w:jc w:val="center"/>
              <w:rPr>
                <w:rFonts w:ascii="Times New Roman" w:hAnsi="Times New Roman" w:cs="Times New Roman" w:eastAsia="Times New Roman" w:hint="default"/>
                <w:sz w:val="21"/>
                <w:szCs w:val="21"/>
              </w:rPr>
            </w:pPr>
            <w:r>
              <w:rPr>
                <w:rFonts w:ascii="Times New Roman"/>
                <w:sz w:val="21"/>
              </w:rPr>
              <w:t>15</w:t>
            </w:r>
          </w:p>
        </w:tc>
        <w:tc>
          <w:tcPr>
            <w:tcW w:w="2561"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36"/>
              <w:ind w:left="2" w:right="3"/>
              <w:jc w:val="left"/>
              <w:rPr>
                <w:rFonts w:ascii="宋体" w:hAnsi="宋体" w:cs="宋体" w:eastAsia="宋体" w:hint="default"/>
                <w:sz w:val="21"/>
                <w:szCs w:val="21"/>
              </w:rPr>
            </w:pPr>
            <w:r>
              <w:rPr>
                <w:rFonts w:ascii="宋体" w:hAnsi="宋体" w:cs="宋体" w:eastAsia="宋体" w:hint="default"/>
                <w:sz w:val="21"/>
                <w:szCs w:val="21"/>
              </w:rPr>
              <w:t>采用光能破冰的高压隔离开</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关</w:t>
            </w:r>
          </w:p>
        </w:tc>
        <w:tc>
          <w:tcPr>
            <w:tcW w:w="9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0"/>
              <w:jc w:val="center"/>
              <w:rPr>
                <w:rFonts w:ascii="宋体" w:hAnsi="宋体" w:cs="宋体" w:eastAsia="宋体" w:hint="default"/>
                <w:sz w:val="21"/>
                <w:szCs w:val="21"/>
              </w:rPr>
            </w:pPr>
            <w:r>
              <w:rPr>
                <w:rFonts w:ascii="宋体" w:hAnsi="宋体" w:cs="宋体" w:eastAsia="宋体" w:hint="default"/>
                <w:sz w:val="21"/>
                <w:szCs w:val="21"/>
              </w:rPr>
              <w:t>发明</w:t>
            </w:r>
          </w:p>
        </w:tc>
        <w:tc>
          <w:tcPr>
            <w:tcW w:w="10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0"/>
              <w:jc w:val="center"/>
              <w:rPr>
                <w:rFonts w:ascii="宋体" w:hAnsi="宋体" w:cs="宋体" w:eastAsia="宋体" w:hint="default"/>
                <w:sz w:val="21"/>
                <w:szCs w:val="21"/>
              </w:rPr>
            </w:pPr>
            <w:r>
              <w:rPr>
                <w:rFonts w:ascii="宋体" w:hAnsi="宋体" w:cs="宋体" w:eastAsia="宋体" w:hint="default"/>
                <w:sz w:val="21"/>
                <w:szCs w:val="21"/>
              </w:rPr>
              <w:t>自主研发</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205" w:right="0"/>
              <w:jc w:val="left"/>
              <w:rPr>
                <w:rFonts w:ascii="Times New Roman" w:hAnsi="Times New Roman" w:cs="Times New Roman" w:eastAsia="Times New Roman" w:hint="default"/>
                <w:sz w:val="21"/>
                <w:szCs w:val="21"/>
              </w:rPr>
            </w:pPr>
            <w:r>
              <w:rPr>
                <w:rFonts w:ascii="Times New Roman"/>
                <w:sz w:val="21"/>
              </w:rPr>
              <w:t>201410768982.9</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55"/>
              <w:jc w:val="right"/>
              <w:rPr>
                <w:rFonts w:ascii="Times New Roman" w:hAnsi="Times New Roman" w:cs="Times New Roman" w:eastAsia="Times New Roman" w:hint="default"/>
                <w:sz w:val="21"/>
                <w:szCs w:val="21"/>
              </w:rPr>
            </w:pPr>
            <w:r>
              <w:rPr>
                <w:rFonts w:ascii="Times New Roman"/>
                <w:sz w:val="21"/>
              </w:rPr>
              <w:t>2014.12.15</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90"/>
              <w:jc w:val="right"/>
              <w:rPr>
                <w:rFonts w:ascii="Times New Roman" w:hAnsi="Times New Roman" w:cs="Times New Roman" w:eastAsia="Times New Roman" w:hint="default"/>
                <w:sz w:val="21"/>
                <w:szCs w:val="21"/>
              </w:rPr>
            </w:pPr>
            <w:r>
              <w:rPr>
                <w:rFonts w:ascii="Times New Roman"/>
                <w:sz w:val="21"/>
              </w:rPr>
              <w:t>2017.8.2</w:t>
            </w:r>
          </w:p>
        </w:tc>
      </w:tr>
      <w:tr>
        <w:trPr>
          <w:trHeight w:val="739" w:hRule="exact"/>
        </w:trPr>
        <w:tc>
          <w:tcPr>
            <w:tcW w:w="5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0"/>
              <w:jc w:val="center"/>
              <w:rPr>
                <w:rFonts w:ascii="Times New Roman" w:hAnsi="Times New Roman" w:cs="Times New Roman" w:eastAsia="Times New Roman" w:hint="default"/>
                <w:sz w:val="21"/>
                <w:szCs w:val="21"/>
              </w:rPr>
            </w:pPr>
            <w:r>
              <w:rPr>
                <w:rFonts w:ascii="Times New Roman"/>
                <w:sz w:val="21"/>
              </w:rPr>
              <w:t>16</w:t>
            </w:r>
          </w:p>
        </w:tc>
        <w:tc>
          <w:tcPr>
            <w:tcW w:w="2561"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36"/>
              <w:ind w:left="2" w:right="3"/>
              <w:jc w:val="left"/>
              <w:rPr>
                <w:rFonts w:ascii="宋体" w:hAnsi="宋体" w:cs="宋体" w:eastAsia="宋体" w:hint="default"/>
                <w:sz w:val="21"/>
                <w:szCs w:val="21"/>
              </w:rPr>
            </w:pPr>
            <w:r>
              <w:rPr>
                <w:rFonts w:ascii="宋体" w:hAnsi="宋体" w:cs="宋体" w:eastAsia="宋体" w:hint="default"/>
                <w:sz w:val="21"/>
                <w:szCs w:val="21"/>
              </w:rPr>
              <w:t>一种动车所动车组入所动车</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组号的识别方法</w:t>
            </w:r>
          </w:p>
        </w:tc>
        <w:tc>
          <w:tcPr>
            <w:tcW w:w="9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0"/>
              <w:jc w:val="center"/>
              <w:rPr>
                <w:rFonts w:ascii="宋体" w:hAnsi="宋体" w:cs="宋体" w:eastAsia="宋体" w:hint="default"/>
                <w:sz w:val="21"/>
                <w:szCs w:val="21"/>
              </w:rPr>
            </w:pPr>
            <w:r>
              <w:rPr>
                <w:rFonts w:ascii="宋体" w:hAnsi="宋体" w:cs="宋体" w:eastAsia="宋体" w:hint="default"/>
                <w:sz w:val="21"/>
                <w:szCs w:val="21"/>
              </w:rPr>
              <w:t>发明</w:t>
            </w:r>
          </w:p>
        </w:tc>
        <w:tc>
          <w:tcPr>
            <w:tcW w:w="10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0"/>
              <w:jc w:val="center"/>
              <w:rPr>
                <w:rFonts w:ascii="宋体" w:hAnsi="宋体" w:cs="宋体" w:eastAsia="宋体" w:hint="default"/>
                <w:sz w:val="21"/>
                <w:szCs w:val="21"/>
              </w:rPr>
            </w:pPr>
            <w:r>
              <w:rPr>
                <w:rFonts w:ascii="宋体" w:hAnsi="宋体" w:cs="宋体" w:eastAsia="宋体" w:hint="default"/>
                <w:sz w:val="21"/>
                <w:szCs w:val="21"/>
              </w:rPr>
              <w:t>自主研发</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74"/>
              <w:jc w:val="right"/>
              <w:rPr>
                <w:rFonts w:ascii="Times New Roman" w:hAnsi="Times New Roman" w:cs="Times New Roman" w:eastAsia="Times New Roman" w:hint="default"/>
                <w:sz w:val="21"/>
                <w:szCs w:val="21"/>
              </w:rPr>
            </w:pPr>
            <w:r>
              <w:rPr>
                <w:rFonts w:ascii="Times New Roman"/>
                <w:spacing w:val="-1"/>
                <w:sz w:val="21"/>
              </w:rPr>
              <w:t>ZL201510094085.9</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261"/>
              <w:jc w:val="right"/>
              <w:rPr>
                <w:rFonts w:ascii="Times New Roman" w:hAnsi="Times New Roman" w:cs="Times New Roman" w:eastAsia="Times New Roman" w:hint="default"/>
                <w:sz w:val="21"/>
                <w:szCs w:val="21"/>
              </w:rPr>
            </w:pPr>
            <w:r>
              <w:rPr>
                <w:rFonts w:ascii="Times New Roman"/>
                <w:sz w:val="21"/>
              </w:rPr>
              <w:t>2015.3.3</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90"/>
              <w:jc w:val="right"/>
              <w:rPr>
                <w:rFonts w:ascii="Times New Roman" w:hAnsi="Times New Roman" w:cs="Times New Roman" w:eastAsia="Times New Roman" w:hint="default"/>
                <w:sz w:val="21"/>
                <w:szCs w:val="21"/>
              </w:rPr>
            </w:pPr>
            <w:r>
              <w:rPr>
                <w:rFonts w:ascii="Times New Roman"/>
                <w:sz w:val="21"/>
              </w:rPr>
              <w:t>2017.3.1</w:t>
            </w:r>
          </w:p>
        </w:tc>
      </w:tr>
      <w:tr>
        <w:trPr>
          <w:trHeight w:val="659" w:hRule="exact"/>
        </w:trPr>
        <w:tc>
          <w:tcPr>
            <w:tcW w:w="5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center"/>
              <w:rPr>
                <w:rFonts w:ascii="Times New Roman" w:hAnsi="Times New Roman" w:cs="Times New Roman" w:eastAsia="Times New Roman" w:hint="default"/>
                <w:sz w:val="21"/>
                <w:szCs w:val="21"/>
              </w:rPr>
            </w:pPr>
            <w:r>
              <w:rPr>
                <w:rFonts w:ascii="Times New Roman"/>
                <w:sz w:val="21"/>
              </w:rPr>
              <w:t>17</w:t>
            </w:r>
          </w:p>
        </w:tc>
        <w:tc>
          <w:tcPr>
            <w:tcW w:w="2561" w:type="dxa"/>
            <w:tcBorders>
              <w:top w:val="single" w:sz="6" w:space="0" w:color="000000"/>
              <w:left w:val="single" w:sz="6" w:space="0" w:color="000000"/>
              <w:bottom w:val="single" w:sz="6" w:space="0" w:color="000000"/>
              <w:right w:val="single" w:sz="6" w:space="0" w:color="000000"/>
            </w:tcBorders>
          </w:tcPr>
          <w:p>
            <w:pPr>
              <w:pStyle w:val="TableParagraph"/>
              <w:spacing w:line="256" w:lineRule="auto"/>
              <w:ind w:left="2" w:right="-7"/>
              <w:jc w:val="left"/>
              <w:rPr>
                <w:rFonts w:ascii="宋体" w:hAnsi="宋体" w:cs="宋体" w:eastAsia="宋体" w:hint="default"/>
                <w:sz w:val="21"/>
                <w:szCs w:val="21"/>
              </w:rPr>
            </w:pPr>
            <w:r>
              <w:rPr>
                <w:rFonts w:ascii="宋体" w:hAnsi="宋体" w:cs="宋体" w:eastAsia="宋体" w:hint="default"/>
                <w:spacing w:val="4"/>
                <w:sz w:val="21"/>
                <w:szCs w:val="21"/>
              </w:rPr>
              <w:t>基于</w:t>
            </w:r>
            <w:r>
              <w:rPr>
                <w:rFonts w:ascii="Times New Roman" w:hAnsi="Times New Roman" w:cs="Times New Roman" w:eastAsia="Times New Roman" w:hint="default"/>
                <w:spacing w:val="4"/>
                <w:sz w:val="21"/>
                <w:szCs w:val="21"/>
              </w:rPr>
              <w:t>PowerPC</w:t>
            </w:r>
            <w:r>
              <w:rPr>
                <w:rFonts w:ascii="宋体" w:hAnsi="宋体" w:cs="宋体" w:eastAsia="宋体" w:hint="default"/>
                <w:spacing w:val="4"/>
                <w:sz w:val="21"/>
                <w:szCs w:val="21"/>
              </w:rPr>
              <w:t>嵌入式系统的</w:t>
            </w:r>
            <w:r>
              <w:rPr>
                <w:rFonts w:ascii="宋体" w:hAnsi="宋体" w:cs="宋体" w:eastAsia="宋体" w:hint="default"/>
                <w:spacing w:val="-93"/>
                <w:sz w:val="21"/>
                <w:szCs w:val="21"/>
              </w:rPr>
              <w:t> </w:t>
            </w:r>
            <w:r>
              <w:rPr>
                <w:rFonts w:ascii="宋体" w:hAnsi="宋体" w:cs="宋体" w:eastAsia="宋体" w:hint="default"/>
                <w:sz w:val="21"/>
                <w:szCs w:val="21"/>
              </w:rPr>
              <w:t>多功能通信接口机装置</w:t>
            </w:r>
          </w:p>
        </w:tc>
        <w:tc>
          <w:tcPr>
            <w:tcW w:w="993"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发明</w:t>
            </w:r>
          </w:p>
        </w:tc>
        <w:tc>
          <w:tcPr>
            <w:tcW w:w="1018"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自主研发</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74"/>
              <w:jc w:val="right"/>
              <w:rPr>
                <w:rFonts w:ascii="Times New Roman" w:hAnsi="Times New Roman" w:cs="Times New Roman" w:eastAsia="Times New Roman" w:hint="default"/>
                <w:sz w:val="21"/>
                <w:szCs w:val="21"/>
              </w:rPr>
            </w:pPr>
            <w:r>
              <w:rPr>
                <w:rFonts w:ascii="Times New Roman"/>
                <w:spacing w:val="-1"/>
                <w:sz w:val="21"/>
              </w:rPr>
              <w:t>ZL201310614291.9</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55"/>
              <w:jc w:val="right"/>
              <w:rPr>
                <w:rFonts w:ascii="Times New Roman" w:hAnsi="Times New Roman" w:cs="Times New Roman" w:eastAsia="Times New Roman" w:hint="default"/>
                <w:sz w:val="21"/>
                <w:szCs w:val="21"/>
              </w:rPr>
            </w:pPr>
            <w:r>
              <w:rPr>
                <w:rFonts w:ascii="Times New Roman"/>
                <w:sz w:val="21"/>
              </w:rPr>
              <w:t>2013.11.28</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87"/>
              <w:jc w:val="right"/>
              <w:rPr>
                <w:rFonts w:ascii="Times New Roman" w:hAnsi="Times New Roman" w:cs="Times New Roman" w:eastAsia="Times New Roman" w:hint="default"/>
                <w:sz w:val="21"/>
                <w:szCs w:val="21"/>
              </w:rPr>
            </w:pPr>
            <w:r>
              <w:rPr>
                <w:rFonts w:ascii="Times New Roman"/>
                <w:sz w:val="21"/>
              </w:rPr>
              <w:t>2017.12.19</w:t>
            </w:r>
          </w:p>
        </w:tc>
      </w:tr>
      <w:tr>
        <w:trPr>
          <w:trHeight w:val="660" w:hRule="exact"/>
        </w:trPr>
        <w:tc>
          <w:tcPr>
            <w:tcW w:w="5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center"/>
              <w:rPr>
                <w:rFonts w:ascii="Times New Roman" w:hAnsi="Times New Roman" w:cs="Times New Roman" w:eastAsia="Times New Roman" w:hint="default"/>
                <w:sz w:val="21"/>
                <w:szCs w:val="21"/>
              </w:rPr>
            </w:pPr>
            <w:r>
              <w:rPr>
                <w:rFonts w:ascii="Times New Roman"/>
                <w:sz w:val="21"/>
              </w:rPr>
              <w:t>18</w:t>
            </w:r>
          </w:p>
        </w:tc>
        <w:tc>
          <w:tcPr>
            <w:tcW w:w="2561" w:type="dxa"/>
            <w:tcBorders>
              <w:top w:val="single" w:sz="6" w:space="0" w:color="000000"/>
              <w:left w:val="single" w:sz="6" w:space="0" w:color="000000"/>
              <w:bottom w:val="single" w:sz="6" w:space="0" w:color="000000"/>
              <w:right w:val="single" w:sz="6" w:space="0" w:color="000000"/>
            </w:tcBorders>
          </w:tcPr>
          <w:p>
            <w:pPr>
              <w:pStyle w:val="TableParagraph"/>
              <w:spacing w:line="256" w:lineRule="auto"/>
              <w:ind w:left="2" w:right="2"/>
              <w:jc w:val="left"/>
              <w:rPr>
                <w:rFonts w:ascii="宋体" w:hAnsi="宋体" w:cs="宋体" w:eastAsia="宋体" w:hint="default"/>
                <w:sz w:val="21"/>
                <w:szCs w:val="21"/>
              </w:rPr>
            </w:pPr>
            <w:r>
              <w:rPr>
                <w:rFonts w:ascii="宋体" w:hAnsi="宋体" w:cs="宋体" w:eastAsia="宋体" w:hint="default"/>
                <w:sz w:val="21"/>
                <w:szCs w:val="21"/>
              </w:rPr>
              <w:t>一种基于</w:t>
            </w:r>
            <w:r>
              <w:rPr>
                <w:rFonts w:ascii="Times New Roman" w:hAnsi="Times New Roman" w:cs="Times New Roman" w:eastAsia="Times New Roman" w:hint="default"/>
                <w:sz w:val="21"/>
                <w:szCs w:val="21"/>
              </w:rPr>
              <w:t>DSP+CPLD</w:t>
            </w:r>
            <w:r>
              <w:rPr>
                <w:rFonts w:ascii="宋体" w:hAnsi="宋体" w:cs="宋体" w:eastAsia="宋体" w:hint="default"/>
                <w:sz w:val="21"/>
                <w:szCs w:val="21"/>
              </w:rPr>
              <w:t>控制的</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z w:val="21"/>
                <w:szCs w:val="21"/>
              </w:rPr>
              <w:t>峰值电流限流装置</w:t>
            </w:r>
          </w:p>
        </w:tc>
        <w:tc>
          <w:tcPr>
            <w:tcW w:w="993"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发明</w:t>
            </w:r>
          </w:p>
        </w:tc>
        <w:tc>
          <w:tcPr>
            <w:tcW w:w="1018"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自主研发</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74"/>
              <w:jc w:val="right"/>
              <w:rPr>
                <w:rFonts w:ascii="Times New Roman" w:hAnsi="Times New Roman" w:cs="Times New Roman" w:eastAsia="Times New Roman" w:hint="default"/>
                <w:sz w:val="21"/>
                <w:szCs w:val="21"/>
              </w:rPr>
            </w:pPr>
            <w:r>
              <w:rPr>
                <w:rFonts w:ascii="Times New Roman"/>
                <w:spacing w:val="-1"/>
                <w:sz w:val="21"/>
              </w:rPr>
              <w:t>ZL201610220560.7</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210"/>
              <w:jc w:val="right"/>
              <w:rPr>
                <w:rFonts w:ascii="Times New Roman" w:hAnsi="Times New Roman" w:cs="Times New Roman" w:eastAsia="Times New Roman" w:hint="default"/>
                <w:sz w:val="21"/>
                <w:szCs w:val="21"/>
              </w:rPr>
            </w:pPr>
            <w:r>
              <w:rPr>
                <w:rFonts w:ascii="Times New Roman"/>
                <w:sz w:val="21"/>
              </w:rPr>
              <w:t>2016.4.11</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87"/>
              <w:jc w:val="right"/>
              <w:rPr>
                <w:rFonts w:ascii="Times New Roman" w:hAnsi="Times New Roman" w:cs="Times New Roman" w:eastAsia="Times New Roman" w:hint="default"/>
                <w:sz w:val="21"/>
                <w:szCs w:val="21"/>
              </w:rPr>
            </w:pPr>
            <w:r>
              <w:rPr>
                <w:rFonts w:ascii="Times New Roman"/>
                <w:sz w:val="21"/>
              </w:rPr>
              <w:t>2017.11.24</w:t>
            </w:r>
          </w:p>
        </w:tc>
      </w:tr>
    </w:tbl>
    <w:p>
      <w:pPr>
        <w:spacing w:after="0" w:line="240" w:lineRule="auto"/>
        <w:jc w:val="right"/>
        <w:rPr>
          <w:rFonts w:ascii="Times New Roman" w:hAnsi="Times New Roman" w:cs="Times New Roman" w:eastAsia="Times New Roman" w:hint="default"/>
          <w:sz w:val="21"/>
          <w:szCs w:val="21"/>
        </w:rPr>
        <w:sectPr>
          <w:pgSz w:w="11910" w:h="16840"/>
          <w:pgMar w:header="747" w:footer="979" w:top="1060" w:bottom="1160" w:left="980" w:right="0"/>
        </w:sectPr>
      </w:pPr>
    </w:p>
    <w:p>
      <w:pPr>
        <w:spacing w:line="240" w:lineRule="auto" w:before="0"/>
        <w:rPr>
          <w:rFonts w:ascii="宋体" w:hAnsi="宋体" w:cs="宋体" w:eastAsia="宋体" w:hint="default"/>
          <w:b/>
          <w:bCs/>
          <w:sz w:val="20"/>
          <w:szCs w:val="20"/>
        </w:rPr>
      </w:pPr>
    </w:p>
    <w:p>
      <w:pPr>
        <w:pStyle w:val="Heading2"/>
        <w:spacing w:line="240" w:lineRule="auto" w:before="199"/>
        <w:ind w:left="3407" w:right="996"/>
        <w:jc w:val="left"/>
        <w:rPr>
          <w:b w:val="0"/>
          <w:bCs w:val="0"/>
        </w:rPr>
      </w:pPr>
      <w:r>
        <w:rPr>
          <w:rFonts w:ascii="Times New Roman" w:hAnsi="Times New Roman" w:cs="Times New Roman" w:eastAsia="Times New Roman" w:hint="default"/>
        </w:rPr>
        <w:t>2017</w:t>
      </w:r>
      <w:r>
        <w:rPr/>
        <w:t>年专利受理情况一览表</w:t>
      </w:r>
      <w:r>
        <w:rPr>
          <w:b w:val="0"/>
          <w:bCs w:val="0"/>
        </w:rPr>
      </w:r>
    </w:p>
    <w:p>
      <w:pPr>
        <w:spacing w:line="240" w:lineRule="auto" w:before="12"/>
        <w:rPr>
          <w:rFonts w:ascii="宋体" w:hAnsi="宋体" w:cs="宋体" w:eastAsia="宋体" w:hint="default"/>
          <w:b/>
          <w:bCs/>
          <w:sz w:val="14"/>
          <w:szCs w:val="14"/>
        </w:rPr>
      </w:pPr>
    </w:p>
    <w:tbl>
      <w:tblPr>
        <w:tblW w:w="0" w:type="auto"/>
        <w:jc w:val="left"/>
        <w:tblInd w:w="149" w:type="dxa"/>
        <w:tblLayout w:type="fixed"/>
        <w:tblCellMar>
          <w:top w:w="0" w:type="dxa"/>
          <w:left w:w="0" w:type="dxa"/>
          <w:bottom w:w="0" w:type="dxa"/>
          <w:right w:w="0" w:type="dxa"/>
        </w:tblCellMar>
        <w:tblLook w:val="01E0"/>
      </w:tblPr>
      <w:tblGrid>
        <w:gridCol w:w="960"/>
        <w:gridCol w:w="4360"/>
        <w:gridCol w:w="960"/>
        <w:gridCol w:w="1721"/>
        <w:gridCol w:w="1480"/>
      </w:tblGrid>
      <w:tr>
        <w:trPr>
          <w:trHeight w:val="342"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b/>
                <w:bCs/>
                <w:sz w:val="21"/>
                <w:szCs w:val="21"/>
              </w:rPr>
              <w:t>序号</w:t>
            </w:r>
            <w:r>
              <w:rPr>
                <w:rFonts w:ascii="宋体" w:hAnsi="宋体" w:cs="宋体" w:eastAsia="宋体" w:hint="default"/>
                <w:sz w:val="21"/>
                <w:szCs w:val="21"/>
              </w:rPr>
            </w:r>
          </w:p>
        </w:tc>
        <w:tc>
          <w:tcPr>
            <w:tcW w:w="436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 w:right="0"/>
              <w:jc w:val="left"/>
              <w:rPr>
                <w:rFonts w:ascii="宋体" w:hAnsi="宋体" w:cs="宋体" w:eastAsia="宋体" w:hint="default"/>
                <w:sz w:val="21"/>
                <w:szCs w:val="21"/>
              </w:rPr>
            </w:pPr>
            <w:r>
              <w:rPr>
                <w:rFonts w:ascii="宋体" w:hAnsi="宋体" w:cs="宋体" w:eastAsia="宋体" w:hint="default"/>
                <w:b/>
                <w:bCs/>
                <w:sz w:val="21"/>
                <w:szCs w:val="21"/>
              </w:rPr>
              <w:t>名称</w:t>
            </w:r>
            <w:r>
              <w:rPr>
                <w:rFonts w:ascii="宋体" w:hAnsi="宋体" w:cs="宋体" w:eastAsia="宋体" w:hint="default"/>
                <w:sz w:val="21"/>
                <w:szCs w:val="21"/>
              </w:rPr>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5" w:right="0"/>
              <w:jc w:val="left"/>
              <w:rPr>
                <w:rFonts w:ascii="宋体" w:hAnsi="宋体" w:cs="宋体" w:eastAsia="宋体" w:hint="default"/>
                <w:sz w:val="21"/>
                <w:szCs w:val="21"/>
              </w:rPr>
            </w:pPr>
            <w:r>
              <w:rPr>
                <w:rFonts w:ascii="宋体" w:hAnsi="宋体" w:cs="宋体" w:eastAsia="宋体" w:hint="default"/>
                <w:b/>
                <w:bCs/>
                <w:sz w:val="21"/>
                <w:szCs w:val="21"/>
              </w:rPr>
              <w:t>类型</w:t>
            </w:r>
            <w:r>
              <w:rPr>
                <w:rFonts w:ascii="宋体" w:hAnsi="宋体" w:cs="宋体" w:eastAsia="宋体" w:hint="default"/>
                <w:sz w:val="21"/>
                <w:szCs w:val="21"/>
              </w:rPr>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5" w:right="0"/>
              <w:jc w:val="left"/>
              <w:rPr>
                <w:rFonts w:ascii="宋体" w:hAnsi="宋体" w:cs="宋体" w:eastAsia="宋体" w:hint="default"/>
                <w:sz w:val="21"/>
                <w:szCs w:val="21"/>
              </w:rPr>
            </w:pPr>
            <w:r>
              <w:rPr>
                <w:rFonts w:ascii="宋体" w:hAnsi="宋体" w:cs="宋体" w:eastAsia="宋体" w:hint="default"/>
                <w:b/>
                <w:bCs/>
                <w:sz w:val="21"/>
                <w:szCs w:val="21"/>
              </w:rPr>
              <w:t>申请号</w:t>
            </w:r>
            <w:r>
              <w:rPr>
                <w:rFonts w:ascii="宋体" w:hAnsi="宋体" w:cs="宋体" w:eastAsia="宋体" w:hint="default"/>
                <w:sz w:val="21"/>
                <w:szCs w:val="21"/>
              </w:rPr>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 w:right="0"/>
              <w:jc w:val="left"/>
              <w:rPr>
                <w:rFonts w:ascii="宋体" w:hAnsi="宋体" w:cs="宋体" w:eastAsia="宋体" w:hint="default"/>
                <w:sz w:val="21"/>
                <w:szCs w:val="21"/>
              </w:rPr>
            </w:pPr>
            <w:r>
              <w:rPr>
                <w:rFonts w:ascii="宋体" w:hAnsi="宋体" w:cs="宋体" w:eastAsia="宋体" w:hint="default"/>
                <w:b/>
                <w:bCs/>
                <w:sz w:val="21"/>
                <w:szCs w:val="21"/>
              </w:rPr>
              <w:t>申请日</w:t>
            </w:r>
            <w:r>
              <w:rPr>
                <w:rFonts w:ascii="宋体" w:hAnsi="宋体" w:cs="宋体" w:eastAsia="宋体" w:hint="default"/>
                <w:sz w:val="21"/>
                <w:szCs w:val="21"/>
              </w:rPr>
            </w:r>
          </w:p>
        </w:tc>
      </w:tr>
      <w:tr>
        <w:trPr>
          <w:trHeight w:val="342"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0"/>
              <w:jc w:val="center"/>
              <w:rPr>
                <w:rFonts w:ascii="宋体" w:hAnsi="宋体" w:cs="宋体" w:eastAsia="宋体" w:hint="default"/>
                <w:sz w:val="21"/>
                <w:szCs w:val="21"/>
              </w:rPr>
            </w:pPr>
            <w:r>
              <w:rPr>
                <w:rFonts w:ascii="宋体"/>
                <w:sz w:val="21"/>
              </w:rPr>
              <w:t>1</w:t>
            </w:r>
          </w:p>
        </w:tc>
        <w:tc>
          <w:tcPr>
            <w:tcW w:w="436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 w:right="0"/>
              <w:jc w:val="left"/>
              <w:rPr>
                <w:rFonts w:ascii="宋体" w:hAnsi="宋体" w:cs="宋体" w:eastAsia="宋体" w:hint="default"/>
                <w:sz w:val="21"/>
                <w:szCs w:val="21"/>
              </w:rPr>
            </w:pPr>
            <w:r>
              <w:rPr>
                <w:rFonts w:ascii="宋体" w:hAnsi="宋体" w:cs="宋体" w:eastAsia="宋体" w:hint="default"/>
                <w:sz w:val="21"/>
                <w:szCs w:val="21"/>
              </w:rPr>
              <w:t>一种多用途站台护栏</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5" w:right="0"/>
              <w:jc w:val="left"/>
              <w:rPr>
                <w:rFonts w:ascii="宋体" w:hAnsi="宋体" w:cs="宋体" w:eastAsia="宋体" w:hint="default"/>
                <w:sz w:val="21"/>
                <w:szCs w:val="21"/>
              </w:rPr>
            </w:pPr>
            <w:r>
              <w:rPr>
                <w:rFonts w:ascii="宋体" w:hAnsi="宋体" w:cs="宋体" w:eastAsia="宋体" w:hint="default"/>
                <w:sz w:val="21"/>
                <w:szCs w:val="21"/>
              </w:rPr>
              <w:t>实用新型</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5" w:right="0"/>
              <w:jc w:val="left"/>
              <w:rPr>
                <w:rFonts w:ascii="宋体" w:hAnsi="宋体" w:cs="宋体" w:eastAsia="宋体" w:hint="default"/>
                <w:sz w:val="21"/>
                <w:szCs w:val="21"/>
              </w:rPr>
            </w:pPr>
            <w:r>
              <w:rPr>
                <w:rFonts w:ascii="宋体"/>
                <w:sz w:val="21"/>
              </w:rPr>
              <w:t>2017200095392</w:t>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 w:right="0"/>
              <w:jc w:val="left"/>
              <w:rPr>
                <w:rFonts w:ascii="宋体" w:hAnsi="宋体" w:cs="宋体" w:eastAsia="宋体" w:hint="default"/>
                <w:sz w:val="21"/>
                <w:szCs w:val="21"/>
              </w:rPr>
            </w:pPr>
            <w:r>
              <w:rPr>
                <w:rFonts w:ascii="宋体"/>
                <w:sz w:val="21"/>
              </w:rPr>
              <w:t>2017.1.5</w:t>
            </w:r>
          </w:p>
        </w:tc>
      </w:tr>
      <w:tr>
        <w:trPr>
          <w:trHeight w:val="342"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0"/>
              <w:jc w:val="center"/>
              <w:rPr>
                <w:rFonts w:ascii="宋体" w:hAnsi="宋体" w:cs="宋体" w:eastAsia="宋体" w:hint="default"/>
                <w:sz w:val="21"/>
                <w:szCs w:val="21"/>
              </w:rPr>
            </w:pPr>
            <w:r>
              <w:rPr>
                <w:rFonts w:ascii="宋体"/>
                <w:sz w:val="21"/>
              </w:rPr>
              <w:t>2</w:t>
            </w:r>
          </w:p>
        </w:tc>
        <w:tc>
          <w:tcPr>
            <w:tcW w:w="436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 w:right="0"/>
              <w:jc w:val="left"/>
              <w:rPr>
                <w:rFonts w:ascii="宋体" w:hAnsi="宋体" w:cs="宋体" w:eastAsia="宋体" w:hint="default"/>
                <w:sz w:val="21"/>
                <w:szCs w:val="21"/>
              </w:rPr>
            </w:pPr>
            <w:r>
              <w:rPr>
                <w:rFonts w:ascii="宋体" w:hAnsi="宋体" w:cs="宋体" w:eastAsia="宋体" w:hint="default"/>
                <w:sz w:val="21"/>
                <w:szCs w:val="21"/>
              </w:rPr>
              <w:t>一种用于火车车厢的排烟装置</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5" w:right="0"/>
              <w:jc w:val="left"/>
              <w:rPr>
                <w:rFonts w:ascii="宋体" w:hAnsi="宋体" w:cs="宋体" w:eastAsia="宋体" w:hint="default"/>
                <w:sz w:val="21"/>
                <w:szCs w:val="21"/>
              </w:rPr>
            </w:pPr>
            <w:r>
              <w:rPr>
                <w:rFonts w:ascii="宋体" w:hAnsi="宋体" w:cs="宋体" w:eastAsia="宋体" w:hint="default"/>
                <w:sz w:val="21"/>
                <w:szCs w:val="21"/>
              </w:rPr>
              <w:t>实用新型</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5" w:right="0"/>
              <w:jc w:val="left"/>
              <w:rPr>
                <w:rFonts w:ascii="宋体" w:hAnsi="宋体" w:cs="宋体" w:eastAsia="宋体" w:hint="default"/>
                <w:sz w:val="21"/>
                <w:szCs w:val="21"/>
              </w:rPr>
            </w:pPr>
            <w:r>
              <w:rPr>
                <w:rFonts w:ascii="宋体"/>
                <w:sz w:val="21"/>
              </w:rPr>
              <w:t>2017200095388</w:t>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 w:right="0"/>
              <w:jc w:val="left"/>
              <w:rPr>
                <w:rFonts w:ascii="宋体" w:hAnsi="宋体" w:cs="宋体" w:eastAsia="宋体" w:hint="default"/>
                <w:sz w:val="21"/>
                <w:szCs w:val="21"/>
              </w:rPr>
            </w:pPr>
            <w:r>
              <w:rPr>
                <w:rFonts w:ascii="宋体"/>
                <w:sz w:val="21"/>
              </w:rPr>
              <w:t>2017.1.5</w:t>
            </w:r>
          </w:p>
        </w:tc>
      </w:tr>
      <w:tr>
        <w:trPr>
          <w:trHeight w:val="342"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0"/>
              <w:jc w:val="center"/>
              <w:rPr>
                <w:rFonts w:ascii="宋体" w:hAnsi="宋体" w:cs="宋体" w:eastAsia="宋体" w:hint="default"/>
                <w:sz w:val="21"/>
                <w:szCs w:val="21"/>
              </w:rPr>
            </w:pPr>
            <w:r>
              <w:rPr>
                <w:rFonts w:ascii="宋体"/>
                <w:sz w:val="21"/>
              </w:rPr>
              <w:t>3</w:t>
            </w:r>
          </w:p>
        </w:tc>
        <w:tc>
          <w:tcPr>
            <w:tcW w:w="436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 w:right="0"/>
              <w:jc w:val="left"/>
              <w:rPr>
                <w:rFonts w:ascii="宋体" w:hAnsi="宋体" w:cs="宋体" w:eastAsia="宋体" w:hint="default"/>
                <w:sz w:val="21"/>
                <w:szCs w:val="21"/>
              </w:rPr>
            </w:pPr>
            <w:r>
              <w:rPr>
                <w:rFonts w:ascii="宋体" w:hAnsi="宋体" w:cs="宋体" w:eastAsia="宋体" w:hint="default"/>
                <w:sz w:val="21"/>
                <w:szCs w:val="21"/>
              </w:rPr>
              <w:t>一种用于火车车厢的悬挂车</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5" w:right="0"/>
              <w:jc w:val="left"/>
              <w:rPr>
                <w:rFonts w:ascii="宋体" w:hAnsi="宋体" w:cs="宋体" w:eastAsia="宋体" w:hint="default"/>
                <w:sz w:val="21"/>
                <w:szCs w:val="21"/>
              </w:rPr>
            </w:pPr>
            <w:r>
              <w:rPr>
                <w:rFonts w:ascii="宋体" w:hAnsi="宋体" w:cs="宋体" w:eastAsia="宋体" w:hint="default"/>
                <w:sz w:val="21"/>
                <w:szCs w:val="21"/>
              </w:rPr>
              <w:t>实用新型</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5" w:right="0"/>
              <w:jc w:val="left"/>
              <w:rPr>
                <w:rFonts w:ascii="宋体" w:hAnsi="宋体" w:cs="宋体" w:eastAsia="宋体" w:hint="default"/>
                <w:sz w:val="21"/>
                <w:szCs w:val="21"/>
              </w:rPr>
            </w:pPr>
            <w:r>
              <w:rPr>
                <w:rFonts w:ascii="宋体"/>
                <w:sz w:val="21"/>
              </w:rPr>
              <w:t>2017200096198</w:t>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 w:right="0"/>
              <w:jc w:val="left"/>
              <w:rPr>
                <w:rFonts w:ascii="宋体" w:hAnsi="宋体" w:cs="宋体" w:eastAsia="宋体" w:hint="default"/>
                <w:sz w:val="21"/>
                <w:szCs w:val="21"/>
              </w:rPr>
            </w:pPr>
            <w:r>
              <w:rPr>
                <w:rFonts w:ascii="宋体"/>
                <w:sz w:val="21"/>
              </w:rPr>
              <w:t>2017.1.5</w:t>
            </w:r>
          </w:p>
        </w:tc>
      </w:tr>
      <w:tr>
        <w:trPr>
          <w:trHeight w:val="342"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0"/>
              <w:jc w:val="center"/>
              <w:rPr>
                <w:rFonts w:ascii="宋体" w:hAnsi="宋体" w:cs="宋体" w:eastAsia="宋体" w:hint="default"/>
                <w:sz w:val="21"/>
                <w:szCs w:val="21"/>
              </w:rPr>
            </w:pPr>
            <w:r>
              <w:rPr>
                <w:rFonts w:ascii="宋体"/>
                <w:sz w:val="21"/>
              </w:rPr>
              <w:t>4</w:t>
            </w:r>
          </w:p>
        </w:tc>
        <w:tc>
          <w:tcPr>
            <w:tcW w:w="436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 w:right="0"/>
              <w:jc w:val="left"/>
              <w:rPr>
                <w:rFonts w:ascii="宋体" w:hAnsi="宋体" w:cs="宋体" w:eastAsia="宋体" w:hint="default"/>
                <w:sz w:val="21"/>
                <w:szCs w:val="21"/>
              </w:rPr>
            </w:pPr>
            <w:r>
              <w:rPr>
                <w:rFonts w:ascii="宋体" w:hAnsi="宋体" w:cs="宋体" w:eastAsia="宋体" w:hint="default"/>
                <w:sz w:val="21"/>
                <w:szCs w:val="21"/>
              </w:rPr>
              <w:t>车站终端柜</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5" w:right="0"/>
              <w:jc w:val="left"/>
              <w:rPr>
                <w:rFonts w:ascii="宋体" w:hAnsi="宋体" w:cs="宋体" w:eastAsia="宋体" w:hint="default"/>
                <w:sz w:val="21"/>
                <w:szCs w:val="21"/>
              </w:rPr>
            </w:pPr>
            <w:r>
              <w:rPr>
                <w:rFonts w:ascii="宋体" w:hAnsi="宋体" w:cs="宋体" w:eastAsia="宋体" w:hint="default"/>
                <w:sz w:val="21"/>
                <w:szCs w:val="21"/>
              </w:rPr>
              <w:t>实用新型</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5" w:right="0"/>
              <w:jc w:val="left"/>
              <w:rPr>
                <w:rFonts w:ascii="宋体" w:hAnsi="宋体" w:cs="宋体" w:eastAsia="宋体" w:hint="default"/>
                <w:sz w:val="21"/>
                <w:szCs w:val="21"/>
              </w:rPr>
            </w:pPr>
            <w:r>
              <w:rPr>
                <w:rFonts w:ascii="宋体"/>
                <w:sz w:val="21"/>
              </w:rPr>
              <w:t>2017213575203</w:t>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 w:right="0"/>
              <w:jc w:val="left"/>
              <w:rPr>
                <w:rFonts w:ascii="宋体" w:hAnsi="宋体" w:cs="宋体" w:eastAsia="宋体" w:hint="default"/>
                <w:sz w:val="21"/>
                <w:szCs w:val="21"/>
              </w:rPr>
            </w:pPr>
            <w:r>
              <w:rPr>
                <w:rFonts w:ascii="宋体"/>
                <w:sz w:val="21"/>
              </w:rPr>
              <w:t>2017.10.20</w:t>
            </w:r>
          </w:p>
        </w:tc>
      </w:tr>
      <w:tr>
        <w:trPr>
          <w:trHeight w:val="342"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0"/>
              <w:jc w:val="center"/>
              <w:rPr>
                <w:rFonts w:ascii="宋体" w:hAnsi="宋体" w:cs="宋体" w:eastAsia="宋体" w:hint="default"/>
                <w:sz w:val="21"/>
                <w:szCs w:val="21"/>
              </w:rPr>
            </w:pPr>
            <w:r>
              <w:rPr>
                <w:rFonts w:ascii="宋体"/>
                <w:sz w:val="21"/>
              </w:rPr>
              <w:t>5</w:t>
            </w:r>
          </w:p>
        </w:tc>
        <w:tc>
          <w:tcPr>
            <w:tcW w:w="436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 w:right="0"/>
              <w:jc w:val="left"/>
              <w:rPr>
                <w:rFonts w:ascii="宋体" w:hAnsi="宋体" w:cs="宋体" w:eastAsia="宋体" w:hint="default"/>
                <w:sz w:val="21"/>
                <w:szCs w:val="21"/>
              </w:rPr>
            </w:pPr>
            <w:r>
              <w:rPr>
                <w:rFonts w:ascii="宋体" w:hAnsi="宋体" w:cs="宋体" w:eastAsia="宋体" w:hint="default"/>
                <w:sz w:val="21"/>
                <w:szCs w:val="21"/>
              </w:rPr>
              <w:t>一种铁路线路障碍自动监测系统</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5" w:right="0"/>
              <w:jc w:val="left"/>
              <w:rPr>
                <w:rFonts w:ascii="宋体" w:hAnsi="宋体" w:cs="宋体" w:eastAsia="宋体" w:hint="default"/>
                <w:sz w:val="21"/>
                <w:szCs w:val="21"/>
              </w:rPr>
            </w:pPr>
            <w:r>
              <w:rPr>
                <w:rFonts w:ascii="宋体" w:hAnsi="宋体" w:cs="宋体" w:eastAsia="宋体" w:hint="default"/>
                <w:sz w:val="21"/>
                <w:szCs w:val="21"/>
              </w:rPr>
              <w:t>实用新型</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5" w:right="0"/>
              <w:jc w:val="left"/>
              <w:rPr>
                <w:rFonts w:ascii="宋体" w:hAnsi="宋体" w:cs="宋体" w:eastAsia="宋体" w:hint="default"/>
                <w:sz w:val="21"/>
                <w:szCs w:val="21"/>
              </w:rPr>
            </w:pPr>
            <w:r>
              <w:rPr>
                <w:rFonts w:ascii="宋体"/>
                <w:sz w:val="21"/>
              </w:rPr>
              <w:t>2017213591691</w:t>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 w:right="0"/>
              <w:jc w:val="left"/>
              <w:rPr>
                <w:rFonts w:ascii="宋体" w:hAnsi="宋体" w:cs="宋体" w:eastAsia="宋体" w:hint="default"/>
                <w:sz w:val="21"/>
                <w:szCs w:val="21"/>
              </w:rPr>
            </w:pPr>
            <w:r>
              <w:rPr>
                <w:rFonts w:ascii="宋体"/>
                <w:sz w:val="21"/>
              </w:rPr>
              <w:t>2017.10.20</w:t>
            </w:r>
          </w:p>
        </w:tc>
      </w:tr>
      <w:tr>
        <w:trPr>
          <w:trHeight w:val="342"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0"/>
              <w:jc w:val="center"/>
              <w:rPr>
                <w:rFonts w:ascii="宋体" w:hAnsi="宋体" w:cs="宋体" w:eastAsia="宋体" w:hint="default"/>
                <w:sz w:val="21"/>
                <w:szCs w:val="21"/>
              </w:rPr>
            </w:pPr>
            <w:r>
              <w:rPr>
                <w:rFonts w:ascii="宋体"/>
                <w:sz w:val="21"/>
              </w:rPr>
              <w:t>6</w:t>
            </w:r>
          </w:p>
        </w:tc>
        <w:tc>
          <w:tcPr>
            <w:tcW w:w="436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 w:right="0"/>
              <w:jc w:val="left"/>
              <w:rPr>
                <w:rFonts w:ascii="宋体" w:hAnsi="宋体" w:cs="宋体" w:eastAsia="宋体" w:hint="default"/>
                <w:sz w:val="21"/>
                <w:szCs w:val="21"/>
              </w:rPr>
            </w:pPr>
            <w:r>
              <w:rPr>
                <w:rFonts w:ascii="宋体" w:hAnsi="宋体" w:cs="宋体" w:eastAsia="宋体" w:hint="default"/>
                <w:sz w:val="21"/>
                <w:szCs w:val="21"/>
              </w:rPr>
              <w:t>道岔融雪变压器箱</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5" w:right="0"/>
              <w:jc w:val="left"/>
              <w:rPr>
                <w:rFonts w:ascii="宋体" w:hAnsi="宋体" w:cs="宋体" w:eastAsia="宋体" w:hint="default"/>
                <w:sz w:val="21"/>
                <w:szCs w:val="21"/>
              </w:rPr>
            </w:pPr>
            <w:r>
              <w:rPr>
                <w:rFonts w:ascii="宋体" w:hAnsi="宋体" w:cs="宋体" w:eastAsia="宋体" w:hint="default"/>
                <w:sz w:val="21"/>
                <w:szCs w:val="21"/>
              </w:rPr>
              <w:t>实用新型</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5" w:right="0"/>
              <w:jc w:val="left"/>
              <w:rPr>
                <w:rFonts w:ascii="宋体" w:hAnsi="宋体" w:cs="宋体" w:eastAsia="宋体" w:hint="default"/>
                <w:sz w:val="21"/>
                <w:szCs w:val="21"/>
              </w:rPr>
            </w:pPr>
            <w:r>
              <w:rPr>
                <w:rFonts w:ascii="宋体"/>
                <w:sz w:val="21"/>
              </w:rPr>
              <w:t>2017213971402</w:t>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 w:right="0"/>
              <w:jc w:val="left"/>
              <w:rPr>
                <w:rFonts w:ascii="宋体" w:hAnsi="宋体" w:cs="宋体" w:eastAsia="宋体" w:hint="default"/>
                <w:sz w:val="21"/>
                <w:szCs w:val="21"/>
              </w:rPr>
            </w:pPr>
            <w:r>
              <w:rPr>
                <w:rFonts w:ascii="宋体"/>
                <w:sz w:val="21"/>
              </w:rPr>
              <w:t>2017.10.27</w:t>
            </w:r>
          </w:p>
        </w:tc>
      </w:tr>
      <w:tr>
        <w:trPr>
          <w:trHeight w:val="342"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0"/>
              <w:jc w:val="center"/>
              <w:rPr>
                <w:rFonts w:ascii="宋体" w:hAnsi="宋体" w:cs="宋体" w:eastAsia="宋体" w:hint="default"/>
                <w:sz w:val="21"/>
                <w:szCs w:val="21"/>
              </w:rPr>
            </w:pPr>
            <w:r>
              <w:rPr>
                <w:rFonts w:ascii="宋体"/>
                <w:sz w:val="21"/>
              </w:rPr>
              <w:t>7</w:t>
            </w:r>
          </w:p>
        </w:tc>
        <w:tc>
          <w:tcPr>
            <w:tcW w:w="436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 w:right="0"/>
              <w:jc w:val="left"/>
              <w:rPr>
                <w:rFonts w:ascii="宋体" w:hAnsi="宋体" w:cs="宋体" w:eastAsia="宋体" w:hint="default"/>
                <w:sz w:val="21"/>
                <w:szCs w:val="21"/>
              </w:rPr>
            </w:pPr>
            <w:r>
              <w:rPr>
                <w:rFonts w:ascii="宋体" w:hAnsi="宋体" w:cs="宋体" w:eastAsia="宋体" w:hint="default"/>
                <w:sz w:val="21"/>
                <w:szCs w:val="21"/>
              </w:rPr>
              <w:t>一种地面应答器仿真装置</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5" w:right="0"/>
              <w:jc w:val="left"/>
              <w:rPr>
                <w:rFonts w:ascii="宋体" w:hAnsi="宋体" w:cs="宋体" w:eastAsia="宋体" w:hint="default"/>
                <w:sz w:val="21"/>
                <w:szCs w:val="21"/>
              </w:rPr>
            </w:pPr>
            <w:r>
              <w:rPr>
                <w:rFonts w:ascii="宋体" w:hAnsi="宋体" w:cs="宋体" w:eastAsia="宋体" w:hint="default"/>
                <w:sz w:val="21"/>
                <w:szCs w:val="21"/>
              </w:rPr>
              <w:t>实用新型</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5" w:right="0"/>
              <w:jc w:val="left"/>
              <w:rPr>
                <w:rFonts w:ascii="宋体" w:hAnsi="宋体" w:cs="宋体" w:eastAsia="宋体" w:hint="default"/>
                <w:sz w:val="21"/>
                <w:szCs w:val="21"/>
              </w:rPr>
            </w:pPr>
            <w:r>
              <w:rPr>
                <w:rFonts w:ascii="宋体"/>
                <w:sz w:val="21"/>
              </w:rPr>
              <w:t>201721397259X</w:t>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 w:right="0"/>
              <w:jc w:val="left"/>
              <w:rPr>
                <w:rFonts w:ascii="宋体" w:hAnsi="宋体" w:cs="宋体" w:eastAsia="宋体" w:hint="default"/>
                <w:sz w:val="21"/>
                <w:szCs w:val="21"/>
              </w:rPr>
            </w:pPr>
            <w:r>
              <w:rPr>
                <w:rFonts w:ascii="宋体"/>
                <w:sz w:val="21"/>
              </w:rPr>
              <w:t>2017.10.27</w:t>
            </w:r>
          </w:p>
        </w:tc>
      </w:tr>
      <w:tr>
        <w:trPr>
          <w:trHeight w:val="342"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0"/>
              <w:jc w:val="center"/>
              <w:rPr>
                <w:rFonts w:ascii="宋体" w:hAnsi="宋体" w:cs="宋体" w:eastAsia="宋体" w:hint="default"/>
                <w:sz w:val="21"/>
                <w:szCs w:val="21"/>
              </w:rPr>
            </w:pPr>
            <w:r>
              <w:rPr>
                <w:rFonts w:ascii="宋体"/>
                <w:sz w:val="21"/>
              </w:rPr>
              <w:t>8</w:t>
            </w:r>
          </w:p>
        </w:tc>
        <w:tc>
          <w:tcPr>
            <w:tcW w:w="436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 w:right="0"/>
              <w:jc w:val="left"/>
              <w:rPr>
                <w:rFonts w:ascii="宋体" w:hAnsi="宋体" w:cs="宋体" w:eastAsia="宋体" w:hint="default"/>
                <w:sz w:val="21"/>
                <w:szCs w:val="21"/>
              </w:rPr>
            </w:pPr>
            <w:r>
              <w:rPr>
                <w:rFonts w:ascii="宋体" w:hAnsi="宋体" w:cs="宋体" w:eastAsia="宋体" w:hint="default"/>
                <w:sz w:val="21"/>
                <w:szCs w:val="21"/>
              </w:rPr>
              <w:t>一种检测火车轨道旁山体滑坡情况的装置</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5" w:right="0"/>
              <w:jc w:val="left"/>
              <w:rPr>
                <w:rFonts w:ascii="宋体" w:hAnsi="宋体" w:cs="宋体" w:eastAsia="宋体" w:hint="default"/>
                <w:sz w:val="21"/>
                <w:szCs w:val="21"/>
              </w:rPr>
            </w:pPr>
            <w:r>
              <w:rPr>
                <w:rFonts w:ascii="宋体" w:hAnsi="宋体" w:cs="宋体" w:eastAsia="宋体" w:hint="default"/>
                <w:sz w:val="21"/>
                <w:szCs w:val="21"/>
              </w:rPr>
              <w:t>实用新型</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5" w:right="0"/>
              <w:jc w:val="left"/>
              <w:rPr>
                <w:rFonts w:ascii="宋体" w:hAnsi="宋体" w:cs="宋体" w:eastAsia="宋体" w:hint="default"/>
                <w:sz w:val="21"/>
                <w:szCs w:val="21"/>
              </w:rPr>
            </w:pPr>
            <w:r>
              <w:rPr>
                <w:rFonts w:ascii="宋体"/>
                <w:sz w:val="21"/>
              </w:rPr>
              <w:t>2017218494306</w:t>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 w:right="0"/>
              <w:jc w:val="left"/>
              <w:rPr>
                <w:rFonts w:ascii="宋体" w:hAnsi="宋体" w:cs="宋体" w:eastAsia="宋体" w:hint="default"/>
                <w:sz w:val="21"/>
                <w:szCs w:val="21"/>
              </w:rPr>
            </w:pPr>
            <w:r>
              <w:rPr>
                <w:rFonts w:ascii="宋体"/>
                <w:sz w:val="21"/>
              </w:rPr>
              <w:t>2017.12.26</w:t>
            </w:r>
          </w:p>
        </w:tc>
      </w:tr>
      <w:tr>
        <w:trPr>
          <w:trHeight w:val="342"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0"/>
              <w:jc w:val="center"/>
              <w:rPr>
                <w:rFonts w:ascii="宋体" w:hAnsi="宋体" w:cs="宋体" w:eastAsia="宋体" w:hint="default"/>
                <w:sz w:val="21"/>
                <w:szCs w:val="21"/>
              </w:rPr>
            </w:pPr>
            <w:r>
              <w:rPr>
                <w:rFonts w:ascii="宋体"/>
                <w:sz w:val="21"/>
              </w:rPr>
              <w:t>9</w:t>
            </w:r>
          </w:p>
        </w:tc>
        <w:tc>
          <w:tcPr>
            <w:tcW w:w="436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 w:right="0"/>
              <w:jc w:val="left"/>
              <w:rPr>
                <w:rFonts w:ascii="宋体" w:hAnsi="宋体" w:cs="宋体" w:eastAsia="宋体" w:hint="default"/>
                <w:sz w:val="21"/>
                <w:szCs w:val="21"/>
              </w:rPr>
            </w:pPr>
            <w:r>
              <w:rPr>
                <w:rFonts w:ascii="宋体" w:hAnsi="宋体" w:cs="宋体" w:eastAsia="宋体" w:hint="default"/>
                <w:sz w:val="21"/>
                <w:szCs w:val="21"/>
              </w:rPr>
              <w:t>火车车厢内环境检测系统</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5" w:right="0"/>
              <w:jc w:val="left"/>
              <w:rPr>
                <w:rFonts w:ascii="宋体" w:hAnsi="宋体" w:cs="宋体" w:eastAsia="宋体" w:hint="default"/>
                <w:sz w:val="21"/>
                <w:szCs w:val="21"/>
              </w:rPr>
            </w:pPr>
            <w:r>
              <w:rPr>
                <w:rFonts w:ascii="宋体" w:hAnsi="宋体" w:cs="宋体" w:eastAsia="宋体" w:hint="default"/>
                <w:sz w:val="21"/>
                <w:szCs w:val="21"/>
              </w:rPr>
              <w:t>实用新型</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5" w:right="0"/>
              <w:jc w:val="left"/>
              <w:rPr>
                <w:rFonts w:ascii="宋体" w:hAnsi="宋体" w:cs="宋体" w:eastAsia="宋体" w:hint="default"/>
                <w:sz w:val="21"/>
                <w:szCs w:val="21"/>
              </w:rPr>
            </w:pPr>
            <w:r>
              <w:rPr>
                <w:rFonts w:ascii="宋体"/>
                <w:sz w:val="21"/>
              </w:rPr>
              <w:t>2017218465074</w:t>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 w:right="0"/>
              <w:jc w:val="left"/>
              <w:rPr>
                <w:rFonts w:ascii="宋体" w:hAnsi="宋体" w:cs="宋体" w:eastAsia="宋体" w:hint="default"/>
                <w:sz w:val="21"/>
                <w:szCs w:val="21"/>
              </w:rPr>
            </w:pPr>
            <w:r>
              <w:rPr>
                <w:rFonts w:ascii="宋体"/>
                <w:sz w:val="21"/>
              </w:rPr>
              <w:t>2017.12.26</w:t>
            </w:r>
          </w:p>
        </w:tc>
      </w:tr>
      <w:tr>
        <w:trPr>
          <w:trHeight w:val="342"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0"/>
              <w:jc w:val="center"/>
              <w:rPr>
                <w:rFonts w:ascii="宋体" w:hAnsi="宋体" w:cs="宋体" w:eastAsia="宋体" w:hint="default"/>
                <w:sz w:val="21"/>
                <w:szCs w:val="21"/>
              </w:rPr>
            </w:pPr>
            <w:r>
              <w:rPr>
                <w:rFonts w:ascii="宋体"/>
                <w:sz w:val="21"/>
              </w:rPr>
              <w:t>10</w:t>
            </w:r>
          </w:p>
        </w:tc>
        <w:tc>
          <w:tcPr>
            <w:tcW w:w="436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 w:right="0"/>
              <w:jc w:val="left"/>
              <w:rPr>
                <w:rFonts w:ascii="宋体" w:hAnsi="宋体" w:cs="宋体" w:eastAsia="宋体" w:hint="default"/>
                <w:sz w:val="21"/>
                <w:szCs w:val="21"/>
              </w:rPr>
            </w:pPr>
            <w:r>
              <w:rPr>
                <w:rFonts w:ascii="宋体" w:hAnsi="宋体" w:cs="宋体" w:eastAsia="宋体" w:hint="default"/>
                <w:sz w:val="21"/>
                <w:szCs w:val="21"/>
              </w:rPr>
              <w:t>一种地铁站台入侵者识别系统</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5" w:right="0"/>
              <w:jc w:val="left"/>
              <w:rPr>
                <w:rFonts w:ascii="宋体" w:hAnsi="宋体" w:cs="宋体" w:eastAsia="宋体" w:hint="default"/>
                <w:sz w:val="21"/>
                <w:szCs w:val="21"/>
              </w:rPr>
            </w:pPr>
            <w:r>
              <w:rPr>
                <w:rFonts w:ascii="宋体" w:hAnsi="宋体" w:cs="宋体" w:eastAsia="宋体" w:hint="default"/>
                <w:sz w:val="21"/>
                <w:szCs w:val="21"/>
              </w:rPr>
              <w:t>实用新型</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5" w:right="0"/>
              <w:jc w:val="left"/>
              <w:rPr>
                <w:rFonts w:ascii="宋体" w:hAnsi="宋体" w:cs="宋体" w:eastAsia="宋体" w:hint="default"/>
                <w:sz w:val="21"/>
                <w:szCs w:val="21"/>
              </w:rPr>
            </w:pPr>
            <w:r>
              <w:rPr>
                <w:rFonts w:ascii="宋体"/>
                <w:sz w:val="21"/>
              </w:rPr>
              <w:t>201721860338X</w:t>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 w:right="0"/>
              <w:jc w:val="left"/>
              <w:rPr>
                <w:rFonts w:ascii="宋体" w:hAnsi="宋体" w:cs="宋体" w:eastAsia="宋体" w:hint="default"/>
                <w:sz w:val="21"/>
                <w:szCs w:val="21"/>
              </w:rPr>
            </w:pPr>
            <w:r>
              <w:rPr>
                <w:rFonts w:ascii="宋体"/>
                <w:sz w:val="21"/>
              </w:rPr>
              <w:t>2017.12.27</w:t>
            </w:r>
          </w:p>
        </w:tc>
      </w:tr>
      <w:tr>
        <w:trPr>
          <w:trHeight w:val="342"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0"/>
              <w:jc w:val="center"/>
              <w:rPr>
                <w:rFonts w:ascii="宋体" w:hAnsi="宋体" w:cs="宋体" w:eastAsia="宋体" w:hint="default"/>
                <w:sz w:val="21"/>
                <w:szCs w:val="21"/>
              </w:rPr>
            </w:pPr>
            <w:r>
              <w:rPr>
                <w:rFonts w:ascii="宋体"/>
                <w:sz w:val="21"/>
              </w:rPr>
              <w:t>11</w:t>
            </w:r>
          </w:p>
        </w:tc>
        <w:tc>
          <w:tcPr>
            <w:tcW w:w="436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 w:right="0"/>
              <w:jc w:val="left"/>
              <w:rPr>
                <w:rFonts w:ascii="宋体" w:hAnsi="宋体" w:cs="宋体" w:eastAsia="宋体" w:hint="default"/>
                <w:sz w:val="21"/>
                <w:szCs w:val="21"/>
              </w:rPr>
            </w:pPr>
            <w:r>
              <w:rPr>
                <w:rFonts w:ascii="宋体" w:hAnsi="宋体" w:cs="宋体" w:eastAsia="宋体" w:hint="default"/>
                <w:sz w:val="21"/>
                <w:szCs w:val="21"/>
              </w:rPr>
              <w:t>STP</w:t>
            </w:r>
            <w:r>
              <w:rPr>
                <w:rFonts w:ascii="宋体" w:hAnsi="宋体" w:cs="宋体" w:eastAsia="宋体" w:hint="default"/>
                <w:sz w:val="21"/>
                <w:szCs w:val="21"/>
              </w:rPr>
              <w:t>车载主机板卡检测仪</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5" w:right="0"/>
              <w:jc w:val="left"/>
              <w:rPr>
                <w:rFonts w:ascii="宋体" w:hAnsi="宋体" w:cs="宋体" w:eastAsia="宋体" w:hint="default"/>
                <w:sz w:val="21"/>
                <w:szCs w:val="21"/>
              </w:rPr>
            </w:pPr>
            <w:r>
              <w:rPr>
                <w:rFonts w:ascii="宋体" w:hAnsi="宋体" w:cs="宋体" w:eastAsia="宋体" w:hint="default"/>
                <w:sz w:val="21"/>
                <w:szCs w:val="21"/>
              </w:rPr>
              <w:t>实用新型</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5" w:right="0"/>
              <w:jc w:val="left"/>
              <w:rPr>
                <w:rFonts w:ascii="宋体" w:hAnsi="宋体" w:cs="宋体" w:eastAsia="宋体" w:hint="default"/>
                <w:sz w:val="21"/>
                <w:szCs w:val="21"/>
              </w:rPr>
            </w:pPr>
            <w:r>
              <w:rPr>
                <w:rFonts w:ascii="宋体"/>
                <w:sz w:val="21"/>
              </w:rPr>
              <w:t>2017217327823</w:t>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 w:right="0"/>
              <w:jc w:val="left"/>
              <w:rPr>
                <w:rFonts w:ascii="宋体" w:hAnsi="宋体" w:cs="宋体" w:eastAsia="宋体" w:hint="default"/>
                <w:sz w:val="21"/>
                <w:szCs w:val="21"/>
              </w:rPr>
            </w:pPr>
            <w:r>
              <w:rPr>
                <w:rFonts w:ascii="宋体"/>
                <w:sz w:val="21"/>
              </w:rPr>
              <w:t>2017.12.13</w:t>
            </w:r>
          </w:p>
        </w:tc>
      </w:tr>
      <w:tr>
        <w:trPr>
          <w:trHeight w:val="342"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0"/>
              <w:jc w:val="center"/>
              <w:rPr>
                <w:rFonts w:ascii="宋体" w:hAnsi="宋体" w:cs="宋体" w:eastAsia="宋体" w:hint="default"/>
                <w:sz w:val="21"/>
                <w:szCs w:val="21"/>
              </w:rPr>
            </w:pPr>
            <w:r>
              <w:rPr>
                <w:rFonts w:ascii="宋体"/>
                <w:sz w:val="21"/>
              </w:rPr>
              <w:t>12</w:t>
            </w:r>
          </w:p>
        </w:tc>
        <w:tc>
          <w:tcPr>
            <w:tcW w:w="436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 w:right="0"/>
              <w:jc w:val="left"/>
              <w:rPr>
                <w:rFonts w:ascii="宋体" w:hAnsi="宋体" w:cs="宋体" w:eastAsia="宋体" w:hint="default"/>
                <w:sz w:val="21"/>
                <w:szCs w:val="21"/>
              </w:rPr>
            </w:pPr>
            <w:r>
              <w:rPr>
                <w:rFonts w:ascii="宋体" w:hAnsi="宋体" w:cs="宋体" w:eastAsia="宋体" w:hint="default"/>
                <w:sz w:val="21"/>
                <w:szCs w:val="21"/>
              </w:rPr>
              <w:t>基于</w:t>
            </w:r>
            <w:r>
              <w:rPr>
                <w:rFonts w:ascii="宋体" w:hAnsi="宋体" w:cs="宋体" w:eastAsia="宋体" w:hint="default"/>
                <w:sz w:val="21"/>
                <w:szCs w:val="21"/>
              </w:rPr>
              <w:t>STM32</w:t>
            </w:r>
            <w:r>
              <w:rPr>
                <w:rFonts w:ascii="宋体" w:hAnsi="宋体" w:cs="宋体" w:eastAsia="宋体" w:hint="default"/>
                <w:sz w:val="21"/>
                <w:szCs w:val="21"/>
              </w:rPr>
              <w:t>处理器实现的</w:t>
            </w:r>
            <w:r>
              <w:rPr>
                <w:rFonts w:ascii="宋体" w:hAnsi="宋体" w:cs="宋体" w:eastAsia="宋体" w:hint="default"/>
                <w:sz w:val="21"/>
                <w:szCs w:val="21"/>
              </w:rPr>
              <w:t>CAN</w:t>
            </w:r>
            <w:r>
              <w:rPr>
                <w:rFonts w:ascii="宋体" w:hAnsi="宋体" w:cs="宋体" w:eastAsia="宋体" w:hint="default"/>
                <w:sz w:val="21"/>
                <w:szCs w:val="21"/>
              </w:rPr>
              <w:t>总线中继装置</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5" w:right="0"/>
              <w:jc w:val="left"/>
              <w:rPr>
                <w:rFonts w:ascii="宋体" w:hAnsi="宋体" w:cs="宋体" w:eastAsia="宋体" w:hint="default"/>
                <w:sz w:val="21"/>
                <w:szCs w:val="21"/>
              </w:rPr>
            </w:pPr>
            <w:r>
              <w:rPr>
                <w:rFonts w:ascii="宋体" w:hAnsi="宋体" w:cs="宋体" w:eastAsia="宋体" w:hint="default"/>
                <w:sz w:val="21"/>
                <w:szCs w:val="21"/>
              </w:rPr>
              <w:t>实用新型</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5" w:right="0"/>
              <w:jc w:val="left"/>
              <w:rPr>
                <w:rFonts w:ascii="宋体" w:hAnsi="宋体" w:cs="宋体" w:eastAsia="宋体" w:hint="default"/>
                <w:sz w:val="21"/>
                <w:szCs w:val="21"/>
              </w:rPr>
            </w:pPr>
            <w:r>
              <w:rPr>
                <w:rFonts w:ascii="宋体"/>
                <w:sz w:val="21"/>
              </w:rPr>
              <w:t>2017217320519</w:t>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 w:right="0"/>
              <w:jc w:val="left"/>
              <w:rPr>
                <w:rFonts w:ascii="宋体" w:hAnsi="宋体" w:cs="宋体" w:eastAsia="宋体" w:hint="default"/>
                <w:sz w:val="21"/>
                <w:szCs w:val="21"/>
              </w:rPr>
            </w:pPr>
            <w:r>
              <w:rPr>
                <w:rFonts w:ascii="宋体"/>
                <w:sz w:val="21"/>
              </w:rPr>
              <w:t>2017.12.13</w:t>
            </w:r>
          </w:p>
        </w:tc>
      </w:tr>
      <w:tr>
        <w:trPr>
          <w:trHeight w:val="342"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0"/>
              <w:jc w:val="center"/>
              <w:rPr>
                <w:rFonts w:ascii="宋体" w:hAnsi="宋体" w:cs="宋体" w:eastAsia="宋体" w:hint="default"/>
                <w:sz w:val="21"/>
                <w:szCs w:val="21"/>
              </w:rPr>
            </w:pPr>
            <w:r>
              <w:rPr>
                <w:rFonts w:ascii="宋体"/>
                <w:sz w:val="21"/>
              </w:rPr>
              <w:t>13</w:t>
            </w:r>
          </w:p>
        </w:tc>
        <w:tc>
          <w:tcPr>
            <w:tcW w:w="436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 w:right="0"/>
              <w:jc w:val="left"/>
              <w:rPr>
                <w:rFonts w:ascii="宋体" w:hAnsi="宋体" w:cs="宋体" w:eastAsia="宋体" w:hint="default"/>
                <w:sz w:val="21"/>
                <w:szCs w:val="21"/>
              </w:rPr>
            </w:pPr>
            <w:r>
              <w:rPr>
                <w:rFonts w:ascii="宋体" w:hAnsi="宋体" w:cs="宋体" w:eastAsia="宋体" w:hint="default"/>
                <w:sz w:val="21"/>
                <w:szCs w:val="21"/>
              </w:rPr>
              <w:t>用于移频轨道电路的综合信息监测系统</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5" w:right="0"/>
              <w:jc w:val="left"/>
              <w:rPr>
                <w:rFonts w:ascii="宋体" w:hAnsi="宋体" w:cs="宋体" w:eastAsia="宋体" w:hint="default"/>
                <w:sz w:val="21"/>
                <w:szCs w:val="21"/>
              </w:rPr>
            </w:pPr>
            <w:r>
              <w:rPr>
                <w:rFonts w:ascii="宋体" w:hAnsi="宋体" w:cs="宋体" w:eastAsia="宋体" w:hint="default"/>
                <w:sz w:val="21"/>
                <w:szCs w:val="21"/>
              </w:rPr>
              <w:t>实用新型</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5" w:right="0"/>
              <w:jc w:val="left"/>
              <w:rPr>
                <w:rFonts w:ascii="宋体" w:hAnsi="宋体" w:cs="宋体" w:eastAsia="宋体" w:hint="default"/>
                <w:sz w:val="21"/>
                <w:szCs w:val="21"/>
              </w:rPr>
            </w:pPr>
            <w:r>
              <w:rPr>
                <w:rFonts w:ascii="宋体"/>
                <w:sz w:val="21"/>
              </w:rPr>
              <w:t>2017217311539</w:t>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 w:right="0"/>
              <w:jc w:val="left"/>
              <w:rPr>
                <w:rFonts w:ascii="宋体" w:hAnsi="宋体" w:cs="宋体" w:eastAsia="宋体" w:hint="default"/>
                <w:sz w:val="21"/>
                <w:szCs w:val="21"/>
              </w:rPr>
            </w:pPr>
            <w:r>
              <w:rPr>
                <w:rFonts w:ascii="宋体"/>
                <w:sz w:val="21"/>
              </w:rPr>
              <w:t>2017.12.13</w:t>
            </w:r>
          </w:p>
        </w:tc>
      </w:tr>
      <w:tr>
        <w:trPr>
          <w:trHeight w:val="342"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0"/>
              <w:jc w:val="center"/>
              <w:rPr>
                <w:rFonts w:ascii="宋体" w:hAnsi="宋体" w:cs="宋体" w:eastAsia="宋体" w:hint="default"/>
                <w:sz w:val="21"/>
                <w:szCs w:val="21"/>
              </w:rPr>
            </w:pPr>
            <w:r>
              <w:rPr>
                <w:rFonts w:ascii="宋体"/>
                <w:sz w:val="21"/>
              </w:rPr>
              <w:t>14</w:t>
            </w:r>
          </w:p>
        </w:tc>
        <w:tc>
          <w:tcPr>
            <w:tcW w:w="436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 w:right="0"/>
              <w:jc w:val="left"/>
              <w:rPr>
                <w:rFonts w:ascii="宋体" w:hAnsi="宋体" w:cs="宋体" w:eastAsia="宋体" w:hint="default"/>
                <w:sz w:val="21"/>
                <w:szCs w:val="21"/>
              </w:rPr>
            </w:pPr>
            <w:r>
              <w:rPr>
                <w:rFonts w:ascii="宋体" w:hAnsi="宋体" w:cs="宋体" w:eastAsia="宋体" w:hint="default"/>
                <w:sz w:val="21"/>
                <w:szCs w:val="21"/>
              </w:rPr>
              <w:t>一种城市轨道交通检票机通行功能测试系统</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5" w:right="0"/>
              <w:jc w:val="left"/>
              <w:rPr>
                <w:rFonts w:ascii="宋体" w:hAnsi="宋体" w:cs="宋体" w:eastAsia="宋体" w:hint="default"/>
                <w:sz w:val="21"/>
                <w:szCs w:val="21"/>
              </w:rPr>
            </w:pPr>
            <w:r>
              <w:rPr>
                <w:rFonts w:ascii="宋体" w:hAnsi="宋体" w:cs="宋体" w:eastAsia="宋体" w:hint="default"/>
                <w:sz w:val="21"/>
                <w:szCs w:val="21"/>
              </w:rPr>
              <w:t>实用新型</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5" w:right="0"/>
              <w:jc w:val="left"/>
              <w:rPr>
                <w:rFonts w:ascii="宋体" w:hAnsi="宋体" w:cs="宋体" w:eastAsia="宋体" w:hint="default"/>
                <w:sz w:val="21"/>
                <w:szCs w:val="21"/>
              </w:rPr>
            </w:pPr>
            <w:r>
              <w:rPr>
                <w:rFonts w:ascii="宋体"/>
                <w:sz w:val="21"/>
              </w:rPr>
              <w:t>201720651622X</w:t>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 w:right="0"/>
              <w:jc w:val="left"/>
              <w:rPr>
                <w:rFonts w:ascii="宋体" w:hAnsi="宋体" w:cs="宋体" w:eastAsia="宋体" w:hint="default"/>
                <w:sz w:val="21"/>
                <w:szCs w:val="21"/>
              </w:rPr>
            </w:pPr>
            <w:r>
              <w:rPr>
                <w:rFonts w:ascii="宋体"/>
                <w:sz w:val="21"/>
              </w:rPr>
              <w:t>2017.6.7</w:t>
            </w:r>
          </w:p>
        </w:tc>
      </w:tr>
      <w:tr>
        <w:trPr>
          <w:trHeight w:val="342"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0"/>
              <w:jc w:val="center"/>
              <w:rPr>
                <w:rFonts w:ascii="宋体" w:hAnsi="宋体" w:cs="宋体" w:eastAsia="宋体" w:hint="default"/>
                <w:sz w:val="21"/>
                <w:szCs w:val="21"/>
              </w:rPr>
            </w:pPr>
            <w:r>
              <w:rPr>
                <w:rFonts w:ascii="宋体"/>
                <w:sz w:val="21"/>
              </w:rPr>
              <w:t>15</w:t>
            </w:r>
          </w:p>
        </w:tc>
        <w:tc>
          <w:tcPr>
            <w:tcW w:w="436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 w:right="0"/>
              <w:jc w:val="left"/>
              <w:rPr>
                <w:rFonts w:ascii="宋体" w:hAnsi="宋体" w:cs="宋体" w:eastAsia="宋体" w:hint="default"/>
                <w:sz w:val="21"/>
                <w:szCs w:val="21"/>
              </w:rPr>
            </w:pPr>
            <w:r>
              <w:rPr>
                <w:rFonts w:ascii="宋体" w:hAnsi="宋体" w:cs="宋体" w:eastAsia="宋体" w:hint="default"/>
                <w:sz w:val="21"/>
                <w:szCs w:val="21"/>
              </w:rPr>
              <w:t>一种支持移动终端的地铁售检票系统</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5" w:right="0"/>
              <w:jc w:val="left"/>
              <w:rPr>
                <w:rFonts w:ascii="宋体" w:hAnsi="宋体" w:cs="宋体" w:eastAsia="宋体" w:hint="default"/>
                <w:sz w:val="21"/>
                <w:szCs w:val="21"/>
              </w:rPr>
            </w:pPr>
            <w:r>
              <w:rPr>
                <w:rFonts w:ascii="宋体" w:hAnsi="宋体" w:cs="宋体" w:eastAsia="宋体" w:hint="default"/>
                <w:sz w:val="21"/>
                <w:szCs w:val="21"/>
              </w:rPr>
              <w:t>实用新型</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5" w:right="0"/>
              <w:jc w:val="left"/>
              <w:rPr>
                <w:rFonts w:ascii="宋体" w:hAnsi="宋体" w:cs="宋体" w:eastAsia="宋体" w:hint="default"/>
                <w:sz w:val="21"/>
                <w:szCs w:val="21"/>
              </w:rPr>
            </w:pPr>
            <w:r>
              <w:rPr>
                <w:rFonts w:ascii="宋体"/>
                <w:sz w:val="21"/>
              </w:rPr>
              <w:t>2017206516361</w:t>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 w:right="0"/>
              <w:jc w:val="left"/>
              <w:rPr>
                <w:rFonts w:ascii="宋体" w:hAnsi="宋体" w:cs="宋体" w:eastAsia="宋体" w:hint="default"/>
                <w:sz w:val="21"/>
                <w:szCs w:val="21"/>
              </w:rPr>
            </w:pPr>
            <w:r>
              <w:rPr>
                <w:rFonts w:ascii="宋体"/>
                <w:sz w:val="21"/>
              </w:rPr>
              <w:t>2017.6.7</w:t>
            </w:r>
          </w:p>
        </w:tc>
      </w:tr>
      <w:tr>
        <w:trPr>
          <w:trHeight w:val="654"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0"/>
              <w:jc w:val="center"/>
              <w:rPr>
                <w:rFonts w:ascii="宋体" w:hAnsi="宋体" w:cs="宋体" w:eastAsia="宋体" w:hint="default"/>
                <w:sz w:val="21"/>
                <w:szCs w:val="21"/>
              </w:rPr>
            </w:pPr>
            <w:r>
              <w:rPr>
                <w:rFonts w:ascii="宋体"/>
                <w:sz w:val="21"/>
              </w:rPr>
              <w:t>16</w:t>
            </w:r>
          </w:p>
        </w:tc>
        <w:tc>
          <w:tcPr>
            <w:tcW w:w="436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4" w:right="8"/>
              <w:jc w:val="left"/>
              <w:rPr>
                <w:rFonts w:ascii="宋体" w:hAnsi="宋体" w:cs="宋体" w:eastAsia="宋体" w:hint="default"/>
                <w:sz w:val="21"/>
                <w:szCs w:val="21"/>
              </w:rPr>
            </w:pPr>
            <w:r>
              <w:rPr>
                <w:rFonts w:ascii="宋体" w:hAnsi="宋体" w:cs="宋体" w:eastAsia="宋体" w:hint="default"/>
                <w:spacing w:val="6"/>
                <w:sz w:val="21"/>
                <w:szCs w:val="21"/>
              </w:rPr>
              <w:t>一种铁路道岔融雪设备上使用的智能功率控制</w:t>
            </w:r>
            <w:r>
              <w:rPr>
                <w:rFonts w:ascii="宋体" w:hAnsi="宋体" w:cs="宋体" w:eastAsia="宋体" w:hint="default"/>
                <w:sz w:val="21"/>
                <w:szCs w:val="21"/>
              </w:rPr>
              <w:t> 装置</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left="5" w:right="0"/>
              <w:jc w:val="left"/>
              <w:rPr>
                <w:rFonts w:ascii="宋体" w:hAnsi="宋体" w:cs="宋体" w:eastAsia="宋体" w:hint="default"/>
                <w:sz w:val="21"/>
                <w:szCs w:val="21"/>
              </w:rPr>
            </w:pPr>
            <w:r>
              <w:rPr>
                <w:rFonts w:ascii="宋体" w:hAnsi="宋体" w:cs="宋体" w:eastAsia="宋体" w:hint="default"/>
                <w:sz w:val="21"/>
                <w:szCs w:val="21"/>
              </w:rPr>
              <w:t>实用新型</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left="5" w:right="0"/>
              <w:jc w:val="left"/>
              <w:rPr>
                <w:rFonts w:ascii="宋体" w:hAnsi="宋体" w:cs="宋体" w:eastAsia="宋体" w:hint="default"/>
                <w:sz w:val="21"/>
                <w:szCs w:val="21"/>
              </w:rPr>
            </w:pPr>
            <w:r>
              <w:rPr>
                <w:rFonts w:ascii="宋体"/>
                <w:sz w:val="21"/>
              </w:rPr>
              <w:t>2017213688339</w:t>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left="4" w:right="0"/>
              <w:jc w:val="left"/>
              <w:rPr>
                <w:rFonts w:ascii="宋体" w:hAnsi="宋体" w:cs="宋体" w:eastAsia="宋体" w:hint="default"/>
                <w:sz w:val="21"/>
                <w:szCs w:val="21"/>
              </w:rPr>
            </w:pPr>
            <w:r>
              <w:rPr>
                <w:rFonts w:ascii="宋体"/>
                <w:sz w:val="21"/>
              </w:rPr>
              <w:t>2017.10.23</w:t>
            </w:r>
          </w:p>
        </w:tc>
      </w:tr>
      <w:tr>
        <w:trPr>
          <w:trHeight w:val="342"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0"/>
              <w:jc w:val="center"/>
              <w:rPr>
                <w:rFonts w:ascii="宋体" w:hAnsi="宋体" w:cs="宋体" w:eastAsia="宋体" w:hint="default"/>
                <w:sz w:val="21"/>
                <w:szCs w:val="21"/>
              </w:rPr>
            </w:pPr>
            <w:r>
              <w:rPr>
                <w:rFonts w:ascii="宋体"/>
                <w:sz w:val="21"/>
              </w:rPr>
              <w:t>17</w:t>
            </w:r>
          </w:p>
        </w:tc>
        <w:tc>
          <w:tcPr>
            <w:tcW w:w="436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 w:right="0"/>
              <w:jc w:val="left"/>
              <w:rPr>
                <w:rFonts w:ascii="宋体" w:hAnsi="宋体" w:cs="宋体" w:eastAsia="宋体" w:hint="default"/>
                <w:sz w:val="21"/>
                <w:szCs w:val="21"/>
              </w:rPr>
            </w:pPr>
            <w:r>
              <w:rPr>
                <w:rFonts w:ascii="宋体" w:hAnsi="宋体" w:cs="宋体" w:eastAsia="宋体" w:hint="default"/>
                <w:sz w:val="21"/>
                <w:szCs w:val="21"/>
              </w:rPr>
              <w:t>一种地铁站台乘客上车引导系统</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5" w:right="0"/>
              <w:jc w:val="left"/>
              <w:rPr>
                <w:rFonts w:ascii="宋体" w:hAnsi="宋体" w:cs="宋体" w:eastAsia="宋体" w:hint="default"/>
                <w:sz w:val="21"/>
                <w:szCs w:val="21"/>
              </w:rPr>
            </w:pPr>
            <w:r>
              <w:rPr>
                <w:rFonts w:ascii="宋体" w:hAnsi="宋体" w:cs="宋体" w:eastAsia="宋体" w:hint="default"/>
                <w:sz w:val="21"/>
                <w:szCs w:val="21"/>
              </w:rPr>
              <w:t>实用新型</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5" w:right="0"/>
              <w:jc w:val="left"/>
              <w:rPr>
                <w:rFonts w:ascii="宋体" w:hAnsi="宋体" w:cs="宋体" w:eastAsia="宋体" w:hint="default"/>
                <w:sz w:val="21"/>
                <w:szCs w:val="21"/>
              </w:rPr>
            </w:pPr>
            <w:r>
              <w:rPr>
                <w:rFonts w:ascii="宋体"/>
                <w:sz w:val="21"/>
              </w:rPr>
              <w:t>2017218590089</w:t>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 w:right="0"/>
              <w:jc w:val="left"/>
              <w:rPr>
                <w:rFonts w:ascii="宋体" w:hAnsi="宋体" w:cs="宋体" w:eastAsia="宋体" w:hint="default"/>
                <w:sz w:val="21"/>
                <w:szCs w:val="21"/>
              </w:rPr>
            </w:pPr>
            <w:r>
              <w:rPr>
                <w:rFonts w:ascii="宋体"/>
                <w:sz w:val="21"/>
              </w:rPr>
              <w:t>2017.12.27</w:t>
            </w:r>
          </w:p>
        </w:tc>
      </w:tr>
      <w:tr>
        <w:trPr>
          <w:trHeight w:val="342"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0"/>
              <w:jc w:val="center"/>
              <w:rPr>
                <w:rFonts w:ascii="宋体" w:hAnsi="宋体" w:cs="宋体" w:eastAsia="宋体" w:hint="default"/>
                <w:sz w:val="21"/>
                <w:szCs w:val="21"/>
              </w:rPr>
            </w:pPr>
            <w:r>
              <w:rPr>
                <w:rFonts w:ascii="宋体"/>
                <w:sz w:val="21"/>
              </w:rPr>
              <w:t>18</w:t>
            </w:r>
          </w:p>
        </w:tc>
        <w:tc>
          <w:tcPr>
            <w:tcW w:w="436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 w:right="0"/>
              <w:jc w:val="left"/>
              <w:rPr>
                <w:rFonts w:ascii="宋体" w:hAnsi="宋体" w:cs="宋体" w:eastAsia="宋体" w:hint="default"/>
                <w:sz w:val="21"/>
                <w:szCs w:val="21"/>
              </w:rPr>
            </w:pPr>
            <w:r>
              <w:rPr>
                <w:rFonts w:ascii="宋体" w:hAnsi="宋体" w:cs="宋体" w:eastAsia="宋体" w:hint="default"/>
                <w:sz w:val="21"/>
                <w:szCs w:val="21"/>
              </w:rPr>
              <w:t>基于风力发电的火车照明系统</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5" w:right="0"/>
              <w:jc w:val="left"/>
              <w:rPr>
                <w:rFonts w:ascii="宋体" w:hAnsi="宋体" w:cs="宋体" w:eastAsia="宋体" w:hint="default"/>
                <w:sz w:val="21"/>
                <w:szCs w:val="21"/>
              </w:rPr>
            </w:pPr>
            <w:r>
              <w:rPr>
                <w:rFonts w:ascii="宋体" w:hAnsi="宋体" w:cs="宋体" w:eastAsia="宋体" w:hint="default"/>
                <w:sz w:val="21"/>
                <w:szCs w:val="21"/>
              </w:rPr>
              <w:t>实用新型</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5" w:right="0"/>
              <w:jc w:val="left"/>
              <w:rPr>
                <w:rFonts w:ascii="宋体" w:hAnsi="宋体" w:cs="宋体" w:eastAsia="宋体" w:hint="default"/>
                <w:sz w:val="21"/>
                <w:szCs w:val="21"/>
              </w:rPr>
            </w:pPr>
            <w:r>
              <w:rPr>
                <w:rFonts w:ascii="宋体"/>
                <w:sz w:val="21"/>
              </w:rPr>
              <w:t>201721850500X</w:t>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 w:right="0"/>
              <w:jc w:val="left"/>
              <w:rPr>
                <w:rFonts w:ascii="宋体" w:hAnsi="宋体" w:cs="宋体" w:eastAsia="宋体" w:hint="default"/>
                <w:sz w:val="21"/>
                <w:szCs w:val="21"/>
              </w:rPr>
            </w:pPr>
            <w:r>
              <w:rPr>
                <w:rFonts w:ascii="宋体"/>
                <w:sz w:val="21"/>
              </w:rPr>
              <w:t>2017.12.26</w:t>
            </w:r>
          </w:p>
        </w:tc>
      </w:tr>
      <w:tr>
        <w:trPr>
          <w:trHeight w:val="342"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0"/>
              <w:jc w:val="center"/>
              <w:rPr>
                <w:rFonts w:ascii="宋体" w:hAnsi="宋体" w:cs="宋体" w:eastAsia="宋体" w:hint="default"/>
                <w:sz w:val="21"/>
                <w:szCs w:val="21"/>
              </w:rPr>
            </w:pPr>
            <w:r>
              <w:rPr>
                <w:rFonts w:ascii="宋体"/>
                <w:sz w:val="21"/>
              </w:rPr>
              <w:t>19</w:t>
            </w:r>
          </w:p>
        </w:tc>
        <w:tc>
          <w:tcPr>
            <w:tcW w:w="436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 w:right="0"/>
              <w:jc w:val="left"/>
              <w:rPr>
                <w:rFonts w:ascii="宋体" w:hAnsi="宋体" w:cs="宋体" w:eastAsia="宋体" w:hint="default"/>
                <w:sz w:val="21"/>
                <w:szCs w:val="21"/>
              </w:rPr>
            </w:pPr>
            <w:r>
              <w:rPr>
                <w:rFonts w:ascii="宋体" w:hAnsi="宋体" w:cs="宋体" w:eastAsia="宋体" w:hint="default"/>
                <w:sz w:val="21"/>
                <w:szCs w:val="21"/>
              </w:rPr>
              <w:t>火车紧急制动装置</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5" w:right="0"/>
              <w:jc w:val="left"/>
              <w:rPr>
                <w:rFonts w:ascii="宋体" w:hAnsi="宋体" w:cs="宋体" w:eastAsia="宋体" w:hint="default"/>
                <w:sz w:val="21"/>
                <w:szCs w:val="21"/>
              </w:rPr>
            </w:pPr>
            <w:r>
              <w:rPr>
                <w:rFonts w:ascii="宋体" w:hAnsi="宋体" w:cs="宋体" w:eastAsia="宋体" w:hint="default"/>
                <w:sz w:val="21"/>
                <w:szCs w:val="21"/>
              </w:rPr>
              <w:t>实用新型</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5" w:right="0"/>
              <w:jc w:val="left"/>
              <w:rPr>
                <w:rFonts w:ascii="宋体" w:hAnsi="宋体" w:cs="宋体" w:eastAsia="宋体" w:hint="default"/>
                <w:sz w:val="21"/>
                <w:szCs w:val="21"/>
              </w:rPr>
            </w:pPr>
            <w:r>
              <w:rPr>
                <w:rFonts w:ascii="宋体"/>
                <w:sz w:val="21"/>
              </w:rPr>
              <w:t>2017218618775</w:t>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 w:right="0"/>
              <w:jc w:val="left"/>
              <w:rPr>
                <w:rFonts w:ascii="宋体" w:hAnsi="宋体" w:cs="宋体" w:eastAsia="宋体" w:hint="default"/>
                <w:sz w:val="21"/>
                <w:szCs w:val="21"/>
              </w:rPr>
            </w:pPr>
            <w:r>
              <w:rPr>
                <w:rFonts w:ascii="宋体"/>
                <w:sz w:val="21"/>
              </w:rPr>
              <w:t>2017.12.27</w:t>
            </w:r>
          </w:p>
        </w:tc>
      </w:tr>
      <w:tr>
        <w:trPr>
          <w:trHeight w:val="342"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0"/>
              <w:jc w:val="center"/>
              <w:rPr>
                <w:rFonts w:ascii="宋体" w:hAnsi="宋体" w:cs="宋体" w:eastAsia="宋体" w:hint="default"/>
                <w:sz w:val="21"/>
                <w:szCs w:val="21"/>
              </w:rPr>
            </w:pPr>
            <w:r>
              <w:rPr>
                <w:rFonts w:ascii="宋体"/>
                <w:sz w:val="21"/>
              </w:rPr>
              <w:t>20</w:t>
            </w:r>
          </w:p>
        </w:tc>
        <w:tc>
          <w:tcPr>
            <w:tcW w:w="436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 w:right="0"/>
              <w:jc w:val="left"/>
              <w:rPr>
                <w:rFonts w:ascii="宋体" w:hAnsi="宋体" w:cs="宋体" w:eastAsia="宋体" w:hint="default"/>
                <w:sz w:val="21"/>
                <w:szCs w:val="21"/>
              </w:rPr>
            </w:pPr>
            <w:r>
              <w:rPr>
                <w:rFonts w:ascii="宋体" w:hAnsi="宋体" w:cs="宋体" w:eastAsia="宋体" w:hint="default"/>
                <w:sz w:val="21"/>
                <w:szCs w:val="21"/>
              </w:rPr>
              <w:t>火车轨道异物入侵检测装置</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5" w:right="0"/>
              <w:jc w:val="left"/>
              <w:rPr>
                <w:rFonts w:ascii="宋体" w:hAnsi="宋体" w:cs="宋体" w:eastAsia="宋体" w:hint="default"/>
                <w:sz w:val="21"/>
                <w:szCs w:val="21"/>
              </w:rPr>
            </w:pPr>
            <w:r>
              <w:rPr>
                <w:rFonts w:ascii="宋体" w:hAnsi="宋体" w:cs="宋体" w:eastAsia="宋体" w:hint="default"/>
                <w:sz w:val="21"/>
                <w:szCs w:val="21"/>
              </w:rPr>
              <w:t>实用新型</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5" w:right="0"/>
              <w:jc w:val="left"/>
              <w:rPr>
                <w:rFonts w:ascii="宋体" w:hAnsi="宋体" w:cs="宋体" w:eastAsia="宋体" w:hint="default"/>
                <w:sz w:val="21"/>
                <w:szCs w:val="21"/>
              </w:rPr>
            </w:pPr>
            <w:r>
              <w:rPr>
                <w:rFonts w:ascii="宋体"/>
                <w:sz w:val="21"/>
              </w:rPr>
              <w:t>2017218659008</w:t>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 w:right="0"/>
              <w:jc w:val="left"/>
              <w:rPr>
                <w:rFonts w:ascii="宋体" w:hAnsi="宋体" w:cs="宋体" w:eastAsia="宋体" w:hint="default"/>
                <w:sz w:val="21"/>
                <w:szCs w:val="21"/>
              </w:rPr>
            </w:pPr>
            <w:r>
              <w:rPr>
                <w:rFonts w:ascii="宋体"/>
                <w:sz w:val="21"/>
              </w:rPr>
              <w:t>2017.12.27</w:t>
            </w:r>
          </w:p>
        </w:tc>
      </w:tr>
      <w:tr>
        <w:trPr>
          <w:trHeight w:val="342"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0"/>
              <w:jc w:val="center"/>
              <w:rPr>
                <w:rFonts w:ascii="宋体" w:hAnsi="宋体" w:cs="宋体" w:eastAsia="宋体" w:hint="default"/>
                <w:sz w:val="21"/>
                <w:szCs w:val="21"/>
              </w:rPr>
            </w:pPr>
            <w:r>
              <w:rPr>
                <w:rFonts w:ascii="宋体"/>
                <w:sz w:val="21"/>
              </w:rPr>
              <w:t>21</w:t>
            </w:r>
          </w:p>
        </w:tc>
        <w:tc>
          <w:tcPr>
            <w:tcW w:w="436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 w:right="0"/>
              <w:jc w:val="left"/>
              <w:rPr>
                <w:rFonts w:ascii="宋体" w:hAnsi="宋体" w:cs="宋体" w:eastAsia="宋体" w:hint="default"/>
                <w:sz w:val="21"/>
                <w:szCs w:val="21"/>
              </w:rPr>
            </w:pPr>
            <w:r>
              <w:rPr>
                <w:rFonts w:ascii="宋体" w:hAnsi="宋体" w:cs="宋体" w:eastAsia="宋体" w:hint="default"/>
                <w:sz w:val="21"/>
                <w:szCs w:val="21"/>
              </w:rPr>
              <w:t>基于无线传感网络的铁路防灾安全监控系统</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5" w:right="0"/>
              <w:jc w:val="left"/>
              <w:rPr>
                <w:rFonts w:ascii="宋体" w:hAnsi="宋体" w:cs="宋体" w:eastAsia="宋体" w:hint="default"/>
                <w:sz w:val="21"/>
                <w:szCs w:val="21"/>
              </w:rPr>
            </w:pPr>
            <w:r>
              <w:rPr>
                <w:rFonts w:ascii="宋体" w:hAnsi="宋体" w:cs="宋体" w:eastAsia="宋体" w:hint="default"/>
                <w:sz w:val="21"/>
                <w:szCs w:val="21"/>
              </w:rPr>
              <w:t>实用新型</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5" w:right="0"/>
              <w:jc w:val="left"/>
              <w:rPr>
                <w:rFonts w:ascii="宋体" w:hAnsi="宋体" w:cs="宋体" w:eastAsia="宋体" w:hint="default"/>
                <w:sz w:val="21"/>
                <w:szCs w:val="21"/>
              </w:rPr>
            </w:pPr>
            <w:r>
              <w:rPr>
                <w:rFonts w:ascii="宋体"/>
                <w:sz w:val="21"/>
              </w:rPr>
              <w:t>2017218659012</w:t>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 w:right="0"/>
              <w:jc w:val="left"/>
              <w:rPr>
                <w:rFonts w:ascii="宋体" w:hAnsi="宋体" w:cs="宋体" w:eastAsia="宋体" w:hint="default"/>
                <w:sz w:val="21"/>
                <w:szCs w:val="21"/>
              </w:rPr>
            </w:pPr>
            <w:r>
              <w:rPr>
                <w:rFonts w:ascii="宋体"/>
                <w:sz w:val="21"/>
              </w:rPr>
              <w:t>2017.12.27</w:t>
            </w:r>
          </w:p>
        </w:tc>
      </w:tr>
      <w:tr>
        <w:trPr>
          <w:trHeight w:val="342"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0"/>
              <w:jc w:val="center"/>
              <w:rPr>
                <w:rFonts w:ascii="宋体" w:hAnsi="宋体" w:cs="宋体" w:eastAsia="宋体" w:hint="default"/>
                <w:sz w:val="21"/>
                <w:szCs w:val="21"/>
              </w:rPr>
            </w:pPr>
            <w:r>
              <w:rPr>
                <w:rFonts w:ascii="宋体"/>
                <w:sz w:val="21"/>
              </w:rPr>
              <w:t>22</w:t>
            </w:r>
          </w:p>
        </w:tc>
        <w:tc>
          <w:tcPr>
            <w:tcW w:w="436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 w:right="0"/>
              <w:jc w:val="left"/>
              <w:rPr>
                <w:rFonts w:ascii="宋体" w:hAnsi="宋体" w:cs="宋体" w:eastAsia="宋体" w:hint="default"/>
                <w:sz w:val="21"/>
                <w:szCs w:val="21"/>
              </w:rPr>
            </w:pPr>
            <w:r>
              <w:rPr>
                <w:rFonts w:ascii="宋体" w:hAnsi="宋体" w:cs="宋体" w:eastAsia="宋体" w:hint="default"/>
                <w:sz w:val="21"/>
                <w:szCs w:val="21"/>
              </w:rPr>
              <w:t>一种火车上的智能照明系统</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5" w:right="0"/>
              <w:jc w:val="left"/>
              <w:rPr>
                <w:rFonts w:ascii="宋体" w:hAnsi="宋体" w:cs="宋体" w:eastAsia="宋体" w:hint="default"/>
                <w:sz w:val="21"/>
                <w:szCs w:val="21"/>
              </w:rPr>
            </w:pPr>
            <w:r>
              <w:rPr>
                <w:rFonts w:ascii="宋体" w:hAnsi="宋体" w:cs="宋体" w:eastAsia="宋体" w:hint="default"/>
                <w:sz w:val="21"/>
                <w:szCs w:val="21"/>
              </w:rPr>
              <w:t>实用新型</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5" w:right="0"/>
              <w:jc w:val="left"/>
              <w:rPr>
                <w:rFonts w:ascii="宋体" w:hAnsi="宋体" w:cs="宋体" w:eastAsia="宋体" w:hint="default"/>
                <w:sz w:val="21"/>
                <w:szCs w:val="21"/>
              </w:rPr>
            </w:pPr>
            <w:r>
              <w:rPr>
                <w:rFonts w:ascii="宋体"/>
                <w:sz w:val="21"/>
              </w:rPr>
              <w:t>2017218659027</w:t>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 w:right="0"/>
              <w:jc w:val="left"/>
              <w:rPr>
                <w:rFonts w:ascii="宋体" w:hAnsi="宋体" w:cs="宋体" w:eastAsia="宋体" w:hint="default"/>
                <w:sz w:val="21"/>
                <w:szCs w:val="21"/>
              </w:rPr>
            </w:pPr>
            <w:r>
              <w:rPr>
                <w:rFonts w:ascii="宋体"/>
                <w:sz w:val="21"/>
              </w:rPr>
              <w:t>2017.12.27</w:t>
            </w:r>
          </w:p>
        </w:tc>
      </w:tr>
      <w:tr>
        <w:trPr>
          <w:trHeight w:val="342"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0"/>
              <w:jc w:val="center"/>
              <w:rPr>
                <w:rFonts w:ascii="宋体" w:hAnsi="宋体" w:cs="宋体" w:eastAsia="宋体" w:hint="default"/>
                <w:sz w:val="21"/>
                <w:szCs w:val="21"/>
              </w:rPr>
            </w:pPr>
            <w:r>
              <w:rPr>
                <w:rFonts w:ascii="宋体"/>
                <w:sz w:val="21"/>
              </w:rPr>
              <w:t>23</w:t>
            </w:r>
          </w:p>
        </w:tc>
        <w:tc>
          <w:tcPr>
            <w:tcW w:w="436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 w:right="0"/>
              <w:jc w:val="left"/>
              <w:rPr>
                <w:rFonts w:ascii="宋体" w:hAnsi="宋体" w:cs="宋体" w:eastAsia="宋体" w:hint="default"/>
                <w:sz w:val="21"/>
                <w:szCs w:val="21"/>
              </w:rPr>
            </w:pPr>
            <w:r>
              <w:rPr>
                <w:rFonts w:ascii="宋体" w:hAnsi="宋体" w:cs="宋体" w:eastAsia="宋体" w:hint="default"/>
                <w:sz w:val="21"/>
                <w:szCs w:val="21"/>
              </w:rPr>
              <w:t>机柜（双切箱）</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5" w:right="0"/>
              <w:jc w:val="left"/>
              <w:rPr>
                <w:rFonts w:ascii="宋体" w:hAnsi="宋体" w:cs="宋体" w:eastAsia="宋体" w:hint="default"/>
                <w:sz w:val="21"/>
                <w:szCs w:val="21"/>
              </w:rPr>
            </w:pPr>
            <w:r>
              <w:rPr>
                <w:rFonts w:ascii="宋体" w:hAnsi="宋体" w:cs="宋体" w:eastAsia="宋体" w:hint="default"/>
                <w:sz w:val="21"/>
                <w:szCs w:val="21"/>
              </w:rPr>
              <w:t>外观专利</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5" w:right="0"/>
              <w:jc w:val="left"/>
              <w:rPr>
                <w:rFonts w:ascii="宋体" w:hAnsi="宋体" w:cs="宋体" w:eastAsia="宋体" w:hint="default"/>
                <w:sz w:val="21"/>
                <w:szCs w:val="21"/>
              </w:rPr>
            </w:pPr>
            <w:r>
              <w:rPr>
                <w:rFonts w:ascii="宋体"/>
                <w:sz w:val="21"/>
              </w:rPr>
              <w:t>201730668456X</w:t>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 w:right="0"/>
              <w:jc w:val="left"/>
              <w:rPr>
                <w:rFonts w:ascii="宋体" w:hAnsi="宋体" w:cs="宋体" w:eastAsia="宋体" w:hint="default"/>
                <w:sz w:val="21"/>
                <w:szCs w:val="21"/>
              </w:rPr>
            </w:pPr>
            <w:r>
              <w:rPr>
                <w:rFonts w:ascii="宋体"/>
                <w:sz w:val="21"/>
              </w:rPr>
              <w:t>2017.12.25</w:t>
            </w:r>
          </w:p>
        </w:tc>
      </w:tr>
      <w:tr>
        <w:trPr>
          <w:trHeight w:val="342"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0"/>
              <w:jc w:val="center"/>
              <w:rPr>
                <w:rFonts w:ascii="宋体" w:hAnsi="宋体" w:cs="宋体" w:eastAsia="宋体" w:hint="default"/>
                <w:sz w:val="21"/>
                <w:szCs w:val="21"/>
              </w:rPr>
            </w:pPr>
            <w:r>
              <w:rPr>
                <w:rFonts w:ascii="宋体"/>
                <w:sz w:val="21"/>
              </w:rPr>
              <w:t>24</w:t>
            </w:r>
          </w:p>
        </w:tc>
        <w:tc>
          <w:tcPr>
            <w:tcW w:w="436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 w:right="0"/>
              <w:jc w:val="left"/>
              <w:rPr>
                <w:rFonts w:ascii="宋体" w:hAnsi="宋体" w:cs="宋体" w:eastAsia="宋体" w:hint="default"/>
                <w:sz w:val="21"/>
                <w:szCs w:val="21"/>
              </w:rPr>
            </w:pPr>
            <w:r>
              <w:rPr>
                <w:rFonts w:ascii="宋体" w:hAnsi="宋体" w:cs="宋体" w:eastAsia="宋体" w:hint="default"/>
                <w:sz w:val="21"/>
                <w:szCs w:val="21"/>
              </w:rPr>
              <w:t>机柜（模块箱）</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5" w:right="0"/>
              <w:jc w:val="left"/>
              <w:rPr>
                <w:rFonts w:ascii="宋体" w:hAnsi="宋体" w:cs="宋体" w:eastAsia="宋体" w:hint="default"/>
                <w:sz w:val="21"/>
                <w:szCs w:val="21"/>
              </w:rPr>
            </w:pPr>
            <w:r>
              <w:rPr>
                <w:rFonts w:ascii="宋体" w:hAnsi="宋体" w:cs="宋体" w:eastAsia="宋体" w:hint="default"/>
                <w:sz w:val="21"/>
                <w:szCs w:val="21"/>
              </w:rPr>
              <w:t>外观专利</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5" w:right="0"/>
              <w:jc w:val="left"/>
              <w:rPr>
                <w:rFonts w:ascii="宋体" w:hAnsi="宋体" w:cs="宋体" w:eastAsia="宋体" w:hint="default"/>
                <w:sz w:val="21"/>
                <w:szCs w:val="21"/>
              </w:rPr>
            </w:pPr>
            <w:r>
              <w:rPr>
                <w:rFonts w:ascii="宋体"/>
                <w:sz w:val="21"/>
              </w:rPr>
              <w:t>2017306708013</w:t>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 w:right="0"/>
              <w:jc w:val="left"/>
              <w:rPr>
                <w:rFonts w:ascii="宋体" w:hAnsi="宋体" w:cs="宋体" w:eastAsia="宋体" w:hint="default"/>
                <w:sz w:val="21"/>
                <w:szCs w:val="21"/>
              </w:rPr>
            </w:pPr>
            <w:r>
              <w:rPr>
                <w:rFonts w:ascii="宋体"/>
                <w:sz w:val="21"/>
              </w:rPr>
              <w:t>2017.12.25</w:t>
            </w:r>
          </w:p>
        </w:tc>
      </w:tr>
      <w:tr>
        <w:trPr>
          <w:trHeight w:val="342"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0"/>
              <w:jc w:val="center"/>
              <w:rPr>
                <w:rFonts w:ascii="宋体" w:hAnsi="宋体" w:cs="宋体" w:eastAsia="宋体" w:hint="default"/>
                <w:sz w:val="21"/>
                <w:szCs w:val="21"/>
              </w:rPr>
            </w:pPr>
            <w:r>
              <w:rPr>
                <w:rFonts w:ascii="宋体"/>
                <w:sz w:val="21"/>
              </w:rPr>
              <w:t>25</w:t>
            </w:r>
          </w:p>
        </w:tc>
        <w:tc>
          <w:tcPr>
            <w:tcW w:w="436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 w:right="0"/>
              <w:jc w:val="left"/>
              <w:rPr>
                <w:rFonts w:ascii="宋体" w:hAnsi="宋体" w:cs="宋体" w:eastAsia="宋体" w:hint="default"/>
                <w:sz w:val="21"/>
                <w:szCs w:val="21"/>
              </w:rPr>
            </w:pPr>
            <w:r>
              <w:rPr>
                <w:rFonts w:ascii="宋体" w:hAnsi="宋体" w:cs="宋体" w:eastAsia="宋体" w:hint="default"/>
                <w:sz w:val="21"/>
                <w:szCs w:val="21"/>
              </w:rPr>
              <w:t>电脑的图形用户界面（地铁</w:t>
            </w:r>
            <w:r>
              <w:rPr>
                <w:rFonts w:ascii="宋体" w:hAnsi="宋体" w:cs="宋体" w:eastAsia="宋体" w:hint="default"/>
                <w:sz w:val="21"/>
                <w:szCs w:val="21"/>
              </w:rPr>
              <w:t>BAS</w:t>
            </w:r>
            <w:r>
              <w:rPr>
                <w:rFonts w:ascii="宋体" w:hAnsi="宋体" w:cs="宋体" w:eastAsia="宋体" w:hint="default"/>
                <w:sz w:val="21"/>
                <w:szCs w:val="21"/>
              </w:rPr>
              <w:t>火灾模式）</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5" w:right="0"/>
              <w:jc w:val="left"/>
              <w:rPr>
                <w:rFonts w:ascii="宋体" w:hAnsi="宋体" w:cs="宋体" w:eastAsia="宋体" w:hint="default"/>
                <w:sz w:val="21"/>
                <w:szCs w:val="21"/>
              </w:rPr>
            </w:pPr>
            <w:r>
              <w:rPr>
                <w:rFonts w:ascii="宋体" w:hAnsi="宋体" w:cs="宋体" w:eastAsia="宋体" w:hint="default"/>
                <w:sz w:val="21"/>
                <w:szCs w:val="21"/>
              </w:rPr>
              <w:t>外观专利</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5" w:right="0"/>
              <w:jc w:val="left"/>
              <w:rPr>
                <w:rFonts w:ascii="宋体" w:hAnsi="宋体" w:cs="宋体" w:eastAsia="宋体" w:hint="default"/>
                <w:sz w:val="21"/>
                <w:szCs w:val="21"/>
              </w:rPr>
            </w:pPr>
            <w:r>
              <w:rPr>
                <w:rFonts w:ascii="宋体"/>
                <w:sz w:val="21"/>
              </w:rPr>
              <w:t>2017306679468</w:t>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 w:right="0"/>
              <w:jc w:val="left"/>
              <w:rPr>
                <w:rFonts w:ascii="宋体" w:hAnsi="宋体" w:cs="宋体" w:eastAsia="宋体" w:hint="default"/>
                <w:sz w:val="21"/>
                <w:szCs w:val="21"/>
              </w:rPr>
            </w:pPr>
            <w:r>
              <w:rPr>
                <w:rFonts w:ascii="宋体"/>
                <w:sz w:val="21"/>
              </w:rPr>
              <w:t>2017.12.25</w:t>
            </w:r>
          </w:p>
        </w:tc>
      </w:tr>
      <w:tr>
        <w:trPr>
          <w:trHeight w:val="342"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0"/>
              <w:jc w:val="center"/>
              <w:rPr>
                <w:rFonts w:ascii="宋体" w:hAnsi="宋体" w:cs="宋体" w:eastAsia="宋体" w:hint="default"/>
                <w:sz w:val="21"/>
                <w:szCs w:val="21"/>
              </w:rPr>
            </w:pPr>
            <w:r>
              <w:rPr>
                <w:rFonts w:ascii="宋体"/>
                <w:sz w:val="21"/>
              </w:rPr>
              <w:t>26</w:t>
            </w:r>
          </w:p>
        </w:tc>
        <w:tc>
          <w:tcPr>
            <w:tcW w:w="436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 w:right="0"/>
              <w:jc w:val="left"/>
              <w:rPr>
                <w:rFonts w:ascii="宋体" w:hAnsi="宋体" w:cs="宋体" w:eastAsia="宋体" w:hint="default"/>
                <w:sz w:val="21"/>
                <w:szCs w:val="21"/>
              </w:rPr>
            </w:pPr>
            <w:r>
              <w:rPr>
                <w:rFonts w:ascii="宋体" w:hAnsi="宋体" w:cs="宋体" w:eastAsia="宋体" w:hint="default"/>
                <w:sz w:val="21"/>
                <w:szCs w:val="21"/>
              </w:rPr>
              <w:t>电脑的图形用户界面（地铁</w:t>
            </w:r>
            <w:r>
              <w:rPr>
                <w:rFonts w:ascii="宋体" w:hAnsi="宋体" w:cs="宋体" w:eastAsia="宋体" w:hint="default"/>
                <w:sz w:val="21"/>
                <w:szCs w:val="21"/>
              </w:rPr>
              <w:t>BAS</w:t>
            </w:r>
            <w:r>
              <w:rPr>
                <w:rFonts w:ascii="宋体" w:hAnsi="宋体" w:cs="宋体" w:eastAsia="宋体" w:hint="default"/>
                <w:sz w:val="21"/>
                <w:szCs w:val="21"/>
              </w:rPr>
              <w:t>系统）</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5" w:right="0"/>
              <w:jc w:val="left"/>
              <w:rPr>
                <w:rFonts w:ascii="宋体" w:hAnsi="宋体" w:cs="宋体" w:eastAsia="宋体" w:hint="default"/>
                <w:sz w:val="21"/>
                <w:szCs w:val="21"/>
              </w:rPr>
            </w:pPr>
            <w:r>
              <w:rPr>
                <w:rFonts w:ascii="宋体" w:hAnsi="宋体" w:cs="宋体" w:eastAsia="宋体" w:hint="default"/>
                <w:sz w:val="21"/>
                <w:szCs w:val="21"/>
              </w:rPr>
              <w:t>外观专利</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5" w:right="0"/>
              <w:jc w:val="left"/>
              <w:rPr>
                <w:rFonts w:ascii="宋体" w:hAnsi="宋体" w:cs="宋体" w:eastAsia="宋体" w:hint="default"/>
                <w:sz w:val="21"/>
                <w:szCs w:val="21"/>
              </w:rPr>
            </w:pPr>
            <w:r>
              <w:rPr>
                <w:rFonts w:ascii="宋体"/>
                <w:sz w:val="21"/>
              </w:rPr>
              <w:t>2017306673014</w:t>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 w:right="0"/>
              <w:jc w:val="left"/>
              <w:rPr>
                <w:rFonts w:ascii="宋体" w:hAnsi="宋体" w:cs="宋体" w:eastAsia="宋体" w:hint="default"/>
                <w:sz w:val="21"/>
                <w:szCs w:val="21"/>
              </w:rPr>
            </w:pPr>
            <w:r>
              <w:rPr>
                <w:rFonts w:ascii="宋体"/>
                <w:sz w:val="21"/>
              </w:rPr>
              <w:t>2017.12.25</w:t>
            </w:r>
          </w:p>
        </w:tc>
      </w:tr>
      <w:tr>
        <w:trPr>
          <w:trHeight w:val="342"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0"/>
              <w:jc w:val="center"/>
              <w:rPr>
                <w:rFonts w:ascii="宋体" w:hAnsi="宋体" w:cs="宋体" w:eastAsia="宋体" w:hint="default"/>
                <w:sz w:val="21"/>
                <w:szCs w:val="21"/>
              </w:rPr>
            </w:pPr>
            <w:r>
              <w:rPr>
                <w:rFonts w:ascii="宋体"/>
                <w:sz w:val="21"/>
              </w:rPr>
              <w:t>27</w:t>
            </w:r>
          </w:p>
        </w:tc>
        <w:tc>
          <w:tcPr>
            <w:tcW w:w="436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 w:right="0"/>
              <w:jc w:val="left"/>
              <w:rPr>
                <w:rFonts w:ascii="宋体" w:hAnsi="宋体" w:cs="宋体" w:eastAsia="宋体" w:hint="default"/>
                <w:sz w:val="21"/>
                <w:szCs w:val="21"/>
              </w:rPr>
            </w:pPr>
            <w:r>
              <w:rPr>
                <w:rFonts w:ascii="宋体" w:hAnsi="宋体" w:cs="宋体" w:eastAsia="宋体" w:hint="default"/>
                <w:sz w:val="21"/>
                <w:szCs w:val="21"/>
              </w:rPr>
              <w:t>电脑的图形用户界面（</w:t>
            </w:r>
            <w:r>
              <w:rPr>
                <w:rFonts w:ascii="宋体" w:hAnsi="宋体" w:cs="宋体" w:eastAsia="宋体" w:hint="default"/>
                <w:sz w:val="21"/>
                <w:szCs w:val="21"/>
              </w:rPr>
              <w:t>MAS</w:t>
            </w:r>
            <w:r>
              <w:rPr>
                <w:rFonts w:ascii="宋体" w:hAnsi="宋体" w:cs="宋体" w:eastAsia="宋体" w:hint="default"/>
                <w:sz w:val="21"/>
                <w:szCs w:val="21"/>
              </w:rPr>
              <w:t>系统</w:t>
            </w:r>
            <w:r>
              <w:rPr>
                <w:rFonts w:ascii="宋体" w:hAnsi="宋体" w:cs="宋体" w:eastAsia="宋体" w:hint="default"/>
                <w:sz w:val="21"/>
                <w:szCs w:val="21"/>
              </w:rPr>
              <w:t>-4</w:t>
            </w:r>
            <w:r>
              <w:rPr>
                <w:rFonts w:ascii="宋体" w:hAnsi="宋体" w:cs="宋体" w:eastAsia="宋体" w:hint="default"/>
                <w:sz w:val="21"/>
                <w:szCs w:val="21"/>
              </w:rPr>
              <w:t>）</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5" w:right="0"/>
              <w:jc w:val="left"/>
              <w:rPr>
                <w:rFonts w:ascii="宋体" w:hAnsi="宋体" w:cs="宋体" w:eastAsia="宋体" w:hint="default"/>
                <w:sz w:val="21"/>
                <w:szCs w:val="21"/>
              </w:rPr>
            </w:pPr>
            <w:r>
              <w:rPr>
                <w:rFonts w:ascii="宋体" w:hAnsi="宋体" w:cs="宋体" w:eastAsia="宋体" w:hint="default"/>
                <w:sz w:val="21"/>
                <w:szCs w:val="21"/>
              </w:rPr>
              <w:t>外观专利</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5" w:right="0"/>
              <w:jc w:val="left"/>
              <w:rPr>
                <w:rFonts w:ascii="宋体" w:hAnsi="宋体" w:cs="宋体" w:eastAsia="宋体" w:hint="default"/>
                <w:sz w:val="21"/>
                <w:szCs w:val="21"/>
              </w:rPr>
            </w:pPr>
            <w:r>
              <w:rPr>
                <w:rFonts w:ascii="宋体"/>
                <w:sz w:val="21"/>
              </w:rPr>
              <w:t>2017306673033</w:t>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 w:right="0"/>
              <w:jc w:val="left"/>
              <w:rPr>
                <w:rFonts w:ascii="宋体" w:hAnsi="宋体" w:cs="宋体" w:eastAsia="宋体" w:hint="default"/>
                <w:sz w:val="21"/>
                <w:szCs w:val="21"/>
              </w:rPr>
            </w:pPr>
            <w:r>
              <w:rPr>
                <w:rFonts w:ascii="宋体"/>
                <w:sz w:val="21"/>
              </w:rPr>
              <w:t>2017.12.25</w:t>
            </w:r>
          </w:p>
        </w:tc>
      </w:tr>
      <w:tr>
        <w:trPr>
          <w:trHeight w:val="342"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0"/>
              <w:jc w:val="center"/>
              <w:rPr>
                <w:rFonts w:ascii="宋体" w:hAnsi="宋体" w:cs="宋体" w:eastAsia="宋体" w:hint="default"/>
                <w:sz w:val="21"/>
                <w:szCs w:val="21"/>
              </w:rPr>
            </w:pPr>
            <w:r>
              <w:rPr>
                <w:rFonts w:ascii="宋体"/>
                <w:sz w:val="21"/>
              </w:rPr>
              <w:t>28</w:t>
            </w:r>
          </w:p>
        </w:tc>
        <w:tc>
          <w:tcPr>
            <w:tcW w:w="436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 w:right="0"/>
              <w:jc w:val="left"/>
              <w:rPr>
                <w:rFonts w:ascii="宋体" w:hAnsi="宋体" w:cs="宋体" w:eastAsia="宋体" w:hint="default"/>
                <w:sz w:val="21"/>
                <w:szCs w:val="21"/>
              </w:rPr>
            </w:pPr>
            <w:r>
              <w:rPr>
                <w:rFonts w:ascii="宋体" w:hAnsi="宋体" w:cs="宋体" w:eastAsia="宋体" w:hint="default"/>
                <w:sz w:val="21"/>
                <w:szCs w:val="21"/>
              </w:rPr>
              <w:t>电脑的图形用户界面（</w:t>
            </w:r>
            <w:r>
              <w:rPr>
                <w:rFonts w:ascii="宋体" w:hAnsi="宋体" w:cs="宋体" w:eastAsia="宋体" w:hint="default"/>
                <w:sz w:val="21"/>
                <w:szCs w:val="21"/>
              </w:rPr>
              <w:t>MAS</w:t>
            </w:r>
            <w:r>
              <w:rPr>
                <w:rFonts w:ascii="宋体" w:hAnsi="宋体" w:cs="宋体" w:eastAsia="宋体" w:hint="default"/>
                <w:sz w:val="21"/>
                <w:szCs w:val="21"/>
              </w:rPr>
              <w:t>系统</w:t>
            </w:r>
            <w:r>
              <w:rPr>
                <w:rFonts w:ascii="宋体" w:hAnsi="宋体" w:cs="宋体" w:eastAsia="宋体" w:hint="default"/>
                <w:sz w:val="21"/>
                <w:szCs w:val="21"/>
              </w:rPr>
              <w:t>-3</w:t>
            </w:r>
            <w:r>
              <w:rPr>
                <w:rFonts w:ascii="宋体" w:hAnsi="宋体" w:cs="宋体" w:eastAsia="宋体" w:hint="default"/>
                <w:sz w:val="21"/>
                <w:szCs w:val="21"/>
              </w:rPr>
              <w:t>）</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5" w:right="0"/>
              <w:jc w:val="left"/>
              <w:rPr>
                <w:rFonts w:ascii="宋体" w:hAnsi="宋体" w:cs="宋体" w:eastAsia="宋体" w:hint="default"/>
                <w:sz w:val="21"/>
                <w:szCs w:val="21"/>
              </w:rPr>
            </w:pPr>
            <w:r>
              <w:rPr>
                <w:rFonts w:ascii="宋体" w:hAnsi="宋体" w:cs="宋体" w:eastAsia="宋体" w:hint="default"/>
                <w:sz w:val="21"/>
                <w:szCs w:val="21"/>
              </w:rPr>
              <w:t>外观专利</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5" w:right="0"/>
              <w:jc w:val="left"/>
              <w:rPr>
                <w:rFonts w:ascii="宋体" w:hAnsi="宋体" w:cs="宋体" w:eastAsia="宋体" w:hint="default"/>
                <w:sz w:val="21"/>
                <w:szCs w:val="21"/>
              </w:rPr>
            </w:pPr>
            <w:r>
              <w:rPr>
                <w:rFonts w:ascii="宋体"/>
                <w:sz w:val="21"/>
              </w:rPr>
              <w:t>2017306679487</w:t>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 w:right="0"/>
              <w:jc w:val="left"/>
              <w:rPr>
                <w:rFonts w:ascii="宋体" w:hAnsi="宋体" w:cs="宋体" w:eastAsia="宋体" w:hint="default"/>
                <w:sz w:val="21"/>
                <w:szCs w:val="21"/>
              </w:rPr>
            </w:pPr>
            <w:r>
              <w:rPr>
                <w:rFonts w:ascii="宋体"/>
                <w:sz w:val="21"/>
              </w:rPr>
              <w:t>2017.12.25</w:t>
            </w:r>
          </w:p>
        </w:tc>
      </w:tr>
      <w:tr>
        <w:trPr>
          <w:trHeight w:val="342"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0"/>
              <w:jc w:val="center"/>
              <w:rPr>
                <w:rFonts w:ascii="宋体" w:hAnsi="宋体" w:cs="宋体" w:eastAsia="宋体" w:hint="default"/>
                <w:sz w:val="21"/>
                <w:szCs w:val="21"/>
              </w:rPr>
            </w:pPr>
            <w:r>
              <w:rPr>
                <w:rFonts w:ascii="宋体"/>
                <w:sz w:val="21"/>
              </w:rPr>
              <w:t>29</w:t>
            </w:r>
          </w:p>
        </w:tc>
        <w:tc>
          <w:tcPr>
            <w:tcW w:w="436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 w:right="0"/>
              <w:jc w:val="left"/>
              <w:rPr>
                <w:rFonts w:ascii="宋体" w:hAnsi="宋体" w:cs="宋体" w:eastAsia="宋体" w:hint="default"/>
                <w:sz w:val="21"/>
                <w:szCs w:val="21"/>
              </w:rPr>
            </w:pPr>
            <w:r>
              <w:rPr>
                <w:rFonts w:ascii="宋体" w:hAnsi="宋体" w:cs="宋体" w:eastAsia="宋体" w:hint="default"/>
                <w:sz w:val="21"/>
                <w:szCs w:val="21"/>
              </w:rPr>
              <w:t>电脑的图形用户界面（</w:t>
            </w:r>
            <w:r>
              <w:rPr>
                <w:rFonts w:ascii="宋体" w:hAnsi="宋体" w:cs="宋体" w:eastAsia="宋体" w:hint="default"/>
                <w:sz w:val="21"/>
                <w:szCs w:val="21"/>
              </w:rPr>
              <w:t>MAS</w:t>
            </w:r>
            <w:r>
              <w:rPr>
                <w:rFonts w:ascii="宋体" w:hAnsi="宋体" w:cs="宋体" w:eastAsia="宋体" w:hint="default"/>
                <w:sz w:val="21"/>
                <w:szCs w:val="21"/>
              </w:rPr>
              <w:t>系统</w:t>
            </w:r>
            <w:r>
              <w:rPr>
                <w:rFonts w:ascii="宋体" w:hAnsi="宋体" w:cs="宋体" w:eastAsia="宋体" w:hint="default"/>
                <w:sz w:val="21"/>
                <w:szCs w:val="21"/>
              </w:rPr>
              <w:t>-2</w:t>
            </w:r>
            <w:r>
              <w:rPr>
                <w:rFonts w:ascii="宋体" w:hAnsi="宋体" w:cs="宋体" w:eastAsia="宋体" w:hint="default"/>
                <w:sz w:val="21"/>
                <w:szCs w:val="21"/>
              </w:rPr>
              <w:t>）</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5" w:right="0"/>
              <w:jc w:val="left"/>
              <w:rPr>
                <w:rFonts w:ascii="宋体" w:hAnsi="宋体" w:cs="宋体" w:eastAsia="宋体" w:hint="default"/>
                <w:sz w:val="21"/>
                <w:szCs w:val="21"/>
              </w:rPr>
            </w:pPr>
            <w:r>
              <w:rPr>
                <w:rFonts w:ascii="宋体" w:hAnsi="宋体" w:cs="宋体" w:eastAsia="宋体" w:hint="default"/>
                <w:sz w:val="21"/>
                <w:szCs w:val="21"/>
              </w:rPr>
              <w:t>外观专利</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5" w:right="0"/>
              <w:jc w:val="left"/>
              <w:rPr>
                <w:rFonts w:ascii="宋体" w:hAnsi="宋体" w:cs="宋体" w:eastAsia="宋体" w:hint="default"/>
                <w:sz w:val="21"/>
                <w:szCs w:val="21"/>
              </w:rPr>
            </w:pPr>
            <w:r>
              <w:rPr>
                <w:rFonts w:ascii="宋体"/>
                <w:sz w:val="21"/>
              </w:rPr>
              <w:t>2017306672844</w:t>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 w:right="0"/>
              <w:jc w:val="left"/>
              <w:rPr>
                <w:rFonts w:ascii="宋体" w:hAnsi="宋体" w:cs="宋体" w:eastAsia="宋体" w:hint="default"/>
                <w:sz w:val="21"/>
                <w:szCs w:val="21"/>
              </w:rPr>
            </w:pPr>
            <w:r>
              <w:rPr>
                <w:rFonts w:ascii="宋体"/>
                <w:sz w:val="21"/>
              </w:rPr>
              <w:t>2017.12.25</w:t>
            </w:r>
          </w:p>
        </w:tc>
      </w:tr>
      <w:tr>
        <w:trPr>
          <w:trHeight w:val="342"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0"/>
              <w:jc w:val="center"/>
              <w:rPr>
                <w:rFonts w:ascii="宋体" w:hAnsi="宋体" w:cs="宋体" w:eastAsia="宋体" w:hint="default"/>
                <w:sz w:val="21"/>
                <w:szCs w:val="21"/>
              </w:rPr>
            </w:pPr>
            <w:r>
              <w:rPr>
                <w:rFonts w:ascii="宋体"/>
                <w:sz w:val="21"/>
              </w:rPr>
              <w:t>30</w:t>
            </w:r>
          </w:p>
        </w:tc>
        <w:tc>
          <w:tcPr>
            <w:tcW w:w="436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 w:right="0"/>
              <w:jc w:val="left"/>
              <w:rPr>
                <w:rFonts w:ascii="宋体" w:hAnsi="宋体" w:cs="宋体" w:eastAsia="宋体" w:hint="default"/>
                <w:sz w:val="21"/>
                <w:szCs w:val="21"/>
              </w:rPr>
            </w:pPr>
            <w:r>
              <w:rPr>
                <w:rFonts w:ascii="宋体" w:hAnsi="宋体" w:cs="宋体" w:eastAsia="宋体" w:hint="default"/>
                <w:sz w:val="21"/>
                <w:szCs w:val="21"/>
              </w:rPr>
              <w:t>电脑的图形用户界面（</w:t>
            </w:r>
            <w:r>
              <w:rPr>
                <w:rFonts w:ascii="宋体" w:hAnsi="宋体" w:cs="宋体" w:eastAsia="宋体" w:hint="default"/>
                <w:sz w:val="21"/>
                <w:szCs w:val="21"/>
              </w:rPr>
              <w:t>MAS</w:t>
            </w:r>
            <w:r>
              <w:rPr>
                <w:rFonts w:ascii="宋体" w:hAnsi="宋体" w:cs="宋体" w:eastAsia="宋体" w:hint="default"/>
                <w:sz w:val="21"/>
                <w:szCs w:val="21"/>
              </w:rPr>
              <w:t>系统</w:t>
            </w:r>
            <w:r>
              <w:rPr>
                <w:rFonts w:ascii="宋体" w:hAnsi="宋体" w:cs="宋体" w:eastAsia="宋体" w:hint="default"/>
                <w:sz w:val="21"/>
                <w:szCs w:val="21"/>
              </w:rPr>
              <w:t>-1</w:t>
            </w:r>
            <w:r>
              <w:rPr>
                <w:rFonts w:ascii="宋体" w:hAnsi="宋体" w:cs="宋体" w:eastAsia="宋体" w:hint="default"/>
                <w:sz w:val="21"/>
                <w:szCs w:val="21"/>
              </w:rPr>
              <w:t>）</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5" w:right="0"/>
              <w:jc w:val="left"/>
              <w:rPr>
                <w:rFonts w:ascii="宋体" w:hAnsi="宋体" w:cs="宋体" w:eastAsia="宋体" w:hint="default"/>
                <w:sz w:val="21"/>
                <w:szCs w:val="21"/>
              </w:rPr>
            </w:pPr>
            <w:r>
              <w:rPr>
                <w:rFonts w:ascii="宋体" w:hAnsi="宋体" w:cs="宋体" w:eastAsia="宋体" w:hint="default"/>
                <w:sz w:val="21"/>
                <w:szCs w:val="21"/>
              </w:rPr>
              <w:t>外观专利</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5" w:right="0"/>
              <w:jc w:val="left"/>
              <w:rPr>
                <w:rFonts w:ascii="宋体" w:hAnsi="宋体" w:cs="宋体" w:eastAsia="宋体" w:hint="default"/>
                <w:sz w:val="21"/>
                <w:szCs w:val="21"/>
              </w:rPr>
            </w:pPr>
            <w:r>
              <w:rPr>
                <w:rFonts w:ascii="宋体"/>
                <w:sz w:val="21"/>
              </w:rPr>
              <w:t>2017306672878</w:t>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 w:right="0"/>
              <w:jc w:val="left"/>
              <w:rPr>
                <w:rFonts w:ascii="宋体" w:hAnsi="宋体" w:cs="宋体" w:eastAsia="宋体" w:hint="default"/>
                <w:sz w:val="21"/>
                <w:szCs w:val="21"/>
              </w:rPr>
            </w:pPr>
            <w:r>
              <w:rPr>
                <w:rFonts w:ascii="宋体"/>
                <w:sz w:val="21"/>
              </w:rPr>
              <w:t>2017.12.25</w:t>
            </w:r>
          </w:p>
        </w:tc>
      </w:tr>
      <w:tr>
        <w:trPr>
          <w:trHeight w:val="342"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0"/>
              <w:jc w:val="center"/>
              <w:rPr>
                <w:rFonts w:ascii="宋体" w:hAnsi="宋体" w:cs="宋体" w:eastAsia="宋体" w:hint="default"/>
                <w:sz w:val="21"/>
                <w:szCs w:val="21"/>
              </w:rPr>
            </w:pPr>
            <w:r>
              <w:rPr>
                <w:rFonts w:ascii="宋体"/>
                <w:sz w:val="21"/>
              </w:rPr>
              <w:t>31</w:t>
            </w:r>
          </w:p>
        </w:tc>
        <w:tc>
          <w:tcPr>
            <w:tcW w:w="436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 w:right="0"/>
              <w:jc w:val="left"/>
              <w:rPr>
                <w:rFonts w:ascii="宋体" w:hAnsi="宋体" w:cs="宋体" w:eastAsia="宋体" w:hint="default"/>
                <w:sz w:val="21"/>
                <w:szCs w:val="21"/>
              </w:rPr>
            </w:pPr>
            <w:r>
              <w:rPr>
                <w:rFonts w:ascii="宋体" w:hAnsi="宋体" w:cs="宋体" w:eastAsia="宋体" w:hint="default"/>
                <w:sz w:val="21"/>
                <w:szCs w:val="21"/>
              </w:rPr>
              <w:t>机柜（</w:t>
            </w:r>
            <w:r>
              <w:rPr>
                <w:rFonts w:ascii="宋体" w:hAnsi="宋体" w:cs="宋体" w:eastAsia="宋体" w:hint="default"/>
                <w:sz w:val="21"/>
                <w:szCs w:val="21"/>
              </w:rPr>
              <w:t>AFC</w:t>
            </w:r>
            <w:r>
              <w:rPr>
                <w:rFonts w:ascii="宋体" w:hAnsi="宋体" w:cs="宋体" w:eastAsia="宋体" w:hint="default"/>
                <w:sz w:val="21"/>
                <w:szCs w:val="21"/>
              </w:rPr>
              <w:t>）</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5" w:right="0"/>
              <w:jc w:val="left"/>
              <w:rPr>
                <w:rFonts w:ascii="宋体" w:hAnsi="宋体" w:cs="宋体" w:eastAsia="宋体" w:hint="default"/>
                <w:sz w:val="21"/>
                <w:szCs w:val="21"/>
              </w:rPr>
            </w:pPr>
            <w:r>
              <w:rPr>
                <w:rFonts w:ascii="宋体" w:hAnsi="宋体" w:cs="宋体" w:eastAsia="宋体" w:hint="default"/>
                <w:sz w:val="21"/>
                <w:szCs w:val="21"/>
              </w:rPr>
              <w:t>外观专利</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5" w:right="0"/>
              <w:jc w:val="left"/>
              <w:rPr>
                <w:rFonts w:ascii="宋体" w:hAnsi="宋体" w:cs="宋体" w:eastAsia="宋体" w:hint="default"/>
                <w:sz w:val="21"/>
                <w:szCs w:val="21"/>
              </w:rPr>
            </w:pPr>
            <w:r>
              <w:rPr>
                <w:rFonts w:ascii="宋体"/>
                <w:sz w:val="21"/>
              </w:rPr>
              <w:t>201730670157X</w:t>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 w:right="0"/>
              <w:jc w:val="left"/>
              <w:rPr>
                <w:rFonts w:ascii="宋体" w:hAnsi="宋体" w:cs="宋体" w:eastAsia="宋体" w:hint="default"/>
                <w:sz w:val="21"/>
                <w:szCs w:val="21"/>
              </w:rPr>
            </w:pPr>
            <w:r>
              <w:rPr>
                <w:rFonts w:ascii="宋体"/>
                <w:sz w:val="21"/>
              </w:rPr>
              <w:t>2017.12.26</w:t>
            </w:r>
          </w:p>
        </w:tc>
      </w:tr>
      <w:tr>
        <w:trPr>
          <w:trHeight w:val="342"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0"/>
              <w:jc w:val="center"/>
              <w:rPr>
                <w:rFonts w:ascii="宋体" w:hAnsi="宋体" w:cs="宋体" w:eastAsia="宋体" w:hint="default"/>
                <w:sz w:val="21"/>
                <w:szCs w:val="21"/>
              </w:rPr>
            </w:pPr>
            <w:r>
              <w:rPr>
                <w:rFonts w:ascii="宋体"/>
                <w:sz w:val="21"/>
              </w:rPr>
              <w:t>32</w:t>
            </w:r>
          </w:p>
        </w:tc>
        <w:tc>
          <w:tcPr>
            <w:tcW w:w="436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 w:right="0"/>
              <w:jc w:val="left"/>
              <w:rPr>
                <w:rFonts w:ascii="宋体" w:hAnsi="宋体" w:cs="宋体" w:eastAsia="宋体" w:hint="default"/>
                <w:sz w:val="21"/>
                <w:szCs w:val="21"/>
              </w:rPr>
            </w:pPr>
            <w:r>
              <w:rPr>
                <w:rFonts w:ascii="宋体" w:hAnsi="宋体" w:cs="宋体" w:eastAsia="宋体" w:hint="default"/>
                <w:sz w:val="21"/>
                <w:szCs w:val="21"/>
              </w:rPr>
              <w:t>电脑的图形用户界面（</w:t>
            </w:r>
            <w:r>
              <w:rPr>
                <w:rFonts w:ascii="宋体" w:hAnsi="宋体" w:cs="宋体" w:eastAsia="宋体" w:hint="default"/>
                <w:sz w:val="21"/>
                <w:szCs w:val="21"/>
              </w:rPr>
              <w:t>ACC</w:t>
            </w:r>
            <w:r>
              <w:rPr>
                <w:rFonts w:ascii="宋体" w:hAnsi="宋体" w:cs="宋体" w:eastAsia="宋体" w:hint="default"/>
                <w:sz w:val="21"/>
                <w:szCs w:val="21"/>
              </w:rPr>
              <w:t>系统</w:t>
            </w:r>
            <w:r>
              <w:rPr>
                <w:rFonts w:ascii="宋体" w:hAnsi="宋体" w:cs="宋体" w:eastAsia="宋体" w:hint="default"/>
                <w:sz w:val="21"/>
                <w:szCs w:val="21"/>
              </w:rPr>
              <w:t>-2</w:t>
            </w:r>
            <w:r>
              <w:rPr>
                <w:rFonts w:ascii="宋体" w:hAnsi="宋体" w:cs="宋体" w:eastAsia="宋体" w:hint="default"/>
                <w:sz w:val="21"/>
                <w:szCs w:val="21"/>
              </w:rPr>
              <w:t>）</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5" w:right="0"/>
              <w:jc w:val="left"/>
              <w:rPr>
                <w:rFonts w:ascii="宋体" w:hAnsi="宋体" w:cs="宋体" w:eastAsia="宋体" w:hint="default"/>
                <w:sz w:val="21"/>
                <w:szCs w:val="21"/>
              </w:rPr>
            </w:pPr>
            <w:r>
              <w:rPr>
                <w:rFonts w:ascii="宋体" w:hAnsi="宋体" w:cs="宋体" w:eastAsia="宋体" w:hint="default"/>
                <w:sz w:val="21"/>
                <w:szCs w:val="21"/>
              </w:rPr>
              <w:t>外观专利</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5" w:right="0"/>
              <w:jc w:val="left"/>
              <w:rPr>
                <w:rFonts w:ascii="宋体" w:hAnsi="宋体" w:cs="宋体" w:eastAsia="宋体" w:hint="default"/>
                <w:sz w:val="21"/>
                <w:szCs w:val="21"/>
              </w:rPr>
            </w:pPr>
            <w:r>
              <w:rPr>
                <w:rFonts w:ascii="宋体"/>
                <w:sz w:val="21"/>
              </w:rPr>
              <w:t>2017306707059</w:t>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 w:right="0"/>
              <w:jc w:val="left"/>
              <w:rPr>
                <w:rFonts w:ascii="宋体" w:hAnsi="宋体" w:cs="宋体" w:eastAsia="宋体" w:hint="default"/>
                <w:sz w:val="21"/>
                <w:szCs w:val="21"/>
              </w:rPr>
            </w:pPr>
            <w:r>
              <w:rPr>
                <w:rFonts w:ascii="宋体"/>
                <w:sz w:val="21"/>
              </w:rPr>
              <w:t>2017.12.26</w:t>
            </w:r>
          </w:p>
        </w:tc>
      </w:tr>
      <w:tr>
        <w:trPr>
          <w:trHeight w:val="342"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0"/>
              <w:jc w:val="center"/>
              <w:rPr>
                <w:rFonts w:ascii="宋体" w:hAnsi="宋体" w:cs="宋体" w:eastAsia="宋体" w:hint="default"/>
                <w:sz w:val="21"/>
                <w:szCs w:val="21"/>
              </w:rPr>
            </w:pPr>
            <w:r>
              <w:rPr>
                <w:rFonts w:ascii="宋体"/>
                <w:sz w:val="21"/>
              </w:rPr>
              <w:t>33</w:t>
            </w:r>
          </w:p>
        </w:tc>
        <w:tc>
          <w:tcPr>
            <w:tcW w:w="436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 w:right="0"/>
              <w:jc w:val="left"/>
              <w:rPr>
                <w:rFonts w:ascii="宋体" w:hAnsi="宋体" w:cs="宋体" w:eastAsia="宋体" w:hint="default"/>
                <w:sz w:val="21"/>
                <w:szCs w:val="21"/>
              </w:rPr>
            </w:pPr>
            <w:r>
              <w:rPr>
                <w:rFonts w:ascii="宋体" w:hAnsi="宋体" w:cs="宋体" w:eastAsia="宋体" w:hint="default"/>
                <w:sz w:val="21"/>
                <w:szCs w:val="21"/>
              </w:rPr>
              <w:t>电脑的图形用户界面（</w:t>
            </w:r>
            <w:r>
              <w:rPr>
                <w:rFonts w:ascii="宋体" w:hAnsi="宋体" w:cs="宋体" w:eastAsia="宋体" w:hint="default"/>
                <w:sz w:val="21"/>
                <w:szCs w:val="21"/>
              </w:rPr>
              <w:t>ACC</w:t>
            </w:r>
            <w:r>
              <w:rPr>
                <w:rFonts w:ascii="宋体" w:hAnsi="宋体" w:cs="宋体" w:eastAsia="宋体" w:hint="default"/>
                <w:sz w:val="21"/>
                <w:szCs w:val="21"/>
              </w:rPr>
              <w:t>系统</w:t>
            </w:r>
            <w:r>
              <w:rPr>
                <w:rFonts w:ascii="宋体" w:hAnsi="宋体" w:cs="宋体" w:eastAsia="宋体" w:hint="default"/>
                <w:sz w:val="21"/>
                <w:szCs w:val="21"/>
              </w:rPr>
              <w:t>-1</w:t>
            </w:r>
            <w:r>
              <w:rPr>
                <w:rFonts w:ascii="宋体" w:hAnsi="宋体" w:cs="宋体" w:eastAsia="宋体" w:hint="default"/>
                <w:sz w:val="21"/>
                <w:szCs w:val="21"/>
              </w:rPr>
              <w:t>）</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5" w:right="0"/>
              <w:jc w:val="left"/>
              <w:rPr>
                <w:rFonts w:ascii="宋体" w:hAnsi="宋体" w:cs="宋体" w:eastAsia="宋体" w:hint="default"/>
                <w:sz w:val="21"/>
                <w:szCs w:val="21"/>
              </w:rPr>
            </w:pPr>
            <w:r>
              <w:rPr>
                <w:rFonts w:ascii="宋体" w:hAnsi="宋体" w:cs="宋体" w:eastAsia="宋体" w:hint="default"/>
                <w:sz w:val="21"/>
                <w:szCs w:val="21"/>
              </w:rPr>
              <w:t>外观专利</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5" w:right="0"/>
              <w:jc w:val="left"/>
              <w:rPr>
                <w:rFonts w:ascii="宋体" w:hAnsi="宋体" w:cs="宋体" w:eastAsia="宋体" w:hint="default"/>
                <w:sz w:val="21"/>
                <w:szCs w:val="21"/>
              </w:rPr>
            </w:pPr>
            <w:r>
              <w:rPr>
                <w:rFonts w:ascii="宋体"/>
                <w:sz w:val="21"/>
              </w:rPr>
              <w:t>2017306704050</w:t>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 w:right="0"/>
              <w:jc w:val="left"/>
              <w:rPr>
                <w:rFonts w:ascii="宋体" w:hAnsi="宋体" w:cs="宋体" w:eastAsia="宋体" w:hint="default"/>
                <w:sz w:val="21"/>
                <w:szCs w:val="21"/>
              </w:rPr>
            </w:pPr>
            <w:r>
              <w:rPr>
                <w:rFonts w:ascii="宋体"/>
                <w:sz w:val="21"/>
              </w:rPr>
              <w:t>2017.12.26</w:t>
            </w:r>
          </w:p>
        </w:tc>
      </w:tr>
      <w:tr>
        <w:trPr>
          <w:trHeight w:val="342"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0"/>
              <w:jc w:val="center"/>
              <w:rPr>
                <w:rFonts w:ascii="宋体" w:hAnsi="宋体" w:cs="宋体" w:eastAsia="宋体" w:hint="default"/>
                <w:sz w:val="21"/>
                <w:szCs w:val="21"/>
              </w:rPr>
            </w:pPr>
            <w:r>
              <w:rPr>
                <w:rFonts w:ascii="宋体"/>
                <w:sz w:val="21"/>
              </w:rPr>
              <w:t>34</w:t>
            </w:r>
          </w:p>
        </w:tc>
        <w:tc>
          <w:tcPr>
            <w:tcW w:w="436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 w:right="0"/>
              <w:jc w:val="left"/>
              <w:rPr>
                <w:rFonts w:ascii="宋体" w:hAnsi="宋体" w:cs="宋体" w:eastAsia="宋体" w:hint="default"/>
                <w:sz w:val="21"/>
                <w:szCs w:val="21"/>
              </w:rPr>
            </w:pPr>
            <w:r>
              <w:rPr>
                <w:rFonts w:ascii="宋体" w:hAnsi="宋体" w:cs="宋体" w:eastAsia="宋体" w:hint="default"/>
                <w:sz w:val="21"/>
                <w:szCs w:val="21"/>
              </w:rPr>
              <w:t>电脑的图形用户界面（地铁票务管理终端）</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5" w:right="0"/>
              <w:jc w:val="left"/>
              <w:rPr>
                <w:rFonts w:ascii="宋体" w:hAnsi="宋体" w:cs="宋体" w:eastAsia="宋体" w:hint="default"/>
                <w:sz w:val="21"/>
                <w:szCs w:val="21"/>
              </w:rPr>
            </w:pPr>
            <w:r>
              <w:rPr>
                <w:rFonts w:ascii="宋体" w:hAnsi="宋体" w:cs="宋体" w:eastAsia="宋体" w:hint="default"/>
                <w:sz w:val="21"/>
                <w:szCs w:val="21"/>
              </w:rPr>
              <w:t>外观专利</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5" w:right="0"/>
              <w:jc w:val="left"/>
              <w:rPr>
                <w:rFonts w:ascii="宋体" w:hAnsi="宋体" w:cs="宋体" w:eastAsia="宋体" w:hint="default"/>
                <w:sz w:val="21"/>
                <w:szCs w:val="21"/>
              </w:rPr>
            </w:pPr>
            <w:r>
              <w:rPr>
                <w:rFonts w:ascii="宋体"/>
                <w:sz w:val="21"/>
              </w:rPr>
              <w:t>2017306704417</w:t>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 w:right="0"/>
              <w:jc w:val="left"/>
              <w:rPr>
                <w:rFonts w:ascii="宋体" w:hAnsi="宋体" w:cs="宋体" w:eastAsia="宋体" w:hint="default"/>
                <w:sz w:val="21"/>
                <w:szCs w:val="21"/>
              </w:rPr>
            </w:pPr>
            <w:r>
              <w:rPr>
                <w:rFonts w:ascii="宋体"/>
                <w:sz w:val="21"/>
              </w:rPr>
              <w:t>2017.12.26</w:t>
            </w:r>
          </w:p>
        </w:tc>
      </w:tr>
      <w:tr>
        <w:trPr>
          <w:trHeight w:val="342"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0"/>
              <w:jc w:val="center"/>
              <w:rPr>
                <w:rFonts w:ascii="宋体" w:hAnsi="宋体" w:cs="宋体" w:eastAsia="宋体" w:hint="default"/>
                <w:sz w:val="21"/>
                <w:szCs w:val="21"/>
              </w:rPr>
            </w:pPr>
            <w:r>
              <w:rPr>
                <w:rFonts w:ascii="宋体"/>
                <w:sz w:val="21"/>
              </w:rPr>
              <w:t>35</w:t>
            </w:r>
          </w:p>
        </w:tc>
        <w:tc>
          <w:tcPr>
            <w:tcW w:w="436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 w:right="0"/>
              <w:jc w:val="left"/>
              <w:rPr>
                <w:rFonts w:ascii="宋体" w:hAnsi="宋体" w:cs="宋体" w:eastAsia="宋体" w:hint="default"/>
                <w:sz w:val="21"/>
                <w:szCs w:val="21"/>
              </w:rPr>
            </w:pPr>
            <w:r>
              <w:rPr>
                <w:rFonts w:ascii="宋体" w:hAnsi="宋体" w:cs="宋体" w:eastAsia="宋体" w:hint="default"/>
                <w:sz w:val="21"/>
                <w:szCs w:val="21"/>
              </w:rPr>
              <w:t>网络柜</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5" w:right="0"/>
              <w:jc w:val="left"/>
              <w:rPr>
                <w:rFonts w:ascii="宋体" w:hAnsi="宋体" w:cs="宋体" w:eastAsia="宋体" w:hint="default"/>
                <w:sz w:val="21"/>
                <w:szCs w:val="21"/>
              </w:rPr>
            </w:pPr>
            <w:r>
              <w:rPr>
                <w:rFonts w:ascii="宋体" w:hAnsi="宋体" w:cs="宋体" w:eastAsia="宋体" w:hint="default"/>
                <w:sz w:val="21"/>
                <w:szCs w:val="21"/>
              </w:rPr>
              <w:t>外观专利</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5" w:right="0"/>
              <w:jc w:val="left"/>
              <w:rPr>
                <w:rFonts w:ascii="宋体" w:hAnsi="宋体" w:cs="宋体" w:eastAsia="宋体" w:hint="default"/>
                <w:sz w:val="21"/>
                <w:szCs w:val="21"/>
              </w:rPr>
            </w:pPr>
            <w:r>
              <w:rPr>
                <w:rFonts w:ascii="宋体"/>
                <w:sz w:val="21"/>
              </w:rPr>
              <w:t>2017306707434</w:t>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 w:right="0"/>
              <w:jc w:val="left"/>
              <w:rPr>
                <w:rFonts w:ascii="宋体" w:hAnsi="宋体" w:cs="宋体" w:eastAsia="宋体" w:hint="default"/>
                <w:sz w:val="21"/>
                <w:szCs w:val="21"/>
              </w:rPr>
            </w:pPr>
            <w:r>
              <w:rPr>
                <w:rFonts w:ascii="宋体"/>
                <w:sz w:val="21"/>
              </w:rPr>
              <w:t>2017.12.26</w:t>
            </w:r>
          </w:p>
        </w:tc>
      </w:tr>
      <w:tr>
        <w:trPr>
          <w:trHeight w:val="342"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0"/>
              <w:jc w:val="center"/>
              <w:rPr>
                <w:rFonts w:ascii="宋体" w:hAnsi="宋体" w:cs="宋体" w:eastAsia="宋体" w:hint="default"/>
                <w:sz w:val="21"/>
                <w:szCs w:val="21"/>
              </w:rPr>
            </w:pPr>
            <w:r>
              <w:rPr>
                <w:rFonts w:ascii="宋体"/>
                <w:sz w:val="21"/>
              </w:rPr>
              <w:t>36</w:t>
            </w:r>
          </w:p>
        </w:tc>
        <w:tc>
          <w:tcPr>
            <w:tcW w:w="436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 w:right="0"/>
              <w:jc w:val="left"/>
              <w:rPr>
                <w:rFonts w:ascii="宋体" w:hAnsi="宋体" w:cs="宋体" w:eastAsia="宋体" w:hint="default"/>
                <w:sz w:val="21"/>
                <w:szCs w:val="21"/>
              </w:rPr>
            </w:pPr>
            <w:r>
              <w:rPr>
                <w:rFonts w:ascii="宋体" w:hAnsi="宋体" w:cs="宋体" w:eastAsia="宋体" w:hint="default"/>
                <w:sz w:val="21"/>
                <w:szCs w:val="21"/>
              </w:rPr>
              <w:t>锁加固结构（机房门禁系统专用）</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5" w:right="0"/>
              <w:jc w:val="left"/>
              <w:rPr>
                <w:rFonts w:ascii="宋体" w:hAnsi="宋体" w:cs="宋体" w:eastAsia="宋体" w:hint="default"/>
                <w:sz w:val="21"/>
                <w:szCs w:val="21"/>
              </w:rPr>
            </w:pPr>
            <w:r>
              <w:rPr>
                <w:rFonts w:ascii="宋体" w:hAnsi="宋体" w:cs="宋体" w:eastAsia="宋体" w:hint="default"/>
                <w:sz w:val="21"/>
                <w:szCs w:val="21"/>
              </w:rPr>
              <w:t>外观专利</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5" w:right="0"/>
              <w:jc w:val="left"/>
              <w:rPr>
                <w:rFonts w:ascii="宋体" w:hAnsi="宋体" w:cs="宋体" w:eastAsia="宋体" w:hint="default"/>
                <w:sz w:val="21"/>
                <w:szCs w:val="21"/>
              </w:rPr>
            </w:pPr>
            <w:r>
              <w:rPr>
                <w:rFonts w:ascii="宋体"/>
                <w:sz w:val="21"/>
              </w:rPr>
              <w:t>2017306704436</w:t>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 w:right="0"/>
              <w:jc w:val="left"/>
              <w:rPr>
                <w:rFonts w:ascii="宋体" w:hAnsi="宋体" w:cs="宋体" w:eastAsia="宋体" w:hint="default"/>
                <w:sz w:val="21"/>
                <w:szCs w:val="21"/>
              </w:rPr>
            </w:pPr>
            <w:r>
              <w:rPr>
                <w:rFonts w:ascii="宋体"/>
                <w:sz w:val="21"/>
              </w:rPr>
              <w:t>2017.12.26</w:t>
            </w:r>
          </w:p>
        </w:tc>
      </w:tr>
      <w:tr>
        <w:trPr>
          <w:trHeight w:val="343"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0"/>
              <w:jc w:val="center"/>
              <w:rPr>
                <w:rFonts w:ascii="宋体" w:hAnsi="宋体" w:cs="宋体" w:eastAsia="宋体" w:hint="default"/>
                <w:sz w:val="21"/>
                <w:szCs w:val="21"/>
              </w:rPr>
            </w:pPr>
            <w:r>
              <w:rPr>
                <w:rFonts w:ascii="宋体"/>
                <w:sz w:val="21"/>
              </w:rPr>
              <w:t>37</w:t>
            </w:r>
          </w:p>
        </w:tc>
        <w:tc>
          <w:tcPr>
            <w:tcW w:w="436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 w:right="0"/>
              <w:jc w:val="left"/>
              <w:rPr>
                <w:rFonts w:ascii="宋体" w:hAnsi="宋体" w:cs="宋体" w:eastAsia="宋体" w:hint="default"/>
                <w:sz w:val="21"/>
                <w:szCs w:val="21"/>
              </w:rPr>
            </w:pPr>
            <w:r>
              <w:rPr>
                <w:rFonts w:ascii="宋体" w:hAnsi="宋体" w:cs="宋体" w:eastAsia="宋体" w:hint="default"/>
                <w:sz w:val="21"/>
                <w:szCs w:val="21"/>
              </w:rPr>
              <w:t>实验展柜（门禁）</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5" w:right="0"/>
              <w:jc w:val="left"/>
              <w:rPr>
                <w:rFonts w:ascii="宋体" w:hAnsi="宋体" w:cs="宋体" w:eastAsia="宋体" w:hint="default"/>
                <w:sz w:val="21"/>
                <w:szCs w:val="21"/>
              </w:rPr>
            </w:pPr>
            <w:r>
              <w:rPr>
                <w:rFonts w:ascii="宋体" w:hAnsi="宋体" w:cs="宋体" w:eastAsia="宋体" w:hint="default"/>
                <w:sz w:val="21"/>
                <w:szCs w:val="21"/>
              </w:rPr>
              <w:t>外观专利</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5" w:right="0"/>
              <w:jc w:val="left"/>
              <w:rPr>
                <w:rFonts w:ascii="宋体" w:hAnsi="宋体" w:cs="宋体" w:eastAsia="宋体" w:hint="default"/>
                <w:sz w:val="21"/>
                <w:szCs w:val="21"/>
              </w:rPr>
            </w:pPr>
            <w:r>
              <w:rPr>
                <w:rFonts w:ascii="宋体"/>
                <w:sz w:val="21"/>
              </w:rPr>
              <w:t>2017306704455</w:t>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 w:right="0"/>
              <w:jc w:val="left"/>
              <w:rPr>
                <w:rFonts w:ascii="宋体" w:hAnsi="宋体" w:cs="宋体" w:eastAsia="宋体" w:hint="default"/>
                <w:sz w:val="21"/>
                <w:szCs w:val="21"/>
              </w:rPr>
            </w:pPr>
            <w:r>
              <w:rPr>
                <w:rFonts w:ascii="宋体"/>
                <w:sz w:val="21"/>
              </w:rPr>
              <w:t>2017.12.26</w:t>
            </w:r>
          </w:p>
        </w:tc>
      </w:tr>
    </w:tbl>
    <w:p>
      <w:pPr>
        <w:spacing w:after="0" w:line="271" w:lineRule="exact"/>
        <w:jc w:val="left"/>
        <w:rPr>
          <w:rFonts w:ascii="宋体" w:hAnsi="宋体" w:cs="宋体" w:eastAsia="宋体" w:hint="default"/>
          <w:sz w:val="21"/>
          <w:szCs w:val="21"/>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960"/>
        <w:gridCol w:w="4360"/>
        <w:gridCol w:w="960"/>
        <w:gridCol w:w="1721"/>
        <w:gridCol w:w="1480"/>
      </w:tblGrid>
      <w:tr>
        <w:trPr>
          <w:trHeight w:val="342"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0"/>
              <w:jc w:val="center"/>
              <w:rPr>
                <w:rFonts w:ascii="宋体" w:hAnsi="宋体" w:cs="宋体" w:eastAsia="宋体" w:hint="default"/>
                <w:sz w:val="21"/>
                <w:szCs w:val="21"/>
              </w:rPr>
            </w:pPr>
            <w:r>
              <w:rPr>
                <w:rFonts w:ascii="宋体"/>
                <w:sz w:val="21"/>
              </w:rPr>
              <w:t>38</w:t>
            </w:r>
          </w:p>
        </w:tc>
        <w:tc>
          <w:tcPr>
            <w:tcW w:w="436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 w:right="0"/>
              <w:jc w:val="left"/>
              <w:rPr>
                <w:rFonts w:ascii="宋体" w:hAnsi="宋体" w:cs="宋体" w:eastAsia="宋体" w:hint="default"/>
                <w:sz w:val="21"/>
                <w:szCs w:val="21"/>
              </w:rPr>
            </w:pPr>
            <w:r>
              <w:rPr>
                <w:rFonts w:ascii="宋体" w:hAnsi="宋体" w:cs="宋体" w:eastAsia="宋体" w:hint="default"/>
                <w:sz w:val="21"/>
                <w:szCs w:val="21"/>
              </w:rPr>
              <w:t>实验展柜（环境设备）</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5" w:right="0"/>
              <w:jc w:val="left"/>
              <w:rPr>
                <w:rFonts w:ascii="宋体" w:hAnsi="宋体" w:cs="宋体" w:eastAsia="宋体" w:hint="default"/>
                <w:sz w:val="21"/>
                <w:szCs w:val="21"/>
              </w:rPr>
            </w:pPr>
            <w:r>
              <w:rPr>
                <w:rFonts w:ascii="宋体" w:hAnsi="宋体" w:cs="宋体" w:eastAsia="宋体" w:hint="default"/>
                <w:sz w:val="21"/>
                <w:szCs w:val="21"/>
              </w:rPr>
              <w:t>外观专利</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5" w:right="0"/>
              <w:jc w:val="left"/>
              <w:rPr>
                <w:rFonts w:ascii="宋体" w:hAnsi="宋体" w:cs="宋体" w:eastAsia="宋体" w:hint="default"/>
                <w:sz w:val="21"/>
                <w:szCs w:val="21"/>
              </w:rPr>
            </w:pPr>
            <w:r>
              <w:rPr>
                <w:rFonts w:ascii="宋体"/>
                <w:sz w:val="21"/>
              </w:rPr>
              <w:t>2017306701599</w:t>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 w:right="0"/>
              <w:jc w:val="left"/>
              <w:rPr>
                <w:rFonts w:ascii="宋体" w:hAnsi="宋体" w:cs="宋体" w:eastAsia="宋体" w:hint="default"/>
                <w:sz w:val="21"/>
                <w:szCs w:val="21"/>
              </w:rPr>
            </w:pPr>
            <w:r>
              <w:rPr>
                <w:rFonts w:ascii="宋体"/>
                <w:sz w:val="21"/>
              </w:rPr>
              <w:t>2017.12.26</w:t>
            </w:r>
          </w:p>
        </w:tc>
      </w:tr>
      <w:tr>
        <w:trPr>
          <w:trHeight w:val="342"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0"/>
              <w:jc w:val="center"/>
              <w:rPr>
                <w:rFonts w:ascii="宋体" w:hAnsi="宋体" w:cs="宋体" w:eastAsia="宋体" w:hint="default"/>
                <w:sz w:val="21"/>
                <w:szCs w:val="21"/>
              </w:rPr>
            </w:pPr>
            <w:r>
              <w:rPr>
                <w:rFonts w:ascii="宋体"/>
                <w:sz w:val="21"/>
              </w:rPr>
              <w:t>39</w:t>
            </w:r>
          </w:p>
        </w:tc>
        <w:tc>
          <w:tcPr>
            <w:tcW w:w="436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 w:right="0"/>
              <w:jc w:val="left"/>
              <w:rPr>
                <w:rFonts w:ascii="宋体" w:hAnsi="宋体" w:cs="宋体" w:eastAsia="宋体" w:hint="default"/>
                <w:sz w:val="21"/>
                <w:szCs w:val="21"/>
              </w:rPr>
            </w:pPr>
            <w:r>
              <w:rPr>
                <w:rFonts w:ascii="宋体" w:hAnsi="宋体" w:cs="宋体" w:eastAsia="宋体" w:hint="default"/>
                <w:sz w:val="21"/>
                <w:szCs w:val="21"/>
              </w:rPr>
              <w:t>实验展柜（</w:t>
            </w:r>
            <w:r>
              <w:rPr>
                <w:rFonts w:ascii="宋体" w:hAnsi="宋体" w:cs="宋体" w:eastAsia="宋体" w:hint="default"/>
                <w:sz w:val="21"/>
                <w:szCs w:val="21"/>
              </w:rPr>
              <w:t>FAS</w:t>
            </w:r>
            <w:r>
              <w:rPr>
                <w:rFonts w:ascii="宋体" w:hAnsi="宋体" w:cs="宋体" w:eastAsia="宋体" w:hint="default"/>
                <w:sz w:val="21"/>
                <w:szCs w:val="21"/>
              </w:rPr>
              <w:t>）</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5" w:right="0"/>
              <w:jc w:val="left"/>
              <w:rPr>
                <w:rFonts w:ascii="宋体" w:hAnsi="宋体" w:cs="宋体" w:eastAsia="宋体" w:hint="default"/>
                <w:sz w:val="21"/>
                <w:szCs w:val="21"/>
              </w:rPr>
            </w:pPr>
            <w:r>
              <w:rPr>
                <w:rFonts w:ascii="宋体" w:hAnsi="宋体" w:cs="宋体" w:eastAsia="宋体" w:hint="default"/>
                <w:sz w:val="21"/>
                <w:szCs w:val="21"/>
              </w:rPr>
              <w:t>外观专利</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5" w:right="0"/>
              <w:jc w:val="left"/>
              <w:rPr>
                <w:rFonts w:ascii="宋体" w:hAnsi="宋体" w:cs="宋体" w:eastAsia="宋体" w:hint="default"/>
                <w:sz w:val="21"/>
                <w:szCs w:val="21"/>
              </w:rPr>
            </w:pPr>
            <w:r>
              <w:rPr>
                <w:rFonts w:ascii="宋体"/>
                <w:sz w:val="21"/>
              </w:rPr>
              <w:t>2017306707449</w:t>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 w:right="0"/>
              <w:jc w:val="left"/>
              <w:rPr>
                <w:rFonts w:ascii="宋体" w:hAnsi="宋体" w:cs="宋体" w:eastAsia="宋体" w:hint="default"/>
                <w:sz w:val="21"/>
                <w:szCs w:val="21"/>
              </w:rPr>
            </w:pPr>
            <w:r>
              <w:rPr>
                <w:rFonts w:ascii="宋体"/>
                <w:sz w:val="21"/>
              </w:rPr>
              <w:t>2017.12.26</w:t>
            </w:r>
          </w:p>
        </w:tc>
      </w:tr>
      <w:tr>
        <w:trPr>
          <w:trHeight w:val="342"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0"/>
              <w:jc w:val="center"/>
              <w:rPr>
                <w:rFonts w:ascii="宋体" w:hAnsi="宋体" w:cs="宋体" w:eastAsia="宋体" w:hint="default"/>
                <w:sz w:val="21"/>
                <w:szCs w:val="21"/>
              </w:rPr>
            </w:pPr>
            <w:r>
              <w:rPr>
                <w:rFonts w:ascii="宋体"/>
                <w:sz w:val="21"/>
              </w:rPr>
              <w:t>40</w:t>
            </w:r>
          </w:p>
        </w:tc>
        <w:tc>
          <w:tcPr>
            <w:tcW w:w="436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 w:right="0"/>
              <w:jc w:val="left"/>
              <w:rPr>
                <w:rFonts w:ascii="宋体" w:hAnsi="宋体" w:cs="宋体" w:eastAsia="宋体" w:hint="default"/>
                <w:sz w:val="21"/>
                <w:szCs w:val="21"/>
              </w:rPr>
            </w:pPr>
            <w:r>
              <w:rPr>
                <w:rFonts w:ascii="宋体" w:hAnsi="宋体" w:cs="宋体" w:eastAsia="宋体" w:hint="default"/>
                <w:sz w:val="21"/>
                <w:szCs w:val="21"/>
              </w:rPr>
              <w:t>电脑的图形用户界面（</w:t>
            </w:r>
            <w:r>
              <w:rPr>
                <w:rFonts w:ascii="宋体" w:hAnsi="宋体" w:cs="宋体" w:eastAsia="宋体" w:hint="default"/>
                <w:sz w:val="21"/>
                <w:szCs w:val="21"/>
              </w:rPr>
              <w:t>MSS</w:t>
            </w:r>
            <w:r>
              <w:rPr>
                <w:rFonts w:ascii="宋体" w:hAnsi="宋体" w:cs="宋体" w:eastAsia="宋体" w:hint="default"/>
                <w:sz w:val="21"/>
                <w:szCs w:val="21"/>
              </w:rPr>
              <w:t>系统</w:t>
            </w:r>
            <w:r>
              <w:rPr>
                <w:rFonts w:ascii="宋体" w:hAnsi="宋体" w:cs="宋体" w:eastAsia="宋体" w:hint="default"/>
                <w:sz w:val="21"/>
                <w:szCs w:val="21"/>
              </w:rPr>
              <w:t>-4</w:t>
            </w:r>
            <w:r>
              <w:rPr>
                <w:rFonts w:ascii="宋体" w:hAnsi="宋体" w:cs="宋体" w:eastAsia="宋体" w:hint="default"/>
                <w:sz w:val="21"/>
                <w:szCs w:val="21"/>
              </w:rPr>
              <w:t>）</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5" w:right="0"/>
              <w:jc w:val="left"/>
              <w:rPr>
                <w:rFonts w:ascii="宋体" w:hAnsi="宋体" w:cs="宋体" w:eastAsia="宋体" w:hint="default"/>
                <w:sz w:val="21"/>
                <w:szCs w:val="21"/>
              </w:rPr>
            </w:pPr>
            <w:r>
              <w:rPr>
                <w:rFonts w:ascii="宋体" w:hAnsi="宋体" w:cs="宋体" w:eastAsia="宋体" w:hint="default"/>
                <w:sz w:val="21"/>
                <w:szCs w:val="21"/>
              </w:rPr>
              <w:t>外观设计</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5" w:right="0"/>
              <w:jc w:val="left"/>
              <w:rPr>
                <w:rFonts w:ascii="宋体" w:hAnsi="宋体" w:cs="宋体" w:eastAsia="宋体" w:hint="default"/>
                <w:sz w:val="21"/>
                <w:szCs w:val="21"/>
              </w:rPr>
            </w:pPr>
            <w:r>
              <w:rPr>
                <w:rFonts w:ascii="宋体"/>
                <w:sz w:val="21"/>
              </w:rPr>
              <w:t>2017306737317</w:t>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 w:right="0"/>
              <w:jc w:val="left"/>
              <w:rPr>
                <w:rFonts w:ascii="宋体" w:hAnsi="宋体" w:cs="宋体" w:eastAsia="宋体" w:hint="default"/>
                <w:sz w:val="21"/>
                <w:szCs w:val="21"/>
              </w:rPr>
            </w:pPr>
            <w:r>
              <w:rPr>
                <w:rFonts w:ascii="宋体"/>
                <w:sz w:val="21"/>
              </w:rPr>
              <w:t>2017.12.27</w:t>
            </w:r>
          </w:p>
        </w:tc>
      </w:tr>
      <w:tr>
        <w:trPr>
          <w:trHeight w:val="342"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0"/>
              <w:jc w:val="center"/>
              <w:rPr>
                <w:rFonts w:ascii="宋体" w:hAnsi="宋体" w:cs="宋体" w:eastAsia="宋体" w:hint="default"/>
                <w:sz w:val="21"/>
                <w:szCs w:val="21"/>
              </w:rPr>
            </w:pPr>
            <w:r>
              <w:rPr>
                <w:rFonts w:ascii="宋体"/>
                <w:sz w:val="21"/>
              </w:rPr>
              <w:t>41</w:t>
            </w:r>
          </w:p>
        </w:tc>
        <w:tc>
          <w:tcPr>
            <w:tcW w:w="436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 w:right="0"/>
              <w:jc w:val="left"/>
              <w:rPr>
                <w:rFonts w:ascii="宋体" w:hAnsi="宋体" w:cs="宋体" w:eastAsia="宋体" w:hint="default"/>
                <w:sz w:val="21"/>
                <w:szCs w:val="21"/>
              </w:rPr>
            </w:pPr>
            <w:r>
              <w:rPr>
                <w:rFonts w:ascii="宋体" w:hAnsi="宋体" w:cs="宋体" w:eastAsia="宋体" w:hint="default"/>
                <w:sz w:val="21"/>
                <w:szCs w:val="21"/>
              </w:rPr>
              <w:t>电脑的图形用户界面（</w:t>
            </w:r>
            <w:r>
              <w:rPr>
                <w:rFonts w:ascii="宋体" w:hAnsi="宋体" w:cs="宋体" w:eastAsia="宋体" w:hint="default"/>
                <w:sz w:val="21"/>
                <w:szCs w:val="21"/>
              </w:rPr>
              <w:t>MSS</w:t>
            </w:r>
            <w:r>
              <w:rPr>
                <w:rFonts w:ascii="宋体" w:hAnsi="宋体" w:cs="宋体" w:eastAsia="宋体" w:hint="default"/>
                <w:sz w:val="21"/>
                <w:szCs w:val="21"/>
              </w:rPr>
              <w:t>系统</w:t>
            </w:r>
            <w:r>
              <w:rPr>
                <w:rFonts w:ascii="宋体" w:hAnsi="宋体" w:cs="宋体" w:eastAsia="宋体" w:hint="default"/>
                <w:sz w:val="21"/>
                <w:szCs w:val="21"/>
              </w:rPr>
              <w:t>-3</w:t>
            </w:r>
            <w:r>
              <w:rPr>
                <w:rFonts w:ascii="宋体" w:hAnsi="宋体" w:cs="宋体" w:eastAsia="宋体" w:hint="default"/>
                <w:sz w:val="21"/>
                <w:szCs w:val="21"/>
              </w:rPr>
              <w:t>）</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5" w:right="0"/>
              <w:jc w:val="left"/>
              <w:rPr>
                <w:rFonts w:ascii="宋体" w:hAnsi="宋体" w:cs="宋体" w:eastAsia="宋体" w:hint="default"/>
                <w:sz w:val="21"/>
                <w:szCs w:val="21"/>
              </w:rPr>
            </w:pPr>
            <w:r>
              <w:rPr>
                <w:rFonts w:ascii="宋体" w:hAnsi="宋体" w:cs="宋体" w:eastAsia="宋体" w:hint="default"/>
                <w:sz w:val="21"/>
                <w:szCs w:val="21"/>
              </w:rPr>
              <w:t>外观设计</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5" w:right="0"/>
              <w:jc w:val="left"/>
              <w:rPr>
                <w:rFonts w:ascii="宋体" w:hAnsi="宋体" w:cs="宋体" w:eastAsia="宋体" w:hint="default"/>
                <w:sz w:val="21"/>
                <w:szCs w:val="21"/>
              </w:rPr>
            </w:pPr>
            <w:r>
              <w:rPr>
                <w:rFonts w:ascii="宋体"/>
                <w:sz w:val="21"/>
              </w:rPr>
              <w:t>2017306740216</w:t>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 w:right="0"/>
              <w:jc w:val="left"/>
              <w:rPr>
                <w:rFonts w:ascii="宋体" w:hAnsi="宋体" w:cs="宋体" w:eastAsia="宋体" w:hint="default"/>
                <w:sz w:val="21"/>
                <w:szCs w:val="21"/>
              </w:rPr>
            </w:pPr>
            <w:r>
              <w:rPr>
                <w:rFonts w:ascii="宋体"/>
                <w:sz w:val="21"/>
              </w:rPr>
              <w:t>2017.12.27</w:t>
            </w:r>
          </w:p>
        </w:tc>
      </w:tr>
      <w:tr>
        <w:trPr>
          <w:trHeight w:val="342"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0"/>
              <w:jc w:val="center"/>
              <w:rPr>
                <w:rFonts w:ascii="宋体" w:hAnsi="宋体" w:cs="宋体" w:eastAsia="宋体" w:hint="default"/>
                <w:sz w:val="21"/>
                <w:szCs w:val="21"/>
              </w:rPr>
            </w:pPr>
            <w:r>
              <w:rPr>
                <w:rFonts w:ascii="宋体"/>
                <w:sz w:val="21"/>
              </w:rPr>
              <w:t>42</w:t>
            </w:r>
          </w:p>
        </w:tc>
        <w:tc>
          <w:tcPr>
            <w:tcW w:w="436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 w:right="0"/>
              <w:jc w:val="left"/>
              <w:rPr>
                <w:rFonts w:ascii="宋体" w:hAnsi="宋体" w:cs="宋体" w:eastAsia="宋体" w:hint="default"/>
                <w:sz w:val="21"/>
                <w:szCs w:val="21"/>
              </w:rPr>
            </w:pPr>
            <w:r>
              <w:rPr>
                <w:rFonts w:ascii="宋体" w:hAnsi="宋体" w:cs="宋体" w:eastAsia="宋体" w:hint="default"/>
                <w:sz w:val="21"/>
                <w:szCs w:val="21"/>
              </w:rPr>
              <w:t>电脑的图形用户界面（</w:t>
            </w:r>
            <w:r>
              <w:rPr>
                <w:rFonts w:ascii="宋体" w:hAnsi="宋体" w:cs="宋体" w:eastAsia="宋体" w:hint="default"/>
                <w:sz w:val="21"/>
                <w:szCs w:val="21"/>
              </w:rPr>
              <w:t>MSS</w:t>
            </w:r>
            <w:r>
              <w:rPr>
                <w:rFonts w:ascii="宋体" w:hAnsi="宋体" w:cs="宋体" w:eastAsia="宋体" w:hint="default"/>
                <w:sz w:val="21"/>
                <w:szCs w:val="21"/>
              </w:rPr>
              <w:t>系统</w:t>
            </w:r>
            <w:r>
              <w:rPr>
                <w:rFonts w:ascii="宋体" w:hAnsi="宋体" w:cs="宋体" w:eastAsia="宋体" w:hint="default"/>
                <w:sz w:val="21"/>
                <w:szCs w:val="21"/>
              </w:rPr>
              <w:t>-2</w:t>
            </w:r>
            <w:r>
              <w:rPr>
                <w:rFonts w:ascii="宋体" w:hAnsi="宋体" w:cs="宋体" w:eastAsia="宋体" w:hint="default"/>
                <w:sz w:val="21"/>
                <w:szCs w:val="21"/>
              </w:rPr>
              <w:t>）</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5" w:right="0"/>
              <w:jc w:val="left"/>
              <w:rPr>
                <w:rFonts w:ascii="宋体" w:hAnsi="宋体" w:cs="宋体" w:eastAsia="宋体" w:hint="default"/>
                <w:sz w:val="21"/>
                <w:szCs w:val="21"/>
              </w:rPr>
            </w:pPr>
            <w:r>
              <w:rPr>
                <w:rFonts w:ascii="宋体" w:hAnsi="宋体" w:cs="宋体" w:eastAsia="宋体" w:hint="default"/>
                <w:sz w:val="21"/>
                <w:szCs w:val="21"/>
              </w:rPr>
              <w:t>外观设计</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5" w:right="0"/>
              <w:jc w:val="left"/>
              <w:rPr>
                <w:rFonts w:ascii="宋体" w:hAnsi="宋体" w:cs="宋体" w:eastAsia="宋体" w:hint="default"/>
                <w:sz w:val="21"/>
                <w:szCs w:val="21"/>
              </w:rPr>
            </w:pPr>
            <w:r>
              <w:rPr>
                <w:rFonts w:ascii="宋体"/>
                <w:sz w:val="21"/>
              </w:rPr>
              <w:t>2017306735491</w:t>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 w:right="0"/>
              <w:jc w:val="left"/>
              <w:rPr>
                <w:rFonts w:ascii="宋体" w:hAnsi="宋体" w:cs="宋体" w:eastAsia="宋体" w:hint="default"/>
                <w:sz w:val="21"/>
                <w:szCs w:val="21"/>
              </w:rPr>
            </w:pPr>
            <w:r>
              <w:rPr>
                <w:rFonts w:ascii="宋体"/>
                <w:sz w:val="21"/>
              </w:rPr>
              <w:t>2017.12.27</w:t>
            </w:r>
          </w:p>
        </w:tc>
      </w:tr>
      <w:tr>
        <w:trPr>
          <w:trHeight w:val="342"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0"/>
              <w:jc w:val="center"/>
              <w:rPr>
                <w:rFonts w:ascii="宋体" w:hAnsi="宋体" w:cs="宋体" w:eastAsia="宋体" w:hint="default"/>
                <w:sz w:val="21"/>
                <w:szCs w:val="21"/>
              </w:rPr>
            </w:pPr>
            <w:r>
              <w:rPr>
                <w:rFonts w:ascii="宋体"/>
                <w:sz w:val="21"/>
              </w:rPr>
              <w:t>43</w:t>
            </w:r>
          </w:p>
        </w:tc>
        <w:tc>
          <w:tcPr>
            <w:tcW w:w="436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 w:right="0"/>
              <w:jc w:val="left"/>
              <w:rPr>
                <w:rFonts w:ascii="宋体" w:hAnsi="宋体" w:cs="宋体" w:eastAsia="宋体" w:hint="default"/>
                <w:sz w:val="21"/>
                <w:szCs w:val="21"/>
              </w:rPr>
            </w:pPr>
            <w:r>
              <w:rPr>
                <w:rFonts w:ascii="宋体" w:hAnsi="宋体" w:cs="宋体" w:eastAsia="宋体" w:hint="default"/>
                <w:sz w:val="21"/>
                <w:szCs w:val="21"/>
              </w:rPr>
              <w:t>电脑的图形用户界面（</w:t>
            </w:r>
            <w:r>
              <w:rPr>
                <w:rFonts w:ascii="宋体" w:hAnsi="宋体" w:cs="宋体" w:eastAsia="宋体" w:hint="default"/>
                <w:sz w:val="21"/>
                <w:szCs w:val="21"/>
              </w:rPr>
              <w:t>MSS</w:t>
            </w:r>
            <w:r>
              <w:rPr>
                <w:rFonts w:ascii="宋体" w:hAnsi="宋体" w:cs="宋体" w:eastAsia="宋体" w:hint="default"/>
                <w:sz w:val="21"/>
                <w:szCs w:val="21"/>
              </w:rPr>
              <w:t>系统</w:t>
            </w:r>
            <w:r>
              <w:rPr>
                <w:rFonts w:ascii="宋体" w:hAnsi="宋体" w:cs="宋体" w:eastAsia="宋体" w:hint="default"/>
                <w:sz w:val="21"/>
                <w:szCs w:val="21"/>
              </w:rPr>
              <w:t>-1</w:t>
            </w:r>
            <w:r>
              <w:rPr>
                <w:rFonts w:ascii="宋体" w:hAnsi="宋体" w:cs="宋体" w:eastAsia="宋体" w:hint="default"/>
                <w:sz w:val="21"/>
                <w:szCs w:val="21"/>
              </w:rPr>
              <w:t>）</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5" w:right="0"/>
              <w:jc w:val="left"/>
              <w:rPr>
                <w:rFonts w:ascii="宋体" w:hAnsi="宋体" w:cs="宋体" w:eastAsia="宋体" w:hint="default"/>
                <w:sz w:val="21"/>
                <w:szCs w:val="21"/>
              </w:rPr>
            </w:pPr>
            <w:r>
              <w:rPr>
                <w:rFonts w:ascii="宋体" w:hAnsi="宋体" w:cs="宋体" w:eastAsia="宋体" w:hint="default"/>
                <w:sz w:val="21"/>
                <w:szCs w:val="21"/>
              </w:rPr>
              <w:t>外观设计</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5" w:right="0"/>
              <w:jc w:val="left"/>
              <w:rPr>
                <w:rFonts w:ascii="宋体" w:hAnsi="宋体" w:cs="宋体" w:eastAsia="宋体" w:hint="default"/>
                <w:sz w:val="21"/>
                <w:szCs w:val="21"/>
              </w:rPr>
            </w:pPr>
            <w:r>
              <w:rPr>
                <w:rFonts w:ascii="宋体"/>
                <w:sz w:val="21"/>
              </w:rPr>
              <w:t>201730674024X</w:t>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 w:right="0"/>
              <w:jc w:val="left"/>
              <w:rPr>
                <w:rFonts w:ascii="宋体" w:hAnsi="宋体" w:cs="宋体" w:eastAsia="宋体" w:hint="default"/>
                <w:sz w:val="21"/>
                <w:szCs w:val="21"/>
              </w:rPr>
            </w:pPr>
            <w:r>
              <w:rPr>
                <w:rFonts w:ascii="宋体"/>
                <w:sz w:val="21"/>
              </w:rPr>
              <w:t>2017.12.27</w:t>
            </w:r>
          </w:p>
        </w:tc>
      </w:tr>
      <w:tr>
        <w:trPr>
          <w:trHeight w:val="342"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0"/>
              <w:jc w:val="center"/>
              <w:rPr>
                <w:rFonts w:ascii="宋体" w:hAnsi="宋体" w:cs="宋体" w:eastAsia="宋体" w:hint="default"/>
                <w:sz w:val="21"/>
                <w:szCs w:val="21"/>
              </w:rPr>
            </w:pPr>
            <w:r>
              <w:rPr>
                <w:rFonts w:ascii="宋体"/>
                <w:sz w:val="21"/>
              </w:rPr>
              <w:t>44</w:t>
            </w:r>
          </w:p>
        </w:tc>
        <w:tc>
          <w:tcPr>
            <w:tcW w:w="436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 w:right="0"/>
              <w:jc w:val="left"/>
              <w:rPr>
                <w:rFonts w:ascii="宋体" w:hAnsi="宋体" w:cs="宋体" w:eastAsia="宋体" w:hint="default"/>
                <w:sz w:val="21"/>
                <w:szCs w:val="21"/>
              </w:rPr>
            </w:pPr>
            <w:r>
              <w:rPr>
                <w:rFonts w:ascii="宋体" w:hAnsi="宋体" w:cs="宋体" w:eastAsia="宋体" w:hint="default"/>
                <w:sz w:val="21"/>
                <w:szCs w:val="21"/>
              </w:rPr>
              <w:t>电脑的图形用户界面（云自动售检票系统）</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5" w:right="0"/>
              <w:jc w:val="left"/>
              <w:rPr>
                <w:rFonts w:ascii="宋体" w:hAnsi="宋体" w:cs="宋体" w:eastAsia="宋体" w:hint="default"/>
                <w:sz w:val="21"/>
                <w:szCs w:val="21"/>
              </w:rPr>
            </w:pPr>
            <w:r>
              <w:rPr>
                <w:rFonts w:ascii="宋体" w:hAnsi="宋体" w:cs="宋体" w:eastAsia="宋体" w:hint="default"/>
                <w:sz w:val="21"/>
                <w:szCs w:val="21"/>
              </w:rPr>
              <w:t>外观设计</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5" w:right="0"/>
              <w:jc w:val="left"/>
              <w:rPr>
                <w:rFonts w:ascii="宋体" w:hAnsi="宋体" w:cs="宋体" w:eastAsia="宋体" w:hint="default"/>
                <w:sz w:val="21"/>
                <w:szCs w:val="21"/>
              </w:rPr>
            </w:pPr>
            <w:r>
              <w:rPr>
                <w:rFonts w:ascii="宋体"/>
                <w:sz w:val="21"/>
              </w:rPr>
              <w:t>2017306737529</w:t>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 w:right="0"/>
              <w:jc w:val="left"/>
              <w:rPr>
                <w:rFonts w:ascii="宋体" w:hAnsi="宋体" w:cs="宋体" w:eastAsia="宋体" w:hint="default"/>
                <w:sz w:val="21"/>
                <w:szCs w:val="21"/>
              </w:rPr>
            </w:pPr>
            <w:r>
              <w:rPr>
                <w:rFonts w:ascii="宋体"/>
                <w:sz w:val="21"/>
              </w:rPr>
              <w:t>2017.12.27</w:t>
            </w:r>
          </w:p>
        </w:tc>
      </w:tr>
      <w:tr>
        <w:trPr>
          <w:trHeight w:val="342"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0"/>
              <w:jc w:val="center"/>
              <w:rPr>
                <w:rFonts w:ascii="宋体" w:hAnsi="宋体" w:cs="宋体" w:eastAsia="宋体" w:hint="default"/>
                <w:sz w:val="21"/>
                <w:szCs w:val="21"/>
              </w:rPr>
            </w:pPr>
            <w:r>
              <w:rPr>
                <w:rFonts w:ascii="宋体"/>
                <w:sz w:val="21"/>
              </w:rPr>
              <w:t>45</w:t>
            </w:r>
          </w:p>
        </w:tc>
        <w:tc>
          <w:tcPr>
            <w:tcW w:w="436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 w:right="0"/>
              <w:jc w:val="left"/>
              <w:rPr>
                <w:rFonts w:ascii="宋体" w:hAnsi="宋体" w:cs="宋体" w:eastAsia="宋体" w:hint="default"/>
                <w:sz w:val="21"/>
                <w:szCs w:val="21"/>
              </w:rPr>
            </w:pPr>
            <w:r>
              <w:rPr>
                <w:rFonts w:ascii="宋体" w:hAnsi="宋体" w:cs="宋体" w:eastAsia="宋体" w:hint="default"/>
                <w:sz w:val="21"/>
                <w:szCs w:val="21"/>
              </w:rPr>
              <w:t>防尘棉机构件（标准机柜服务器专用）</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5" w:right="0"/>
              <w:jc w:val="left"/>
              <w:rPr>
                <w:rFonts w:ascii="宋体" w:hAnsi="宋体" w:cs="宋体" w:eastAsia="宋体" w:hint="default"/>
                <w:sz w:val="21"/>
                <w:szCs w:val="21"/>
              </w:rPr>
            </w:pPr>
            <w:r>
              <w:rPr>
                <w:rFonts w:ascii="宋体" w:hAnsi="宋体" w:cs="宋体" w:eastAsia="宋体" w:hint="default"/>
                <w:sz w:val="21"/>
                <w:szCs w:val="21"/>
              </w:rPr>
              <w:t>外观设计</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5" w:right="0"/>
              <w:jc w:val="left"/>
              <w:rPr>
                <w:rFonts w:ascii="宋体" w:hAnsi="宋体" w:cs="宋体" w:eastAsia="宋体" w:hint="default"/>
                <w:sz w:val="21"/>
                <w:szCs w:val="21"/>
              </w:rPr>
            </w:pPr>
            <w:r>
              <w:rPr>
                <w:rFonts w:ascii="宋体"/>
                <w:sz w:val="21"/>
              </w:rPr>
              <w:t>2017306737548</w:t>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 w:right="0"/>
              <w:jc w:val="left"/>
              <w:rPr>
                <w:rFonts w:ascii="宋体" w:hAnsi="宋体" w:cs="宋体" w:eastAsia="宋体" w:hint="default"/>
                <w:sz w:val="21"/>
                <w:szCs w:val="21"/>
              </w:rPr>
            </w:pPr>
            <w:r>
              <w:rPr>
                <w:rFonts w:ascii="宋体"/>
                <w:sz w:val="21"/>
              </w:rPr>
              <w:t>2017.12.27</w:t>
            </w:r>
          </w:p>
        </w:tc>
      </w:tr>
      <w:tr>
        <w:trPr>
          <w:trHeight w:val="342"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0"/>
              <w:jc w:val="center"/>
              <w:rPr>
                <w:rFonts w:ascii="宋体" w:hAnsi="宋体" w:cs="宋体" w:eastAsia="宋体" w:hint="default"/>
                <w:sz w:val="21"/>
                <w:szCs w:val="21"/>
              </w:rPr>
            </w:pPr>
            <w:r>
              <w:rPr>
                <w:rFonts w:ascii="宋体"/>
                <w:sz w:val="21"/>
              </w:rPr>
              <w:t>46</w:t>
            </w:r>
          </w:p>
        </w:tc>
        <w:tc>
          <w:tcPr>
            <w:tcW w:w="436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 w:right="0"/>
              <w:jc w:val="left"/>
              <w:rPr>
                <w:rFonts w:ascii="宋体" w:hAnsi="宋体" w:cs="宋体" w:eastAsia="宋体" w:hint="default"/>
                <w:sz w:val="21"/>
                <w:szCs w:val="21"/>
              </w:rPr>
            </w:pPr>
            <w:r>
              <w:rPr>
                <w:rFonts w:ascii="宋体" w:hAnsi="宋体" w:cs="宋体" w:eastAsia="宋体" w:hint="default"/>
                <w:sz w:val="21"/>
                <w:szCs w:val="21"/>
              </w:rPr>
              <w:t>风雨安装支架组件（</w:t>
            </w:r>
            <w:r>
              <w:rPr>
                <w:rFonts w:ascii="宋体" w:hAnsi="宋体" w:cs="宋体" w:eastAsia="宋体" w:hint="default"/>
                <w:sz w:val="21"/>
                <w:szCs w:val="21"/>
              </w:rPr>
              <w:t>FY-01</w:t>
            </w:r>
            <w:r>
              <w:rPr>
                <w:rFonts w:ascii="宋体" w:hAnsi="宋体" w:cs="宋体" w:eastAsia="宋体" w:hint="default"/>
                <w:sz w:val="21"/>
                <w:szCs w:val="21"/>
              </w:rPr>
              <w:t>型）</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5" w:right="0"/>
              <w:jc w:val="left"/>
              <w:rPr>
                <w:rFonts w:ascii="宋体" w:hAnsi="宋体" w:cs="宋体" w:eastAsia="宋体" w:hint="default"/>
                <w:sz w:val="21"/>
                <w:szCs w:val="21"/>
              </w:rPr>
            </w:pPr>
            <w:r>
              <w:rPr>
                <w:rFonts w:ascii="宋体" w:hAnsi="宋体" w:cs="宋体" w:eastAsia="宋体" w:hint="default"/>
                <w:sz w:val="21"/>
                <w:szCs w:val="21"/>
              </w:rPr>
              <w:t>外观设计</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5" w:right="0"/>
              <w:jc w:val="left"/>
              <w:rPr>
                <w:rFonts w:ascii="宋体" w:hAnsi="宋体" w:cs="宋体" w:eastAsia="宋体" w:hint="default"/>
                <w:sz w:val="21"/>
                <w:szCs w:val="21"/>
              </w:rPr>
            </w:pPr>
            <w:r>
              <w:rPr>
                <w:rFonts w:ascii="宋体"/>
                <w:sz w:val="21"/>
              </w:rPr>
              <w:t>2017306707627</w:t>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 w:right="0"/>
              <w:jc w:val="left"/>
              <w:rPr>
                <w:rFonts w:ascii="宋体" w:hAnsi="宋体" w:cs="宋体" w:eastAsia="宋体" w:hint="default"/>
                <w:sz w:val="21"/>
                <w:szCs w:val="21"/>
              </w:rPr>
            </w:pPr>
            <w:r>
              <w:rPr>
                <w:rFonts w:ascii="宋体"/>
                <w:sz w:val="21"/>
              </w:rPr>
              <w:t>2017.12.26</w:t>
            </w:r>
          </w:p>
        </w:tc>
      </w:tr>
      <w:tr>
        <w:trPr>
          <w:trHeight w:val="342"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0"/>
              <w:jc w:val="center"/>
              <w:rPr>
                <w:rFonts w:ascii="宋体" w:hAnsi="宋体" w:cs="宋体" w:eastAsia="宋体" w:hint="default"/>
                <w:sz w:val="21"/>
                <w:szCs w:val="21"/>
              </w:rPr>
            </w:pPr>
            <w:r>
              <w:rPr>
                <w:rFonts w:ascii="宋体"/>
                <w:sz w:val="21"/>
              </w:rPr>
              <w:t>47</w:t>
            </w:r>
          </w:p>
        </w:tc>
        <w:tc>
          <w:tcPr>
            <w:tcW w:w="436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 w:right="0"/>
              <w:jc w:val="left"/>
              <w:rPr>
                <w:rFonts w:ascii="宋体" w:hAnsi="宋体" w:cs="宋体" w:eastAsia="宋体" w:hint="default"/>
                <w:sz w:val="21"/>
                <w:szCs w:val="21"/>
              </w:rPr>
            </w:pPr>
            <w:r>
              <w:rPr>
                <w:rFonts w:ascii="宋体" w:hAnsi="宋体" w:cs="宋体" w:eastAsia="宋体" w:hint="default"/>
                <w:sz w:val="21"/>
                <w:szCs w:val="21"/>
              </w:rPr>
              <w:t>防灾监控机柜</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5" w:right="0"/>
              <w:jc w:val="left"/>
              <w:rPr>
                <w:rFonts w:ascii="宋体" w:hAnsi="宋体" w:cs="宋体" w:eastAsia="宋体" w:hint="default"/>
                <w:sz w:val="21"/>
                <w:szCs w:val="21"/>
              </w:rPr>
            </w:pPr>
            <w:r>
              <w:rPr>
                <w:rFonts w:ascii="宋体" w:hAnsi="宋体" w:cs="宋体" w:eastAsia="宋体" w:hint="default"/>
                <w:sz w:val="21"/>
                <w:szCs w:val="21"/>
              </w:rPr>
              <w:t>外观设计</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5" w:right="0"/>
              <w:jc w:val="left"/>
              <w:rPr>
                <w:rFonts w:ascii="宋体" w:hAnsi="宋体" w:cs="宋体" w:eastAsia="宋体" w:hint="default"/>
                <w:sz w:val="21"/>
                <w:szCs w:val="21"/>
              </w:rPr>
            </w:pPr>
            <w:r>
              <w:rPr>
                <w:rFonts w:ascii="宋体"/>
                <w:sz w:val="21"/>
              </w:rPr>
              <w:t>2017306707631</w:t>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 w:right="0"/>
              <w:jc w:val="left"/>
              <w:rPr>
                <w:rFonts w:ascii="宋体" w:hAnsi="宋体" w:cs="宋体" w:eastAsia="宋体" w:hint="default"/>
                <w:sz w:val="21"/>
                <w:szCs w:val="21"/>
              </w:rPr>
            </w:pPr>
            <w:r>
              <w:rPr>
                <w:rFonts w:ascii="宋体"/>
                <w:sz w:val="21"/>
              </w:rPr>
              <w:t>2017.12.26</w:t>
            </w:r>
          </w:p>
        </w:tc>
      </w:tr>
      <w:tr>
        <w:trPr>
          <w:trHeight w:val="342"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0"/>
              <w:jc w:val="center"/>
              <w:rPr>
                <w:rFonts w:ascii="宋体" w:hAnsi="宋体" w:cs="宋体" w:eastAsia="宋体" w:hint="default"/>
                <w:sz w:val="21"/>
                <w:szCs w:val="21"/>
              </w:rPr>
            </w:pPr>
            <w:r>
              <w:rPr>
                <w:rFonts w:ascii="宋体"/>
                <w:sz w:val="21"/>
              </w:rPr>
              <w:t>48</w:t>
            </w:r>
          </w:p>
        </w:tc>
        <w:tc>
          <w:tcPr>
            <w:tcW w:w="436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 w:right="0"/>
              <w:jc w:val="left"/>
              <w:rPr>
                <w:rFonts w:ascii="宋体" w:hAnsi="宋体" w:cs="宋体" w:eastAsia="宋体" w:hint="default"/>
                <w:sz w:val="21"/>
                <w:szCs w:val="21"/>
              </w:rPr>
            </w:pPr>
            <w:r>
              <w:rPr>
                <w:rFonts w:ascii="宋体" w:hAnsi="宋体" w:cs="宋体" w:eastAsia="宋体" w:hint="default"/>
                <w:sz w:val="21"/>
                <w:szCs w:val="21"/>
              </w:rPr>
              <w:t>电脑的图形用户界面（防灾系统</w:t>
            </w:r>
            <w:r>
              <w:rPr>
                <w:rFonts w:ascii="宋体" w:hAnsi="宋体" w:cs="宋体" w:eastAsia="宋体" w:hint="default"/>
                <w:sz w:val="21"/>
                <w:szCs w:val="21"/>
              </w:rPr>
              <w:t>-4</w:t>
            </w:r>
            <w:r>
              <w:rPr>
                <w:rFonts w:ascii="宋体" w:hAnsi="宋体" w:cs="宋体" w:eastAsia="宋体" w:hint="default"/>
                <w:sz w:val="21"/>
                <w:szCs w:val="21"/>
              </w:rPr>
              <w:t>）</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5" w:right="0"/>
              <w:jc w:val="left"/>
              <w:rPr>
                <w:rFonts w:ascii="宋体" w:hAnsi="宋体" w:cs="宋体" w:eastAsia="宋体" w:hint="default"/>
                <w:sz w:val="21"/>
                <w:szCs w:val="21"/>
              </w:rPr>
            </w:pPr>
            <w:r>
              <w:rPr>
                <w:rFonts w:ascii="宋体" w:hAnsi="宋体" w:cs="宋体" w:eastAsia="宋体" w:hint="default"/>
                <w:sz w:val="21"/>
                <w:szCs w:val="21"/>
              </w:rPr>
              <w:t>外观设计</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5" w:right="0"/>
              <w:jc w:val="left"/>
              <w:rPr>
                <w:rFonts w:ascii="宋体" w:hAnsi="宋体" w:cs="宋体" w:eastAsia="宋体" w:hint="default"/>
                <w:sz w:val="21"/>
                <w:szCs w:val="21"/>
              </w:rPr>
            </w:pPr>
            <w:r>
              <w:rPr>
                <w:rFonts w:ascii="宋体"/>
                <w:sz w:val="21"/>
              </w:rPr>
              <w:t>2017306713882</w:t>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 w:right="0"/>
              <w:jc w:val="left"/>
              <w:rPr>
                <w:rFonts w:ascii="宋体" w:hAnsi="宋体" w:cs="宋体" w:eastAsia="宋体" w:hint="default"/>
                <w:sz w:val="21"/>
                <w:szCs w:val="21"/>
              </w:rPr>
            </w:pPr>
            <w:r>
              <w:rPr>
                <w:rFonts w:ascii="宋体"/>
                <w:sz w:val="21"/>
              </w:rPr>
              <w:t>2017.12.26</w:t>
            </w:r>
          </w:p>
        </w:tc>
      </w:tr>
      <w:tr>
        <w:trPr>
          <w:trHeight w:val="342"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0"/>
              <w:jc w:val="center"/>
              <w:rPr>
                <w:rFonts w:ascii="宋体" w:hAnsi="宋体" w:cs="宋体" w:eastAsia="宋体" w:hint="default"/>
                <w:sz w:val="21"/>
                <w:szCs w:val="21"/>
              </w:rPr>
            </w:pPr>
            <w:r>
              <w:rPr>
                <w:rFonts w:ascii="宋体"/>
                <w:sz w:val="21"/>
              </w:rPr>
              <w:t>49</w:t>
            </w:r>
          </w:p>
        </w:tc>
        <w:tc>
          <w:tcPr>
            <w:tcW w:w="436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 w:right="0"/>
              <w:jc w:val="left"/>
              <w:rPr>
                <w:rFonts w:ascii="宋体" w:hAnsi="宋体" w:cs="宋体" w:eastAsia="宋体" w:hint="default"/>
                <w:sz w:val="21"/>
                <w:szCs w:val="21"/>
              </w:rPr>
            </w:pPr>
            <w:r>
              <w:rPr>
                <w:rFonts w:ascii="宋体" w:hAnsi="宋体" w:cs="宋体" w:eastAsia="宋体" w:hint="default"/>
                <w:sz w:val="21"/>
                <w:szCs w:val="21"/>
              </w:rPr>
              <w:t>电脑的图形用户界面（防灾系统</w:t>
            </w:r>
            <w:r>
              <w:rPr>
                <w:rFonts w:ascii="宋体" w:hAnsi="宋体" w:cs="宋体" w:eastAsia="宋体" w:hint="default"/>
                <w:sz w:val="21"/>
                <w:szCs w:val="21"/>
              </w:rPr>
              <w:t>-3</w:t>
            </w:r>
            <w:r>
              <w:rPr>
                <w:rFonts w:ascii="宋体" w:hAnsi="宋体" w:cs="宋体" w:eastAsia="宋体" w:hint="default"/>
                <w:sz w:val="21"/>
                <w:szCs w:val="21"/>
              </w:rPr>
              <w:t>）</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5" w:right="0"/>
              <w:jc w:val="left"/>
              <w:rPr>
                <w:rFonts w:ascii="宋体" w:hAnsi="宋体" w:cs="宋体" w:eastAsia="宋体" w:hint="default"/>
                <w:sz w:val="21"/>
                <w:szCs w:val="21"/>
              </w:rPr>
            </w:pPr>
            <w:r>
              <w:rPr>
                <w:rFonts w:ascii="宋体" w:hAnsi="宋体" w:cs="宋体" w:eastAsia="宋体" w:hint="default"/>
                <w:sz w:val="21"/>
                <w:szCs w:val="21"/>
              </w:rPr>
              <w:t>外观设计</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5" w:right="0"/>
              <w:jc w:val="left"/>
              <w:rPr>
                <w:rFonts w:ascii="宋体" w:hAnsi="宋体" w:cs="宋体" w:eastAsia="宋体" w:hint="default"/>
                <w:sz w:val="21"/>
                <w:szCs w:val="21"/>
              </w:rPr>
            </w:pPr>
            <w:r>
              <w:rPr>
                <w:rFonts w:ascii="宋体"/>
                <w:sz w:val="21"/>
              </w:rPr>
              <w:t>2017306713878</w:t>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 w:right="0"/>
              <w:jc w:val="left"/>
              <w:rPr>
                <w:rFonts w:ascii="宋体" w:hAnsi="宋体" w:cs="宋体" w:eastAsia="宋体" w:hint="default"/>
                <w:sz w:val="21"/>
                <w:szCs w:val="21"/>
              </w:rPr>
            </w:pPr>
            <w:r>
              <w:rPr>
                <w:rFonts w:ascii="宋体"/>
                <w:sz w:val="21"/>
              </w:rPr>
              <w:t>2017.12.26</w:t>
            </w:r>
          </w:p>
        </w:tc>
      </w:tr>
      <w:tr>
        <w:trPr>
          <w:trHeight w:val="342"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0"/>
              <w:jc w:val="center"/>
              <w:rPr>
                <w:rFonts w:ascii="宋体" w:hAnsi="宋体" w:cs="宋体" w:eastAsia="宋体" w:hint="default"/>
                <w:sz w:val="21"/>
                <w:szCs w:val="21"/>
              </w:rPr>
            </w:pPr>
            <w:r>
              <w:rPr>
                <w:rFonts w:ascii="宋体"/>
                <w:sz w:val="21"/>
              </w:rPr>
              <w:t>50</w:t>
            </w:r>
          </w:p>
        </w:tc>
        <w:tc>
          <w:tcPr>
            <w:tcW w:w="436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 w:right="0"/>
              <w:jc w:val="left"/>
              <w:rPr>
                <w:rFonts w:ascii="宋体" w:hAnsi="宋体" w:cs="宋体" w:eastAsia="宋体" w:hint="default"/>
                <w:sz w:val="21"/>
                <w:szCs w:val="21"/>
              </w:rPr>
            </w:pPr>
            <w:r>
              <w:rPr>
                <w:rFonts w:ascii="宋体" w:hAnsi="宋体" w:cs="宋体" w:eastAsia="宋体" w:hint="default"/>
                <w:sz w:val="21"/>
                <w:szCs w:val="21"/>
              </w:rPr>
              <w:t>电脑的图形用户界面（防灾系统</w:t>
            </w:r>
            <w:r>
              <w:rPr>
                <w:rFonts w:ascii="宋体" w:hAnsi="宋体" w:cs="宋体" w:eastAsia="宋体" w:hint="default"/>
                <w:sz w:val="21"/>
                <w:szCs w:val="21"/>
              </w:rPr>
              <w:t>-2</w:t>
            </w:r>
            <w:r>
              <w:rPr>
                <w:rFonts w:ascii="宋体" w:hAnsi="宋体" w:cs="宋体" w:eastAsia="宋体" w:hint="default"/>
                <w:sz w:val="21"/>
                <w:szCs w:val="21"/>
              </w:rPr>
              <w:t>）</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5" w:right="0"/>
              <w:jc w:val="left"/>
              <w:rPr>
                <w:rFonts w:ascii="宋体" w:hAnsi="宋体" w:cs="宋体" w:eastAsia="宋体" w:hint="default"/>
                <w:sz w:val="21"/>
                <w:szCs w:val="21"/>
              </w:rPr>
            </w:pPr>
            <w:r>
              <w:rPr>
                <w:rFonts w:ascii="宋体" w:hAnsi="宋体" w:cs="宋体" w:eastAsia="宋体" w:hint="default"/>
                <w:sz w:val="21"/>
                <w:szCs w:val="21"/>
              </w:rPr>
              <w:t>外观设计</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5" w:right="0"/>
              <w:jc w:val="left"/>
              <w:rPr>
                <w:rFonts w:ascii="宋体" w:hAnsi="宋体" w:cs="宋体" w:eastAsia="宋体" w:hint="default"/>
                <w:sz w:val="21"/>
                <w:szCs w:val="21"/>
              </w:rPr>
            </w:pPr>
            <w:r>
              <w:rPr>
                <w:rFonts w:ascii="宋体"/>
                <w:sz w:val="21"/>
              </w:rPr>
              <w:t>2017306707843</w:t>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 w:right="0"/>
              <w:jc w:val="left"/>
              <w:rPr>
                <w:rFonts w:ascii="宋体" w:hAnsi="宋体" w:cs="宋体" w:eastAsia="宋体" w:hint="default"/>
                <w:sz w:val="21"/>
                <w:szCs w:val="21"/>
              </w:rPr>
            </w:pPr>
            <w:r>
              <w:rPr>
                <w:rFonts w:ascii="宋体"/>
                <w:sz w:val="21"/>
              </w:rPr>
              <w:t>2017.12.26</w:t>
            </w:r>
          </w:p>
        </w:tc>
      </w:tr>
      <w:tr>
        <w:trPr>
          <w:trHeight w:val="342"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0"/>
              <w:jc w:val="center"/>
              <w:rPr>
                <w:rFonts w:ascii="宋体" w:hAnsi="宋体" w:cs="宋体" w:eastAsia="宋体" w:hint="default"/>
                <w:sz w:val="21"/>
                <w:szCs w:val="21"/>
              </w:rPr>
            </w:pPr>
            <w:r>
              <w:rPr>
                <w:rFonts w:ascii="宋体"/>
                <w:sz w:val="21"/>
              </w:rPr>
              <w:t>51</w:t>
            </w:r>
          </w:p>
        </w:tc>
        <w:tc>
          <w:tcPr>
            <w:tcW w:w="436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 w:right="0"/>
              <w:jc w:val="left"/>
              <w:rPr>
                <w:rFonts w:ascii="宋体" w:hAnsi="宋体" w:cs="宋体" w:eastAsia="宋体" w:hint="default"/>
                <w:sz w:val="21"/>
                <w:szCs w:val="21"/>
              </w:rPr>
            </w:pPr>
            <w:r>
              <w:rPr>
                <w:rFonts w:ascii="宋体" w:hAnsi="宋体" w:cs="宋体" w:eastAsia="宋体" w:hint="default"/>
                <w:sz w:val="21"/>
                <w:szCs w:val="21"/>
              </w:rPr>
              <w:t>电脑的图形用户界面（防灾系统</w:t>
            </w:r>
            <w:r>
              <w:rPr>
                <w:rFonts w:ascii="宋体" w:hAnsi="宋体" w:cs="宋体" w:eastAsia="宋体" w:hint="default"/>
                <w:sz w:val="21"/>
                <w:szCs w:val="21"/>
              </w:rPr>
              <w:t>-1</w:t>
            </w:r>
            <w:r>
              <w:rPr>
                <w:rFonts w:ascii="宋体" w:hAnsi="宋体" w:cs="宋体" w:eastAsia="宋体" w:hint="default"/>
                <w:sz w:val="21"/>
                <w:szCs w:val="21"/>
              </w:rPr>
              <w:t>）</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5" w:right="0"/>
              <w:jc w:val="left"/>
              <w:rPr>
                <w:rFonts w:ascii="宋体" w:hAnsi="宋体" w:cs="宋体" w:eastAsia="宋体" w:hint="default"/>
                <w:sz w:val="21"/>
                <w:szCs w:val="21"/>
              </w:rPr>
            </w:pPr>
            <w:r>
              <w:rPr>
                <w:rFonts w:ascii="宋体" w:hAnsi="宋体" w:cs="宋体" w:eastAsia="宋体" w:hint="default"/>
                <w:sz w:val="21"/>
                <w:szCs w:val="21"/>
              </w:rPr>
              <w:t>外观设计</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5" w:right="0"/>
              <w:jc w:val="left"/>
              <w:rPr>
                <w:rFonts w:ascii="宋体" w:hAnsi="宋体" w:cs="宋体" w:eastAsia="宋体" w:hint="default"/>
                <w:sz w:val="21"/>
                <w:szCs w:val="21"/>
              </w:rPr>
            </w:pPr>
            <w:r>
              <w:rPr>
                <w:rFonts w:ascii="宋体"/>
                <w:sz w:val="21"/>
              </w:rPr>
              <w:t>2017306707877</w:t>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 w:right="0"/>
              <w:jc w:val="left"/>
              <w:rPr>
                <w:rFonts w:ascii="宋体" w:hAnsi="宋体" w:cs="宋体" w:eastAsia="宋体" w:hint="default"/>
                <w:sz w:val="21"/>
                <w:szCs w:val="21"/>
              </w:rPr>
            </w:pPr>
            <w:r>
              <w:rPr>
                <w:rFonts w:ascii="宋体"/>
                <w:sz w:val="21"/>
              </w:rPr>
              <w:t>2017.12.26</w:t>
            </w:r>
          </w:p>
        </w:tc>
      </w:tr>
      <w:tr>
        <w:trPr>
          <w:trHeight w:val="342"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0"/>
              <w:jc w:val="center"/>
              <w:rPr>
                <w:rFonts w:ascii="宋体" w:hAnsi="宋体" w:cs="宋体" w:eastAsia="宋体" w:hint="default"/>
                <w:sz w:val="21"/>
                <w:szCs w:val="21"/>
              </w:rPr>
            </w:pPr>
            <w:r>
              <w:rPr>
                <w:rFonts w:ascii="宋体"/>
                <w:sz w:val="21"/>
              </w:rPr>
              <w:t>52</w:t>
            </w:r>
          </w:p>
        </w:tc>
        <w:tc>
          <w:tcPr>
            <w:tcW w:w="436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 w:right="0"/>
              <w:jc w:val="left"/>
              <w:rPr>
                <w:rFonts w:ascii="宋体" w:hAnsi="宋体" w:cs="宋体" w:eastAsia="宋体" w:hint="default"/>
                <w:sz w:val="21"/>
                <w:szCs w:val="21"/>
              </w:rPr>
            </w:pPr>
            <w:r>
              <w:rPr>
                <w:rFonts w:ascii="宋体" w:hAnsi="宋体" w:cs="宋体" w:eastAsia="宋体" w:hint="default"/>
                <w:sz w:val="21"/>
                <w:szCs w:val="21"/>
              </w:rPr>
              <w:t>数据远程传输单元箱体</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5" w:right="0"/>
              <w:jc w:val="left"/>
              <w:rPr>
                <w:rFonts w:ascii="宋体" w:hAnsi="宋体" w:cs="宋体" w:eastAsia="宋体" w:hint="default"/>
                <w:sz w:val="21"/>
                <w:szCs w:val="21"/>
              </w:rPr>
            </w:pPr>
            <w:r>
              <w:rPr>
                <w:rFonts w:ascii="宋体" w:hAnsi="宋体" w:cs="宋体" w:eastAsia="宋体" w:hint="default"/>
                <w:sz w:val="21"/>
                <w:szCs w:val="21"/>
              </w:rPr>
              <w:t>外观专利</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5" w:right="0"/>
              <w:jc w:val="left"/>
              <w:rPr>
                <w:rFonts w:ascii="宋体" w:hAnsi="宋体" w:cs="宋体" w:eastAsia="宋体" w:hint="default"/>
                <w:sz w:val="21"/>
                <w:szCs w:val="21"/>
              </w:rPr>
            </w:pPr>
            <w:r>
              <w:rPr>
                <w:rFonts w:ascii="宋体"/>
                <w:sz w:val="21"/>
              </w:rPr>
              <w:t>2017306672967</w:t>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 w:right="0"/>
              <w:jc w:val="left"/>
              <w:rPr>
                <w:rFonts w:ascii="宋体" w:hAnsi="宋体" w:cs="宋体" w:eastAsia="宋体" w:hint="default"/>
                <w:sz w:val="21"/>
                <w:szCs w:val="21"/>
              </w:rPr>
            </w:pPr>
            <w:r>
              <w:rPr>
                <w:rFonts w:ascii="宋体"/>
                <w:sz w:val="21"/>
              </w:rPr>
              <w:t>2017.12.25</w:t>
            </w:r>
          </w:p>
        </w:tc>
      </w:tr>
      <w:tr>
        <w:trPr>
          <w:trHeight w:val="342"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0"/>
              <w:jc w:val="center"/>
              <w:rPr>
                <w:rFonts w:ascii="宋体" w:hAnsi="宋体" w:cs="宋体" w:eastAsia="宋体" w:hint="default"/>
                <w:sz w:val="21"/>
                <w:szCs w:val="21"/>
              </w:rPr>
            </w:pPr>
            <w:r>
              <w:rPr>
                <w:rFonts w:ascii="宋体"/>
                <w:sz w:val="21"/>
              </w:rPr>
              <w:t>53</w:t>
            </w:r>
          </w:p>
        </w:tc>
        <w:tc>
          <w:tcPr>
            <w:tcW w:w="436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 w:right="0"/>
              <w:jc w:val="left"/>
              <w:rPr>
                <w:rFonts w:ascii="宋体" w:hAnsi="宋体" w:cs="宋体" w:eastAsia="宋体" w:hint="default"/>
                <w:sz w:val="21"/>
                <w:szCs w:val="21"/>
              </w:rPr>
            </w:pPr>
            <w:r>
              <w:rPr>
                <w:rFonts w:ascii="宋体" w:hAnsi="宋体" w:cs="宋体" w:eastAsia="宋体" w:hint="default"/>
                <w:sz w:val="21"/>
                <w:szCs w:val="21"/>
              </w:rPr>
              <w:t>机械式雨量计</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5" w:right="0"/>
              <w:jc w:val="left"/>
              <w:rPr>
                <w:rFonts w:ascii="宋体" w:hAnsi="宋体" w:cs="宋体" w:eastAsia="宋体" w:hint="default"/>
                <w:sz w:val="21"/>
                <w:szCs w:val="21"/>
              </w:rPr>
            </w:pPr>
            <w:r>
              <w:rPr>
                <w:rFonts w:ascii="宋体" w:hAnsi="宋体" w:cs="宋体" w:eastAsia="宋体" w:hint="default"/>
                <w:sz w:val="21"/>
                <w:szCs w:val="21"/>
              </w:rPr>
              <w:t>外观专利</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5" w:right="0"/>
              <w:jc w:val="left"/>
              <w:rPr>
                <w:rFonts w:ascii="宋体" w:hAnsi="宋体" w:cs="宋体" w:eastAsia="宋体" w:hint="default"/>
                <w:sz w:val="21"/>
                <w:szCs w:val="21"/>
              </w:rPr>
            </w:pPr>
            <w:r>
              <w:rPr>
                <w:rFonts w:ascii="宋体"/>
                <w:sz w:val="21"/>
              </w:rPr>
              <w:t>2017306679449</w:t>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 w:right="0"/>
              <w:jc w:val="left"/>
              <w:rPr>
                <w:rFonts w:ascii="宋体" w:hAnsi="宋体" w:cs="宋体" w:eastAsia="宋体" w:hint="default"/>
                <w:sz w:val="21"/>
                <w:szCs w:val="21"/>
              </w:rPr>
            </w:pPr>
            <w:r>
              <w:rPr>
                <w:rFonts w:ascii="宋体"/>
                <w:sz w:val="21"/>
              </w:rPr>
              <w:t>2017.12.25</w:t>
            </w:r>
          </w:p>
        </w:tc>
      </w:tr>
      <w:tr>
        <w:trPr>
          <w:trHeight w:val="342"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0"/>
              <w:jc w:val="center"/>
              <w:rPr>
                <w:rFonts w:ascii="宋体" w:hAnsi="宋体" w:cs="宋体" w:eastAsia="宋体" w:hint="default"/>
                <w:sz w:val="21"/>
                <w:szCs w:val="21"/>
              </w:rPr>
            </w:pPr>
            <w:r>
              <w:rPr>
                <w:rFonts w:ascii="宋体"/>
                <w:sz w:val="21"/>
              </w:rPr>
              <w:t>54</w:t>
            </w:r>
          </w:p>
        </w:tc>
        <w:tc>
          <w:tcPr>
            <w:tcW w:w="436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 w:right="0"/>
              <w:jc w:val="left"/>
              <w:rPr>
                <w:rFonts w:ascii="宋体" w:hAnsi="宋体" w:cs="宋体" w:eastAsia="宋体" w:hint="default"/>
                <w:sz w:val="21"/>
                <w:szCs w:val="21"/>
              </w:rPr>
            </w:pPr>
            <w:r>
              <w:rPr>
                <w:rFonts w:ascii="宋体" w:hAnsi="宋体" w:cs="宋体" w:eastAsia="宋体" w:hint="default"/>
                <w:sz w:val="21"/>
                <w:szCs w:val="21"/>
              </w:rPr>
              <w:t>综合诊断测试仪（</w:t>
            </w:r>
            <w:r>
              <w:rPr>
                <w:rFonts w:ascii="宋体" w:hAnsi="宋体" w:cs="宋体" w:eastAsia="宋体" w:hint="default"/>
                <w:sz w:val="21"/>
                <w:szCs w:val="21"/>
              </w:rPr>
              <w:t>STP</w:t>
            </w:r>
            <w:r>
              <w:rPr>
                <w:rFonts w:ascii="宋体" w:hAnsi="宋体" w:cs="宋体" w:eastAsia="宋体" w:hint="default"/>
                <w:sz w:val="21"/>
                <w:szCs w:val="21"/>
              </w:rPr>
              <w:t>）</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5" w:right="0"/>
              <w:jc w:val="left"/>
              <w:rPr>
                <w:rFonts w:ascii="宋体" w:hAnsi="宋体" w:cs="宋体" w:eastAsia="宋体" w:hint="default"/>
                <w:sz w:val="21"/>
                <w:szCs w:val="21"/>
              </w:rPr>
            </w:pPr>
            <w:r>
              <w:rPr>
                <w:rFonts w:ascii="宋体" w:hAnsi="宋体" w:cs="宋体" w:eastAsia="宋体" w:hint="default"/>
                <w:sz w:val="21"/>
                <w:szCs w:val="21"/>
              </w:rPr>
              <w:t>外观专利</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5" w:right="0"/>
              <w:jc w:val="left"/>
              <w:rPr>
                <w:rFonts w:ascii="宋体" w:hAnsi="宋体" w:cs="宋体" w:eastAsia="宋体" w:hint="default"/>
                <w:sz w:val="21"/>
                <w:szCs w:val="21"/>
              </w:rPr>
            </w:pPr>
            <w:r>
              <w:rPr>
                <w:rFonts w:ascii="宋体"/>
                <w:sz w:val="21"/>
              </w:rPr>
              <w:t>2017306705142</w:t>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 w:right="0"/>
              <w:jc w:val="left"/>
              <w:rPr>
                <w:rFonts w:ascii="宋体" w:hAnsi="宋体" w:cs="宋体" w:eastAsia="宋体" w:hint="default"/>
                <w:sz w:val="21"/>
                <w:szCs w:val="21"/>
              </w:rPr>
            </w:pPr>
            <w:r>
              <w:rPr>
                <w:rFonts w:ascii="宋体"/>
                <w:sz w:val="21"/>
              </w:rPr>
              <w:t>2017.12.26</w:t>
            </w:r>
          </w:p>
        </w:tc>
      </w:tr>
      <w:tr>
        <w:trPr>
          <w:trHeight w:val="342"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0"/>
              <w:jc w:val="center"/>
              <w:rPr>
                <w:rFonts w:ascii="宋体" w:hAnsi="宋体" w:cs="宋体" w:eastAsia="宋体" w:hint="default"/>
                <w:sz w:val="21"/>
                <w:szCs w:val="21"/>
              </w:rPr>
            </w:pPr>
            <w:r>
              <w:rPr>
                <w:rFonts w:ascii="宋体"/>
                <w:sz w:val="21"/>
              </w:rPr>
              <w:t>55</w:t>
            </w:r>
          </w:p>
        </w:tc>
        <w:tc>
          <w:tcPr>
            <w:tcW w:w="436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 w:right="0"/>
              <w:jc w:val="left"/>
              <w:rPr>
                <w:rFonts w:ascii="宋体" w:hAnsi="宋体" w:cs="宋体" w:eastAsia="宋体" w:hint="default"/>
                <w:sz w:val="21"/>
                <w:szCs w:val="21"/>
              </w:rPr>
            </w:pPr>
            <w:r>
              <w:rPr>
                <w:rFonts w:ascii="宋体" w:hAnsi="宋体" w:cs="宋体" w:eastAsia="宋体" w:hint="default"/>
                <w:sz w:val="21"/>
                <w:szCs w:val="21"/>
              </w:rPr>
              <w:t>电脑的图形用户界面（无线调车联锁模拟）</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5" w:right="0"/>
              <w:jc w:val="left"/>
              <w:rPr>
                <w:rFonts w:ascii="宋体" w:hAnsi="宋体" w:cs="宋体" w:eastAsia="宋体" w:hint="default"/>
                <w:sz w:val="21"/>
                <w:szCs w:val="21"/>
              </w:rPr>
            </w:pPr>
            <w:r>
              <w:rPr>
                <w:rFonts w:ascii="宋体" w:hAnsi="宋体" w:cs="宋体" w:eastAsia="宋体" w:hint="default"/>
                <w:sz w:val="21"/>
                <w:szCs w:val="21"/>
              </w:rPr>
              <w:t>外观专利</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5" w:right="0"/>
              <w:jc w:val="left"/>
              <w:rPr>
                <w:rFonts w:ascii="宋体" w:hAnsi="宋体" w:cs="宋体" w:eastAsia="宋体" w:hint="default"/>
                <w:sz w:val="21"/>
                <w:szCs w:val="21"/>
              </w:rPr>
            </w:pPr>
            <w:r>
              <w:rPr>
                <w:rFonts w:ascii="宋体"/>
                <w:sz w:val="21"/>
              </w:rPr>
              <w:t>2017306714508</w:t>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 w:right="0"/>
              <w:jc w:val="left"/>
              <w:rPr>
                <w:rFonts w:ascii="宋体" w:hAnsi="宋体" w:cs="宋体" w:eastAsia="宋体" w:hint="default"/>
                <w:sz w:val="21"/>
                <w:szCs w:val="21"/>
              </w:rPr>
            </w:pPr>
            <w:r>
              <w:rPr>
                <w:rFonts w:ascii="宋体"/>
                <w:sz w:val="21"/>
              </w:rPr>
              <w:t>2017.12.26</w:t>
            </w:r>
          </w:p>
        </w:tc>
      </w:tr>
      <w:tr>
        <w:trPr>
          <w:trHeight w:val="342"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0"/>
              <w:jc w:val="center"/>
              <w:rPr>
                <w:rFonts w:ascii="宋体" w:hAnsi="宋体" w:cs="宋体" w:eastAsia="宋体" w:hint="default"/>
                <w:sz w:val="21"/>
                <w:szCs w:val="21"/>
              </w:rPr>
            </w:pPr>
            <w:r>
              <w:rPr>
                <w:rFonts w:ascii="宋体"/>
                <w:sz w:val="21"/>
              </w:rPr>
              <w:t>56</w:t>
            </w:r>
          </w:p>
        </w:tc>
        <w:tc>
          <w:tcPr>
            <w:tcW w:w="436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 w:right="0"/>
              <w:jc w:val="left"/>
              <w:rPr>
                <w:rFonts w:ascii="宋体" w:hAnsi="宋体" w:cs="宋体" w:eastAsia="宋体" w:hint="default"/>
                <w:sz w:val="21"/>
                <w:szCs w:val="21"/>
              </w:rPr>
            </w:pPr>
            <w:r>
              <w:rPr>
                <w:rFonts w:ascii="宋体" w:hAnsi="宋体" w:cs="宋体" w:eastAsia="宋体" w:hint="default"/>
                <w:sz w:val="21"/>
                <w:szCs w:val="21"/>
              </w:rPr>
              <w:t>电脑的图形用户界面（无线调车车务终端</w:t>
            </w:r>
            <w:r>
              <w:rPr>
                <w:rFonts w:ascii="宋体" w:hAnsi="宋体" w:cs="宋体" w:eastAsia="宋体" w:hint="default"/>
                <w:sz w:val="21"/>
                <w:szCs w:val="21"/>
              </w:rPr>
              <w:t>-2</w:t>
            </w:r>
            <w:r>
              <w:rPr>
                <w:rFonts w:ascii="宋体" w:hAnsi="宋体" w:cs="宋体" w:eastAsia="宋体" w:hint="default"/>
                <w:sz w:val="21"/>
                <w:szCs w:val="21"/>
              </w:rPr>
              <w:t>）</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5" w:right="0"/>
              <w:jc w:val="left"/>
              <w:rPr>
                <w:rFonts w:ascii="宋体" w:hAnsi="宋体" w:cs="宋体" w:eastAsia="宋体" w:hint="default"/>
                <w:sz w:val="21"/>
                <w:szCs w:val="21"/>
              </w:rPr>
            </w:pPr>
            <w:r>
              <w:rPr>
                <w:rFonts w:ascii="宋体" w:hAnsi="宋体" w:cs="宋体" w:eastAsia="宋体" w:hint="default"/>
                <w:sz w:val="21"/>
                <w:szCs w:val="21"/>
              </w:rPr>
              <w:t>外观专利</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5" w:right="0"/>
              <w:jc w:val="left"/>
              <w:rPr>
                <w:rFonts w:ascii="宋体" w:hAnsi="宋体" w:cs="宋体" w:eastAsia="宋体" w:hint="default"/>
                <w:sz w:val="21"/>
                <w:szCs w:val="21"/>
              </w:rPr>
            </w:pPr>
            <w:r>
              <w:rPr>
                <w:rFonts w:ascii="宋体"/>
                <w:sz w:val="21"/>
              </w:rPr>
              <w:t>2017306714673</w:t>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 w:right="0"/>
              <w:jc w:val="left"/>
              <w:rPr>
                <w:rFonts w:ascii="宋体" w:hAnsi="宋体" w:cs="宋体" w:eastAsia="宋体" w:hint="default"/>
                <w:sz w:val="21"/>
                <w:szCs w:val="21"/>
              </w:rPr>
            </w:pPr>
            <w:r>
              <w:rPr>
                <w:rFonts w:ascii="宋体"/>
                <w:sz w:val="21"/>
              </w:rPr>
              <w:t>2017.12.26</w:t>
            </w:r>
          </w:p>
        </w:tc>
      </w:tr>
      <w:tr>
        <w:trPr>
          <w:trHeight w:val="342"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0"/>
              <w:jc w:val="center"/>
              <w:rPr>
                <w:rFonts w:ascii="宋体" w:hAnsi="宋体" w:cs="宋体" w:eastAsia="宋体" w:hint="default"/>
                <w:sz w:val="21"/>
                <w:szCs w:val="21"/>
              </w:rPr>
            </w:pPr>
            <w:r>
              <w:rPr>
                <w:rFonts w:ascii="宋体"/>
                <w:sz w:val="21"/>
              </w:rPr>
              <w:t>57</w:t>
            </w:r>
          </w:p>
        </w:tc>
        <w:tc>
          <w:tcPr>
            <w:tcW w:w="436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 w:right="0"/>
              <w:jc w:val="left"/>
              <w:rPr>
                <w:rFonts w:ascii="宋体" w:hAnsi="宋体" w:cs="宋体" w:eastAsia="宋体" w:hint="default"/>
                <w:sz w:val="21"/>
                <w:szCs w:val="21"/>
              </w:rPr>
            </w:pPr>
            <w:r>
              <w:rPr>
                <w:rFonts w:ascii="宋体" w:hAnsi="宋体" w:cs="宋体" w:eastAsia="宋体" w:hint="default"/>
                <w:sz w:val="21"/>
                <w:szCs w:val="21"/>
              </w:rPr>
              <w:t>电脑的图形用户界面（无线调车车务终端</w:t>
            </w:r>
            <w:r>
              <w:rPr>
                <w:rFonts w:ascii="宋体" w:hAnsi="宋体" w:cs="宋体" w:eastAsia="宋体" w:hint="default"/>
                <w:sz w:val="21"/>
                <w:szCs w:val="21"/>
              </w:rPr>
              <w:t>-1</w:t>
            </w:r>
            <w:r>
              <w:rPr>
                <w:rFonts w:ascii="宋体" w:hAnsi="宋体" w:cs="宋体" w:eastAsia="宋体" w:hint="default"/>
                <w:sz w:val="21"/>
                <w:szCs w:val="21"/>
              </w:rPr>
              <w:t>）</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5" w:right="0"/>
              <w:jc w:val="left"/>
              <w:rPr>
                <w:rFonts w:ascii="宋体" w:hAnsi="宋体" w:cs="宋体" w:eastAsia="宋体" w:hint="default"/>
                <w:sz w:val="21"/>
                <w:szCs w:val="21"/>
              </w:rPr>
            </w:pPr>
            <w:r>
              <w:rPr>
                <w:rFonts w:ascii="宋体" w:hAnsi="宋体" w:cs="宋体" w:eastAsia="宋体" w:hint="default"/>
                <w:sz w:val="21"/>
                <w:szCs w:val="21"/>
              </w:rPr>
              <w:t>外观专利</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5" w:right="0"/>
              <w:jc w:val="left"/>
              <w:rPr>
                <w:rFonts w:ascii="宋体" w:hAnsi="宋体" w:cs="宋体" w:eastAsia="宋体" w:hint="default"/>
                <w:sz w:val="21"/>
                <w:szCs w:val="21"/>
              </w:rPr>
            </w:pPr>
            <w:r>
              <w:rPr>
                <w:rFonts w:ascii="宋体"/>
                <w:sz w:val="21"/>
              </w:rPr>
              <w:t>2017306710282</w:t>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 w:right="0"/>
              <w:jc w:val="left"/>
              <w:rPr>
                <w:rFonts w:ascii="宋体" w:hAnsi="宋体" w:cs="宋体" w:eastAsia="宋体" w:hint="default"/>
                <w:sz w:val="21"/>
                <w:szCs w:val="21"/>
              </w:rPr>
            </w:pPr>
            <w:r>
              <w:rPr>
                <w:rFonts w:ascii="宋体"/>
                <w:sz w:val="21"/>
              </w:rPr>
              <w:t>2017.12.26</w:t>
            </w:r>
          </w:p>
        </w:tc>
      </w:tr>
      <w:tr>
        <w:trPr>
          <w:trHeight w:val="342"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0"/>
              <w:jc w:val="center"/>
              <w:rPr>
                <w:rFonts w:ascii="宋体" w:hAnsi="宋体" w:cs="宋体" w:eastAsia="宋体" w:hint="default"/>
                <w:sz w:val="21"/>
                <w:szCs w:val="21"/>
              </w:rPr>
            </w:pPr>
            <w:r>
              <w:rPr>
                <w:rFonts w:ascii="宋体"/>
                <w:sz w:val="21"/>
              </w:rPr>
              <w:t>58</w:t>
            </w:r>
          </w:p>
        </w:tc>
        <w:tc>
          <w:tcPr>
            <w:tcW w:w="436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 w:right="0"/>
              <w:jc w:val="left"/>
              <w:rPr>
                <w:rFonts w:ascii="宋体" w:hAnsi="宋体" w:cs="宋体" w:eastAsia="宋体" w:hint="default"/>
                <w:sz w:val="21"/>
                <w:szCs w:val="21"/>
              </w:rPr>
            </w:pPr>
            <w:r>
              <w:rPr>
                <w:rFonts w:ascii="宋体" w:hAnsi="宋体" w:cs="宋体" w:eastAsia="宋体" w:hint="default"/>
                <w:sz w:val="21"/>
                <w:szCs w:val="21"/>
              </w:rPr>
              <w:t>电脑的图形用户界面（无线调车地面主机）</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5" w:right="0"/>
              <w:jc w:val="left"/>
              <w:rPr>
                <w:rFonts w:ascii="宋体" w:hAnsi="宋体" w:cs="宋体" w:eastAsia="宋体" w:hint="default"/>
                <w:sz w:val="21"/>
                <w:szCs w:val="21"/>
              </w:rPr>
            </w:pPr>
            <w:r>
              <w:rPr>
                <w:rFonts w:ascii="宋体" w:hAnsi="宋体" w:cs="宋体" w:eastAsia="宋体" w:hint="default"/>
                <w:sz w:val="21"/>
                <w:szCs w:val="21"/>
              </w:rPr>
              <w:t>外观专利</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5" w:right="0"/>
              <w:jc w:val="left"/>
              <w:rPr>
                <w:rFonts w:ascii="宋体" w:hAnsi="宋体" w:cs="宋体" w:eastAsia="宋体" w:hint="default"/>
                <w:sz w:val="21"/>
                <w:szCs w:val="21"/>
              </w:rPr>
            </w:pPr>
            <w:r>
              <w:rPr>
                <w:rFonts w:ascii="宋体"/>
                <w:sz w:val="21"/>
              </w:rPr>
              <w:t>2017306714705</w:t>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 w:right="0"/>
              <w:jc w:val="left"/>
              <w:rPr>
                <w:rFonts w:ascii="宋体" w:hAnsi="宋体" w:cs="宋体" w:eastAsia="宋体" w:hint="default"/>
                <w:sz w:val="21"/>
                <w:szCs w:val="21"/>
              </w:rPr>
            </w:pPr>
            <w:r>
              <w:rPr>
                <w:rFonts w:ascii="宋体"/>
                <w:sz w:val="21"/>
              </w:rPr>
              <w:t>2017.12.26</w:t>
            </w:r>
          </w:p>
        </w:tc>
      </w:tr>
      <w:tr>
        <w:trPr>
          <w:trHeight w:val="342"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0"/>
              <w:jc w:val="center"/>
              <w:rPr>
                <w:rFonts w:ascii="宋体" w:hAnsi="宋体" w:cs="宋体" w:eastAsia="宋体" w:hint="default"/>
                <w:sz w:val="21"/>
                <w:szCs w:val="21"/>
              </w:rPr>
            </w:pPr>
            <w:r>
              <w:rPr>
                <w:rFonts w:ascii="宋体"/>
                <w:sz w:val="21"/>
              </w:rPr>
              <w:t>59</w:t>
            </w:r>
          </w:p>
        </w:tc>
        <w:tc>
          <w:tcPr>
            <w:tcW w:w="436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 w:right="0"/>
              <w:jc w:val="left"/>
              <w:rPr>
                <w:rFonts w:ascii="宋体" w:hAnsi="宋体" w:cs="宋体" w:eastAsia="宋体" w:hint="default"/>
                <w:sz w:val="21"/>
                <w:szCs w:val="21"/>
              </w:rPr>
            </w:pPr>
            <w:r>
              <w:rPr>
                <w:rFonts w:ascii="宋体" w:hAnsi="宋体" w:cs="宋体" w:eastAsia="宋体" w:hint="default"/>
                <w:sz w:val="21"/>
                <w:szCs w:val="21"/>
              </w:rPr>
              <w:t>车载主机（</w:t>
            </w:r>
            <w:r>
              <w:rPr>
                <w:rFonts w:ascii="宋体" w:hAnsi="宋体" w:cs="宋体" w:eastAsia="宋体" w:hint="default"/>
                <w:sz w:val="21"/>
                <w:szCs w:val="21"/>
              </w:rPr>
              <w:t>STP-HH</w:t>
            </w:r>
            <w:r>
              <w:rPr>
                <w:rFonts w:ascii="宋体" w:hAnsi="宋体" w:cs="宋体" w:eastAsia="宋体" w:hint="default"/>
                <w:sz w:val="21"/>
                <w:szCs w:val="21"/>
              </w:rPr>
              <w:t>）</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5" w:right="0"/>
              <w:jc w:val="left"/>
              <w:rPr>
                <w:rFonts w:ascii="宋体" w:hAnsi="宋体" w:cs="宋体" w:eastAsia="宋体" w:hint="default"/>
                <w:sz w:val="21"/>
                <w:szCs w:val="21"/>
              </w:rPr>
            </w:pPr>
            <w:r>
              <w:rPr>
                <w:rFonts w:ascii="宋体" w:hAnsi="宋体" w:cs="宋体" w:eastAsia="宋体" w:hint="default"/>
                <w:sz w:val="21"/>
                <w:szCs w:val="21"/>
              </w:rPr>
              <w:t>外观专利</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5" w:right="0"/>
              <w:jc w:val="left"/>
              <w:rPr>
                <w:rFonts w:ascii="宋体" w:hAnsi="宋体" w:cs="宋体" w:eastAsia="宋体" w:hint="default"/>
                <w:sz w:val="21"/>
                <w:szCs w:val="21"/>
              </w:rPr>
            </w:pPr>
            <w:r>
              <w:rPr>
                <w:rFonts w:ascii="宋体"/>
                <w:sz w:val="21"/>
              </w:rPr>
              <w:t>2017306714762</w:t>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 w:right="0"/>
              <w:jc w:val="left"/>
              <w:rPr>
                <w:rFonts w:ascii="宋体" w:hAnsi="宋体" w:cs="宋体" w:eastAsia="宋体" w:hint="default"/>
                <w:sz w:val="21"/>
                <w:szCs w:val="21"/>
              </w:rPr>
            </w:pPr>
            <w:r>
              <w:rPr>
                <w:rFonts w:ascii="宋体"/>
                <w:sz w:val="21"/>
              </w:rPr>
              <w:t>2017.12.26</w:t>
            </w:r>
          </w:p>
        </w:tc>
      </w:tr>
      <w:tr>
        <w:trPr>
          <w:trHeight w:val="342"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0"/>
              <w:jc w:val="center"/>
              <w:rPr>
                <w:rFonts w:ascii="宋体" w:hAnsi="宋体" w:cs="宋体" w:eastAsia="宋体" w:hint="default"/>
                <w:sz w:val="21"/>
                <w:szCs w:val="21"/>
              </w:rPr>
            </w:pPr>
            <w:r>
              <w:rPr>
                <w:rFonts w:ascii="宋体"/>
                <w:sz w:val="21"/>
              </w:rPr>
              <w:t>60</w:t>
            </w:r>
          </w:p>
        </w:tc>
        <w:tc>
          <w:tcPr>
            <w:tcW w:w="436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 w:right="0"/>
              <w:jc w:val="left"/>
              <w:rPr>
                <w:rFonts w:ascii="宋体" w:hAnsi="宋体" w:cs="宋体" w:eastAsia="宋体" w:hint="default"/>
                <w:sz w:val="21"/>
                <w:szCs w:val="21"/>
              </w:rPr>
            </w:pPr>
            <w:r>
              <w:rPr>
                <w:rFonts w:ascii="宋体" w:hAnsi="宋体" w:cs="宋体" w:eastAsia="宋体" w:hint="default"/>
                <w:sz w:val="21"/>
                <w:szCs w:val="21"/>
              </w:rPr>
              <w:t>视频控制箱</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5" w:right="0"/>
              <w:jc w:val="left"/>
              <w:rPr>
                <w:rFonts w:ascii="宋体" w:hAnsi="宋体" w:cs="宋体" w:eastAsia="宋体" w:hint="default"/>
                <w:sz w:val="21"/>
                <w:szCs w:val="21"/>
              </w:rPr>
            </w:pPr>
            <w:r>
              <w:rPr>
                <w:rFonts w:ascii="宋体" w:hAnsi="宋体" w:cs="宋体" w:eastAsia="宋体" w:hint="default"/>
                <w:sz w:val="21"/>
                <w:szCs w:val="21"/>
              </w:rPr>
              <w:t>外观专利</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5" w:right="0"/>
              <w:jc w:val="left"/>
              <w:rPr>
                <w:rFonts w:ascii="宋体" w:hAnsi="宋体" w:cs="宋体" w:eastAsia="宋体" w:hint="default"/>
                <w:sz w:val="21"/>
                <w:szCs w:val="21"/>
              </w:rPr>
            </w:pPr>
            <w:r>
              <w:rPr>
                <w:rFonts w:ascii="宋体"/>
                <w:sz w:val="21"/>
              </w:rPr>
              <w:t>2017306710511</w:t>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 w:right="0"/>
              <w:jc w:val="left"/>
              <w:rPr>
                <w:rFonts w:ascii="宋体" w:hAnsi="宋体" w:cs="宋体" w:eastAsia="宋体" w:hint="default"/>
                <w:sz w:val="21"/>
                <w:szCs w:val="21"/>
              </w:rPr>
            </w:pPr>
            <w:r>
              <w:rPr>
                <w:rFonts w:ascii="宋体"/>
                <w:sz w:val="21"/>
              </w:rPr>
              <w:t>2017.12.26</w:t>
            </w:r>
          </w:p>
        </w:tc>
      </w:tr>
      <w:tr>
        <w:trPr>
          <w:trHeight w:val="342"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0"/>
              <w:jc w:val="center"/>
              <w:rPr>
                <w:rFonts w:ascii="宋体" w:hAnsi="宋体" w:cs="宋体" w:eastAsia="宋体" w:hint="default"/>
                <w:sz w:val="21"/>
                <w:szCs w:val="21"/>
              </w:rPr>
            </w:pPr>
            <w:r>
              <w:rPr>
                <w:rFonts w:ascii="宋体"/>
                <w:sz w:val="21"/>
              </w:rPr>
              <w:t>61</w:t>
            </w:r>
          </w:p>
        </w:tc>
        <w:tc>
          <w:tcPr>
            <w:tcW w:w="436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 w:right="0"/>
              <w:jc w:val="left"/>
              <w:rPr>
                <w:rFonts w:ascii="宋体" w:hAnsi="宋体" w:cs="宋体" w:eastAsia="宋体" w:hint="default"/>
                <w:sz w:val="21"/>
                <w:szCs w:val="21"/>
              </w:rPr>
            </w:pPr>
            <w:r>
              <w:rPr>
                <w:rFonts w:ascii="宋体" w:hAnsi="宋体" w:cs="宋体" w:eastAsia="宋体" w:hint="default"/>
                <w:sz w:val="21"/>
                <w:szCs w:val="21"/>
              </w:rPr>
              <w:t>铁路综合视频监控机柜（</w:t>
            </w:r>
            <w:r>
              <w:rPr>
                <w:rFonts w:ascii="宋体" w:hAnsi="宋体" w:cs="宋体" w:eastAsia="宋体" w:hint="default"/>
                <w:sz w:val="21"/>
                <w:szCs w:val="21"/>
              </w:rPr>
              <w:t>HH-IVSMR)</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5" w:right="0"/>
              <w:jc w:val="left"/>
              <w:rPr>
                <w:rFonts w:ascii="宋体" w:hAnsi="宋体" w:cs="宋体" w:eastAsia="宋体" w:hint="default"/>
                <w:sz w:val="21"/>
                <w:szCs w:val="21"/>
              </w:rPr>
            </w:pPr>
            <w:r>
              <w:rPr>
                <w:rFonts w:ascii="宋体" w:hAnsi="宋体" w:cs="宋体" w:eastAsia="宋体" w:hint="default"/>
                <w:sz w:val="21"/>
                <w:szCs w:val="21"/>
              </w:rPr>
              <w:t>外观专利</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5" w:right="0"/>
              <w:jc w:val="left"/>
              <w:rPr>
                <w:rFonts w:ascii="宋体" w:hAnsi="宋体" w:cs="宋体" w:eastAsia="宋体" w:hint="default"/>
                <w:sz w:val="21"/>
                <w:szCs w:val="21"/>
              </w:rPr>
            </w:pPr>
            <w:r>
              <w:rPr>
                <w:rFonts w:ascii="宋体"/>
                <w:sz w:val="21"/>
              </w:rPr>
              <w:t>2017306705373</w:t>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 w:right="0"/>
              <w:jc w:val="left"/>
              <w:rPr>
                <w:rFonts w:ascii="宋体" w:hAnsi="宋体" w:cs="宋体" w:eastAsia="宋体" w:hint="default"/>
                <w:sz w:val="21"/>
                <w:szCs w:val="21"/>
              </w:rPr>
            </w:pPr>
            <w:r>
              <w:rPr>
                <w:rFonts w:ascii="宋体"/>
                <w:sz w:val="21"/>
              </w:rPr>
              <w:t>2017.12.26</w:t>
            </w:r>
          </w:p>
        </w:tc>
      </w:tr>
      <w:tr>
        <w:trPr>
          <w:trHeight w:val="342"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0"/>
              <w:jc w:val="center"/>
              <w:rPr>
                <w:rFonts w:ascii="宋体" w:hAnsi="宋体" w:cs="宋体" w:eastAsia="宋体" w:hint="default"/>
                <w:sz w:val="21"/>
                <w:szCs w:val="21"/>
              </w:rPr>
            </w:pPr>
            <w:r>
              <w:rPr>
                <w:rFonts w:ascii="宋体"/>
                <w:sz w:val="21"/>
              </w:rPr>
              <w:t>62</w:t>
            </w:r>
          </w:p>
        </w:tc>
        <w:tc>
          <w:tcPr>
            <w:tcW w:w="436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 w:right="0"/>
              <w:jc w:val="left"/>
              <w:rPr>
                <w:rFonts w:ascii="宋体" w:hAnsi="宋体" w:cs="宋体" w:eastAsia="宋体" w:hint="default"/>
                <w:sz w:val="21"/>
                <w:szCs w:val="21"/>
              </w:rPr>
            </w:pPr>
            <w:r>
              <w:rPr>
                <w:rFonts w:ascii="宋体" w:hAnsi="宋体" w:cs="宋体" w:eastAsia="宋体" w:hint="default"/>
                <w:sz w:val="21"/>
                <w:szCs w:val="21"/>
              </w:rPr>
              <w:t>电脑的图形用户界面（铁路视频监控终端）</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5" w:right="0"/>
              <w:jc w:val="left"/>
              <w:rPr>
                <w:rFonts w:ascii="宋体" w:hAnsi="宋体" w:cs="宋体" w:eastAsia="宋体" w:hint="default"/>
                <w:sz w:val="21"/>
                <w:szCs w:val="21"/>
              </w:rPr>
            </w:pPr>
            <w:r>
              <w:rPr>
                <w:rFonts w:ascii="宋体" w:hAnsi="宋体" w:cs="宋体" w:eastAsia="宋体" w:hint="default"/>
                <w:sz w:val="21"/>
                <w:szCs w:val="21"/>
              </w:rPr>
              <w:t>外观设计</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5" w:right="0"/>
              <w:jc w:val="left"/>
              <w:rPr>
                <w:rFonts w:ascii="宋体" w:hAnsi="宋体" w:cs="宋体" w:eastAsia="宋体" w:hint="default"/>
                <w:sz w:val="21"/>
                <w:szCs w:val="21"/>
              </w:rPr>
            </w:pPr>
            <w:r>
              <w:rPr>
                <w:rFonts w:ascii="宋体"/>
                <w:sz w:val="21"/>
              </w:rPr>
              <w:t>2017306756479</w:t>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 w:right="0"/>
              <w:jc w:val="left"/>
              <w:rPr>
                <w:rFonts w:ascii="宋体" w:hAnsi="宋体" w:cs="宋体" w:eastAsia="宋体" w:hint="default"/>
                <w:sz w:val="21"/>
                <w:szCs w:val="21"/>
              </w:rPr>
            </w:pPr>
            <w:r>
              <w:rPr>
                <w:rFonts w:ascii="宋体"/>
                <w:sz w:val="21"/>
              </w:rPr>
              <w:t>2017.12.27</w:t>
            </w:r>
          </w:p>
        </w:tc>
      </w:tr>
      <w:tr>
        <w:trPr>
          <w:trHeight w:val="342"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0"/>
              <w:jc w:val="center"/>
              <w:rPr>
                <w:rFonts w:ascii="宋体" w:hAnsi="宋体" w:cs="宋体" w:eastAsia="宋体" w:hint="default"/>
                <w:sz w:val="21"/>
                <w:szCs w:val="21"/>
              </w:rPr>
            </w:pPr>
            <w:r>
              <w:rPr>
                <w:rFonts w:ascii="宋体"/>
                <w:sz w:val="21"/>
              </w:rPr>
              <w:t>63</w:t>
            </w:r>
          </w:p>
        </w:tc>
        <w:tc>
          <w:tcPr>
            <w:tcW w:w="436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 w:right="0"/>
              <w:jc w:val="left"/>
              <w:rPr>
                <w:rFonts w:ascii="宋体" w:hAnsi="宋体" w:cs="宋体" w:eastAsia="宋体" w:hint="default"/>
                <w:sz w:val="21"/>
                <w:szCs w:val="21"/>
              </w:rPr>
            </w:pPr>
            <w:r>
              <w:rPr>
                <w:rFonts w:ascii="宋体" w:hAnsi="宋体" w:cs="宋体" w:eastAsia="宋体" w:hint="default"/>
                <w:sz w:val="21"/>
                <w:szCs w:val="21"/>
              </w:rPr>
              <w:t>电脑的图形用户界面（铁路视频管理终端）</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5" w:right="0"/>
              <w:jc w:val="left"/>
              <w:rPr>
                <w:rFonts w:ascii="宋体" w:hAnsi="宋体" w:cs="宋体" w:eastAsia="宋体" w:hint="default"/>
                <w:sz w:val="21"/>
                <w:szCs w:val="21"/>
              </w:rPr>
            </w:pPr>
            <w:r>
              <w:rPr>
                <w:rFonts w:ascii="宋体" w:hAnsi="宋体" w:cs="宋体" w:eastAsia="宋体" w:hint="default"/>
                <w:sz w:val="21"/>
                <w:szCs w:val="21"/>
              </w:rPr>
              <w:t>外观设计</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5" w:right="0"/>
              <w:jc w:val="left"/>
              <w:rPr>
                <w:rFonts w:ascii="宋体" w:hAnsi="宋体" w:cs="宋体" w:eastAsia="宋体" w:hint="default"/>
                <w:sz w:val="21"/>
                <w:szCs w:val="21"/>
              </w:rPr>
            </w:pPr>
            <w:r>
              <w:rPr>
                <w:rFonts w:ascii="宋体"/>
                <w:sz w:val="21"/>
              </w:rPr>
              <w:t>2017306756483</w:t>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 w:right="0"/>
              <w:jc w:val="left"/>
              <w:rPr>
                <w:rFonts w:ascii="宋体" w:hAnsi="宋体" w:cs="宋体" w:eastAsia="宋体" w:hint="default"/>
                <w:sz w:val="21"/>
                <w:szCs w:val="21"/>
              </w:rPr>
            </w:pPr>
            <w:r>
              <w:rPr>
                <w:rFonts w:ascii="宋体"/>
                <w:sz w:val="21"/>
              </w:rPr>
              <w:t>2017.12.27</w:t>
            </w:r>
          </w:p>
        </w:tc>
      </w:tr>
      <w:tr>
        <w:trPr>
          <w:trHeight w:val="342"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0"/>
              <w:jc w:val="center"/>
              <w:rPr>
                <w:rFonts w:ascii="宋体" w:hAnsi="宋体" w:cs="宋体" w:eastAsia="宋体" w:hint="default"/>
                <w:sz w:val="21"/>
                <w:szCs w:val="21"/>
              </w:rPr>
            </w:pPr>
            <w:r>
              <w:rPr>
                <w:rFonts w:ascii="宋体"/>
                <w:sz w:val="21"/>
              </w:rPr>
              <w:t>64</w:t>
            </w:r>
          </w:p>
        </w:tc>
        <w:tc>
          <w:tcPr>
            <w:tcW w:w="436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 w:right="0"/>
              <w:jc w:val="left"/>
              <w:rPr>
                <w:rFonts w:ascii="宋体" w:hAnsi="宋体" w:cs="宋体" w:eastAsia="宋体" w:hint="default"/>
                <w:sz w:val="21"/>
                <w:szCs w:val="21"/>
              </w:rPr>
            </w:pPr>
            <w:r>
              <w:rPr>
                <w:rFonts w:ascii="宋体" w:hAnsi="宋体" w:cs="宋体" w:eastAsia="宋体" w:hint="default"/>
                <w:sz w:val="21"/>
                <w:szCs w:val="21"/>
              </w:rPr>
              <w:t>电网锁紧组件</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5" w:right="0"/>
              <w:jc w:val="left"/>
              <w:rPr>
                <w:rFonts w:ascii="宋体" w:hAnsi="宋体" w:cs="宋体" w:eastAsia="宋体" w:hint="default"/>
                <w:sz w:val="21"/>
                <w:szCs w:val="21"/>
              </w:rPr>
            </w:pPr>
            <w:r>
              <w:rPr>
                <w:rFonts w:ascii="宋体" w:hAnsi="宋体" w:cs="宋体" w:eastAsia="宋体" w:hint="default"/>
                <w:sz w:val="21"/>
                <w:szCs w:val="21"/>
              </w:rPr>
              <w:t>外观设计</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5" w:right="0"/>
              <w:jc w:val="left"/>
              <w:rPr>
                <w:rFonts w:ascii="宋体" w:hAnsi="宋体" w:cs="宋体" w:eastAsia="宋体" w:hint="default"/>
                <w:sz w:val="21"/>
                <w:szCs w:val="21"/>
              </w:rPr>
            </w:pPr>
            <w:r>
              <w:rPr>
                <w:rFonts w:ascii="宋体"/>
                <w:sz w:val="21"/>
              </w:rPr>
              <w:t>2017306745224</w:t>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 w:right="0"/>
              <w:jc w:val="left"/>
              <w:rPr>
                <w:rFonts w:ascii="宋体" w:hAnsi="宋体" w:cs="宋体" w:eastAsia="宋体" w:hint="default"/>
                <w:sz w:val="21"/>
                <w:szCs w:val="21"/>
              </w:rPr>
            </w:pPr>
            <w:r>
              <w:rPr>
                <w:rFonts w:ascii="宋体"/>
                <w:sz w:val="21"/>
              </w:rPr>
              <w:t>2017.12.27</w:t>
            </w:r>
          </w:p>
        </w:tc>
      </w:tr>
      <w:tr>
        <w:trPr>
          <w:trHeight w:val="342"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0"/>
              <w:jc w:val="center"/>
              <w:rPr>
                <w:rFonts w:ascii="宋体" w:hAnsi="宋体" w:cs="宋体" w:eastAsia="宋体" w:hint="default"/>
                <w:sz w:val="21"/>
                <w:szCs w:val="21"/>
              </w:rPr>
            </w:pPr>
            <w:r>
              <w:rPr>
                <w:rFonts w:ascii="宋体"/>
                <w:sz w:val="21"/>
              </w:rPr>
              <w:t>65</w:t>
            </w:r>
          </w:p>
        </w:tc>
        <w:tc>
          <w:tcPr>
            <w:tcW w:w="436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 w:right="0"/>
              <w:jc w:val="left"/>
              <w:rPr>
                <w:rFonts w:ascii="宋体" w:hAnsi="宋体" w:cs="宋体" w:eastAsia="宋体" w:hint="default"/>
                <w:sz w:val="21"/>
                <w:szCs w:val="21"/>
              </w:rPr>
            </w:pPr>
            <w:r>
              <w:rPr>
                <w:rFonts w:ascii="宋体" w:hAnsi="宋体" w:cs="宋体" w:eastAsia="宋体" w:hint="default"/>
                <w:sz w:val="21"/>
                <w:szCs w:val="21"/>
              </w:rPr>
              <w:t>电网（</w:t>
            </w:r>
            <w:r>
              <w:rPr>
                <w:rFonts w:ascii="宋体" w:hAnsi="宋体" w:cs="宋体" w:eastAsia="宋体" w:hint="default"/>
                <w:sz w:val="21"/>
                <w:szCs w:val="21"/>
              </w:rPr>
              <w:t>II</w:t>
            </w:r>
            <w:r>
              <w:rPr>
                <w:rFonts w:ascii="宋体" w:hAnsi="宋体" w:cs="宋体" w:eastAsia="宋体" w:hint="default"/>
                <w:sz w:val="21"/>
                <w:szCs w:val="21"/>
              </w:rPr>
              <w:t>代）</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5" w:right="0"/>
              <w:jc w:val="left"/>
              <w:rPr>
                <w:rFonts w:ascii="宋体" w:hAnsi="宋体" w:cs="宋体" w:eastAsia="宋体" w:hint="default"/>
                <w:sz w:val="21"/>
                <w:szCs w:val="21"/>
              </w:rPr>
            </w:pPr>
            <w:r>
              <w:rPr>
                <w:rFonts w:ascii="宋体" w:hAnsi="宋体" w:cs="宋体" w:eastAsia="宋体" w:hint="default"/>
                <w:sz w:val="21"/>
                <w:szCs w:val="21"/>
              </w:rPr>
              <w:t>外观设计</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5" w:right="0"/>
              <w:jc w:val="left"/>
              <w:rPr>
                <w:rFonts w:ascii="宋体" w:hAnsi="宋体" w:cs="宋体" w:eastAsia="宋体" w:hint="default"/>
                <w:sz w:val="21"/>
                <w:szCs w:val="21"/>
              </w:rPr>
            </w:pPr>
            <w:r>
              <w:rPr>
                <w:rFonts w:ascii="宋体"/>
                <w:sz w:val="21"/>
              </w:rPr>
              <w:t>2017306745239</w:t>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 w:right="0"/>
              <w:jc w:val="left"/>
              <w:rPr>
                <w:rFonts w:ascii="宋体" w:hAnsi="宋体" w:cs="宋体" w:eastAsia="宋体" w:hint="default"/>
                <w:sz w:val="21"/>
                <w:szCs w:val="21"/>
              </w:rPr>
            </w:pPr>
            <w:r>
              <w:rPr>
                <w:rFonts w:ascii="宋体"/>
                <w:sz w:val="21"/>
              </w:rPr>
              <w:t>2017.12.27</w:t>
            </w:r>
          </w:p>
        </w:tc>
      </w:tr>
      <w:tr>
        <w:trPr>
          <w:trHeight w:val="342"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0"/>
              <w:jc w:val="center"/>
              <w:rPr>
                <w:rFonts w:ascii="宋体" w:hAnsi="宋体" w:cs="宋体" w:eastAsia="宋体" w:hint="default"/>
                <w:sz w:val="21"/>
                <w:szCs w:val="21"/>
              </w:rPr>
            </w:pPr>
            <w:r>
              <w:rPr>
                <w:rFonts w:ascii="宋体"/>
                <w:sz w:val="21"/>
              </w:rPr>
              <w:t>66</w:t>
            </w:r>
          </w:p>
        </w:tc>
        <w:tc>
          <w:tcPr>
            <w:tcW w:w="436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 w:right="0"/>
              <w:jc w:val="left"/>
              <w:rPr>
                <w:rFonts w:ascii="宋体" w:hAnsi="宋体" w:cs="宋体" w:eastAsia="宋体" w:hint="default"/>
                <w:sz w:val="21"/>
                <w:szCs w:val="21"/>
              </w:rPr>
            </w:pPr>
            <w:r>
              <w:rPr>
                <w:rFonts w:ascii="宋体" w:hAnsi="宋体" w:cs="宋体" w:eastAsia="宋体" w:hint="default"/>
                <w:sz w:val="21"/>
                <w:szCs w:val="21"/>
              </w:rPr>
              <w:t>一种道岔动作电流曲线的特征提取方法</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5" w:right="0"/>
              <w:jc w:val="left"/>
              <w:rPr>
                <w:rFonts w:ascii="宋体" w:hAnsi="宋体" w:cs="宋体" w:eastAsia="宋体" w:hint="default"/>
                <w:sz w:val="21"/>
                <w:szCs w:val="21"/>
              </w:rPr>
            </w:pPr>
            <w:r>
              <w:rPr>
                <w:rFonts w:ascii="宋体" w:hAnsi="宋体" w:cs="宋体" w:eastAsia="宋体" w:hint="default"/>
                <w:sz w:val="21"/>
                <w:szCs w:val="21"/>
              </w:rPr>
              <w:t>发明专利</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5" w:right="0"/>
              <w:jc w:val="left"/>
              <w:rPr>
                <w:rFonts w:ascii="宋体" w:hAnsi="宋体" w:cs="宋体" w:eastAsia="宋体" w:hint="default"/>
                <w:sz w:val="21"/>
                <w:szCs w:val="21"/>
              </w:rPr>
            </w:pPr>
            <w:r>
              <w:rPr>
                <w:rFonts w:ascii="宋体"/>
                <w:sz w:val="21"/>
              </w:rPr>
              <w:t>2017104094247</w:t>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 w:right="0"/>
              <w:jc w:val="left"/>
              <w:rPr>
                <w:rFonts w:ascii="宋体" w:hAnsi="宋体" w:cs="宋体" w:eastAsia="宋体" w:hint="default"/>
                <w:sz w:val="21"/>
                <w:szCs w:val="21"/>
              </w:rPr>
            </w:pPr>
            <w:r>
              <w:rPr>
                <w:rFonts w:ascii="宋体"/>
                <w:sz w:val="21"/>
              </w:rPr>
              <w:t>2017.6.2</w:t>
            </w:r>
          </w:p>
        </w:tc>
      </w:tr>
      <w:tr>
        <w:trPr>
          <w:trHeight w:val="342"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0"/>
              <w:jc w:val="center"/>
              <w:rPr>
                <w:rFonts w:ascii="宋体" w:hAnsi="宋体" w:cs="宋体" w:eastAsia="宋体" w:hint="default"/>
                <w:sz w:val="21"/>
                <w:szCs w:val="21"/>
              </w:rPr>
            </w:pPr>
            <w:r>
              <w:rPr>
                <w:rFonts w:ascii="宋体"/>
                <w:sz w:val="21"/>
              </w:rPr>
              <w:t>67</w:t>
            </w:r>
          </w:p>
        </w:tc>
        <w:tc>
          <w:tcPr>
            <w:tcW w:w="436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 w:right="0"/>
              <w:jc w:val="left"/>
              <w:rPr>
                <w:rFonts w:ascii="宋体" w:hAnsi="宋体" w:cs="宋体" w:eastAsia="宋体" w:hint="default"/>
                <w:sz w:val="21"/>
                <w:szCs w:val="21"/>
              </w:rPr>
            </w:pPr>
            <w:r>
              <w:rPr>
                <w:rFonts w:ascii="宋体" w:hAnsi="宋体" w:cs="宋体" w:eastAsia="宋体" w:hint="default"/>
                <w:sz w:val="21"/>
                <w:szCs w:val="21"/>
              </w:rPr>
              <w:t>基于</w:t>
            </w:r>
            <w:r>
              <w:rPr>
                <w:rFonts w:ascii="宋体" w:hAnsi="宋体" w:cs="宋体" w:eastAsia="宋体" w:hint="default"/>
                <w:sz w:val="21"/>
                <w:szCs w:val="21"/>
              </w:rPr>
              <w:t>CAN2.0</w:t>
            </w:r>
            <w:r>
              <w:rPr>
                <w:rFonts w:ascii="宋体" w:hAnsi="宋体" w:cs="宋体" w:eastAsia="宋体" w:hint="default"/>
                <w:sz w:val="21"/>
                <w:szCs w:val="21"/>
              </w:rPr>
              <w:t>长报文数据标准帧的组织算法</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5" w:right="0"/>
              <w:jc w:val="left"/>
              <w:rPr>
                <w:rFonts w:ascii="宋体" w:hAnsi="宋体" w:cs="宋体" w:eastAsia="宋体" w:hint="default"/>
                <w:sz w:val="21"/>
                <w:szCs w:val="21"/>
              </w:rPr>
            </w:pPr>
            <w:r>
              <w:rPr>
                <w:rFonts w:ascii="宋体" w:hAnsi="宋体" w:cs="宋体" w:eastAsia="宋体" w:hint="default"/>
                <w:sz w:val="21"/>
                <w:szCs w:val="21"/>
              </w:rPr>
              <w:t>发明专利</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5" w:right="0"/>
              <w:jc w:val="left"/>
              <w:rPr>
                <w:rFonts w:ascii="宋体" w:hAnsi="宋体" w:cs="宋体" w:eastAsia="宋体" w:hint="default"/>
                <w:sz w:val="21"/>
                <w:szCs w:val="21"/>
              </w:rPr>
            </w:pPr>
            <w:r>
              <w:rPr>
                <w:rFonts w:ascii="宋体"/>
                <w:sz w:val="21"/>
              </w:rPr>
              <w:t>201710552155X</w:t>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 w:right="0"/>
              <w:jc w:val="left"/>
              <w:rPr>
                <w:rFonts w:ascii="宋体" w:hAnsi="宋体" w:cs="宋体" w:eastAsia="宋体" w:hint="default"/>
                <w:sz w:val="21"/>
                <w:szCs w:val="21"/>
              </w:rPr>
            </w:pPr>
            <w:r>
              <w:rPr>
                <w:rFonts w:ascii="宋体"/>
                <w:sz w:val="21"/>
              </w:rPr>
              <w:t>2017.7.7</w:t>
            </w:r>
          </w:p>
        </w:tc>
      </w:tr>
      <w:tr>
        <w:trPr>
          <w:trHeight w:val="342"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0"/>
              <w:jc w:val="center"/>
              <w:rPr>
                <w:rFonts w:ascii="宋体" w:hAnsi="宋体" w:cs="宋体" w:eastAsia="宋体" w:hint="default"/>
                <w:sz w:val="21"/>
                <w:szCs w:val="21"/>
              </w:rPr>
            </w:pPr>
            <w:r>
              <w:rPr>
                <w:rFonts w:ascii="宋体"/>
                <w:sz w:val="21"/>
              </w:rPr>
              <w:t>68</w:t>
            </w:r>
          </w:p>
        </w:tc>
        <w:tc>
          <w:tcPr>
            <w:tcW w:w="436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 w:right="0"/>
              <w:jc w:val="left"/>
              <w:rPr>
                <w:rFonts w:ascii="宋体" w:hAnsi="宋体" w:cs="宋体" w:eastAsia="宋体" w:hint="default"/>
                <w:sz w:val="21"/>
                <w:szCs w:val="21"/>
              </w:rPr>
            </w:pPr>
            <w:r>
              <w:rPr>
                <w:rFonts w:ascii="宋体" w:hAnsi="宋体" w:cs="宋体" w:eastAsia="宋体" w:hint="default"/>
                <w:sz w:val="21"/>
                <w:szCs w:val="21"/>
              </w:rPr>
              <w:t>一种车载主机</w:t>
            </w:r>
            <w:r>
              <w:rPr>
                <w:rFonts w:ascii="宋体" w:hAnsi="宋体" w:cs="宋体" w:eastAsia="宋体" w:hint="default"/>
                <w:sz w:val="21"/>
                <w:szCs w:val="21"/>
              </w:rPr>
              <w:t>ATP</w:t>
            </w:r>
            <w:r>
              <w:rPr>
                <w:rFonts w:ascii="宋体" w:hAnsi="宋体" w:cs="宋体" w:eastAsia="宋体" w:hint="default"/>
                <w:sz w:val="21"/>
                <w:szCs w:val="21"/>
              </w:rPr>
              <w:t>测试系统</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5" w:right="0"/>
              <w:jc w:val="left"/>
              <w:rPr>
                <w:rFonts w:ascii="宋体" w:hAnsi="宋体" w:cs="宋体" w:eastAsia="宋体" w:hint="default"/>
                <w:sz w:val="21"/>
                <w:szCs w:val="21"/>
              </w:rPr>
            </w:pPr>
            <w:r>
              <w:rPr>
                <w:rFonts w:ascii="宋体" w:hAnsi="宋体" w:cs="宋体" w:eastAsia="宋体" w:hint="default"/>
                <w:sz w:val="21"/>
                <w:szCs w:val="21"/>
              </w:rPr>
              <w:t>发明专利</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5" w:right="0"/>
              <w:jc w:val="left"/>
              <w:rPr>
                <w:rFonts w:ascii="宋体" w:hAnsi="宋体" w:cs="宋体" w:eastAsia="宋体" w:hint="default"/>
                <w:sz w:val="21"/>
                <w:szCs w:val="21"/>
              </w:rPr>
            </w:pPr>
            <w:r>
              <w:rPr>
                <w:rFonts w:ascii="宋体"/>
                <w:sz w:val="21"/>
              </w:rPr>
              <w:t>2017105510752</w:t>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 w:right="0"/>
              <w:jc w:val="left"/>
              <w:rPr>
                <w:rFonts w:ascii="宋体" w:hAnsi="宋体" w:cs="宋体" w:eastAsia="宋体" w:hint="default"/>
                <w:sz w:val="21"/>
                <w:szCs w:val="21"/>
              </w:rPr>
            </w:pPr>
            <w:r>
              <w:rPr>
                <w:rFonts w:ascii="宋体"/>
                <w:sz w:val="21"/>
              </w:rPr>
              <w:t>2017.7.7</w:t>
            </w:r>
          </w:p>
        </w:tc>
      </w:tr>
      <w:tr>
        <w:trPr>
          <w:trHeight w:val="654"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0"/>
              <w:jc w:val="center"/>
              <w:rPr>
                <w:rFonts w:ascii="宋体" w:hAnsi="宋体" w:cs="宋体" w:eastAsia="宋体" w:hint="default"/>
                <w:sz w:val="21"/>
                <w:szCs w:val="21"/>
              </w:rPr>
            </w:pPr>
            <w:r>
              <w:rPr>
                <w:rFonts w:ascii="宋体"/>
                <w:sz w:val="21"/>
              </w:rPr>
              <w:t>69</w:t>
            </w:r>
          </w:p>
        </w:tc>
        <w:tc>
          <w:tcPr>
            <w:tcW w:w="436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4" w:right="-4"/>
              <w:jc w:val="left"/>
              <w:rPr>
                <w:rFonts w:ascii="宋体" w:hAnsi="宋体" w:cs="宋体" w:eastAsia="宋体" w:hint="default"/>
                <w:sz w:val="21"/>
                <w:szCs w:val="21"/>
              </w:rPr>
            </w:pPr>
            <w:r>
              <w:rPr>
                <w:rFonts w:ascii="宋体" w:hAnsi="宋体" w:cs="宋体" w:eastAsia="宋体" w:hint="default"/>
                <w:spacing w:val="6"/>
                <w:sz w:val="21"/>
                <w:szCs w:val="21"/>
              </w:rPr>
              <w:t>CTCS-2</w:t>
            </w:r>
            <w:r>
              <w:rPr>
                <w:rFonts w:ascii="宋体" w:hAnsi="宋体" w:cs="宋体" w:eastAsia="宋体" w:hint="default"/>
                <w:spacing w:val="6"/>
                <w:sz w:val="21"/>
                <w:szCs w:val="21"/>
              </w:rPr>
              <w:t>级列车应答器报文快速编码解码实现方</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法</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left="5" w:right="0"/>
              <w:jc w:val="left"/>
              <w:rPr>
                <w:rFonts w:ascii="宋体" w:hAnsi="宋体" w:cs="宋体" w:eastAsia="宋体" w:hint="default"/>
                <w:sz w:val="21"/>
                <w:szCs w:val="21"/>
              </w:rPr>
            </w:pPr>
            <w:r>
              <w:rPr>
                <w:rFonts w:ascii="宋体" w:hAnsi="宋体" w:cs="宋体" w:eastAsia="宋体" w:hint="default"/>
                <w:sz w:val="21"/>
                <w:szCs w:val="21"/>
              </w:rPr>
              <w:t>发明专利</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left="5" w:right="0"/>
              <w:jc w:val="left"/>
              <w:rPr>
                <w:rFonts w:ascii="宋体" w:hAnsi="宋体" w:cs="宋体" w:eastAsia="宋体" w:hint="default"/>
                <w:sz w:val="21"/>
                <w:szCs w:val="21"/>
              </w:rPr>
            </w:pPr>
            <w:r>
              <w:rPr>
                <w:rFonts w:ascii="宋体"/>
                <w:sz w:val="21"/>
              </w:rPr>
              <w:t>2017105515879</w:t>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left="4" w:right="0"/>
              <w:jc w:val="left"/>
              <w:rPr>
                <w:rFonts w:ascii="宋体" w:hAnsi="宋体" w:cs="宋体" w:eastAsia="宋体" w:hint="default"/>
                <w:sz w:val="21"/>
                <w:szCs w:val="21"/>
              </w:rPr>
            </w:pPr>
            <w:r>
              <w:rPr>
                <w:rFonts w:ascii="宋体"/>
                <w:sz w:val="21"/>
              </w:rPr>
              <w:t>2017.7.7</w:t>
            </w:r>
          </w:p>
        </w:tc>
      </w:tr>
      <w:tr>
        <w:trPr>
          <w:trHeight w:val="654"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0"/>
              <w:jc w:val="center"/>
              <w:rPr>
                <w:rFonts w:ascii="宋体" w:hAnsi="宋体" w:cs="宋体" w:eastAsia="宋体" w:hint="default"/>
                <w:sz w:val="21"/>
                <w:szCs w:val="21"/>
              </w:rPr>
            </w:pPr>
            <w:r>
              <w:rPr>
                <w:rFonts w:ascii="宋体"/>
                <w:sz w:val="21"/>
              </w:rPr>
              <w:t>70</w:t>
            </w:r>
          </w:p>
        </w:tc>
        <w:tc>
          <w:tcPr>
            <w:tcW w:w="436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4" w:right="7"/>
              <w:jc w:val="left"/>
              <w:rPr>
                <w:rFonts w:ascii="宋体" w:hAnsi="宋体" w:cs="宋体" w:eastAsia="宋体" w:hint="default"/>
                <w:sz w:val="21"/>
                <w:szCs w:val="21"/>
              </w:rPr>
            </w:pPr>
            <w:r>
              <w:rPr>
                <w:rFonts w:ascii="宋体" w:hAnsi="宋体" w:cs="宋体" w:eastAsia="宋体" w:hint="default"/>
                <w:spacing w:val="5"/>
                <w:sz w:val="21"/>
                <w:szCs w:val="21"/>
              </w:rPr>
              <w:t>二进制配置文件封装</w:t>
            </w:r>
            <w:r>
              <w:rPr>
                <w:rFonts w:ascii="宋体" w:hAnsi="宋体" w:cs="宋体" w:eastAsia="宋体" w:hint="default"/>
                <w:spacing w:val="5"/>
                <w:sz w:val="21"/>
                <w:szCs w:val="21"/>
              </w:rPr>
              <w:t>CTCS</w:t>
            </w:r>
            <w:r>
              <w:rPr>
                <w:rFonts w:ascii="宋体" w:hAnsi="宋体" w:cs="宋体" w:eastAsia="宋体" w:hint="default"/>
                <w:spacing w:val="5"/>
                <w:sz w:val="21"/>
                <w:szCs w:val="21"/>
              </w:rPr>
              <w:t>列控应答器报文的实</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z w:val="21"/>
                <w:szCs w:val="21"/>
              </w:rPr>
              <w:t>现方法</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left="5" w:right="0"/>
              <w:jc w:val="left"/>
              <w:rPr>
                <w:rFonts w:ascii="宋体" w:hAnsi="宋体" w:cs="宋体" w:eastAsia="宋体" w:hint="default"/>
                <w:sz w:val="21"/>
                <w:szCs w:val="21"/>
              </w:rPr>
            </w:pPr>
            <w:r>
              <w:rPr>
                <w:rFonts w:ascii="宋体" w:hAnsi="宋体" w:cs="宋体" w:eastAsia="宋体" w:hint="default"/>
                <w:sz w:val="21"/>
                <w:szCs w:val="21"/>
              </w:rPr>
              <w:t>发明专利</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left="5" w:right="0"/>
              <w:jc w:val="left"/>
              <w:rPr>
                <w:rFonts w:ascii="宋体" w:hAnsi="宋体" w:cs="宋体" w:eastAsia="宋体" w:hint="default"/>
                <w:sz w:val="21"/>
                <w:szCs w:val="21"/>
              </w:rPr>
            </w:pPr>
            <w:r>
              <w:rPr>
                <w:rFonts w:ascii="宋体"/>
                <w:sz w:val="21"/>
              </w:rPr>
              <w:t>2017109866624</w:t>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left="4" w:right="0"/>
              <w:jc w:val="left"/>
              <w:rPr>
                <w:rFonts w:ascii="宋体" w:hAnsi="宋体" w:cs="宋体" w:eastAsia="宋体" w:hint="default"/>
                <w:sz w:val="21"/>
                <w:szCs w:val="21"/>
              </w:rPr>
            </w:pPr>
            <w:r>
              <w:rPr>
                <w:rFonts w:ascii="宋体"/>
                <w:sz w:val="21"/>
              </w:rPr>
              <w:t>2017.10.20</w:t>
            </w:r>
          </w:p>
        </w:tc>
      </w:tr>
      <w:tr>
        <w:trPr>
          <w:trHeight w:val="654"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0"/>
              <w:jc w:val="center"/>
              <w:rPr>
                <w:rFonts w:ascii="宋体" w:hAnsi="宋体" w:cs="宋体" w:eastAsia="宋体" w:hint="default"/>
                <w:sz w:val="21"/>
                <w:szCs w:val="21"/>
              </w:rPr>
            </w:pPr>
            <w:r>
              <w:rPr>
                <w:rFonts w:ascii="宋体"/>
                <w:sz w:val="21"/>
              </w:rPr>
              <w:t>71</w:t>
            </w:r>
          </w:p>
        </w:tc>
        <w:tc>
          <w:tcPr>
            <w:tcW w:w="436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4" w:right="8"/>
              <w:jc w:val="left"/>
              <w:rPr>
                <w:rFonts w:ascii="宋体" w:hAnsi="宋体" w:cs="宋体" w:eastAsia="宋体" w:hint="default"/>
                <w:sz w:val="21"/>
                <w:szCs w:val="21"/>
              </w:rPr>
            </w:pPr>
            <w:r>
              <w:rPr>
                <w:rFonts w:ascii="宋体" w:hAnsi="宋体" w:cs="宋体" w:eastAsia="宋体" w:hint="default"/>
                <w:spacing w:val="6"/>
                <w:sz w:val="21"/>
                <w:szCs w:val="21"/>
              </w:rPr>
              <w:t>基于二维激光雷达的铁路线路障碍物自动识别</w:t>
            </w:r>
            <w:r>
              <w:rPr>
                <w:rFonts w:ascii="宋体" w:hAnsi="宋体" w:cs="宋体" w:eastAsia="宋体" w:hint="default"/>
                <w:sz w:val="21"/>
                <w:szCs w:val="21"/>
              </w:rPr>
              <w:t> 方法</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left="5" w:right="0"/>
              <w:jc w:val="left"/>
              <w:rPr>
                <w:rFonts w:ascii="宋体" w:hAnsi="宋体" w:cs="宋体" w:eastAsia="宋体" w:hint="default"/>
                <w:sz w:val="21"/>
                <w:szCs w:val="21"/>
              </w:rPr>
            </w:pPr>
            <w:r>
              <w:rPr>
                <w:rFonts w:ascii="宋体" w:hAnsi="宋体" w:cs="宋体" w:eastAsia="宋体" w:hint="default"/>
                <w:sz w:val="21"/>
                <w:szCs w:val="21"/>
              </w:rPr>
              <w:t>发明专利</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left="5" w:right="0"/>
              <w:jc w:val="left"/>
              <w:rPr>
                <w:rFonts w:ascii="宋体" w:hAnsi="宋体" w:cs="宋体" w:eastAsia="宋体" w:hint="default"/>
                <w:sz w:val="21"/>
                <w:szCs w:val="21"/>
              </w:rPr>
            </w:pPr>
            <w:r>
              <w:rPr>
                <w:rFonts w:ascii="宋体"/>
                <w:sz w:val="21"/>
              </w:rPr>
              <w:t>2017110187817</w:t>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left="4" w:right="0"/>
              <w:jc w:val="left"/>
              <w:rPr>
                <w:rFonts w:ascii="宋体" w:hAnsi="宋体" w:cs="宋体" w:eastAsia="宋体" w:hint="default"/>
                <w:sz w:val="21"/>
                <w:szCs w:val="21"/>
              </w:rPr>
            </w:pPr>
            <w:r>
              <w:rPr>
                <w:rFonts w:ascii="宋体"/>
                <w:sz w:val="21"/>
              </w:rPr>
              <w:t>2017.10.27</w:t>
            </w:r>
          </w:p>
        </w:tc>
      </w:tr>
      <w:tr>
        <w:trPr>
          <w:trHeight w:val="342"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0"/>
              <w:jc w:val="center"/>
              <w:rPr>
                <w:rFonts w:ascii="宋体" w:hAnsi="宋体" w:cs="宋体" w:eastAsia="宋体" w:hint="default"/>
                <w:sz w:val="21"/>
                <w:szCs w:val="21"/>
              </w:rPr>
            </w:pPr>
            <w:r>
              <w:rPr>
                <w:rFonts w:ascii="宋体"/>
                <w:sz w:val="21"/>
              </w:rPr>
              <w:t>72</w:t>
            </w:r>
          </w:p>
        </w:tc>
        <w:tc>
          <w:tcPr>
            <w:tcW w:w="436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 w:right="0"/>
              <w:jc w:val="left"/>
              <w:rPr>
                <w:rFonts w:ascii="宋体" w:hAnsi="宋体" w:cs="宋体" w:eastAsia="宋体" w:hint="default"/>
                <w:sz w:val="21"/>
                <w:szCs w:val="21"/>
              </w:rPr>
            </w:pPr>
            <w:r>
              <w:rPr>
                <w:rFonts w:ascii="宋体" w:hAnsi="宋体" w:cs="宋体" w:eastAsia="宋体" w:hint="default"/>
                <w:sz w:val="21"/>
                <w:szCs w:val="21"/>
              </w:rPr>
              <w:t>STP</w:t>
            </w:r>
            <w:r>
              <w:rPr>
                <w:rFonts w:ascii="宋体" w:hAnsi="宋体" w:cs="宋体" w:eastAsia="宋体" w:hint="default"/>
                <w:sz w:val="21"/>
                <w:szCs w:val="21"/>
              </w:rPr>
              <w:t>车载主机板卡检测仪及主机板卡检测方法</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5" w:right="0"/>
              <w:jc w:val="left"/>
              <w:rPr>
                <w:rFonts w:ascii="宋体" w:hAnsi="宋体" w:cs="宋体" w:eastAsia="宋体" w:hint="default"/>
                <w:sz w:val="21"/>
                <w:szCs w:val="21"/>
              </w:rPr>
            </w:pPr>
            <w:r>
              <w:rPr>
                <w:rFonts w:ascii="宋体" w:hAnsi="宋体" w:cs="宋体" w:eastAsia="宋体" w:hint="default"/>
                <w:sz w:val="21"/>
                <w:szCs w:val="21"/>
              </w:rPr>
              <w:t>发明专利</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5" w:right="0"/>
              <w:jc w:val="left"/>
              <w:rPr>
                <w:rFonts w:ascii="宋体" w:hAnsi="宋体" w:cs="宋体" w:eastAsia="宋体" w:hint="default"/>
                <w:sz w:val="21"/>
                <w:szCs w:val="21"/>
              </w:rPr>
            </w:pPr>
            <w:r>
              <w:rPr>
                <w:rFonts w:ascii="宋体"/>
                <w:sz w:val="21"/>
              </w:rPr>
              <w:t>2017113284166</w:t>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 w:right="0"/>
              <w:jc w:val="left"/>
              <w:rPr>
                <w:rFonts w:ascii="宋体" w:hAnsi="宋体" w:cs="宋体" w:eastAsia="宋体" w:hint="default"/>
                <w:sz w:val="21"/>
                <w:szCs w:val="21"/>
              </w:rPr>
            </w:pPr>
            <w:r>
              <w:rPr>
                <w:rFonts w:ascii="宋体"/>
                <w:sz w:val="21"/>
              </w:rPr>
              <w:t>2017.12.13</w:t>
            </w:r>
          </w:p>
        </w:tc>
      </w:tr>
      <w:tr>
        <w:trPr>
          <w:trHeight w:val="342"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0"/>
              <w:jc w:val="center"/>
              <w:rPr>
                <w:rFonts w:ascii="宋体" w:hAnsi="宋体" w:cs="宋体" w:eastAsia="宋体" w:hint="default"/>
                <w:sz w:val="21"/>
                <w:szCs w:val="21"/>
              </w:rPr>
            </w:pPr>
            <w:r>
              <w:rPr>
                <w:rFonts w:ascii="宋体"/>
                <w:sz w:val="21"/>
              </w:rPr>
              <w:t>73</w:t>
            </w:r>
          </w:p>
        </w:tc>
        <w:tc>
          <w:tcPr>
            <w:tcW w:w="436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 w:right="0"/>
              <w:jc w:val="left"/>
              <w:rPr>
                <w:rFonts w:ascii="宋体" w:hAnsi="宋体" w:cs="宋体" w:eastAsia="宋体" w:hint="default"/>
                <w:sz w:val="21"/>
                <w:szCs w:val="21"/>
              </w:rPr>
            </w:pPr>
            <w:r>
              <w:rPr>
                <w:rFonts w:ascii="宋体" w:hAnsi="宋体" w:cs="宋体" w:eastAsia="宋体" w:hint="default"/>
                <w:sz w:val="21"/>
                <w:szCs w:val="21"/>
              </w:rPr>
              <w:t>道岔标准曲线自动生成方法</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5" w:right="0"/>
              <w:jc w:val="left"/>
              <w:rPr>
                <w:rFonts w:ascii="宋体" w:hAnsi="宋体" w:cs="宋体" w:eastAsia="宋体" w:hint="default"/>
                <w:sz w:val="21"/>
                <w:szCs w:val="21"/>
              </w:rPr>
            </w:pPr>
            <w:r>
              <w:rPr>
                <w:rFonts w:ascii="宋体" w:hAnsi="宋体" w:cs="宋体" w:eastAsia="宋体" w:hint="default"/>
                <w:sz w:val="21"/>
                <w:szCs w:val="21"/>
              </w:rPr>
              <w:t>发明专利</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5" w:right="0"/>
              <w:jc w:val="left"/>
              <w:rPr>
                <w:rFonts w:ascii="宋体" w:hAnsi="宋体" w:cs="宋体" w:eastAsia="宋体" w:hint="default"/>
                <w:sz w:val="21"/>
                <w:szCs w:val="21"/>
              </w:rPr>
            </w:pPr>
            <w:r>
              <w:rPr>
                <w:rFonts w:ascii="宋体"/>
                <w:sz w:val="21"/>
              </w:rPr>
              <w:t>2017113269433</w:t>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 w:right="0"/>
              <w:jc w:val="left"/>
              <w:rPr>
                <w:rFonts w:ascii="宋体" w:hAnsi="宋体" w:cs="宋体" w:eastAsia="宋体" w:hint="default"/>
                <w:sz w:val="21"/>
                <w:szCs w:val="21"/>
              </w:rPr>
            </w:pPr>
            <w:r>
              <w:rPr>
                <w:rFonts w:ascii="宋体"/>
                <w:sz w:val="21"/>
              </w:rPr>
              <w:t>2017.12.13</w:t>
            </w:r>
          </w:p>
        </w:tc>
      </w:tr>
      <w:tr>
        <w:trPr>
          <w:trHeight w:val="342"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0"/>
              <w:jc w:val="center"/>
              <w:rPr>
                <w:rFonts w:ascii="宋体" w:hAnsi="宋体" w:cs="宋体" w:eastAsia="宋体" w:hint="default"/>
                <w:sz w:val="21"/>
                <w:szCs w:val="21"/>
              </w:rPr>
            </w:pPr>
            <w:r>
              <w:rPr>
                <w:rFonts w:ascii="宋体"/>
                <w:sz w:val="21"/>
              </w:rPr>
              <w:t>74</w:t>
            </w:r>
          </w:p>
        </w:tc>
        <w:tc>
          <w:tcPr>
            <w:tcW w:w="436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 w:right="0"/>
              <w:jc w:val="left"/>
              <w:rPr>
                <w:rFonts w:ascii="宋体" w:hAnsi="宋体" w:cs="宋体" w:eastAsia="宋体" w:hint="default"/>
                <w:sz w:val="21"/>
                <w:szCs w:val="21"/>
              </w:rPr>
            </w:pPr>
            <w:r>
              <w:rPr>
                <w:rFonts w:ascii="宋体" w:hAnsi="宋体" w:cs="宋体" w:eastAsia="宋体" w:hint="default"/>
                <w:sz w:val="21"/>
                <w:szCs w:val="21"/>
              </w:rPr>
              <w:t>基于电流曲线的提速道岔卡阻故障判断方法</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5" w:right="0"/>
              <w:jc w:val="left"/>
              <w:rPr>
                <w:rFonts w:ascii="宋体" w:hAnsi="宋体" w:cs="宋体" w:eastAsia="宋体" w:hint="default"/>
                <w:sz w:val="21"/>
                <w:szCs w:val="21"/>
              </w:rPr>
            </w:pPr>
            <w:r>
              <w:rPr>
                <w:rFonts w:ascii="宋体" w:hAnsi="宋体" w:cs="宋体" w:eastAsia="宋体" w:hint="default"/>
                <w:sz w:val="21"/>
                <w:szCs w:val="21"/>
              </w:rPr>
              <w:t>发明专利</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5" w:right="0"/>
              <w:jc w:val="left"/>
              <w:rPr>
                <w:rFonts w:ascii="宋体" w:hAnsi="宋体" w:cs="宋体" w:eastAsia="宋体" w:hint="default"/>
                <w:sz w:val="21"/>
                <w:szCs w:val="21"/>
              </w:rPr>
            </w:pPr>
            <w:r>
              <w:rPr>
                <w:rFonts w:ascii="宋体"/>
                <w:sz w:val="21"/>
              </w:rPr>
              <w:t>2017113275985</w:t>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 w:right="0"/>
              <w:jc w:val="left"/>
              <w:rPr>
                <w:rFonts w:ascii="宋体" w:hAnsi="宋体" w:cs="宋体" w:eastAsia="宋体" w:hint="default"/>
                <w:sz w:val="21"/>
                <w:szCs w:val="21"/>
              </w:rPr>
            </w:pPr>
            <w:r>
              <w:rPr>
                <w:rFonts w:ascii="宋体"/>
                <w:sz w:val="21"/>
              </w:rPr>
              <w:t>2017.12.13</w:t>
            </w:r>
          </w:p>
        </w:tc>
      </w:tr>
      <w:tr>
        <w:trPr>
          <w:trHeight w:val="342"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0"/>
              <w:jc w:val="center"/>
              <w:rPr>
                <w:rFonts w:ascii="宋体" w:hAnsi="宋体" w:cs="宋体" w:eastAsia="宋体" w:hint="default"/>
                <w:sz w:val="21"/>
                <w:szCs w:val="21"/>
              </w:rPr>
            </w:pPr>
            <w:r>
              <w:rPr>
                <w:rFonts w:ascii="宋体"/>
                <w:sz w:val="21"/>
              </w:rPr>
              <w:t>75</w:t>
            </w:r>
          </w:p>
        </w:tc>
        <w:tc>
          <w:tcPr>
            <w:tcW w:w="436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 w:right="0"/>
              <w:jc w:val="left"/>
              <w:rPr>
                <w:rFonts w:ascii="宋体" w:hAnsi="宋体" w:cs="宋体" w:eastAsia="宋体" w:hint="default"/>
                <w:sz w:val="21"/>
                <w:szCs w:val="21"/>
              </w:rPr>
            </w:pPr>
            <w:r>
              <w:rPr>
                <w:rFonts w:ascii="宋体" w:hAnsi="宋体" w:cs="宋体" w:eastAsia="宋体" w:hint="default"/>
                <w:sz w:val="21"/>
                <w:szCs w:val="21"/>
              </w:rPr>
              <w:t>监测系统实时数据压缩存储方法</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5" w:right="0"/>
              <w:jc w:val="left"/>
              <w:rPr>
                <w:rFonts w:ascii="宋体" w:hAnsi="宋体" w:cs="宋体" w:eastAsia="宋体" w:hint="default"/>
                <w:sz w:val="21"/>
                <w:szCs w:val="21"/>
              </w:rPr>
            </w:pPr>
            <w:r>
              <w:rPr>
                <w:rFonts w:ascii="宋体" w:hAnsi="宋体" w:cs="宋体" w:eastAsia="宋体" w:hint="default"/>
                <w:sz w:val="21"/>
                <w:szCs w:val="21"/>
              </w:rPr>
              <w:t>发明专利</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5" w:right="0"/>
              <w:jc w:val="left"/>
              <w:rPr>
                <w:rFonts w:ascii="宋体" w:hAnsi="宋体" w:cs="宋体" w:eastAsia="宋体" w:hint="default"/>
                <w:sz w:val="21"/>
                <w:szCs w:val="21"/>
              </w:rPr>
            </w:pPr>
            <w:r>
              <w:rPr>
                <w:rFonts w:ascii="宋体"/>
                <w:sz w:val="21"/>
              </w:rPr>
              <w:t>2017113284081</w:t>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 w:right="0"/>
              <w:jc w:val="left"/>
              <w:rPr>
                <w:rFonts w:ascii="宋体" w:hAnsi="宋体" w:cs="宋体" w:eastAsia="宋体" w:hint="default"/>
                <w:sz w:val="21"/>
                <w:szCs w:val="21"/>
              </w:rPr>
            </w:pPr>
            <w:r>
              <w:rPr>
                <w:rFonts w:ascii="宋体"/>
                <w:sz w:val="21"/>
              </w:rPr>
              <w:t>2017.12.13</w:t>
            </w:r>
          </w:p>
        </w:tc>
      </w:tr>
    </w:tbl>
    <w:p>
      <w:pPr>
        <w:spacing w:after="0" w:line="271" w:lineRule="exact"/>
        <w:jc w:val="left"/>
        <w:rPr>
          <w:rFonts w:ascii="宋体" w:hAnsi="宋体" w:cs="宋体" w:eastAsia="宋体" w:hint="default"/>
          <w:sz w:val="21"/>
          <w:szCs w:val="21"/>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960"/>
        <w:gridCol w:w="4360"/>
        <w:gridCol w:w="960"/>
        <w:gridCol w:w="1721"/>
        <w:gridCol w:w="1480"/>
      </w:tblGrid>
      <w:tr>
        <w:trPr>
          <w:trHeight w:val="342"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0"/>
              <w:jc w:val="center"/>
              <w:rPr>
                <w:rFonts w:ascii="宋体" w:hAnsi="宋体" w:cs="宋体" w:eastAsia="宋体" w:hint="default"/>
                <w:sz w:val="21"/>
                <w:szCs w:val="21"/>
              </w:rPr>
            </w:pPr>
            <w:r>
              <w:rPr>
                <w:rFonts w:ascii="宋体"/>
                <w:sz w:val="21"/>
              </w:rPr>
              <w:t>76</w:t>
            </w:r>
          </w:p>
        </w:tc>
        <w:tc>
          <w:tcPr>
            <w:tcW w:w="436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 w:right="0"/>
              <w:jc w:val="left"/>
              <w:rPr>
                <w:rFonts w:ascii="宋体" w:hAnsi="宋体" w:cs="宋体" w:eastAsia="宋体" w:hint="default"/>
                <w:sz w:val="21"/>
                <w:szCs w:val="21"/>
              </w:rPr>
            </w:pPr>
            <w:r>
              <w:rPr>
                <w:rFonts w:ascii="宋体" w:hAnsi="宋体" w:cs="宋体" w:eastAsia="宋体" w:hint="default"/>
                <w:sz w:val="21"/>
                <w:szCs w:val="21"/>
              </w:rPr>
              <w:t>一种地铁站台入侵者识别系统及识别方法</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5" w:right="0"/>
              <w:jc w:val="left"/>
              <w:rPr>
                <w:rFonts w:ascii="宋体" w:hAnsi="宋体" w:cs="宋体" w:eastAsia="宋体" w:hint="default"/>
                <w:sz w:val="21"/>
                <w:szCs w:val="21"/>
              </w:rPr>
            </w:pPr>
            <w:r>
              <w:rPr>
                <w:rFonts w:ascii="宋体" w:hAnsi="宋体" w:cs="宋体" w:eastAsia="宋体" w:hint="default"/>
                <w:sz w:val="21"/>
                <w:szCs w:val="21"/>
              </w:rPr>
              <w:t>发明专利</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5" w:right="0"/>
              <w:jc w:val="left"/>
              <w:rPr>
                <w:rFonts w:ascii="宋体" w:hAnsi="宋体" w:cs="宋体" w:eastAsia="宋体" w:hint="default"/>
                <w:sz w:val="21"/>
                <w:szCs w:val="21"/>
              </w:rPr>
            </w:pPr>
            <w:r>
              <w:rPr>
                <w:rFonts w:ascii="宋体"/>
                <w:sz w:val="21"/>
              </w:rPr>
              <w:t>2017114435178</w:t>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 w:right="0"/>
              <w:jc w:val="left"/>
              <w:rPr>
                <w:rFonts w:ascii="宋体" w:hAnsi="宋体" w:cs="宋体" w:eastAsia="宋体" w:hint="default"/>
                <w:sz w:val="21"/>
                <w:szCs w:val="21"/>
              </w:rPr>
            </w:pPr>
            <w:r>
              <w:rPr>
                <w:rFonts w:ascii="宋体"/>
                <w:sz w:val="21"/>
              </w:rPr>
              <w:t>2017.12.27</w:t>
            </w:r>
          </w:p>
        </w:tc>
      </w:tr>
      <w:tr>
        <w:trPr>
          <w:trHeight w:val="342"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0"/>
              <w:jc w:val="center"/>
              <w:rPr>
                <w:rFonts w:ascii="宋体" w:hAnsi="宋体" w:cs="宋体" w:eastAsia="宋体" w:hint="default"/>
                <w:sz w:val="21"/>
                <w:szCs w:val="21"/>
              </w:rPr>
            </w:pPr>
            <w:r>
              <w:rPr>
                <w:rFonts w:ascii="宋体"/>
                <w:sz w:val="21"/>
              </w:rPr>
              <w:t>77</w:t>
            </w:r>
          </w:p>
        </w:tc>
        <w:tc>
          <w:tcPr>
            <w:tcW w:w="436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 w:right="0"/>
              <w:jc w:val="left"/>
              <w:rPr>
                <w:rFonts w:ascii="宋体" w:hAnsi="宋体" w:cs="宋体" w:eastAsia="宋体" w:hint="default"/>
                <w:sz w:val="21"/>
                <w:szCs w:val="21"/>
              </w:rPr>
            </w:pPr>
            <w:r>
              <w:rPr>
                <w:rFonts w:ascii="宋体" w:hAnsi="宋体" w:cs="宋体" w:eastAsia="宋体" w:hint="default"/>
                <w:sz w:val="21"/>
                <w:szCs w:val="21"/>
              </w:rPr>
              <w:t>一种城市轨道交通自动售票机性能测试方法</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5" w:right="0"/>
              <w:jc w:val="left"/>
              <w:rPr>
                <w:rFonts w:ascii="宋体" w:hAnsi="宋体" w:cs="宋体" w:eastAsia="宋体" w:hint="default"/>
                <w:sz w:val="21"/>
                <w:szCs w:val="21"/>
              </w:rPr>
            </w:pPr>
            <w:r>
              <w:rPr>
                <w:rFonts w:ascii="宋体" w:hAnsi="宋体" w:cs="宋体" w:eastAsia="宋体" w:hint="default"/>
                <w:sz w:val="21"/>
                <w:szCs w:val="21"/>
              </w:rPr>
              <w:t>发明专利</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5" w:right="0"/>
              <w:jc w:val="left"/>
              <w:rPr>
                <w:rFonts w:ascii="宋体" w:hAnsi="宋体" w:cs="宋体" w:eastAsia="宋体" w:hint="default"/>
                <w:sz w:val="21"/>
                <w:szCs w:val="21"/>
              </w:rPr>
            </w:pPr>
            <w:r>
              <w:rPr>
                <w:rFonts w:ascii="宋体"/>
                <w:sz w:val="21"/>
              </w:rPr>
              <w:t>2017104210892</w:t>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 w:right="0"/>
              <w:jc w:val="left"/>
              <w:rPr>
                <w:rFonts w:ascii="宋体" w:hAnsi="宋体" w:cs="宋体" w:eastAsia="宋体" w:hint="default"/>
                <w:sz w:val="21"/>
                <w:szCs w:val="21"/>
              </w:rPr>
            </w:pPr>
            <w:r>
              <w:rPr>
                <w:rFonts w:ascii="宋体"/>
                <w:sz w:val="21"/>
              </w:rPr>
              <w:t>2017.6.7</w:t>
            </w:r>
          </w:p>
        </w:tc>
      </w:tr>
      <w:tr>
        <w:trPr>
          <w:trHeight w:val="342"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0"/>
              <w:jc w:val="center"/>
              <w:rPr>
                <w:rFonts w:ascii="宋体" w:hAnsi="宋体" w:cs="宋体" w:eastAsia="宋体" w:hint="default"/>
                <w:sz w:val="21"/>
                <w:szCs w:val="21"/>
              </w:rPr>
            </w:pPr>
            <w:r>
              <w:rPr>
                <w:rFonts w:ascii="宋体"/>
                <w:sz w:val="21"/>
              </w:rPr>
              <w:t>78</w:t>
            </w:r>
          </w:p>
        </w:tc>
        <w:tc>
          <w:tcPr>
            <w:tcW w:w="436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 w:right="0"/>
              <w:jc w:val="left"/>
              <w:rPr>
                <w:rFonts w:ascii="宋体" w:hAnsi="宋体" w:cs="宋体" w:eastAsia="宋体" w:hint="default"/>
                <w:sz w:val="21"/>
                <w:szCs w:val="21"/>
              </w:rPr>
            </w:pPr>
            <w:r>
              <w:rPr>
                <w:rFonts w:ascii="宋体" w:hAnsi="宋体" w:cs="宋体" w:eastAsia="宋体" w:hint="default"/>
                <w:sz w:val="21"/>
                <w:szCs w:val="21"/>
              </w:rPr>
              <w:t>一种基于双线程的文件传输方法</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5" w:right="0"/>
              <w:jc w:val="left"/>
              <w:rPr>
                <w:rFonts w:ascii="宋体" w:hAnsi="宋体" w:cs="宋体" w:eastAsia="宋体" w:hint="default"/>
                <w:sz w:val="21"/>
                <w:szCs w:val="21"/>
              </w:rPr>
            </w:pPr>
            <w:r>
              <w:rPr>
                <w:rFonts w:ascii="宋体" w:hAnsi="宋体" w:cs="宋体" w:eastAsia="宋体" w:hint="default"/>
                <w:sz w:val="21"/>
                <w:szCs w:val="21"/>
              </w:rPr>
              <w:t>发明专利</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5" w:right="0"/>
              <w:jc w:val="left"/>
              <w:rPr>
                <w:rFonts w:ascii="宋体" w:hAnsi="宋体" w:cs="宋体" w:eastAsia="宋体" w:hint="default"/>
                <w:sz w:val="21"/>
                <w:szCs w:val="21"/>
              </w:rPr>
            </w:pPr>
            <w:r>
              <w:rPr>
                <w:rFonts w:ascii="宋体"/>
                <w:sz w:val="21"/>
              </w:rPr>
              <w:t>2017104210958</w:t>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 w:right="0"/>
              <w:jc w:val="left"/>
              <w:rPr>
                <w:rFonts w:ascii="宋体" w:hAnsi="宋体" w:cs="宋体" w:eastAsia="宋体" w:hint="default"/>
                <w:sz w:val="21"/>
                <w:szCs w:val="21"/>
              </w:rPr>
            </w:pPr>
            <w:r>
              <w:rPr>
                <w:rFonts w:ascii="宋体"/>
                <w:sz w:val="21"/>
              </w:rPr>
              <w:t>2017.6.7</w:t>
            </w:r>
          </w:p>
        </w:tc>
      </w:tr>
      <w:tr>
        <w:trPr>
          <w:trHeight w:val="342"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0"/>
              <w:jc w:val="center"/>
              <w:rPr>
                <w:rFonts w:ascii="宋体" w:hAnsi="宋体" w:cs="宋体" w:eastAsia="宋体" w:hint="default"/>
                <w:sz w:val="21"/>
                <w:szCs w:val="21"/>
              </w:rPr>
            </w:pPr>
            <w:r>
              <w:rPr>
                <w:rFonts w:ascii="宋体"/>
                <w:sz w:val="21"/>
              </w:rPr>
              <w:t>79</w:t>
            </w:r>
          </w:p>
        </w:tc>
        <w:tc>
          <w:tcPr>
            <w:tcW w:w="436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 w:right="0"/>
              <w:jc w:val="left"/>
              <w:rPr>
                <w:rFonts w:ascii="宋体" w:hAnsi="宋体" w:cs="宋体" w:eastAsia="宋体" w:hint="default"/>
                <w:sz w:val="21"/>
                <w:szCs w:val="21"/>
              </w:rPr>
            </w:pPr>
            <w:r>
              <w:rPr>
                <w:rFonts w:ascii="宋体" w:hAnsi="宋体" w:cs="宋体" w:eastAsia="宋体" w:hint="default"/>
                <w:sz w:val="21"/>
                <w:szCs w:val="21"/>
              </w:rPr>
              <w:t>一种地铁到站提醒方法</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5" w:right="0"/>
              <w:jc w:val="left"/>
              <w:rPr>
                <w:rFonts w:ascii="宋体" w:hAnsi="宋体" w:cs="宋体" w:eastAsia="宋体" w:hint="default"/>
                <w:sz w:val="21"/>
                <w:szCs w:val="21"/>
              </w:rPr>
            </w:pPr>
            <w:r>
              <w:rPr>
                <w:rFonts w:ascii="宋体" w:hAnsi="宋体" w:cs="宋体" w:eastAsia="宋体" w:hint="default"/>
                <w:sz w:val="21"/>
                <w:szCs w:val="21"/>
              </w:rPr>
              <w:t>发明专利</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5" w:right="0"/>
              <w:jc w:val="left"/>
              <w:rPr>
                <w:rFonts w:ascii="宋体" w:hAnsi="宋体" w:cs="宋体" w:eastAsia="宋体" w:hint="default"/>
                <w:sz w:val="21"/>
                <w:szCs w:val="21"/>
              </w:rPr>
            </w:pPr>
            <w:r>
              <w:rPr>
                <w:rFonts w:ascii="宋体"/>
                <w:sz w:val="21"/>
              </w:rPr>
              <w:t>201711421062X</w:t>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 w:right="0"/>
              <w:jc w:val="left"/>
              <w:rPr>
                <w:rFonts w:ascii="宋体" w:hAnsi="宋体" w:cs="宋体" w:eastAsia="宋体" w:hint="default"/>
                <w:sz w:val="21"/>
                <w:szCs w:val="21"/>
              </w:rPr>
            </w:pPr>
            <w:r>
              <w:rPr>
                <w:rFonts w:ascii="宋体"/>
                <w:sz w:val="21"/>
              </w:rPr>
              <w:t>2017.12.25</w:t>
            </w:r>
          </w:p>
        </w:tc>
      </w:tr>
      <w:tr>
        <w:trPr>
          <w:trHeight w:val="342"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0"/>
              <w:jc w:val="center"/>
              <w:rPr>
                <w:rFonts w:ascii="宋体" w:hAnsi="宋体" w:cs="宋体" w:eastAsia="宋体" w:hint="default"/>
                <w:sz w:val="21"/>
                <w:szCs w:val="21"/>
              </w:rPr>
            </w:pPr>
            <w:r>
              <w:rPr>
                <w:rFonts w:ascii="宋体"/>
                <w:sz w:val="21"/>
              </w:rPr>
              <w:t>80</w:t>
            </w:r>
          </w:p>
        </w:tc>
        <w:tc>
          <w:tcPr>
            <w:tcW w:w="436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 w:right="0"/>
              <w:jc w:val="left"/>
              <w:rPr>
                <w:rFonts w:ascii="宋体" w:hAnsi="宋体" w:cs="宋体" w:eastAsia="宋体" w:hint="default"/>
                <w:sz w:val="21"/>
                <w:szCs w:val="21"/>
              </w:rPr>
            </w:pPr>
            <w:r>
              <w:rPr>
                <w:rFonts w:ascii="宋体" w:hAnsi="宋体" w:cs="宋体" w:eastAsia="宋体" w:hint="default"/>
                <w:sz w:val="21"/>
                <w:szCs w:val="21"/>
              </w:rPr>
              <w:t>一种地铁车厢座位抵消惯性的方法</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5" w:right="0"/>
              <w:jc w:val="left"/>
              <w:rPr>
                <w:rFonts w:ascii="宋体" w:hAnsi="宋体" w:cs="宋体" w:eastAsia="宋体" w:hint="default"/>
                <w:sz w:val="21"/>
                <w:szCs w:val="21"/>
              </w:rPr>
            </w:pPr>
            <w:r>
              <w:rPr>
                <w:rFonts w:ascii="宋体" w:hAnsi="宋体" w:cs="宋体" w:eastAsia="宋体" w:hint="default"/>
                <w:sz w:val="21"/>
                <w:szCs w:val="21"/>
              </w:rPr>
              <w:t>发明专利</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5" w:right="0"/>
              <w:jc w:val="left"/>
              <w:rPr>
                <w:rFonts w:ascii="宋体" w:hAnsi="宋体" w:cs="宋体" w:eastAsia="宋体" w:hint="default"/>
                <w:sz w:val="21"/>
                <w:szCs w:val="21"/>
              </w:rPr>
            </w:pPr>
            <w:r>
              <w:rPr>
                <w:rFonts w:ascii="宋体"/>
                <w:sz w:val="21"/>
              </w:rPr>
              <w:t>2017114210634</w:t>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 w:right="0"/>
              <w:jc w:val="left"/>
              <w:rPr>
                <w:rFonts w:ascii="宋体" w:hAnsi="宋体" w:cs="宋体" w:eastAsia="宋体" w:hint="default"/>
                <w:sz w:val="21"/>
                <w:szCs w:val="21"/>
              </w:rPr>
            </w:pPr>
            <w:r>
              <w:rPr>
                <w:rFonts w:ascii="宋体"/>
                <w:sz w:val="21"/>
              </w:rPr>
              <w:t>2017.12.25</w:t>
            </w:r>
          </w:p>
        </w:tc>
      </w:tr>
      <w:tr>
        <w:trPr>
          <w:trHeight w:val="342"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0"/>
              <w:jc w:val="center"/>
              <w:rPr>
                <w:rFonts w:ascii="宋体" w:hAnsi="宋体" w:cs="宋体" w:eastAsia="宋体" w:hint="default"/>
                <w:sz w:val="21"/>
                <w:szCs w:val="21"/>
              </w:rPr>
            </w:pPr>
            <w:r>
              <w:rPr>
                <w:rFonts w:ascii="宋体"/>
                <w:sz w:val="21"/>
              </w:rPr>
              <w:t>81</w:t>
            </w:r>
          </w:p>
        </w:tc>
        <w:tc>
          <w:tcPr>
            <w:tcW w:w="436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 w:right="0"/>
              <w:jc w:val="left"/>
              <w:rPr>
                <w:rFonts w:ascii="宋体" w:hAnsi="宋体" w:cs="宋体" w:eastAsia="宋体" w:hint="default"/>
                <w:sz w:val="21"/>
                <w:szCs w:val="21"/>
              </w:rPr>
            </w:pPr>
            <w:r>
              <w:rPr>
                <w:rFonts w:ascii="宋体" w:hAnsi="宋体" w:cs="宋体" w:eastAsia="宋体" w:hint="default"/>
                <w:sz w:val="21"/>
                <w:szCs w:val="21"/>
              </w:rPr>
              <w:t>一种地铁站台乘客上车引导系统</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5" w:right="0"/>
              <w:jc w:val="left"/>
              <w:rPr>
                <w:rFonts w:ascii="宋体" w:hAnsi="宋体" w:cs="宋体" w:eastAsia="宋体" w:hint="default"/>
                <w:sz w:val="21"/>
                <w:szCs w:val="21"/>
              </w:rPr>
            </w:pPr>
            <w:r>
              <w:rPr>
                <w:rFonts w:ascii="宋体" w:hAnsi="宋体" w:cs="宋体" w:eastAsia="宋体" w:hint="default"/>
                <w:sz w:val="21"/>
                <w:szCs w:val="21"/>
              </w:rPr>
              <w:t>发明专利</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5" w:right="0"/>
              <w:jc w:val="left"/>
              <w:rPr>
                <w:rFonts w:ascii="宋体" w:hAnsi="宋体" w:cs="宋体" w:eastAsia="宋体" w:hint="default"/>
                <w:sz w:val="21"/>
                <w:szCs w:val="21"/>
              </w:rPr>
            </w:pPr>
            <w:r>
              <w:rPr>
                <w:rFonts w:ascii="宋体"/>
                <w:sz w:val="21"/>
              </w:rPr>
              <w:t>2017114427538</w:t>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 w:right="0"/>
              <w:jc w:val="left"/>
              <w:rPr>
                <w:rFonts w:ascii="宋体" w:hAnsi="宋体" w:cs="宋体" w:eastAsia="宋体" w:hint="default"/>
                <w:sz w:val="21"/>
                <w:szCs w:val="21"/>
              </w:rPr>
            </w:pPr>
            <w:r>
              <w:rPr>
                <w:rFonts w:ascii="宋体"/>
                <w:sz w:val="21"/>
              </w:rPr>
              <w:t>2017.12.27</w:t>
            </w:r>
          </w:p>
        </w:tc>
      </w:tr>
      <w:tr>
        <w:trPr>
          <w:trHeight w:val="654"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0"/>
              <w:jc w:val="center"/>
              <w:rPr>
                <w:rFonts w:ascii="宋体" w:hAnsi="宋体" w:cs="宋体" w:eastAsia="宋体" w:hint="default"/>
                <w:sz w:val="21"/>
                <w:szCs w:val="21"/>
              </w:rPr>
            </w:pPr>
            <w:r>
              <w:rPr>
                <w:rFonts w:ascii="宋体"/>
                <w:sz w:val="21"/>
              </w:rPr>
              <w:t>82</w:t>
            </w:r>
          </w:p>
        </w:tc>
        <w:tc>
          <w:tcPr>
            <w:tcW w:w="436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4" w:right="8"/>
              <w:jc w:val="left"/>
              <w:rPr>
                <w:rFonts w:ascii="宋体" w:hAnsi="宋体" w:cs="宋体" w:eastAsia="宋体" w:hint="default"/>
                <w:sz w:val="21"/>
                <w:szCs w:val="21"/>
              </w:rPr>
            </w:pPr>
            <w:r>
              <w:rPr>
                <w:rFonts w:ascii="宋体" w:hAnsi="宋体" w:cs="宋体" w:eastAsia="宋体" w:hint="default"/>
                <w:spacing w:val="6"/>
                <w:sz w:val="21"/>
                <w:szCs w:val="21"/>
              </w:rPr>
              <w:t>适用于城际轨道交通的无障碍付费自动售检票</w:t>
            </w:r>
            <w:r>
              <w:rPr>
                <w:rFonts w:ascii="宋体" w:hAnsi="宋体" w:cs="宋体" w:eastAsia="宋体" w:hint="default"/>
                <w:sz w:val="21"/>
                <w:szCs w:val="21"/>
              </w:rPr>
              <w:t> 系统</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left="5" w:right="0"/>
              <w:jc w:val="left"/>
              <w:rPr>
                <w:rFonts w:ascii="宋体" w:hAnsi="宋体" w:cs="宋体" w:eastAsia="宋体" w:hint="default"/>
                <w:sz w:val="21"/>
                <w:szCs w:val="21"/>
              </w:rPr>
            </w:pPr>
            <w:r>
              <w:rPr>
                <w:rFonts w:ascii="宋体" w:hAnsi="宋体" w:cs="宋体" w:eastAsia="宋体" w:hint="default"/>
                <w:sz w:val="21"/>
                <w:szCs w:val="21"/>
              </w:rPr>
              <w:t>发明专利</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left="5" w:right="0"/>
              <w:jc w:val="left"/>
              <w:rPr>
                <w:rFonts w:ascii="宋体" w:hAnsi="宋体" w:cs="宋体" w:eastAsia="宋体" w:hint="default"/>
                <w:sz w:val="21"/>
                <w:szCs w:val="21"/>
              </w:rPr>
            </w:pPr>
            <w:r>
              <w:rPr>
                <w:rFonts w:ascii="宋体"/>
                <w:sz w:val="21"/>
              </w:rPr>
              <w:t>2017114564747</w:t>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left="4" w:right="0"/>
              <w:jc w:val="left"/>
              <w:rPr>
                <w:rFonts w:ascii="宋体" w:hAnsi="宋体" w:cs="宋体" w:eastAsia="宋体" w:hint="default"/>
                <w:sz w:val="21"/>
                <w:szCs w:val="21"/>
              </w:rPr>
            </w:pPr>
            <w:r>
              <w:rPr>
                <w:rFonts w:ascii="宋体"/>
                <w:sz w:val="21"/>
              </w:rPr>
              <w:t>2017.12.28</w:t>
            </w:r>
          </w:p>
        </w:tc>
      </w:tr>
      <w:tr>
        <w:trPr>
          <w:trHeight w:val="342"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0"/>
              <w:jc w:val="center"/>
              <w:rPr>
                <w:rFonts w:ascii="宋体" w:hAnsi="宋体" w:cs="宋体" w:eastAsia="宋体" w:hint="default"/>
                <w:sz w:val="21"/>
                <w:szCs w:val="21"/>
              </w:rPr>
            </w:pPr>
            <w:r>
              <w:rPr>
                <w:rFonts w:ascii="宋体"/>
                <w:sz w:val="21"/>
              </w:rPr>
              <w:t>83</w:t>
            </w:r>
          </w:p>
        </w:tc>
        <w:tc>
          <w:tcPr>
            <w:tcW w:w="436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 w:right="0"/>
              <w:jc w:val="left"/>
              <w:rPr>
                <w:rFonts w:ascii="宋体" w:hAnsi="宋体" w:cs="宋体" w:eastAsia="宋体" w:hint="default"/>
                <w:sz w:val="21"/>
                <w:szCs w:val="21"/>
              </w:rPr>
            </w:pPr>
            <w:r>
              <w:rPr>
                <w:rFonts w:ascii="宋体" w:hAnsi="宋体" w:cs="宋体" w:eastAsia="宋体" w:hint="default"/>
                <w:sz w:val="21"/>
                <w:szCs w:val="21"/>
              </w:rPr>
              <w:t>基于图像的地铁列车客流统计方法</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5" w:right="0"/>
              <w:jc w:val="left"/>
              <w:rPr>
                <w:rFonts w:ascii="宋体" w:hAnsi="宋体" w:cs="宋体" w:eastAsia="宋体" w:hint="default"/>
                <w:sz w:val="21"/>
                <w:szCs w:val="21"/>
              </w:rPr>
            </w:pPr>
            <w:r>
              <w:rPr>
                <w:rFonts w:ascii="宋体" w:hAnsi="宋体" w:cs="宋体" w:eastAsia="宋体" w:hint="default"/>
                <w:sz w:val="21"/>
                <w:szCs w:val="21"/>
              </w:rPr>
              <w:t>发明专利</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5" w:right="0"/>
              <w:jc w:val="left"/>
              <w:rPr>
                <w:rFonts w:ascii="宋体" w:hAnsi="宋体" w:cs="宋体" w:eastAsia="宋体" w:hint="default"/>
                <w:sz w:val="21"/>
                <w:szCs w:val="21"/>
              </w:rPr>
            </w:pPr>
            <w:r>
              <w:rPr>
                <w:rFonts w:ascii="宋体"/>
                <w:sz w:val="21"/>
              </w:rPr>
              <w:t>2017114572334</w:t>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 w:right="0"/>
              <w:jc w:val="left"/>
              <w:rPr>
                <w:rFonts w:ascii="宋体" w:hAnsi="宋体" w:cs="宋体" w:eastAsia="宋体" w:hint="default"/>
                <w:sz w:val="21"/>
                <w:szCs w:val="21"/>
              </w:rPr>
            </w:pPr>
            <w:r>
              <w:rPr>
                <w:rFonts w:ascii="宋体"/>
                <w:sz w:val="21"/>
              </w:rPr>
              <w:t>2017.12.28</w:t>
            </w:r>
          </w:p>
        </w:tc>
      </w:tr>
      <w:tr>
        <w:trPr>
          <w:trHeight w:val="342"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0"/>
              <w:jc w:val="center"/>
              <w:rPr>
                <w:rFonts w:ascii="宋体" w:hAnsi="宋体" w:cs="宋体" w:eastAsia="宋体" w:hint="default"/>
                <w:sz w:val="21"/>
                <w:szCs w:val="21"/>
              </w:rPr>
            </w:pPr>
            <w:r>
              <w:rPr>
                <w:rFonts w:ascii="宋体"/>
                <w:sz w:val="21"/>
              </w:rPr>
              <w:t>84</w:t>
            </w:r>
          </w:p>
        </w:tc>
        <w:tc>
          <w:tcPr>
            <w:tcW w:w="436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 w:right="0"/>
              <w:jc w:val="left"/>
              <w:rPr>
                <w:rFonts w:ascii="宋体" w:hAnsi="宋体" w:cs="宋体" w:eastAsia="宋体" w:hint="default"/>
                <w:sz w:val="21"/>
                <w:szCs w:val="21"/>
              </w:rPr>
            </w:pPr>
            <w:r>
              <w:rPr>
                <w:rFonts w:ascii="宋体" w:hAnsi="宋体" w:cs="宋体" w:eastAsia="宋体" w:hint="default"/>
                <w:sz w:val="21"/>
                <w:szCs w:val="21"/>
              </w:rPr>
              <w:t>一种地铁车厢客流引导装置</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5" w:right="0"/>
              <w:jc w:val="left"/>
              <w:rPr>
                <w:rFonts w:ascii="宋体" w:hAnsi="宋体" w:cs="宋体" w:eastAsia="宋体" w:hint="default"/>
                <w:sz w:val="21"/>
                <w:szCs w:val="21"/>
              </w:rPr>
            </w:pPr>
            <w:r>
              <w:rPr>
                <w:rFonts w:ascii="宋体" w:hAnsi="宋体" w:cs="宋体" w:eastAsia="宋体" w:hint="default"/>
                <w:sz w:val="21"/>
                <w:szCs w:val="21"/>
              </w:rPr>
              <w:t>发明专利</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5" w:right="0"/>
              <w:jc w:val="left"/>
              <w:rPr>
                <w:rFonts w:ascii="宋体" w:hAnsi="宋体" w:cs="宋体" w:eastAsia="宋体" w:hint="default"/>
                <w:sz w:val="21"/>
                <w:szCs w:val="21"/>
              </w:rPr>
            </w:pPr>
            <w:r>
              <w:rPr>
                <w:rFonts w:ascii="宋体"/>
                <w:sz w:val="21"/>
              </w:rPr>
              <w:t>2017114583292</w:t>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 w:right="0"/>
              <w:jc w:val="left"/>
              <w:rPr>
                <w:rFonts w:ascii="宋体" w:hAnsi="宋体" w:cs="宋体" w:eastAsia="宋体" w:hint="default"/>
                <w:sz w:val="21"/>
                <w:szCs w:val="21"/>
              </w:rPr>
            </w:pPr>
            <w:r>
              <w:rPr>
                <w:rFonts w:ascii="宋体"/>
                <w:sz w:val="21"/>
              </w:rPr>
              <w:t>2017.12.28</w:t>
            </w:r>
          </w:p>
        </w:tc>
      </w:tr>
      <w:tr>
        <w:trPr>
          <w:trHeight w:val="342"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0"/>
              <w:jc w:val="center"/>
              <w:rPr>
                <w:rFonts w:ascii="宋体" w:hAnsi="宋体" w:cs="宋体" w:eastAsia="宋体" w:hint="default"/>
                <w:sz w:val="21"/>
                <w:szCs w:val="21"/>
              </w:rPr>
            </w:pPr>
            <w:r>
              <w:rPr>
                <w:rFonts w:ascii="宋体"/>
                <w:sz w:val="21"/>
              </w:rPr>
              <w:t>85</w:t>
            </w:r>
          </w:p>
        </w:tc>
        <w:tc>
          <w:tcPr>
            <w:tcW w:w="436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 w:right="0"/>
              <w:jc w:val="left"/>
              <w:rPr>
                <w:rFonts w:ascii="宋体" w:hAnsi="宋体" w:cs="宋体" w:eastAsia="宋体" w:hint="default"/>
                <w:sz w:val="21"/>
                <w:szCs w:val="21"/>
              </w:rPr>
            </w:pPr>
            <w:r>
              <w:rPr>
                <w:rFonts w:ascii="宋体" w:hAnsi="宋体" w:cs="宋体" w:eastAsia="宋体" w:hint="default"/>
                <w:sz w:val="21"/>
                <w:szCs w:val="21"/>
              </w:rPr>
              <w:t>城市轨道交通客流预警系统</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5" w:right="0"/>
              <w:jc w:val="left"/>
              <w:rPr>
                <w:rFonts w:ascii="宋体" w:hAnsi="宋体" w:cs="宋体" w:eastAsia="宋体" w:hint="default"/>
                <w:sz w:val="21"/>
                <w:szCs w:val="21"/>
              </w:rPr>
            </w:pPr>
            <w:r>
              <w:rPr>
                <w:rFonts w:ascii="宋体" w:hAnsi="宋体" w:cs="宋体" w:eastAsia="宋体" w:hint="default"/>
                <w:sz w:val="21"/>
                <w:szCs w:val="21"/>
              </w:rPr>
              <w:t>发明专利</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5" w:right="0"/>
              <w:jc w:val="left"/>
              <w:rPr>
                <w:rFonts w:ascii="宋体" w:hAnsi="宋体" w:cs="宋体" w:eastAsia="宋体" w:hint="default"/>
                <w:sz w:val="21"/>
                <w:szCs w:val="21"/>
              </w:rPr>
            </w:pPr>
            <w:r>
              <w:rPr>
                <w:rFonts w:ascii="宋体"/>
                <w:sz w:val="21"/>
              </w:rPr>
              <w:t>2017114583413</w:t>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 w:right="0"/>
              <w:jc w:val="left"/>
              <w:rPr>
                <w:rFonts w:ascii="宋体" w:hAnsi="宋体" w:cs="宋体" w:eastAsia="宋体" w:hint="default"/>
                <w:sz w:val="21"/>
                <w:szCs w:val="21"/>
              </w:rPr>
            </w:pPr>
            <w:r>
              <w:rPr>
                <w:rFonts w:ascii="宋体"/>
                <w:sz w:val="21"/>
              </w:rPr>
              <w:t>2017.12.28</w:t>
            </w:r>
          </w:p>
        </w:tc>
      </w:tr>
      <w:tr>
        <w:trPr>
          <w:trHeight w:val="342"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0"/>
              <w:jc w:val="center"/>
              <w:rPr>
                <w:rFonts w:ascii="宋体" w:hAnsi="宋体" w:cs="宋体" w:eastAsia="宋体" w:hint="default"/>
                <w:sz w:val="21"/>
                <w:szCs w:val="21"/>
              </w:rPr>
            </w:pPr>
            <w:r>
              <w:rPr>
                <w:rFonts w:ascii="宋体"/>
                <w:sz w:val="21"/>
              </w:rPr>
              <w:t>86</w:t>
            </w:r>
          </w:p>
        </w:tc>
        <w:tc>
          <w:tcPr>
            <w:tcW w:w="436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 w:right="0"/>
              <w:jc w:val="left"/>
              <w:rPr>
                <w:rFonts w:ascii="宋体" w:hAnsi="宋体" w:cs="宋体" w:eastAsia="宋体" w:hint="default"/>
                <w:sz w:val="21"/>
                <w:szCs w:val="21"/>
              </w:rPr>
            </w:pPr>
            <w:r>
              <w:rPr>
                <w:rFonts w:ascii="宋体" w:hAnsi="宋体" w:cs="宋体" w:eastAsia="宋体" w:hint="default"/>
                <w:sz w:val="21"/>
                <w:szCs w:val="21"/>
              </w:rPr>
              <w:t>一种基于北斗系统的火车定位防撞车方法</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5" w:right="0"/>
              <w:jc w:val="left"/>
              <w:rPr>
                <w:rFonts w:ascii="宋体" w:hAnsi="宋体" w:cs="宋体" w:eastAsia="宋体" w:hint="default"/>
                <w:sz w:val="21"/>
                <w:szCs w:val="21"/>
              </w:rPr>
            </w:pPr>
            <w:r>
              <w:rPr>
                <w:rFonts w:ascii="宋体" w:hAnsi="宋体" w:cs="宋体" w:eastAsia="宋体" w:hint="default"/>
                <w:sz w:val="21"/>
                <w:szCs w:val="21"/>
              </w:rPr>
              <w:t>发明专利</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5" w:right="0"/>
              <w:jc w:val="left"/>
              <w:rPr>
                <w:rFonts w:ascii="宋体" w:hAnsi="宋体" w:cs="宋体" w:eastAsia="宋体" w:hint="default"/>
                <w:sz w:val="21"/>
                <w:szCs w:val="21"/>
              </w:rPr>
            </w:pPr>
            <w:r>
              <w:rPr>
                <w:rFonts w:ascii="宋体"/>
                <w:sz w:val="21"/>
              </w:rPr>
              <w:t>2017114211177</w:t>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 w:right="0"/>
              <w:jc w:val="left"/>
              <w:rPr>
                <w:rFonts w:ascii="宋体" w:hAnsi="宋体" w:cs="宋体" w:eastAsia="宋体" w:hint="default"/>
                <w:sz w:val="21"/>
                <w:szCs w:val="21"/>
              </w:rPr>
            </w:pPr>
            <w:r>
              <w:rPr>
                <w:rFonts w:ascii="宋体"/>
                <w:sz w:val="21"/>
              </w:rPr>
              <w:t>2017.12.25</w:t>
            </w:r>
          </w:p>
        </w:tc>
      </w:tr>
      <w:tr>
        <w:trPr>
          <w:trHeight w:val="342"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0"/>
              <w:jc w:val="center"/>
              <w:rPr>
                <w:rFonts w:ascii="宋体" w:hAnsi="宋体" w:cs="宋体" w:eastAsia="宋体" w:hint="default"/>
                <w:sz w:val="21"/>
                <w:szCs w:val="21"/>
              </w:rPr>
            </w:pPr>
            <w:r>
              <w:rPr>
                <w:rFonts w:ascii="宋体"/>
                <w:sz w:val="21"/>
              </w:rPr>
              <w:t>87</w:t>
            </w:r>
          </w:p>
        </w:tc>
        <w:tc>
          <w:tcPr>
            <w:tcW w:w="436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 w:right="0"/>
              <w:jc w:val="left"/>
              <w:rPr>
                <w:rFonts w:ascii="宋体" w:hAnsi="宋体" w:cs="宋体" w:eastAsia="宋体" w:hint="default"/>
                <w:sz w:val="21"/>
                <w:szCs w:val="21"/>
              </w:rPr>
            </w:pPr>
            <w:r>
              <w:rPr>
                <w:rFonts w:ascii="宋体" w:hAnsi="宋体" w:cs="宋体" w:eastAsia="宋体" w:hint="default"/>
                <w:sz w:val="21"/>
                <w:szCs w:val="21"/>
              </w:rPr>
              <w:t>一种火车票自助售票方法</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5" w:right="0"/>
              <w:jc w:val="left"/>
              <w:rPr>
                <w:rFonts w:ascii="宋体" w:hAnsi="宋体" w:cs="宋体" w:eastAsia="宋体" w:hint="default"/>
                <w:sz w:val="21"/>
                <w:szCs w:val="21"/>
              </w:rPr>
            </w:pPr>
            <w:r>
              <w:rPr>
                <w:rFonts w:ascii="宋体" w:hAnsi="宋体" w:cs="宋体" w:eastAsia="宋体" w:hint="default"/>
                <w:sz w:val="21"/>
                <w:szCs w:val="21"/>
              </w:rPr>
              <w:t>发明专利</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5" w:right="0"/>
              <w:jc w:val="left"/>
              <w:rPr>
                <w:rFonts w:ascii="宋体" w:hAnsi="宋体" w:cs="宋体" w:eastAsia="宋体" w:hint="default"/>
                <w:sz w:val="21"/>
                <w:szCs w:val="21"/>
              </w:rPr>
            </w:pPr>
            <w:r>
              <w:rPr>
                <w:rFonts w:ascii="宋体"/>
                <w:sz w:val="21"/>
              </w:rPr>
              <w:t>2017114211209</w:t>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 w:right="0"/>
              <w:jc w:val="left"/>
              <w:rPr>
                <w:rFonts w:ascii="宋体" w:hAnsi="宋体" w:cs="宋体" w:eastAsia="宋体" w:hint="default"/>
                <w:sz w:val="21"/>
                <w:szCs w:val="21"/>
              </w:rPr>
            </w:pPr>
            <w:r>
              <w:rPr>
                <w:rFonts w:ascii="宋体"/>
                <w:sz w:val="21"/>
              </w:rPr>
              <w:t>2017.12.25</w:t>
            </w:r>
          </w:p>
        </w:tc>
      </w:tr>
      <w:tr>
        <w:trPr>
          <w:trHeight w:val="342"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0"/>
              <w:jc w:val="center"/>
              <w:rPr>
                <w:rFonts w:ascii="宋体" w:hAnsi="宋体" w:cs="宋体" w:eastAsia="宋体" w:hint="default"/>
                <w:sz w:val="21"/>
                <w:szCs w:val="21"/>
              </w:rPr>
            </w:pPr>
            <w:r>
              <w:rPr>
                <w:rFonts w:ascii="宋体"/>
                <w:sz w:val="21"/>
              </w:rPr>
              <w:t>88</w:t>
            </w:r>
          </w:p>
        </w:tc>
        <w:tc>
          <w:tcPr>
            <w:tcW w:w="436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 w:right="0"/>
              <w:jc w:val="left"/>
              <w:rPr>
                <w:rFonts w:ascii="宋体" w:hAnsi="宋体" w:cs="宋体" w:eastAsia="宋体" w:hint="default"/>
                <w:sz w:val="21"/>
                <w:szCs w:val="21"/>
              </w:rPr>
            </w:pPr>
            <w:r>
              <w:rPr>
                <w:rFonts w:ascii="宋体" w:hAnsi="宋体" w:cs="宋体" w:eastAsia="宋体" w:hint="default"/>
                <w:sz w:val="21"/>
                <w:szCs w:val="21"/>
              </w:rPr>
              <w:t>一种轨道交通车厢乘客数量统计显示方法</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5" w:right="0"/>
              <w:jc w:val="left"/>
              <w:rPr>
                <w:rFonts w:ascii="宋体" w:hAnsi="宋体" w:cs="宋体" w:eastAsia="宋体" w:hint="default"/>
                <w:sz w:val="21"/>
                <w:szCs w:val="21"/>
              </w:rPr>
            </w:pPr>
            <w:r>
              <w:rPr>
                <w:rFonts w:ascii="宋体" w:hAnsi="宋体" w:cs="宋体" w:eastAsia="宋体" w:hint="default"/>
                <w:sz w:val="21"/>
                <w:szCs w:val="21"/>
              </w:rPr>
              <w:t>发明专利</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5" w:right="0"/>
              <w:jc w:val="left"/>
              <w:rPr>
                <w:rFonts w:ascii="宋体" w:hAnsi="宋体" w:cs="宋体" w:eastAsia="宋体" w:hint="default"/>
                <w:sz w:val="21"/>
                <w:szCs w:val="21"/>
              </w:rPr>
            </w:pPr>
            <w:r>
              <w:rPr>
                <w:rFonts w:ascii="宋体"/>
                <w:sz w:val="21"/>
              </w:rPr>
              <w:t>2017114211317</w:t>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 w:right="0"/>
              <w:jc w:val="left"/>
              <w:rPr>
                <w:rFonts w:ascii="宋体" w:hAnsi="宋体" w:cs="宋体" w:eastAsia="宋体" w:hint="default"/>
                <w:sz w:val="21"/>
                <w:szCs w:val="21"/>
              </w:rPr>
            </w:pPr>
            <w:r>
              <w:rPr>
                <w:rFonts w:ascii="宋体"/>
                <w:sz w:val="21"/>
              </w:rPr>
              <w:t>2017.12.25</w:t>
            </w:r>
          </w:p>
        </w:tc>
      </w:tr>
      <w:tr>
        <w:trPr>
          <w:trHeight w:val="342"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0"/>
              <w:jc w:val="center"/>
              <w:rPr>
                <w:rFonts w:ascii="宋体" w:hAnsi="宋体" w:cs="宋体" w:eastAsia="宋体" w:hint="default"/>
                <w:sz w:val="21"/>
                <w:szCs w:val="21"/>
              </w:rPr>
            </w:pPr>
            <w:r>
              <w:rPr>
                <w:rFonts w:ascii="宋体"/>
                <w:sz w:val="21"/>
              </w:rPr>
              <w:t>89</w:t>
            </w:r>
          </w:p>
        </w:tc>
        <w:tc>
          <w:tcPr>
            <w:tcW w:w="436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 w:right="0"/>
              <w:jc w:val="left"/>
              <w:rPr>
                <w:rFonts w:ascii="宋体" w:hAnsi="宋体" w:cs="宋体" w:eastAsia="宋体" w:hint="default"/>
                <w:sz w:val="21"/>
                <w:szCs w:val="21"/>
              </w:rPr>
            </w:pPr>
            <w:r>
              <w:rPr>
                <w:rFonts w:ascii="宋体" w:hAnsi="宋体" w:cs="宋体" w:eastAsia="宋体" w:hint="default"/>
                <w:sz w:val="21"/>
                <w:szCs w:val="21"/>
              </w:rPr>
              <w:t>基于风力发电的火车照明系统</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5" w:right="0"/>
              <w:jc w:val="left"/>
              <w:rPr>
                <w:rFonts w:ascii="宋体" w:hAnsi="宋体" w:cs="宋体" w:eastAsia="宋体" w:hint="default"/>
                <w:sz w:val="21"/>
                <w:szCs w:val="21"/>
              </w:rPr>
            </w:pPr>
            <w:r>
              <w:rPr>
                <w:rFonts w:ascii="宋体" w:hAnsi="宋体" w:cs="宋体" w:eastAsia="宋体" w:hint="default"/>
                <w:sz w:val="21"/>
                <w:szCs w:val="21"/>
              </w:rPr>
              <w:t>发明专利</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5" w:right="0"/>
              <w:jc w:val="left"/>
              <w:rPr>
                <w:rFonts w:ascii="宋体" w:hAnsi="宋体" w:cs="宋体" w:eastAsia="宋体" w:hint="default"/>
                <w:sz w:val="21"/>
                <w:szCs w:val="21"/>
              </w:rPr>
            </w:pPr>
            <w:r>
              <w:rPr>
                <w:rFonts w:ascii="宋体"/>
                <w:sz w:val="21"/>
              </w:rPr>
              <w:t>2017114368582</w:t>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 w:right="0"/>
              <w:jc w:val="left"/>
              <w:rPr>
                <w:rFonts w:ascii="宋体" w:hAnsi="宋体" w:cs="宋体" w:eastAsia="宋体" w:hint="default"/>
                <w:sz w:val="21"/>
                <w:szCs w:val="21"/>
              </w:rPr>
            </w:pPr>
            <w:r>
              <w:rPr>
                <w:rFonts w:ascii="宋体"/>
                <w:sz w:val="21"/>
              </w:rPr>
              <w:t>2017.12.26</w:t>
            </w:r>
          </w:p>
        </w:tc>
      </w:tr>
      <w:tr>
        <w:trPr>
          <w:trHeight w:val="342"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0"/>
              <w:jc w:val="center"/>
              <w:rPr>
                <w:rFonts w:ascii="宋体" w:hAnsi="宋体" w:cs="宋体" w:eastAsia="宋体" w:hint="default"/>
                <w:sz w:val="21"/>
                <w:szCs w:val="21"/>
              </w:rPr>
            </w:pPr>
            <w:r>
              <w:rPr>
                <w:rFonts w:ascii="宋体"/>
                <w:sz w:val="21"/>
              </w:rPr>
              <w:t>90</w:t>
            </w:r>
          </w:p>
        </w:tc>
        <w:tc>
          <w:tcPr>
            <w:tcW w:w="436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 w:right="0"/>
              <w:jc w:val="left"/>
              <w:rPr>
                <w:rFonts w:ascii="宋体" w:hAnsi="宋体" w:cs="宋体" w:eastAsia="宋体" w:hint="default"/>
                <w:sz w:val="21"/>
                <w:szCs w:val="21"/>
              </w:rPr>
            </w:pPr>
            <w:r>
              <w:rPr>
                <w:rFonts w:ascii="宋体" w:hAnsi="宋体" w:cs="宋体" w:eastAsia="宋体" w:hint="default"/>
                <w:sz w:val="21"/>
                <w:szCs w:val="21"/>
              </w:rPr>
              <w:t>一种基于人脸识别火车票购验票系统</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5" w:right="0"/>
              <w:jc w:val="left"/>
              <w:rPr>
                <w:rFonts w:ascii="宋体" w:hAnsi="宋体" w:cs="宋体" w:eastAsia="宋体" w:hint="default"/>
                <w:sz w:val="21"/>
                <w:szCs w:val="21"/>
              </w:rPr>
            </w:pPr>
            <w:r>
              <w:rPr>
                <w:rFonts w:ascii="宋体" w:hAnsi="宋体" w:cs="宋体" w:eastAsia="宋体" w:hint="default"/>
                <w:sz w:val="21"/>
                <w:szCs w:val="21"/>
              </w:rPr>
              <w:t>发明专利</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5" w:right="0"/>
              <w:jc w:val="left"/>
              <w:rPr>
                <w:rFonts w:ascii="宋体" w:hAnsi="宋体" w:cs="宋体" w:eastAsia="宋体" w:hint="default"/>
                <w:sz w:val="21"/>
                <w:szCs w:val="21"/>
              </w:rPr>
            </w:pPr>
            <w:r>
              <w:rPr>
                <w:rFonts w:ascii="宋体"/>
                <w:sz w:val="21"/>
              </w:rPr>
              <w:t>2017114368718</w:t>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 w:right="0"/>
              <w:jc w:val="left"/>
              <w:rPr>
                <w:rFonts w:ascii="宋体" w:hAnsi="宋体" w:cs="宋体" w:eastAsia="宋体" w:hint="default"/>
                <w:sz w:val="21"/>
                <w:szCs w:val="21"/>
              </w:rPr>
            </w:pPr>
            <w:r>
              <w:rPr>
                <w:rFonts w:ascii="宋体"/>
                <w:sz w:val="21"/>
              </w:rPr>
              <w:t>2017.12.26</w:t>
            </w:r>
          </w:p>
        </w:tc>
      </w:tr>
      <w:tr>
        <w:trPr>
          <w:trHeight w:val="342"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0"/>
              <w:jc w:val="center"/>
              <w:rPr>
                <w:rFonts w:ascii="宋体" w:hAnsi="宋体" w:cs="宋体" w:eastAsia="宋体" w:hint="default"/>
                <w:sz w:val="21"/>
                <w:szCs w:val="21"/>
              </w:rPr>
            </w:pPr>
            <w:r>
              <w:rPr>
                <w:rFonts w:ascii="宋体"/>
                <w:sz w:val="21"/>
              </w:rPr>
              <w:t>91</w:t>
            </w:r>
          </w:p>
        </w:tc>
        <w:tc>
          <w:tcPr>
            <w:tcW w:w="436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 w:right="0"/>
              <w:jc w:val="left"/>
              <w:rPr>
                <w:rFonts w:ascii="宋体" w:hAnsi="宋体" w:cs="宋体" w:eastAsia="宋体" w:hint="default"/>
                <w:sz w:val="21"/>
                <w:szCs w:val="21"/>
              </w:rPr>
            </w:pPr>
            <w:r>
              <w:rPr>
                <w:rFonts w:ascii="宋体" w:hAnsi="宋体" w:cs="宋体" w:eastAsia="宋体" w:hint="default"/>
                <w:sz w:val="21"/>
                <w:szCs w:val="21"/>
              </w:rPr>
              <w:t>基于语音提示的火车到站提醒系统</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5" w:right="0"/>
              <w:jc w:val="left"/>
              <w:rPr>
                <w:rFonts w:ascii="宋体" w:hAnsi="宋体" w:cs="宋体" w:eastAsia="宋体" w:hint="default"/>
                <w:sz w:val="21"/>
                <w:szCs w:val="21"/>
              </w:rPr>
            </w:pPr>
            <w:r>
              <w:rPr>
                <w:rFonts w:ascii="宋体" w:hAnsi="宋体" w:cs="宋体" w:eastAsia="宋体" w:hint="default"/>
                <w:sz w:val="21"/>
                <w:szCs w:val="21"/>
              </w:rPr>
              <w:t>发明专利</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5" w:right="0"/>
              <w:jc w:val="left"/>
              <w:rPr>
                <w:rFonts w:ascii="宋体" w:hAnsi="宋体" w:cs="宋体" w:eastAsia="宋体" w:hint="default"/>
                <w:sz w:val="21"/>
                <w:szCs w:val="21"/>
              </w:rPr>
            </w:pPr>
            <w:r>
              <w:rPr>
                <w:rFonts w:ascii="宋体"/>
                <w:sz w:val="21"/>
              </w:rPr>
              <w:t>2017114368722</w:t>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 w:right="0"/>
              <w:jc w:val="left"/>
              <w:rPr>
                <w:rFonts w:ascii="宋体" w:hAnsi="宋体" w:cs="宋体" w:eastAsia="宋体" w:hint="default"/>
                <w:sz w:val="21"/>
                <w:szCs w:val="21"/>
              </w:rPr>
            </w:pPr>
            <w:r>
              <w:rPr>
                <w:rFonts w:ascii="宋体"/>
                <w:sz w:val="21"/>
              </w:rPr>
              <w:t>2017.12.26</w:t>
            </w:r>
          </w:p>
        </w:tc>
      </w:tr>
      <w:tr>
        <w:trPr>
          <w:trHeight w:val="342"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0"/>
              <w:jc w:val="center"/>
              <w:rPr>
                <w:rFonts w:ascii="宋体" w:hAnsi="宋体" w:cs="宋体" w:eastAsia="宋体" w:hint="default"/>
                <w:sz w:val="21"/>
                <w:szCs w:val="21"/>
              </w:rPr>
            </w:pPr>
            <w:r>
              <w:rPr>
                <w:rFonts w:ascii="宋体"/>
                <w:sz w:val="21"/>
              </w:rPr>
              <w:t>92</w:t>
            </w:r>
          </w:p>
        </w:tc>
        <w:tc>
          <w:tcPr>
            <w:tcW w:w="436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 w:right="0"/>
              <w:jc w:val="left"/>
              <w:rPr>
                <w:rFonts w:ascii="宋体" w:hAnsi="宋体" w:cs="宋体" w:eastAsia="宋体" w:hint="default"/>
                <w:sz w:val="21"/>
                <w:szCs w:val="21"/>
              </w:rPr>
            </w:pPr>
            <w:r>
              <w:rPr>
                <w:rFonts w:ascii="宋体" w:hAnsi="宋体" w:cs="宋体" w:eastAsia="宋体" w:hint="default"/>
                <w:sz w:val="21"/>
                <w:szCs w:val="21"/>
              </w:rPr>
              <w:t>基于无线传感网络的铁路防灾安全监控系统</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5" w:right="0"/>
              <w:jc w:val="left"/>
              <w:rPr>
                <w:rFonts w:ascii="宋体" w:hAnsi="宋体" w:cs="宋体" w:eastAsia="宋体" w:hint="default"/>
                <w:sz w:val="21"/>
                <w:szCs w:val="21"/>
              </w:rPr>
            </w:pPr>
            <w:r>
              <w:rPr>
                <w:rFonts w:ascii="宋体" w:hAnsi="宋体" w:cs="宋体" w:eastAsia="宋体" w:hint="default"/>
                <w:sz w:val="21"/>
                <w:szCs w:val="21"/>
              </w:rPr>
              <w:t>发明专利</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5" w:right="0"/>
              <w:jc w:val="left"/>
              <w:rPr>
                <w:rFonts w:ascii="宋体" w:hAnsi="宋体" w:cs="宋体" w:eastAsia="宋体" w:hint="default"/>
                <w:sz w:val="21"/>
                <w:szCs w:val="21"/>
              </w:rPr>
            </w:pPr>
            <w:r>
              <w:rPr>
                <w:rFonts w:ascii="宋体"/>
                <w:sz w:val="21"/>
              </w:rPr>
              <w:t>2017114503315</w:t>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 w:right="0"/>
              <w:jc w:val="left"/>
              <w:rPr>
                <w:rFonts w:ascii="宋体" w:hAnsi="宋体" w:cs="宋体" w:eastAsia="宋体" w:hint="default"/>
                <w:sz w:val="21"/>
                <w:szCs w:val="21"/>
              </w:rPr>
            </w:pPr>
            <w:r>
              <w:rPr>
                <w:rFonts w:ascii="宋体"/>
                <w:sz w:val="21"/>
              </w:rPr>
              <w:t>2017.12.27</w:t>
            </w:r>
          </w:p>
        </w:tc>
      </w:tr>
      <w:tr>
        <w:trPr>
          <w:trHeight w:val="342"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0"/>
              <w:jc w:val="center"/>
              <w:rPr>
                <w:rFonts w:ascii="宋体" w:hAnsi="宋体" w:cs="宋体" w:eastAsia="宋体" w:hint="default"/>
                <w:sz w:val="21"/>
                <w:szCs w:val="21"/>
              </w:rPr>
            </w:pPr>
            <w:r>
              <w:rPr>
                <w:rFonts w:ascii="宋体"/>
                <w:sz w:val="21"/>
              </w:rPr>
              <w:t>93</w:t>
            </w:r>
          </w:p>
        </w:tc>
        <w:tc>
          <w:tcPr>
            <w:tcW w:w="436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 w:right="0"/>
              <w:jc w:val="left"/>
              <w:rPr>
                <w:rFonts w:ascii="宋体" w:hAnsi="宋体" w:cs="宋体" w:eastAsia="宋体" w:hint="default"/>
                <w:sz w:val="21"/>
                <w:szCs w:val="21"/>
              </w:rPr>
            </w:pPr>
            <w:r>
              <w:rPr>
                <w:rFonts w:ascii="宋体" w:hAnsi="宋体" w:cs="宋体" w:eastAsia="宋体" w:hint="default"/>
                <w:sz w:val="21"/>
                <w:szCs w:val="21"/>
              </w:rPr>
              <w:t>基于移动终端的火车到站提醒方法</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5" w:right="0"/>
              <w:jc w:val="left"/>
              <w:rPr>
                <w:rFonts w:ascii="宋体" w:hAnsi="宋体" w:cs="宋体" w:eastAsia="宋体" w:hint="default"/>
                <w:sz w:val="21"/>
                <w:szCs w:val="21"/>
              </w:rPr>
            </w:pPr>
            <w:r>
              <w:rPr>
                <w:rFonts w:ascii="宋体" w:hAnsi="宋体" w:cs="宋体" w:eastAsia="宋体" w:hint="default"/>
                <w:sz w:val="21"/>
                <w:szCs w:val="21"/>
              </w:rPr>
              <w:t>发明专利</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5" w:right="0"/>
              <w:jc w:val="left"/>
              <w:rPr>
                <w:rFonts w:ascii="宋体" w:hAnsi="宋体" w:cs="宋体" w:eastAsia="宋体" w:hint="default"/>
                <w:sz w:val="21"/>
                <w:szCs w:val="21"/>
              </w:rPr>
            </w:pPr>
            <w:r>
              <w:rPr>
                <w:rFonts w:ascii="宋体"/>
                <w:sz w:val="21"/>
              </w:rPr>
              <w:t>2017114451255</w:t>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 w:right="0"/>
              <w:jc w:val="left"/>
              <w:rPr>
                <w:rFonts w:ascii="宋体" w:hAnsi="宋体" w:cs="宋体" w:eastAsia="宋体" w:hint="default"/>
                <w:sz w:val="21"/>
                <w:szCs w:val="21"/>
              </w:rPr>
            </w:pPr>
            <w:r>
              <w:rPr>
                <w:rFonts w:ascii="宋体"/>
                <w:sz w:val="21"/>
              </w:rPr>
              <w:t>2017.12.27</w:t>
            </w:r>
          </w:p>
        </w:tc>
      </w:tr>
      <w:tr>
        <w:trPr>
          <w:trHeight w:val="342"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0"/>
              <w:jc w:val="center"/>
              <w:rPr>
                <w:rFonts w:ascii="宋体" w:hAnsi="宋体" w:cs="宋体" w:eastAsia="宋体" w:hint="default"/>
                <w:sz w:val="21"/>
                <w:szCs w:val="21"/>
              </w:rPr>
            </w:pPr>
            <w:r>
              <w:rPr>
                <w:rFonts w:ascii="宋体"/>
                <w:sz w:val="21"/>
              </w:rPr>
              <w:t>94</w:t>
            </w:r>
          </w:p>
        </w:tc>
        <w:tc>
          <w:tcPr>
            <w:tcW w:w="436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 w:right="0"/>
              <w:jc w:val="left"/>
              <w:rPr>
                <w:rFonts w:ascii="宋体" w:hAnsi="宋体" w:cs="宋体" w:eastAsia="宋体" w:hint="default"/>
                <w:sz w:val="21"/>
                <w:szCs w:val="21"/>
              </w:rPr>
            </w:pPr>
            <w:r>
              <w:rPr>
                <w:rFonts w:ascii="宋体" w:hAnsi="宋体" w:cs="宋体" w:eastAsia="宋体" w:hint="default"/>
                <w:sz w:val="21"/>
                <w:szCs w:val="21"/>
              </w:rPr>
              <w:t>一种火车上的智能照明系统</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5" w:right="0"/>
              <w:jc w:val="left"/>
              <w:rPr>
                <w:rFonts w:ascii="宋体" w:hAnsi="宋体" w:cs="宋体" w:eastAsia="宋体" w:hint="default"/>
                <w:sz w:val="21"/>
                <w:szCs w:val="21"/>
              </w:rPr>
            </w:pPr>
            <w:r>
              <w:rPr>
                <w:rFonts w:ascii="宋体" w:hAnsi="宋体" w:cs="宋体" w:eastAsia="宋体" w:hint="default"/>
                <w:sz w:val="21"/>
                <w:szCs w:val="21"/>
              </w:rPr>
              <w:t>发明专利</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5" w:right="0"/>
              <w:jc w:val="left"/>
              <w:rPr>
                <w:rFonts w:ascii="宋体" w:hAnsi="宋体" w:cs="宋体" w:eastAsia="宋体" w:hint="default"/>
                <w:sz w:val="21"/>
                <w:szCs w:val="21"/>
              </w:rPr>
            </w:pPr>
            <w:r>
              <w:rPr>
                <w:rFonts w:ascii="宋体"/>
                <w:sz w:val="21"/>
              </w:rPr>
              <w:t>2017114503423</w:t>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 w:right="0"/>
              <w:jc w:val="left"/>
              <w:rPr>
                <w:rFonts w:ascii="宋体" w:hAnsi="宋体" w:cs="宋体" w:eastAsia="宋体" w:hint="default"/>
                <w:sz w:val="21"/>
                <w:szCs w:val="21"/>
              </w:rPr>
            </w:pPr>
            <w:r>
              <w:rPr>
                <w:rFonts w:ascii="宋体"/>
                <w:sz w:val="21"/>
              </w:rPr>
              <w:t>2017.12.27</w:t>
            </w:r>
          </w:p>
        </w:tc>
      </w:tr>
      <w:tr>
        <w:trPr>
          <w:trHeight w:val="342"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0"/>
              <w:jc w:val="center"/>
              <w:rPr>
                <w:rFonts w:ascii="宋体" w:hAnsi="宋体" w:cs="宋体" w:eastAsia="宋体" w:hint="default"/>
                <w:sz w:val="21"/>
                <w:szCs w:val="21"/>
              </w:rPr>
            </w:pPr>
            <w:r>
              <w:rPr>
                <w:rFonts w:ascii="宋体"/>
                <w:sz w:val="21"/>
              </w:rPr>
              <w:t>95</w:t>
            </w:r>
          </w:p>
        </w:tc>
        <w:tc>
          <w:tcPr>
            <w:tcW w:w="436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 w:right="0"/>
              <w:jc w:val="left"/>
              <w:rPr>
                <w:rFonts w:ascii="宋体" w:hAnsi="宋体" w:cs="宋体" w:eastAsia="宋体" w:hint="default"/>
                <w:sz w:val="21"/>
                <w:szCs w:val="21"/>
              </w:rPr>
            </w:pPr>
            <w:r>
              <w:rPr>
                <w:rFonts w:ascii="宋体" w:hAnsi="宋体" w:cs="宋体" w:eastAsia="宋体" w:hint="default"/>
                <w:sz w:val="21"/>
                <w:szCs w:val="21"/>
              </w:rPr>
              <w:t>基于物联网的铁路防灾监控系统及方法</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5" w:right="0"/>
              <w:jc w:val="left"/>
              <w:rPr>
                <w:rFonts w:ascii="宋体" w:hAnsi="宋体" w:cs="宋体" w:eastAsia="宋体" w:hint="default"/>
                <w:sz w:val="21"/>
                <w:szCs w:val="21"/>
              </w:rPr>
            </w:pPr>
            <w:r>
              <w:rPr>
                <w:rFonts w:ascii="宋体" w:hAnsi="宋体" w:cs="宋体" w:eastAsia="宋体" w:hint="default"/>
                <w:sz w:val="21"/>
                <w:szCs w:val="21"/>
              </w:rPr>
              <w:t>发明专利</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5" w:right="0"/>
              <w:jc w:val="left"/>
              <w:rPr>
                <w:rFonts w:ascii="宋体" w:hAnsi="宋体" w:cs="宋体" w:eastAsia="宋体" w:hint="default"/>
                <w:sz w:val="21"/>
                <w:szCs w:val="21"/>
              </w:rPr>
            </w:pPr>
            <w:r>
              <w:rPr>
                <w:rFonts w:ascii="宋体"/>
                <w:sz w:val="21"/>
              </w:rPr>
              <w:t>2017114564906</w:t>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 w:right="0"/>
              <w:jc w:val="left"/>
              <w:rPr>
                <w:rFonts w:ascii="宋体" w:hAnsi="宋体" w:cs="宋体" w:eastAsia="宋体" w:hint="default"/>
                <w:sz w:val="21"/>
                <w:szCs w:val="21"/>
              </w:rPr>
            </w:pPr>
            <w:r>
              <w:rPr>
                <w:rFonts w:ascii="宋体"/>
                <w:sz w:val="21"/>
              </w:rPr>
              <w:t>2017.12.28</w:t>
            </w:r>
          </w:p>
        </w:tc>
      </w:tr>
      <w:tr>
        <w:trPr>
          <w:trHeight w:val="342"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0"/>
              <w:jc w:val="center"/>
              <w:rPr>
                <w:rFonts w:ascii="宋体" w:hAnsi="宋体" w:cs="宋体" w:eastAsia="宋体" w:hint="default"/>
                <w:sz w:val="21"/>
                <w:szCs w:val="21"/>
              </w:rPr>
            </w:pPr>
            <w:r>
              <w:rPr>
                <w:rFonts w:ascii="宋体"/>
                <w:sz w:val="21"/>
              </w:rPr>
              <w:t>96</w:t>
            </w:r>
          </w:p>
        </w:tc>
        <w:tc>
          <w:tcPr>
            <w:tcW w:w="436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 w:right="0"/>
              <w:jc w:val="left"/>
              <w:rPr>
                <w:rFonts w:ascii="宋体" w:hAnsi="宋体" w:cs="宋体" w:eastAsia="宋体" w:hint="default"/>
                <w:sz w:val="21"/>
                <w:szCs w:val="21"/>
              </w:rPr>
            </w:pPr>
            <w:r>
              <w:rPr>
                <w:rFonts w:ascii="宋体" w:hAnsi="宋体" w:cs="宋体" w:eastAsia="宋体" w:hint="default"/>
                <w:sz w:val="21"/>
                <w:szCs w:val="21"/>
              </w:rPr>
              <w:t>一种火车站台入侵者识别系统及识别方法</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5" w:right="0"/>
              <w:jc w:val="left"/>
              <w:rPr>
                <w:rFonts w:ascii="宋体" w:hAnsi="宋体" w:cs="宋体" w:eastAsia="宋体" w:hint="default"/>
                <w:sz w:val="21"/>
                <w:szCs w:val="21"/>
              </w:rPr>
            </w:pPr>
            <w:r>
              <w:rPr>
                <w:rFonts w:ascii="宋体" w:hAnsi="宋体" w:cs="宋体" w:eastAsia="宋体" w:hint="default"/>
                <w:sz w:val="21"/>
                <w:szCs w:val="21"/>
              </w:rPr>
              <w:t>发明专利</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5" w:right="0"/>
              <w:jc w:val="left"/>
              <w:rPr>
                <w:rFonts w:ascii="宋体" w:hAnsi="宋体" w:cs="宋体" w:eastAsia="宋体" w:hint="default"/>
                <w:sz w:val="21"/>
                <w:szCs w:val="21"/>
              </w:rPr>
            </w:pPr>
            <w:r>
              <w:rPr>
                <w:rFonts w:ascii="宋体"/>
                <w:sz w:val="21"/>
              </w:rPr>
              <w:t>2017114480864</w:t>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 w:right="0"/>
              <w:jc w:val="left"/>
              <w:rPr>
                <w:rFonts w:ascii="宋体" w:hAnsi="宋体" w:cs="宋体" w:eastAsia="宋体" w:hint="default"/>
                <w:sz w:val="21"/>
                <w:szCs w:val="21"/>
              </w:rPr>
            </w:pPr>
            <w:r>
              <w:rPr>
                <w:rFonts w:ascii="宋体"/>
                <w:sz w:val="21"/>
              </w:rPr>
              <w:t>2017.12.27</w:t>
            </w:r>
          </w:p>
        </w:tc>
      </w:tr>
      <w:tr>
        <w:trPr>
          <w:trHeight w:val="342"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0"/>
              <w:jc w:val="center"/>
              <w:rPr>
                <w:rFonts w:ascii="宋体" w:hAnsi="宋体" w:cs="宋体" w:eastAsia="宋体" w:hint="default"/>
                <w:sz w:val="21"/>
                <w:szCs w:val="21"/>
              </w:rPr>
            </w:pPr>
            <w:r>
              <w:rPr>
                <w:rFonts w:ascii="宋体"/>
                <w:sz w:val="21"/>
              </w:rPr>
              <w:t>97</w:t>
            </w:r>
          </w:p>
        </w:tc>
        <w:tc>
          <w:tcPr>
            <w:tcW w:w="436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 w:right="0"/>
              <w:jc w:val="left"/>
              <w:rPr>
                <w:rFonts w:ascii="宋体" w:hAnsi="宋体" w:cs="宋体" w:eastAsia="宋体" w:hint="default"/>
                <w:sz w:val="21"/>
                <w:szCs w:val="21"/>
              </w:rPr>
            </w:pPr>
            <w:r>
              <w:rPr>
                <w:rFonts w:ascii="宋体" w:hAnsi="宋体" w:cs="宋体" w:eastAsia="宋体" w:hint="default"/>
                <w:sz w:val="21"/>
                <w:szCs w:val="21"/>
              </w:rPr>
              <w:t>一种基于无人机的轨道巡检系统</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5" w:right="0"/>
              <w:jc w:val="left"/>
              <w:rPr>
                <w:rFonts w:ascii="宋体" w:hAnsi="宋体" w:cs="宋体" w:eastAsia="宋体" w:hint="default"/>
                <w:sz w:val="21"/>
                <w:szCs w:val="21"/>
              </w:rPr>
            </w:pPr>
            <w:r>
              <w:rPr>
                <w:rFonts w:ascii="宋体" w:hAnsi="宋体" w:cs="宋体" w:eastAsia="宋体" w:hint="default"/>
                <w:sz w:val="21"/>
                <w:szCs w:val="21"/>
              </w:rPr>
              <w:t>发明专利</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5" w:right="0"/>
              <w:jc w:val="left"/>
              <w:rPr>
                <w:rFonts w:ascii="宋体" w:hAnsi="宋体" w:cs="宋体" w:eastAsia="宋体" w:hint="default"/>
                <w:sz w:val="21"/>
                <w:szCs w:val="21"/>
              </w:rPr>
            </w:pPr>
            <w:r>
              <w:rPr>
                <w:rFonts w:ascii="宋体"/>
                <w:sz w:val="21"/>
              </w:rPr>
              <w:t>2017114503673</w:t>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 w:right="0"/>
              <w:jc w:val="left"/>
              <w:rPr>
                <w:rFonts w:ascii="宋体" w:hAnsi="宋体" w:cs="宋体" w:eastAsia="宋体" w:hint="default"/>
                <w:sz w:val="21"/>
                <w:szCs w:val="21"/>
              </w:rPr>
            </w:pPr>
            <w:r>
              <w:rPr>
                <w:rFonts w:ascii="宋体"/>
                <w:sz w:val="21"/>
              </w:rPr>
              <w:t>2017.12.27</w:t>
            </w:r>
          </w:p>
        </w:tc>
      </w:tr>
      <w:tr>
        <w:trPr>
          <w:trHeight w:val="342"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0"/>
              <w:jc w:val="center"/>
              <w:rPr>
                <w:rFonts w:ascii="宋体" w:hAnsi="宋体" w:cs="宋体" w:eastAsia="宋体" w:hint="default"/>
                <w:sz w:val="21"/>
                <w:szCs w:val="21"/>
              </w:rPr>
            </w:pPr>
            <w:r>
              <w:rPr>
                <w:rFonts w:ascii="宋体"/>
                <w:sz w:val="21"/>
              </w:rPr>
              <w:t>98</w:t>
            </w:r>
          </w:p>
        </w:tc>
        <w:tc>
          <w:tcPr>
            <w:tcW w:w="436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 w:right="0"/>
              <w:jc w:val="left"/>
              <w:rPr>
                <w:rFonts w:ascii="宋体" w:hAnsi="宋体" w:cs="宋体" w:eastAsia="宋体" w:hint="default"/>
                <w:sz w:val="21"/>
                <w:szCs w:val="21"/>
              </w:rPr>
            </w:pPr>
            <w:r>
              <w:rPr>
                <w:rFonts w:ascii="宋体" w:hAnsi="宋体" w:cs="宋体" w:eastAsia="宋体" w:hint="default"/>
                <w:sz w:val="21"/>
                <w:szCs w:val="21"/>
              </w:rPr>
              <w:t>一种火车车厢内空气检测及通风系统</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5" w:right="0"/>
              <w:jc w:val="left"/>
              <w:rPr>
                <w:rFonts w:ascii="宋体" w:hAnsi="宋体" w:cs="宋体" w:eastAsia="宋体" w:hint="default"/>
                <w:sz w:val="21"/>
                <w:szCs w:val="21"/>
              </w:rPr>
            </w:pPr>
            <w:r>
              <w:rPr>
                <w:rFonts w:ascii="宋体" w:hAnsi="宋体" w:cs="宋体" w:eastAsia="宋体" w:hint="default"/>
                <w:sz w:val="21"/>
                <w:szCs w:val="21"/>
              </w:rPr>
              <w:t>发明专利</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5" w:right="0"/>
              <w:jc w:val="left"/>
              <w:rPr>
                <w:rFonts w:ascii="宋体" w:hAnsi="宋体" w:cs="宋体" w:eastAsia="宋体" w:hint="default"/>
                <w:sz w:val="21"/>
                <w:szCs w:val="21"/>
              </w:rPr>
            </w:pPr>
            <w:r>
              <w:rPr>
                <w:rFonts w:ascii="宋体"/>
                <w:sz w:val="21"/>
              </w:rPr>
              <w:t>2017114480883</w:t>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 w:right="0"/>
              <w:jc w:val="left"/>
              <w:rPr>
                <w:rFonts w:ascii="宋体" w:hAnsi="宋体" w:cs="宋体" w:eastAsia="宋体" w:hint="default"/>
                <w:sz w:val="21"/>
                <w:szCs w:val="21"/>
              </w:rPr>
            </w:pPr>
            <w:r>
              <w:rPr>
                <w:rFonts w:ascii="宋体"/>
                <w:sz w:val="21"/>
              </w:rPr>
              <w:t>2017.12.27</w:t>
            </w:r>
          </w:p>
        </w:tc>
      </w:tr>
      <w:tr>
        <w:trPr>
          <w:trHeight w:val="342"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0"/>
              <w:jc w:val="center"/>
              <w:rPr>
                <w:rFonts w:ascii="宋体" w:hAnsi="宋体" w:cs="宋体" w:eastAsia="宋体" w:hint="default"/>
                <w:sz w:val="21"/>
                <w:szCs w:val="21"/>
              </w:rPr>
            </w:pPr>
            <w:r>
              <w:rPr>
                <w:rFonts w:ascii="宋体"/>
                <w:sz w:val="21"/>
              </w:rPr>
              <w:t>99</w:t>
            </w:r>
          </w:p>
        </w:tc>
        <w:tc>
          <w:tcPr>
            <w:tcW w:w="436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 w:right="0"/>
              <w:jc w:val="left"/>
              <w:rPr>
                <w:rFonts w:ascii="宋体" w:hAnsi="宋体" w:cs="宋体" w:eastAsia="宋体" w:hint="default"/>
                <w:sz w:val="21"/>
                <w:szCs w:val="21"/>
              </w:rPr>
            </w:pPr>
            <w:r>
              <w:rPr>
                <w:rFonts w:ascii="宋体" w:hAnsi="宋体" w:cs="宋体" w:eastAsia="宋体" w:hint="default"/>
                <w:sz w:val="21"/>
                <w:szCs w:val="21"/>
              </w:rPr>
              <w:t>一种人物不分离的铁路安检系统</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5" w:right="0"/>
              <w:jc w:val="left"/>
              <w:rPr>
                <w:rFonts w:ascii="宋体" w:hAnsi="宋体" w:cs="宋体" w:eastAsia="宋体" w:hint="default"/>
                <w:sz w:val="21"/>
                <w:szCs w:val="21"/>
              </w:rPr>
            </w:pPr>
            <w:r>
              <w:rPr>
                <w:rFonts w:ascii="宋体" w:hAnsi="宋体" w:cs="宋体" w:eastAsia="宋体" w:hint="default"/>
                <w:sz w:val="21"/>
                <w:szCs w:val="21"/>
              </w:rPr>
              <w:t>发明专利</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5" w:right="0"/>
              <w:jc w:val="left"/>
              <w:rPr>
                <w:rFonts w:ascii="宋体" w:hAnsi="宋体" w:cs="宋体" w:eastAsia="宋体" w:hint="default"/>
                <w:sz w:val="21"/>
                <w:szCs w:val="21"/>
              </w:rPr>
            </w:pPr>
            <w:r>
              <w:rPr>
                <w:rFonts w:ascii="宋体"/>
                <w:sz w:val="21"/>
              </w:rPr>
              <w:t>2017114600461</w:t>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 w:right="0"/>
              <w:jc w:val="left"/>
              <w:rPr>
                <w:rFonts w:ascii="宋体" w:hAnsi="宋体" w:cs="宋体" w:eastAsia="宋体" w:hint="default"/>
                <w:sz w:val="21"/>
                <w:szCs w:val="21"/>
              </w:rPr>
            </w:pPr>
            <w:r>
              <w:rPr>
                <w:rFonts w:ascii="宋体"/>
                <w:sz w:val="21"/>
              </w:rPr>
              <w:t>2017.12.28</w:t>
            </w:r>
          </w:p>
        </w:tc>
      </w:tr>
      <w:tr>
        <w:trPr>
          <w:trHeight w:val="342"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0"/>
              <w:jc w:val="center"/>
              <w:rPr>
                <w:rFonts w:ascii="宋体" w:hAnsi="宋体" w:cs="宋体" w:eastAsia="宋体" w:hint="default"/>
                <w:sz w:val="21"/>
                <w:szCs w:val="21"/>
              </w:rPr>
            </w:pPr>
            <w:r>
              <w:rPr>
                <w:rFonts w:ascii="宋体"/>
                <w:sz w:val="21"/>
              </w:rPr>
              <w:t>100</w:t>
            </w:r>
          </w:p>
        </w:tc>
        <w:tc>
          <w:tcPr>
            <w:tcW w:w="436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 w:right="0"/>
              <w:jc w:val="left"/>
              <w:rPr>
                <w:rFonts w:ascii="宋体" w:hAnsi="宋体" w:cs="宋体" w:eastAsia="宋体" w:hint="default"/>
                <w:sz w:val="21"/>
                <w:szCs w:val="21"/>
              </w:rPr>
            </w:pPr>
            <w:r>
              <w:rPr>
                <w:rFonts w:ascii="宋体" w:hAnsi="宋体" w:cs="宋体" w:eastAsia="宋体" w:hint="default"/>
                <w:sz w:val="21"/>
                <w:szCs w:val="21"/>
              </w:rPr>
              <w:t>一种用于铁路防灾监控的滑坡灾害监测系统</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5" w:right="0"/>
              <w:jc w:val="left"/>
              <w:rPr>
                <w:rFonts w:ascii="宋体" w:hAnsi="宋体" w:cs="宋体" w:eastAsia="宋体" w:hint="default"/>
                <w:sz w:val="21"/>
                <w:szCs w:val="21"/>
              </w:rPr>
            </w:pPr>
            <w:r>
              <w:rPr>
                <w:rFonts w:ascii="宋体" w:hAnsi="宋体" w:cs="宋体" w:eastAsia="宋体" w:hint="default"/>
                <w:sz w:val="21"/>
                <w:szCs w:val="21"/>
              </w:rPr>
              <w:t>发明专利</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5" w:right="0"/>
              <w:jc w:val="left"/>
              <w:rPr>
                <w:rFonts w:ascii="宋体" w:hAnsi="宋体" w:cs="宋体" w:eastAsia="宋体" w:hint="default"/>
                <w:sz w:val="21"/>
                <w:szCs w:val="21"/>
              </w:rPr>
            </w:pPr>
            <w:r>
              <w:rPr>
                <w:rFonts w:ascii="宋体"/>
                <w:sz w:val="21"/>
              </w:rPr>
              <w:t>2017114600480</w:t>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 w:right="0"/>
              <w:jc w:val="left"/>
              <w:rPr>
                <w:rFonts w:ascii="宋体" w:hAnsi="宋体" w:cs="宋体" w:eastAsia="宋体" w:hint="default"/>
                <w:sz w:val="21"/>
                <w:szCs w:val="21"/>
              </w:rPr>
            </w:pPr>
            <w:r>
              <w:rPr>
                <w:rFonts w:ascii="宋体"/>
                <w:sz w:val="21"/>
              </w:rPr>
              <w:t>2017.12.28</w:t>
            </w:r>
          </w:p>
        </w:tc>
      </w:tr>
      <w:tr>
        <w:trPr>
          <w:trHeight w:val="342"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0"/>
              <w:jc w:val="center"/>
              <w:rPr>
                <w:rFonts w:ascii="宋体" w:hAnsi="宋体" w:cs="宋体" w:eastAsia="宋体" w:hint="default"/>
                <w:sz w:val="21"/>
                <w:szCs w:val="21"/>
              </w:rPr>
            </w:pPr>
            <w:r>
              <w:rPr>
                <w:rFonts w:ascii="宋体"/>
                <w:sz w:val="21"/>
              </w:rPr>
              <w:t>101</w:t>
            </w:r>
          </w:p>
        </w:tc>
        <w:tc>
          <w:tcPr>
            <w:tcW w:w="436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 w:right="0"/>
              <w:jc w:val="left"/>
              <w:rPr>
                <w:rFonts w:ascii="宋体" w:hAnsi="宋体" w:cs="宋体" w:eastAsia="宋体" w:hint="default"/>
                <w:sz w:val="21"/>
                <w:szCs w:val="21"/>
              </w:rPr>
            </w:pPr>
            <w:r>
              <w:rPr>
                <w:rFonts w:ascii="宋体" w:hAnsi="宋体" w:cs="宋体" w:eastAsia="宋体" w:hint="default"/>
                <w:sz w:val="21"/>
                <w:szCs w:val="21"/>
              </w:rPr>
              <w:t>用于铁路防灾的隧道异物侵限监测系统</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5" w:right="0"/>
              <w:jc w:val="left"/>
              <w:rPr>
                <w:rFonts w:ascii="宋体" w:hAnsi="宋体" w:cs="宋体" w:eastAsia="宋体" w:hint="default"/>
                <w:sz w:val="21"/>
                <w:szCs w:val="21"/>
              </w:rPr>
            </w:pPr>
            <w:r>
              <w:rPr>
                <w:rFonts w:ascii="宋体" w:hAnsi="宋体" w:cs="宋体" w:eastAsia="宋体" w:hint="default"/>
                <w:sz w:val="21"/>
                <w:szCs w:val="21"/>
              </w:rPr>
              <w:t>发明专利</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5" w:right="0"/>
              <w:jc w:val="left"/>
              <w:rPr>
                <w:rFonts w:ascii="宋体" w:hAnsi="宋体" w:cs="宋体" w:eastAsia="宋体" w:hint="default"/>
                <w:sz w:val="21"/>
                <w:szCs w:val="21"/>
              </w:rPr>
            </w:pPr>
            <w:r>
              <w:rPr>
                <w:rFonts w:ascii="宋体"/>
                <w:sz w:val="21"/>
              </w:rPr>
              <w:t>2017114583841</w:t>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 w:right="0"/>
              <w:jc w:val="left"/>
              <w:rPr>
                <w:rFonts w:ascii="宋体" w:hAnsi="宋体" w:cs="宋体" w:eastAsia="宋体" w:hint="default"/>
                <w:sz w:val="21"/>
                <w:szCs w:val="21"/>
              </w:rPr>
            </w:pPr>
            <w:r>
              <w:rPr>
                <w:rFonts w:ascii="宋体"/>
                <w:sz w:val="21"/>
              </w:rPr>
              <w:t>2017.12.28</w:t>
            </w:r>
          </w:p>
        </w:tc>
      </w:tr>
      <w:tr>
        <w:trPr>
          <w:trHeight w:val="342"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0"/>
              <w:jc w:val="center"/>
              <w:rPr>
                <w:rFonts w:ascii="宋体" w:hAnsi="宋体" w:cs="宋体" w:eastAsia="宋体" w:hint="default"/>
                <w:sz w:val="21"/>
                <w:szCs w:val="21"/>
              </w:rPr>
            </w:pPr>
            <w:r>
              <w:rPr>
                <w:rFonts w:ascii="宋体"/>
                <w:sz w:val="21"/>
              </w:rPr>
              <w:t>102</w:t>
            </w:r>
          </w:p>
        </w:tc>
        <w:tc>
          <w:tcPr>
            <w:tcW w:w="436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 w:right="0"/>
              <w:jc w:val="left"/>
              <w:rPr>
                <w:rFonts w:ascii="宋体" w:hAnsi="宋体" w:cs="宋体" w:eastAsia="宋体" w:hint="default"/>
                <w:sz w:val="21"/>
                <w:szCs w:val="21"/>
              </w:rPr>
            </w:pPr>
            <w:r>
              <w:rPr>
                <w:rFonts w:ascii="宋体" w:hAnsi="宋体" w:cs="宋体" w:eastAsia="宋体" w:hint="default"/>
                <w:sz w:val="21"/>
                <w:szCs w:val="21"/>
              </w:rPr>
              <w:t>火车水箱的水质监测系统</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5" w:right="0"/>
              <w:jc w:val="left"/>
              <w:rPr>
                <w:rFonts w:ascii="宋体" w:hAnsi="宋体" w:cs="宋体" w:eastAsia="宋体" w:hint="default"/>
                <w:sz w:val="21"/>
                <w:szCs w:val="21"/>
              </w:rPr>
            </w:pPr>
            <w:r>
              <w:rPr>
                <w:rFonts w:ascii="宋体" w:hAnsi="宋体" w:cs="宋体" w:eastAsia="宋体" w:hint="default"/>
                <w:sz w:val="21"/>
                <w:szCs w:val="21"/>
              </w:rPr>
              <w:t>发明专利</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5" w:right="0"/>
              <w:jc w:val="left"/>
              <w:rPr>
                <w:rFonts w:ascii="宋体" w:hAnsi="宋体" w:cs="宋体" w:eastAsia="宋体" w:hint="default"/>
                <w:sz w:val="21"/>
                <w:szCs w:val="21"/>
              </w:rPr>
            </w:pPr>
            <w:r>
              <w:rPr>
                <w:rFonts w:ascii="宋体"/>
                <w:sz w:val="21"/>
              </w:rPr>
              <w:t>201711458490X</w:t>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 w:right="0"/>
              <w:jc w:val="left"/>
              <w:rPr>
                <w:rFonts w:ascii="宋体" w:hAnsi="宋体" w:cs="宋体" w:eastAsia="宋体" w:hint="default"/>
                <w:sz w:val="21"/>
                <w:szCs w:val="21"/>
              </w:rPr>
            </w:pPr>
            <w:r>
              <w:rPr>
                <w:rFonts w:ascii="宋体"/>
                <w:sz w:val="21"/>
              </w:rPr>
              <w:t>2017.12.28</w:t>
            </w:r>
          </w:p>
        </w:tc>
      </w:tr>
      <w:tr>
        <w:trPr>
          <w:trHeight w:val="342"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0"/>
              <w:jc w:val="center"/>
              <w:rPr>
                <w:rFonts w:ascii="宋体" w:hAnsi="宋体" w:cs="宋体" w:eastAsia="宋体" w:hint="default"/>
                <w:sz w:val="21"/>
                <w:szCs w:val="21"/>
              </w:rPr>
            </w:pPr>
            <w:r>
              <w:rPr>
                <w:rFonts w:ascii="宋体"/>
                <w:sz w:val="21"/>
              </w:rPr>
              <w:t>103</w:t>
            </w:r>
          </w:p>
        </w:tc>
        <w:tc>
          <w:tcPr>
            <w:tcW w:w="436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 w:right="0"/>
              <w:jc w:val="left"/>
              <w:rPr>
                <w:rFonts w:ascii="宋体" w:hAnsi="宋体" w:cs="宋体" w:eastAsia="宋体" w:hint="default"/>
                <w:sz w:val="21"/>
                <w:szCs w:val="21"/>
              </w:rPr>
            </w:pPr>
            <w:r>
              <w:rPr>
                <w:rFonts w:ascii="宋体" w:hAnsi="宋体" w:cs="宋体" w:eastAsia="宋体" w:hint="default"/>
                <w:sz w:val="21"/>
                <w:szCs w:val="21"/>
              </w:rPr>
              <w:t>一种火车车厢内自助存放行李系统</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5" w:right="0"/>
              <w:jc w:val="left"/>
              <w:rPr>
                <w:rFonts w:ascii="宋体" w:hAnsi="宋体" w:cs="宋体" w:eastAsia="宋体" w:hint="default"/>
                <w:sz w:val="21"/>
                <w:szCs w:val="21"/>
              </w:rPr>
            </w:pPr>
            <w:r>
              <w:rPr>
                <w:rFonts w:ascii="宋体" w:hAnsi="宋体" w:cs="宋体" w:eastAsia="宋体" w:hint="default"/>
                <w:sz w:val="21"/>
                <w:szCs w:val="21"/>
              </w:rPr>
              <w:t>发明专利</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5" w:right="0"/>
              <w:jc w:val="left"/>
              <w:rPr>
                <w:rFonts w:ascii="宋体" w:hAnsi="宋体" w:cs="宋体" w:eastAsia="宋体" w:hint="default"/>
                <w:sz w:val="21"/>
                <w:szCs w:val="21"/>
              </w:rPr>
            </w:pPr>
            <w:r>
              <w:rPr>
                <w:rFonts w:ascii="宋体"/>
                <w:sz w:val="21"/>
              </w:rPr>
              <w:t>2017114585067</w:t>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 w:right="0"/>
              <w:jc w:val="left"/>
              <w:rPr>
                <w:rFonts w:ascii="宋体" w:hAnsi="宋体" w:cs="宋体" w:eastAsia="宋体" w:hint="default"/>
                <w:sz w:val="21"/>
                <w:szCs w:val="21"/>
              </w:rPr>
            </w:pPr>
            <w:r>
              <w:rPr>
                <w:rFonts w:ascii="宋体"/>
                <w:sz w:val="21"/>
              </w:rPr>
              <w:t>2017.12.28</w:t>
            </w:r>
          </w:p>
        </w:tc>
      </w:tr>
      <w:tr>
        <w:trPr>
          <w:trHeight w:val="342"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0"/>
              <w:jc w:val="center"/>
              <w:rPr>
                <w:rFonts w:ascii="宋体" w:hAnsi="宋体" w:cs="宋体" w:eastAsia="宋体" w:hint="default"/>
                <w:sz w:val="21"/>
                <w:szCs w:val="21"/>
              </w:rPr>
            </w:pPr>
            <w:r>
              <w:rPr>
                <w:rFonts w:ascii="宋体"/>
                <w:sz w:val="21"/>
              </w:rPr>
              <w:t>104</w:t>
            </w:r>
          </w:p>
        </w:tc>
        <w:tc>
          <w:tcPr>
            <w:tcW w:w="436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 w:right="0"/>
              <w:jc w:val="left"/>
              <w:rPr>
                <w:rFonts w:ascii="宋体" w:hAnsi="宋体" w:cs="宋体" w:eastAsia="宋体" w:hint="default"/>
                <w:sz w:val="21"/>
                <w:szCs w:val="21"/>
              </w:rPr>
            </w:pPr>
            <w:r>
              <w:rPr>
                <w:rFonts w:ascii="宋体" w:hAnsi="宋体" w:cs="宋体" w:eastAsia="宋体" w:hint="default"/>
                <w:sz w:val="21"/>
                <w:szCs w:val="21"/>
              </w:rPr>
              <w:t>一种带清洗装置的火车水箱</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5" w:right="0"/>
              <w:jc w:val="left"/>
              <w:rPr>
                <w:rFonts w:ascii="宋体" w:hAnsi="宋体" w:cs="宋体" w:eastAsia="宋体" w:hint="default"/>
                <w:sz w:val="21"/>
                <w:szCs w:val="21"/>
              </w:rPr>
            </w:pPr>
            <w:r>
              <w:rPr>
                <w:rFonts w:ascii="宋体" w:hAnsi="宋体" w:cs="宋体" w:eastAsia="宋体" w:hint="default"/>
                <w:sz w:val="21"/>
                <w:szCs w:val="21"/>
              </w:rPr>
              <w:t>发明专利</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5" w:right="0"/>
              <w:jc w:val="left"/>
              <w:rPr>
                <w:rFonts w:ascii="宋体" w:hAnsi="宋体" w:cs="宋体" w:eastAsia="宋体" w:hint="default"/>
                <w:sz w:val="21"/>
                <w:szCs w:val="21"/>
              </w:rPr>
            </w:pPr>
            <w:r>
              <w:rPr>
                <w:rFonts w:ascii="宋体"/>
                <w:sz w:val="21"/>
              </w:rPr>
              <w:t>2017114583983</w:t>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 w:right="0"/>
              <w:jc w:val="left"/>
              <w:rPr>
                <w:rFonts w:ascii="宋体" w:hAnsi="宋体" w:cs="宋体" w:eastAsia="宋体" w:hint="default"/>
                <w:sz w:val="21"/>
                <w:szCs w:val="21"/>
              </w:rPr>
            </w:pPr>
            <w:r>
              <w:rPr>
                <w:rFonts w:ascii="宋体"/>
                <w:sz w:val="21"/>
              </w:rPr>
              <w:t>2017.12.28</w:t>
            </w:r>
          </w:p>
        </w:tc>
      </w:tr>
      <w:tr>
        <w:trPr>
          <w:trHeight w:val="342"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0"/>
              <w:jc w:val="center"/>
              <w:rPr>
                <w:rFonts w:ascii="宋体" w:hAnsi="宋体" w:cs="宋体" w:eastAsia="宋体" w:hint="default"/>
                <w:sz w:val="21"/>
                <w:szCs w:val="21"/>
              </w:rPr>
            </w:pPr>
            <w:r>
              <w:rPr>
                <w:rFonts w:ascii="宋体"/>
                <w:sz w:val="21"/>
              </w:rPr>
              <w:t>105</w:t>
            </w:r>
          </w:p>
        </w:tc>
        <w:tc>
          <w:tcPr>
            <w:tcW w:w="436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 w:right="0"/>
              <w:jc w:val="left"/>
              <w:rPr>
                <w:rFonts w:ascii="宋体" w:hAnsi="宋体" w:cs="宋体" w:eastAsia="宋体" w:hint="default"/>
                <w:sz w:val="21"/>
                <w:szCs w:val="21"/>
              </w:rPr>
            </w:pPr>
            <w:r>
              <w:rPr>
                <w:rFonts w:ascii="宋体" w:hAnsi="宋体" w:cs="宋体" w:eastAsia="宋体" w:hint="default"/>
                <w:sz w:val="21"/>
                <w:szCs w:val="21"/>
              </w:rPr>
              <w:t>动车车厢的温度检测及调节系统</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5" w:right="0"/>
              <w:jc w:val="left"/>
              <w:rPr>
                <w:rFonts w:ascii="宋体" w:hAnsi="宋体" w:cs="宋体" w:eastAsia="宋体" w:hint="default"/>
                <w:sz w:val="21"/>
                <w:szCs w:val="21"/>
              </w:rPr>
            </w:pPr>
            <w:r>
              <w:rPr>
                <w:rFonts w:ascii="宋体" w:hAnsi="宋体" w:cs="宋体" w:eastAsia="宋体" w:hint="default"/>
                <w:sz w:val="21"/>
                <w:szCs w:val="21"/>
              </w:rPr>
              <w:t>发明专利</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5" w:right="0"/>
              <w:jc w:val="left"/>
              <w:rPr>
                <w:rFonts w:ascii="宋体" w:hAnsi="宋体" w:cs="宋体" w:eastAsia="宋体" w:hint="default"/>
                <w:sz w:val="21"/>
                <w:szCs w:val="21"/>
              </w:rPr>
            </w:pPr>
            <w:r>
              <w:rPr>
                <w:rFonts w:ascii="宋体"/>
                <w:sz w:val="21"/>
              </w:rPr>
              <w:t>2017114572495</w:t>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 w:right="0"/>
              <w:jc w:val="left"/>
              <w:rPr>
                <w:rFonts w:ascii="宋体" w:hAnsi="宋体" w:cs="宋体" w:eastAsia="宋体" w:hint="default"/>
                <w:sz w:val="21"/>
                <w:szCs w:val="21"/>
              </w:rPr>
            </w:pPr>
            <w:r>
              <w:rPr>
                <w:rFonts w:ascii="宋体"/>
                <w:sz w:val="21"/>
              </w:rPr>
              <w:t>2017.12.28</w:t>
            </w:r>
          </w:p>
        </w:tc>
      </w:tr>
      <w:tr>
        <w:trPr>
          <w:trHeight w:val="654"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0"/>
              <w:jc w:val="center"/>
              <w:rPr>
                <w:rFonts w:ascii="宋体" w:hAnsi="宋体" w:cs="宋体" w:eastAsia="宋体" w:hint="default"/>
                <w:sz w:val="21"/>
                <w:szCs w:val="21"/>
              </w:rPr>
            </w:pPr>
            <w:r>
              <w:rPr>
                <w:rFonts w:ascii="宋体"/>
                <w:sz w:val="21"/>
              </w:rPr>
              <w:t>106</w:t>
            </w:r>
          </w:p>
        </w:tc>
        <w:tc>
          <w:tcPr>
            <w:tcW w:w="436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4" w:right="8"/>
              <w:jc w:val="left"/>
              <w:rPr>
                <w:rFonts w:ascii="宋体" w:hAnsi="宋体" w:cs="宋体" w:eastAsia="宋体" w:hint="default"/>
                <w:sz w:val="21"/>
                <w:szCs w:val="21"/>
              </w:rPr>
            </w:pPr>
            <w:r>
              <w:rPr>
                <w:rFonts w:ascii="宋体" w:hAnsi="宋体" w:cs="宋体" w:eastAsia="宋体" w:hint="default"/>
                <w:spacing w:val="6"/>
                <w:sz w:val="21"/>
                <w:szCs w:val="21"/>
              </w:rPr>
              <w:t>一种水冲洗车辆接地系统及接地电阻安全判断</w:t>
            </w:r>
            <w:r>
              <w:rPr>
                <w:rFonts w:ascii="宋体" w:hAnsi="宋体" w:cs="宋体" w:eastAsia="宋体" w:hint="default"/>
                <w:sz w:val="21"/>
                <w:szCs w:val="21"/>
              </w:rPr>
              <w:t> 方法</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left="5" w:right="0"/>
              <w:jc w:val="left"/>
              <w:rPr>
                <w:rFonts w:ascii="宋体" w:hAnsi="宋体" w:cs="宋体" w:eastAsia="宋体" w:hint="default"/>
                <w:sz w:val="21"/>
                <w:szCs w:val="21"/>
              </w:rPr>
            </w:pPr>
            <w:r>
              <w:rPr>
                <w:rFonts w:ascii="宋体" w:hAnsi="宋体" w:cs="宋体" w:eastAsia="宋体" w:hint="default"/>
                <w:sz w:val="21"/>
                <w:szCs w:val="21"/>
              </w:rPr>
              <w:t>发明专利</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left="5" w:right="0"/>
              <w:jc w:val="left"/>
              <w:rPr>
                <w:rFonts w:ascii="宋体" w:hAnsi="宋体" w:cs="宋体" w:eastAsia="宋体" w:hint="default"/>
                <w:sz w:val="21"/>
                <w:szCs w:val="21"/>
              </w:rPr>
            </w:pPr>
            <w:r>
              <w:rPr>
                <w:rFonts w:ascii="宋体"/>
                <w:sz w:val="21"/>
              </w:rPr>
              <w:t>2017103077954</w:t>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left="4" w:right="0"/>
              <w:jc w:val="left"/>
              <w:rPr>
                <w:rFonts w:ascii="宋体" w:hAnsi="宋体" w:cs="宋体" w:eastAsia="宋体" w:hint="default"/>
                <w:sz w:val="21"/>
                <w:szCs w:val="21"/>
              </w:rPr>
            </w:pPr>
            <w:r>
              <w:rPr>
                <w:rFonts w:ascii="宋体"/>
                <w:sz w:val="21"/>
              </w:rPr>
              <w:t>2017.5.4</w:t>
            </w:r>
          </w:p>
        </w:tc>
      </w:tr>
    </w:tbl>
    <w:p>
      <w:pPr>
        <w:spacing w:line="240" w:lineRule="auto" w:before="0"/>
        <w:rPr>
          <w:rFonts w:ascii="Times New Roman" w:hAnsi="Times New Roman" w:cs="Times New Roman" w:eastAsia="Times New Roman" w:hint="default"/>
          <w:sz w:val="20"/>
          <w:szCs w:val="20"/>
        </w:rPr>
      </w:pPr>
    </w:p>
    <w:p>
      <w:pPr>
        <w:spacing w:line="333" w:lineRule="auto" w:before="170"/>
        <w:ind w:left="633" w:right="1633" w:firstLine="2"/>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2</w:t>
      </w:r>
      <w:r>
        <w:rPr>
          <w:rFonts w:ascii="宋体" w:hAnsi="宋体" w:cs="宋体" w:eastAsia="宋体" w:hint="default"/>
          <w:b/>
          <w:bCs/>
          <w:sz w:val="24"/>
          <w:szCs w:val="24"/>
        </w:rPr>
        <w:t>、软件著作权情况</w:t>
      </w:r>
      <w:r>
        <w:rPr>
          <w:rFonts w:ascii="宋体" w:hAnsi="宋体" w:cs="宋体" w:eastAsia="宋体" w:hint="default"/>
          <w:b/>
          <w:bCs/>
          <w:w w:val="99"/>
          <w:sz w:val="24"/>
          <w:szCs w:val="24"/>
        </w:rPr>
        <w:t> </w:t>
      </w:r>
      <w:r>
        <w:rPr>
          <w:rFonts w:ascii="宋体" w:hAnsi="宋体" w:cs="宋体" w:eastAsia="宋体" w:hint="default"/>
          <w:sz w:val="24"/>
          <w:szCs w:val="24"/>
        </w:rPr>
        <w:t>报告期内，公司共</w:t>
      </w:r>
      <w:r>
        <w:rPr>
          <w:rFonts w:ascii="宋体" w:hAnsi="宋体" w:cs="宋体" w:eastAsia="宋体" w:hint="default"/>
          <w:sz w:val="24"/>
          <w:szCs w:val="24"/>
        </w:rPr>
        <w:t>5</w:t>
      </w:r>
      <w:r>
        <w:rPr>
          <w:rFonts w:ascii="宋体" w:hAnsi="宋体" w:cs="宋体" w:eastAsia="宋体" w:hint="default"/>
          <w:sz w:val="24"/>
          <w:szCs w:val="24"/>
        </w:rPr>
        <w:t>个软件获得软件著作权登记</w:t>
      </w:r>
      <w:r>
        <w:rPr>
          <w:rFonts w:ascii="宋体" w:hAnsi="宋体" w:cs="宋体" w:eastAsia="宋体" w:hint="default"/>
          <w:sz w:val="24"/>
          <w:szCs w:val="24"/>
        </w:rPr>
        <w:t>,14</w:t>
      </w:r>
      <w:r>
        <w:rPr>
          <w:rFonts w:ascii="宋体" w:hAnsi="宋体" w:cs="宋体" w:eastAsia="宋体" w:hint="default"/>
          <w:sz w:val="24"/>
          <w:szCs w:val="24"/>
        </w:rPr>
        <w:t>个软件获得软件产品登记证书。</w:t>
      </w:r>
    </w:p>
    <w:p>
      <w:pPr>
        <w:pStyle w:val="Heading2"/>
        <w:spacing w:line="240" w:lineRule="auto" w:before="208"/>
        <w:ind w:left="3046" w:right="996"/>
        <w:jc w:val="left"/>
        <w:rPr>
          <w:b w:val="0"/>
          <w:bCs w:val="0"/>
        </w:rPr>
      </w:pPr>
      <w:r>
        <w:rPr>
          <w:rFonts w:ascii="Times New Roman" w:hAnsi="Times New Roman" w:cs="Times New Roman" w:eastAsia="Times New Roman" w:hint="default"/>
        </w:rPr>
        <w:t>2017</w:t>
      </w:r>
      <w:r>
        <w:rPr/>
        <w:t>年软件著作权登记一览表</w:t>
      </w:r>
      <w:r>
        <w:rPr>
          <w:b w:val="0"/>
          <w:bCs w:val="0"/>
        </w:rPr>
      </w:r>
    </w:p>
    <w:p>
      <w:pPr>
        <w:spacing w:line="240" w:lineRule="auto" w:before="12"/>
        <w:rPr>
          <w:rFonts w:ascii="宋体" w:hAnsi="宋体" w:cs="宋体" w:eastAsia="宋体" w:hint="default"/>
          <w:b/>
          <w:bCs/>
          <w:sz w:val="14"/>
          <w:szCs w:val="14"/>
        </w:rPr>
      </w:pPr>
    </w:p>
    <w:tbl>
      <w:tblPr>
        <w:tblW w:w="0" w:type="auto"/>
        <w:jc w:val="left"/>
        <w:tblInd w:w="149" w:type="dxa"/>
        <w:tblLayout w:type="fixed"/>
        <w:tblCellMar>
          <w:top w:w="0" w:type="dxa"/>
          <w:left w:w="0" w:type="dxa"/>
          <w:bottom w:w="0" w:type="dxa"/>
          <w:right w:w="0" w:type="dxa"/>
        </w:tblCellMar>
        <w:tblLook w:val="01E0"/>
      </w:tblPr>
      <w:tblGrid>
        <w:gridCol w:w="695"/>
        <w:gridCol w:w="3983"/>
        <w:gridCol w:w="992"/>
        <w:gridCol w:w="1702"/>
        <w:gridCol w:w="1417"/>
      </w:tblGrid>
      <w:tr>
        <w:trPr>
          <w:trHeight w:val="342" w:hRule="exact"/>
        </w:trPr>
        <w:tc>
          <w:tcPr>
            <w:tcW w:w="695"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b/>
                <w:bCs/>
                <w:sz w:val="21"/>
                <w:szCs w:val="21"/>
              </w:rPr>
              <w:t>序号</w:t>
            </w:r>
            <w:r>
              <w:rPr>
                <w:rFonts w:ascii="宋体" w:hAnsi="宋体" w:cs="宋体" w:eastAsia="宋体" w:hint="default"/>
                <w:sz w:val="21"/>
                <w:szCs w:val="21"/>
              </w:rPr>
            </w:r>
          </w:p>
        </w:tc>
        <w:tc>
          <w:tcPr>
            <w:tcW w:w="3983"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b/>
                <w:bCs/>
                <w:sz w:val="21"/>
                <w:szCs w:val="21"/>
              </w:rPr>
              <w:t>软件全称</w:t>
            </w:r>
            <w:r>
              <w:rPr>
                <w:rFonts w:ascii="宋体" w:hAnsi="宋体" w:cs="宋体" w:eastAsia="宋体" w:hint="default"/>
                <w:sz w:val="21"/>
                <w:szCs w:val="21"/>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175" w:right="0"/>
              <w:jc w:val="left"/>
              <w:rPr>
                <w:rFonts w:ascii="宋体" w:hAnsi="宋体" w:cs="宋体" w:eastAsia="宋体" w:hint="default"/>
                <w:sz w:val="21"/>
                <w:szCs w:val="21"/>
              </w:rPr>
            </w:pPr>
            <w:r>
              <w:rPr>
                <w:rFonts w:ascii="宋体" w:hAnsi="宋体" w:cs="宋体" w:eastAsia="宋体" w:hint="default"/>
                <w:b/>
                <w:bCs/>
                <w:sz w:val="21"/>
                <w:szCs w:val="21"/>
              </w:rPr>
              <w:t>版本号</w:t>
            </w:r>
            <w:r>
              <w:rPr>
                <w:rFonts w:ascii="宋体" w:hAnsi="宋体" w:cs="宋体" w:eastAsia="宋体" w:hint="default"/>
                <w:sz w:val="21"/>
                <w:szCs w:val="21"/>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529" w:right="0"/>
              <w:jc w:val="left"/>
              <w:rPr>
                <w:rFonts w:ascii="宋体" w:hAnsi="宋体" w:cs="宋体" w:eastAsia="宋体" w:hint="default"/>
                <w:sz w:val="21"/>
                <w:szCs w:val="21"/>
              </w:rPr>
            </w:pPr>
            <w:r>
              <w:rPr>
                <w:rFonts w:ascii="宋体" w:hAnsi="宋体" w:cs="宋体" w:eastAsia="宋体" w:hint="default"/>
                <w:b/>
                <w:bCs/>
                <w:sz w:val="21"/>
                <w:szCs w:val="21"/>
              </w:rPr>
              <w:t>登记号</w:t>
            </w:r>
            <w:r>
              <w:rPr>
                <w:rFonts w:ascii="宋体" w:hAnsi="宋体" w:cs="宋体" w:eastAsia="宋体" w:hint="default"/>
                <w:sz w:val="21"/>
                <w:szCs w:val="21"/>
              </w:rPr>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281" w:right="0"/>
              <w:jc w:val="left"/>
              <w:rPr>
                <w:rFonts w:ascii="宋体" w:hAnsi="宋体" w:cs="宋体" w:eastAsia="宋体" w:hint="default"/>
                <w:sz w:val="21"/>
                <w:szCs w:val="21"/>
              </w:rPr>
            </w:pPr>
            <w:r>
              <w:rPr>
                <w:rFonts w:ascii="宋体" w:hAnsi="宋体" w:cs="宋体" w:eastAsia="宋体" w:hint="default"/>
                <w:b/>
                <w:bCs/>
                <w:sz w:val="21"/>
                <w:szCs w:val="21"/>
              </w:rPr>
              <w:t>发证日期</w:t>
            </w:r>
            <w:r>
              <w:rPr>
                <w:rFonts w:ascii="宋体" w:hAnsi="宋体" w:cs="宋体" w:eastAsia="宋体" w:hint="default"/>
                <w:sz w:val="21"/>
                <w:szCs w:val="21"/>
              </w:rPr>
            </w:r>
          </w:p>
        </w:tc>
      </w:tr>
      <w:tr>
        <w:trPr>
          <w:trHeight w:val="343" w:hRule="exact"/>
        </w:trPr>
        <w:tc>
          <w:tcPr>
            <w:tcW w:w="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0"/>
              <w:jc w:val="center"/>
              <w:rPr>
                <w:rFonts w:ascii="Times New Roman" w:hAnsi="Times New Roman" w:cs="Times New Roman" w:eastAsia="Times New Roman" w:hint="default"/>
                <w:sz w:val="21"/>
                <w:szCs w:val="21"/>
              </w:rPr>
            </w:pPr>
            <w:r>
              <w:rPr>
                <w:rFonts w:ascii="Times New Roman"/>
                <w:sz w:val="21"/>
              </w:rPr>
              <w:t>1</w:t>
            </w:r>
          </w:p>
        </w:tc>
        <w:tc>
          <w:tcPr>
            <w:tcW w:w="3983"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 w:right="0"/>
              <w:jc w:val="left"/>
              <w:rPr>
                <w:rFonts w:ascii="宋体" w:hAnsi="宋体" w:cs="宋体" w:eastAsia="宋体" w:hint="default"/>
                <w:sz w:val="21"/>
                <w:szCs w:val="21"/>
              </w:rPr>
            </w:pPr>
            <w:r>
              <w:rPr>
                <w:rFonts w:ascii="宋体" w:hAnsi="宋体" w:cs="宋体" w:eastAsia="宋体" w:hint="default"/>
                <w:sz w:val="21"/>
                <w:szCs w:val="21"/>
              </w:rPr>
              <w:t>辉煌城轨城市轨道交通列车自动监控系统</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6" w:right="0"/>
              <w:jc w:val="left"/>
              <w:rPr>
                <w:rFonts w:ascii="Times New Roman" w:hAnsi="Times New Roman" w:cs="Times New Roman" w:eastAsia="Times New Roman" w:hint="default"/>
                <w:sz w:val="21"/>
                <w:szCs w:val="21"/>
              </w:rPr>
            </w:pPr>
            <w:r>
              <w:rPr>
                <w:rFonts w:ascii="Times New Roman"/>
                <w:sz w:val="21"/>
              </w:rPr>
              <w:t>V1.0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4" w:right="0"/>
              <w:jc w:val="left"/>
              <w:rPr>
                <w:rFonts w:ascii="Times New Roman" w:hAnsi="Times New Roman" w:cs="Times New Roman" w:eastAsia="Times New Roman" w:hint="default"/>
                <w:sz w:val="21"/>
                <w:szCs w:val="21"/>
              </w:rPr>
            </w:pPr>
            <w:r>
              <w:rPr>
                <w:rFonts w:ascii="Times New Roman"/>
                <w:sz w:val="21"/>
              </w:rPr>
              <w:t>2017SR377560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5" w:right="0"/>
              <w:jc w:val="left"/>
              <w:rPr>
                <w:rFonts w:ascii="Times New Roman" w:hAnsi="Times New Roman" w:cs="Times New Roman" w:eastAsia="Times New Roman" w:hint="default"/>
                <w:sz w:val="21"/>
                <w:szCs w:val="21"/>
              </w:rPr>
            </w:pPr>
            <w:r>
              <w:rPr>
                <w:rFonts w:ascii="Times New Roman"/>
                <w:sz w:val="21"/>
              </w:rPr>
              <w:t>2017.7.18</w:t>
            </w:r>
          </w:p>
        </w:tc>
      </w:tr>
    </w:tbl>
    <w:p>
      <w:pPr>
        <w:spacing w:after="0" w:line="240" w:lineRule="auto"/>
        <w:jc w:val="left"/>
        <w:rPr>
          <w:rFonts w:ascii="Times New Roman" w:hAnsi="Times New Roman" w:cs="Times New Roman" w:eastAsia="Times New Roman" w:hint="default"/>
          <w:sz w:val="21"/>
          <w:szCs w:val="21"/>
        </w:rPr>
        <w:sectPr>
          <w:pgSz w:w="11910" w:h="16840"/>
          <w:pgMar w:header="747"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695"/>
        <w:gridCol w:w="3983"/>
        <w:gridCol w:w="992"/>
        <w:gridCol w:w="1702"/>
        <w:gridCol w:w="1417"/>
      </w:tblGrid>
      <w:tr>
        <w:trPr>
          <w:trHeight w:val="342" w:hRule="exact"/>
        </w:trPr>
        <w:tc>
          <w:tcPr>
            <w:tcW w:w="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0"/>
              <w:jc w:val="center"/>
              <w:rPr>
                <w:rFonts w:ascii="Times New Roman" w:hAnsi="Times New Roman" w:cs="Times New Roman" w:eastAsia="Times New Roman" w:hint="default"/>
                <w:sz w:val="21"/>
                <w:szCs w:val="21"/>
              </w:rPr>
            </w:pPr>
            <w:r>
              <w:rPr>
                <w:rFonts w:ascii="Times New Roman"/>
                <w:sz w:val="21"/>
              </w:rPr>
              <w:t>2</w:t>
            </w:r>
          </w:p>
        </w:tc>
        <w:tc>
          <w:tcPr>
            <w:tcW w:w="3983"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 w:right="0"/>
              <w:jc w:val="left"/>
              <w:rPr>
                <w:rFonts w:ascii="宋体" w:hAnsi="宋体" w:cs="宋体" w:eastAsia="宋体" w:hint="default"/>
                <w:sz w:val="21"/>
                <w:szCs w:val="21"/>
              </w:rPr>
            </w:pPr>
            <w:r>
              <w:rPr>
                <w:rFonts w:ascii="宋体" w:hAnsi="宋体" w:cs="宋体" w:eastAsia="宋体" w:hint="default"/>
                <w:sz w:val="21"/>
                <w:szCs w:val="21"/>
              </w:rPr>
              <w:t>辉煌城轨城市轨道交通信号维护支持系统</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6" w:right="0"/>
              <w:jc w:val="left"/>
              <w:rPr>
                <w:rFonts w:ascii="Times New Roman" w:hAnsi="Times New Roman" w:cs="Times New Roman" w:eastAsia="Times New Roman" w:hint="default"/>
                <w:sz w:val="21"/>
                <w:szCs w:val="21"/>
              </w:rPr>
            </w:pPr>
            <w:r>
              <w:rPr>
                <w:rFonts w:ascii="Times New Roman"/>
                <w:sz w:val="21"/>
              </w:rPr>
              <w:t>V1.0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4" w:right="0"/>
              <w:jc w:val="left"/>
              <w:rPr>
                <w:rFonts w:ascii="Times New Roman" w:hAnsi="Times New Roman" w:cs="Times New Roman" w:eastAsia="Times New Roman" w:hint="default"/>
                <w:sz w:val="21"/>
                <w:szCs w:val="21"/>
              </w:rPr>
            </w:pPr>
            <w:r>
              <w:rPr>
                <w:rFonts w:ascii="Times New Roman"/>
                <w:sz w:val="21"/>
              </w:rPr>
              <w:t>2017SR377723</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5" w:right="0"/>
              <w:jc w:val="left"/>
              <w:rPr>
                <w:rFonts w:ascii="Times New Roman" w:hAnsi="Times New Roman" w:cs="Times New Roman" w:eastAsia="Times New Roman" w:hint="default"/>
                <w:sz w:val="21"/>
                <w:szCs w:val="21"/>
              </w:rPr>
            </w:pPr>
            <w:r>
              <w:rPr>
                <w:rFonts w:ascii="Times New Roman"/>
                <w:sz w:val="21"/>
              </w:rPr>
              <w:t>2017.7.18</w:t>
            </w:r>
          </w:p>
        </w:tc>
      </w:tr>
      <w:tr>
        <w:trPr>
          <w:trHeight w:val="342" w:hRule="exact"/>
        </w:trPr>
        <w:tc>
          <w:tcPr>
            <w:tcW w:w="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0"/>
              <w:jc w:val="center"/>
              <w:rPr>
                <w:rFonts w:ascii="Times New Roman" w:hAnsi="Times New Roman" w:cs="Times New Roman" w:eastAsia="Times New Roman" w:hint="default"/>
                <w:sz w:val="21"/>
                <w:szCs w:val="21"/>
              </w:rPr>
            </w:pPr>
            <w:r>
              <w:rPr>
                <w:rFonts w:ascii="Times New Roman"/>
                <w:sz w:val="21"/>
              </w:rPr>
              <w:t>3</w:t>
            </w:r>
          </w:p>
        </w:tc>
        <w:tc>
          <w:tcPr>
            <w:tcW w:w="3983"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 w:right="0"/>
              <w:jc w:val="left"/>
              <w:rPr>
                <w:rFonts w:ascii="宋体" w:hAnsi="宋体" w:cs="宋体" w:eastAsia="宋体" w:hint="default"/>
                <w:sz w:val="21"/>
                <w:szCs w:val="21"/>
              </w:rPr>
            </w:pPr>
            <w:r>
              <w:rPr>
                <w:rFonts w:ascii="宋体" w:hAnsi="宋体" w:cs="宋体" w:eastAsia="宋体" w:hint="default"/>
                <w:sz w:val="21"/>
                <w:szCs w:val="21"/>
              </w:rPr>
              <w:t>辉煌城轨自动化监控平台</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6" w:right="0"/>
              <w:jc w:val="left"/>
              <w:rPr>
                <w:rFonts w:ascii="Times New Roman" w:hAnsi="Times New Roman" w:cs="Times New Roman" w:eastAsia="Times New Roman" w:hint="default"/>
                <w:sz w:val="21"/>
                <w:szCs w:val="21"/>
              </w:rPr>
            </w:pPr>
            <w:r>
              <w:rPr>
                <w:rFonts w:ascii="Times New Roman"/>
                <w:sz w:val="21"/>
              </w:rPr>
              <w:t>V1.0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4" w:right="0"/>
              <w:jc w:val="left"/>
              <w:rPr>
                <w:rFonts w:ascii="Times New Roman" w:hAnsi="Times New Roman" w:cs="Times New Roman" w:eastAsia="Times New Roman" w:hint="default"/>
                <w:sz w:val="21"/>
                <w:szCs w:val="21"/>
              </w:rPr>
            </w:pPr>
            <w:r>
              <w:rPr>
                <w:rFonts w:ascii="Times New Roman"/>
                <w:sz w:val="21"/>
              </w:rPr>
              <w:t>2017SR377737</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5" w:right="0"/>
              <w:jc w:val="left"/>
              <w:rPr>
                <w:rFonts w:ascii="Times New Roman" w:hAnsi="Times New Roman" w:cs="Times New Roman" w:eastAsia="Times New Roman" w:hint="default"/>
                <w:sz w:val="21"/>
                <w:szCs w:val="21"/>
              </w:rPr>
            </w:pPr>
            <w:r>
              <w:rPr>
                <w:rFonts w:ascii="Times New Roman"/>
                <w:sz w:val="21"/>
              </w:rPr>
              <w:t>2017.7.18</w:t>
            </w:r>
          </w:p>
        </w:tc>
      </w:tr>
      <w:tr>
        <w:trPr>
          <w:trHeight w:val="654" w:hRule="exact"/>
        </w:trPr>
        <w:tc>
          <w:tcPr>
            <w:tcW w:w="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5"/>
                <w:szCs w:val="15"/>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4</w:t>
            </w:r>
          </w:p>
        </w:tc>
        <w:tc>
          <w:tcPr>
            <w:tcW w:w="3983" w:type="dxa"/>
            <w:tcBorders>
              <w:top w:val="single" w:sz="4" w:space="0" w:color="000000"/>
              <w:left w:val="single" w:sz="4" w:space="0" w:color="000000"/>
              <w:bottom w:val="single" w:sz="4" w:space="0" w:color="000000"/>
              <w:right w:val="single" w:sz="4" w:space="0" w:color="000000"/>
            </w:tcBorders>
          </w:tcPr>
          <w:p>
            <w:pPr>
              <w:pStyle w:val="TableParagraph"/>
              <w:spacing w:line="287" w:lineRule="exact"/>
              <w:ind w:left="4" w:right="0"/>
              <w:jc w:val="left"/>
              <w:rPr>
                <w:rFonts w:ascii="宋体" w:hAnsi="宋体" w:cs="宋体" w:eastAsia="宋体" w:hint="default"/>
                <w:sz w:val="21"/>
                <w:szCs w:val="21"/>
              </w:rPr>
            </w:pPr>
            <w:r>
              <w:rPr>
                <w:rFonts w:ascii="宋体" w:hAnsi="宋体" w:cs="宋体" w:eastAsia="宋体" w:hint="default"/>
                <w:spacing w:val="9"/>
                <w:sz w:val="21"/>
                <w:szCs w:val="21"/>
              </w:rPr>
              <w:t>辉煌城轨轨道交通多线共用</w:t>
            </w:r>
            <w:r>
              <w:rPr>
                <w:rFonts w:ascii="Times New Roman" w:hAnsi="Times New Roman" w:cs="Times New Roman" w:eastAsia="Times New Roman" w:hint="default"/>
                <w:spacing w:val="9"/>
                <w:sz w:val="21"/>
                <w:szCs w:val="21"/>
              </w:rPr>
              <w:t>AFC</w:t>
            </w:r>
            <w:r>
              <w:rPr>
                <w:rFonts w:ascii="宋体" w:hAnsi="宋体" w:cs="宋体" w:eastAsia="宋体" w:hint="default"/>
                <w:spacing w:val="9"/>
                <w:sz w:val="21"/>
                <w:szCs w:val="21"/>
              </w:rPr>
              <w:t>线路中心</w:t>
            </w:r>
          </w:p>
          <w:p>
            <w:pPr>
              <w:pStyle w:val="TableParagraph"/>
              <w:spacing w:line="240" w:lineRule="auto" w:before="21"/>
              <w:ind w:left="4"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MLC)</w:t>
            </w:r>
            <w:r>
              <w:rPr>
                <w:rFonts w:ascii="宋体" w:hAnsi="宋体" w:cs="宋体" w:eastAsia="宋体" w:hint="default"/>
                <w:sz w:val="21"/>
                <w:szCs w:val="21"/>
              </w:rPr>
              <w:t>系统</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5"/>
                <w:szCs w:val="15"/>
              </w:rPr>
            </w:pPr>
          </w:p>
          <w:p>
            <w:pPr>
              <w:pStyle w:val="TableParagraph"/>
              <w:spacing w:line="240" w:lineRule="auto"/>
              <w:ind w:left="6" w:right="0"/>
              <w:jc w:val="left"/>
              <w:rPr>
                <w:rFonts w:ascii="Times New Roman" w:hAnsi="Times New Roman" w:cs="Times New Roman" w:eastAsia="Times New Roman" w:hint="default"/>
                <w:sz w:val="21"/>
                <w:szCs w:val="21"/>
              </w:rPr>
            </w:pPr>
            <w:r>
              <w:rPr>
                <w:rFonts w:ascii="Times New Roman"/>
                <w:sz w:val="21"/>
              </w:rPr>
              <w:t>V1.0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5"/>
                <w:szCs w:val="15"/>
              </w:rPr>
            </w:pPr>
          </w:p>
          <w:p>
            <w:pPr>
              <w:pStyle w:val="TableParagraph"/>
              <w:spacing w:line="240" w:lineRule="auto"/>
              <w:ind w:left="4" w:right="0"/>
              <w:jc w:val="left"/>
              <w:rPr>
                <w:rFonts w:ascii="Times New Roman" w:hAnsi="Times New Roman" w:cs="Times New Roman" w:eastAsia="Times New Roman" w:hint="default"/>
                <w:sz w:val="21"/>
                <w:szCs w:val="21"/>
              </w:rPr>
            </w:pPr>
            <w:r>
              <w:rPr>
                <w:rFonts w:ascii="Times New Roman"/>
                <w:sz w:val="21"/>
              </w:rPr>
              <w:t>2017SR490438</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5"/>
                <w:szCs w:val="15"/>
              </w:rPr>
            </w:pPr>
          </w:p>
          <w:p>
            <w:pPr>
              <w:pStyle w:val="TableParagraph"/>
              <w:spacing w:line="240" w:lineRule="auto"/>
              <w:ind w:left="5" w:right="0"/>
              <w:jc w:val="left"/>
              <w:rPr>
                <w:rFonts w:ascii="Times New Roman" w:hAnsi="Times New Roman" w:cs="Times New Roman" w:eastAsia="Times New Roman" w:hint="default"/>
                <w:sz w:val="21"/>
                <w:szCs w:val="21"/>
              </w:rPr>
            </w:pPr>
            <w:r>
              <w:rPr>
                <w:rFonts w:ascii="Times New Roman"/>
                <w:sz w:val="21"/>
              </w:rPr>
              <w:t>2017.9.5</w:t>
            </w:r>
          </w:p>
        </w:tc>
      </w:tr>
      <w:tr>
        <w:trPr>
          <w:trHeight w:val="342" w:hRule="exact"/>
        </w:trPr>
        <w:tc>
          <w:tcPr>
            <w:tcW w:w="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0"/>
              <w:jc w:val="center"/>
              <w:rPr>
                <w:rFonts w:ascii="Times New Roman" w:hAnsi="Times New Roman" w:cs="Times New Roman" w:eastAsia="Times New Roman" w:hint="default"/>
                <w:sz w:val="21"/>
                <w:szCs w:val="21"/>
              </w:rPr>
            </w:pPr>
            <w:r>
              <w:rPr>
                <w:rFonts w:ascii="Times New Roman"/>
                <w:sz w:val="21"/>
              </w:rPr>
              <w:t>5</w:t>
            </w:r>
          </w:p>
        </w:tc>
        <w:tc>
          <w:tcPr>
            <w:tcW w:w="3983" w:type="dxa"/>
            <w:tcBorders>
              <w:top w:val="single" w:sz="4" w:space="0" w:color="000000"/>
              <w:left w:val="single" w:sz="4" w:space="0" w:color="000000"/>
              <w:bottom w:val="single" w:sz="4" w:space="0" w:color="000000"/>
              <w:right w:val="single" w:sz="4" w:space="0" w:color="000000"/>
            </w:tcBorders>
          </w:tcPr>
          <w:p>
            <w:pPr>
              <w:pStyle w:val="TableParagraph"/>
              <w:spacing w:line="287" w:lineRule="exact"/>
              <w:ind w:left="4" w:right="0"/>
              <w:jc w:val="left"/>
              <w:rPr>
                <w:rFonts w:ascii="宋体" w:hAnsi="宋体" w:cs="宋体" w:eastAsia="宋体" w:hint="default"/>
                <w:sz w:val="21"/>
                <w:szCs w:val="21"/>
              </w:rPr>
            </w:pPr>
            <w:r>
              <w:rPr>
                <w:rFonts w:ascii="宋体" w:hAnsi="宋体" w:cs="宋体" w:eastAsia="宋体" w:hint="default"/>
                <w:sz w:val="21"/>
                <w:szCs w:val="21"/>
              </w:rPr>
              <w:t>辉煌既有线小型</w:t>
            </w:r>
            <w:r>
              <w:rPr>
                <w:rFonts w:ascii="Times New Roman" w:hAnsi="Times New Roman" w:cs="Times New Roman" w:eastAsia="Times New Roman" w:hint="default"/>
                <w:sz w:val="21"/>
                <w:szCs w:val="21"/>
              </w:rPr>
              <w:t>UPS</w:t>
            </w:r>
            <w:r>
              <w:rPr>
                <w:rFonts w:ascii="宋体" w:hAnsi="宋体" w:cs="宋体" w:eastAsia="宋体" w:hint="default"/>
                <w:sz w:val="21"/>
                <w:szCs w:val="21"/>
              </w:rPr>
              <w:t>监测系统</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6" w:right="0"/>
              <w:jc w:val="left"/>
              <w:rPr>
                <w:rFonts w:ascii="Times New Roman" w:hAnsi="Times New Roman" w:cs="Times New Roman" w:eastAsia="Times New Roman" w:hint="default"/>
                <w:sz w:val="21"/>
                <w:szCs w:val="21"/>
              </w:rPr>
            </w:pPr>
            <w:r>
              <w:rPr>
                <w:rFonts w:ascii="Times New Roman"/>
                <w:sz w:val="21"/>
              </w:rPr>
              <w:t>V1.0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4" w:right="0"/>
              <w:jc w:val="left"/>
              <w:rPr>
                <w:rFonts w:ascii="Times New Roman" w:hAnsi="Times New Roman" w:cs="Times New Roman" w:eastAsia="Times New Roman" w:hint="default"/>
                <w:sz w:val="21"/>
                <w:szCs w:val="21"/>
              </w:rPr>
            </w:pPr>
            <w:r>
              <w:rPr>
                <w:rFonts w:ascii="Times New Roman"/>
                <w:sz w:val="21"/>
              </w:rPr>
              <w:t>2017SR642625</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5" w:right="0"/>
              <w:jc w:val="left"/>
              <w:rPr>
                <w:rFonts w:ascii="Times New Roman" w:hAnsi="Times New Roman" w:cs="Times New Roman" w:eastAsia="Times New Roman" w:hint="default"/>
                <w:sz w:val="21"/>
                <w:szCs w:val="21"/>
              </w:rPr>
            </w:pPr>
            <w:r>
              <w:rPr>
                <w:rFonts w:ascii="Times New Roman"/>
                <w:sz w:val="21"/>
              </w:rPr>
              <w:t>2017.11.22</w:t>
            </w:r>
          </w:p>
        </w:tc>
      </w:tr>
    </w:tbl>
    <w:p>
      <w:pPr>
        <w:spacing w:line="240" w:lineRule="auto" w:before="11"/>
        <w:rPr>
          <w:rFonts w:ascii="宋体" w:hAnsi="宋体" w:cs="宋体" w:eastAsia="宋体" w:hint="default"/>
          <w:b/>
          <w:bCs/>
          <w:sz w:val="18"/>
          <w:szCs w:val="18"/>
        </w:rPr>
      </w:pPr>
    </w:p>
    <w:p>
      <w:pPr>
        <w:pStyle w:val="Heading2"/>
        <w:spacing w:line="240" w:lineRule="auto"/>
        <w:ind w:left="2562" w:right="996"/>
        <w:jc w:val="left"/>
        <w:rPr>
          <w:b w:val="0"/>
          <w:bCs w:val="0"/>
        </w:rPr>
      </w:pPr>
      <w:r>
        <w:rPr>
          <w:rFonts w:ascii="Times New Roman" w:hAnsi="Times New Roman" w:cs="Times New Roman" w:eastAsia="Times New Roman" w:hint="default"/>
        </w:rPr>
        <w:t>2017</w:t>
      </w:r>
      <w:r>
        <w:rPr/>
        <w:t>年软件产品登记证书一览表</w:t>
      </w:r>
      <w:r>
        <w:rPr>
          <w:b w:val="0"/>
          <w:bCs w:val="0"/>
        </w:rPr>
      </w:r>
    </w:p>
    <w:p>
      <w:pPr>
        <w:spacing w:line="240" w:lineRule="auto" w:before="4"/>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695"/>
        <w:gridCol w:w="3983"/>
        <w:gridCol w:w="994"/>
        <w:gridCol w:w="1984"/>
        <w:gridCol w:w="1418"/>
      </w:tblGrid>
      <w:tr>
        <w:trPr>
          <w:trHeight w:val="342" w:hRule="exact"/>
        </w:trPr>
        <w:tc>
          <w:tcPr>
            <w:tcW w:w="695"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b/>
                <w:bCs/>
                <w:sz w:val="21"/>
                <w:szCs w:val="21"/>
              </w:rPr>
              <w:t>序号</w:t>
            </w:r>
            <w:r>
              <w:rPr>
                <w:rFonts w:ascii="宋体" w:hAnsi="宋体" w:cs="宋体" w:eastAsia="宋体" w:hint="default"/>
                <w:sz w:val="21"/>
                <w:szCs w:val="21"/>
              </w:rPr>
            </w:r>
          </w:p>
        </w:tc>
        <w:tc>
          <w:tcPr>
            <w:tcW w:w="3983"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4" w:right="0"/>
              <w:jc w:val="center"/>
              <w:rPr>
                <w:rFonts w:ascii="宋体" w:hAnsi="宋体" w:cs="宋体" w:eastAsia="宋体" w:hint="default"/>
                <w:sz w:val="21"/>
                <w:szCs w:val="21"/>
              </w:rPr>
            </w:pPr>
            <w:r>
              <w:rPr>
                <w:rFonts w:ascii="宋体" w:hAnsi="宋体" w:cs="宋体" w:eastAsia="宋体" w:hint="default"/>
                <w:b/>
                <w:bCs/>
                <w:sz w:val="21"/>
                <w:szCs w:val="21"/>
              </w:rPr>
              <w:t>软件全称</w:t>
            </w:r>
            <w:r>
              <w:rPr>
                <w:rFonts w:ascii="宋体" w:hAnsi="宋体" w:cs="宋体" w:eastAsia="宋体" w:hint="default"/>
                <w:sz w:val="21"/>
                <w:szCs w:val="21"/>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342"/>
              <w:jc w:val="right"/>
              <w:rPr>
                <w:rFonts w:ascii="宋体" w:hAnsi="宋体" w:cs="宋体" w:eastAsia="宋体" w:hint="default"/>
                <w:sz w:val="21"/>
                <w:szCs w:val="21"/>
              </w:rPr>
            </w:pPr>
            <w:r>
              <w:rPr>
                <w:rFonts w:ascii="宋体" w:hAnsi="宋体" w:cs="宋体" w:eastAsia="宋体" w:hint="default"/>
                <w:b/>
                <w:bCs/>
                <w:sz w:val="21"/>
                <w:szCs w:val="21"/>
              </w:rPr>
              <w:t>版本号</w:t>
            </w:r>
            <w:r>
              <w:rPr>
                <w:rFonts w:ascii="宋体" w:hAnsi="宋体" w:cs="宋体" w:eastAsia="宋体" w:hint="default"/>
                <w:sz w:val="21"/>
                <w:szCs w:val="21"/>
              </w:rPr>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320" w:right="0"/>
              <w:jc w:val="left"/>
              <w:rPr>
                <w:rFonts w:ascii="宋体" w:hAnsi="宋体" w:cs="宋体" w:eastAsia="宋体" w:hint="default"/>
                <w:sz w:val="21"/>
                <w:szCs w:val="21"/>
              </w:rPr>
            </w:pPr>
            <w:r>
              <w:rPr>
                <w:rFonts w:ascii="宋体" w:hAnsi="宋体" w:cs="宋体" w:eastAsia="宋体" w:hint="default"/>
                <w:b/>
                <w:bCs/>
                <w:sz w:val="21"/>
                <w:szCs w:val="21"/>
              </w:rPr>
              <w:t>证书编号</w:t>
            </w:r>
            <w:r>
              <w:rPr>
                <w:rFonts w:ascii="宋体" w:hAnsi="宋体" w:cs="宋体" w:eastAsia="宋体" w:hint="default"/>
                <w:sz w:val="21"/>
                <w:szCs w:val="21"/>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110" w:right="0"/>
              <w:jc w:val="left"/>
              <w:rPr>
                <w:rFonts w:ascii="宋体" w:hAnsi="宋体" w:cs="宋体" w:eastAsia="宋体" w:hint="default"/>
                <w:sz w:val="21"/>
                <w:szCs w:val="21"/>
              </w:rPr>
            </w:pPr>
            <w:r>
              <w:rPr>
                <w:rFonts w:ascii="宋体" w:hAnsi="宋体" w:cs="宋体" w:eastAsia="宋体" w:hint="default"/>
                <w:b/>
                <w:bCs/>
                <w:sz w:val="21"/>
                <w:szCs w:val="21"/>
              </w:rPr>
              <w:t>发证日期</w:t>
            </w:r>
            <w:r>
              <w:rPr>
                <w:rFonts w:ascii="宋体" w:hAnsi="宋体" w:cs="宋体" w:eastAsia="宋体" w:hint="default"/>
                <w:sz w:val="21"/>
                <w:szCs w:val="21"/>
              </w:rPr>
            </w:r>
          </w:p>
        </w:tc>
      </w:tr>
      <w:tr>
        <w:trPr>
          <w:trHeight w:val="342" w:hRule="exact"/>
        </w:trPr>
        <w:tc>
          <w:tcPr>
            <w:tcW w:w="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0"/>
              <w:jc w:val="center"/>
              <w:rPr>
                <w:rFonts w:ascii="Times New Roman" w:hAnsi="Times New Roman" w:cs="Times New Roman" w:eastAsia="Times New Roman" w:hint="default"/>
                <w:sz w:val="21"/>
                <w:szCs w:val="21"/>
              </w:rPr>
            </w:pPr>
            <w:r>
              <w:rPr>
                <w:rFonts w:ascii="Times New Roman"/>
                <w:sz w:val="21"/>
              </w:rPr>
              <w:t>1</w:t>
            </w:r>
          </w:p>
        </w:tc>
        <w:tc>
          <w:tcPr>
            <w:tcW w:w="3983" w:type="dxa"/>
            <w:tcBorders>
              <w:top w:val="single" w:sz="4" w:space="0" w:color="000000"/>
              <w:left w:val="single" w:sz="4" w:space="0" w:color="000000"/>
              <w:bottom w:val="single" w:sz="4" w:space="0" w:color="000000"/>
              <w:right w:val="single" w:sz="4" w:space="0" w:color="000000"/>
            </w:tcBorders>
            <w:shd w:val="clear" w:color="auto" w:fill="F1F1F1"/>
          </w:tcPr>
          <w:p>
            <w:pPr>
              <w:pStyle w:val="TableParagraph"/>
              <w:spacing w:line="287" w:lineRule="exact"/>
              <w:ind w:left="4" w:right="0"/>
              <w:jc w:val="left"/>
              <w:rPr>
                <w:rFonts w:ascii="宋体" w:hAnsi="宋体" w:cs="宋体" w:eastAsia="宋体" w:hint="default"/>
                <w:sz w:val="21"/>
                <w:szCs w:val="21"/>
              </w:rPr>
            </w:pPr>
            <w:r>
              <w:rPr>
                <w:rFonts w:ascii="宋体" w:hAnsi="宋体" w:cs="宋体" w:eastAsia="宋体" w:hint="default"/>
                <w:sz w:val="21"/>
                <w:szCs w:val="21"/>
              </w:rPr>
              <w:t>辉煌</w:t>
            </w:r>
            <w:r>
              <w:rPr>
                <w:rFonts w:ascii="Times New Roman" w:hAnsi="Times New Roman" w:cs="Times New Roman" w:eastAsia="Times New Roman" w:hint="default"/>
                <w:sz w:val="21"/>
                <w:szCs w:val="21"/>
              </w:rPr>
              <w:t>LSh-2</w:t>
            </w:r>
            <w:r>
              <w:rPr>
                <w:rFonts w:ascii="宋体" w:hAnsi="宋体" w:cs="宋体" w:eastAsia="宋体" w:hint="default"/>
                <w:sz w:val="21"/>
                <w:szCs w:val="21"/>
              </w:rPr>
              <w:t>型（热备）计算机联锁系统</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82"/>
              <w:jc w:val="right"/>
              <w:rPr>
                <w:rFonts w:ascii="Times New Roman" w:hAnsi="Times New Roman" w:cs="Times New Roman" w:eastAsia="Times New Roman" w:hint="default"/>
                <w:sz w:val="21"/>
                <w:szCs w:val="21"/>
              </w:rPr>
            </w:pPr>
            <w:r>
              <w:rPr>
                <w:rFonts w:ascii="Times New Roman"/>
                <w:w w:val="95"/>
                <w:sz w:val="21"/>
              </w:rPr>
              <w:t>V2.0</w:t>
            </w:r>
            <w:r>
              <w:rPr>
                <w:rFonts w:ascii="Times New Roman"/>
                <w:sz w:val="21"/>
              </w:rPr>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87" w:lineRule="exact"/>
              <w:ind w:left="181"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豫</w:t>
            </w:r>
            <w:r>
              <w:rPr>
                <w:rFonts w:ascii="Times New Roman" w:hAnsi="Times New Roman" w:cs="Times New Roman" w:eastAsia="Times New Roman" w:hint="default"/>
                <w:sz w:val="21"/>
                <w:szCs w:val="21"/>
              </w:rPr>
              <w:t>RC</w:t>
            </w:r>
            <w:r>
              <w:rPr>
                <w:rFonts w:ascii="宋体" w:hAnsi="宋体" w:cs="宋体" w:eastAsia="宋体" w:hint="default"/>
                <w:sz w:val="21"/>
                <w:szCs w:val="21"/>
              </w:rPr>
              <w:t>－</w:t>
            </w:r>
            <w:r>
              <w:rPr>
                <w:rFonts w:ascii="Times New Roman" w:hAnsi="Times New Roman" w:cs="Times New Roman" w:eastAsia="Times New Roman" w:hint="default"/>
                <w:sz w:val="21"/>
                <w:szCs w:val="21"/>
              </w:rPr>
              <w:t>2017-0214</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336" w:right="0"/>
              <w:jc w:val="left"/>
              <w:rPr>
                <w:rFonts w:ascii="Times New Roman" w:hAnsi="Times New Roman" w:cs="Times New Roman" w:eastAsia="Times New Roman" w:hint="default"/>
                <w:sz w:val="21"/>
                <w:szCs w:val="21"/>
              </w:rPr>
            </w:pPr>
            <w:r>
              <w:rPr>
                <w:rFonts w:ascii="Times New Roman"/>
                <w:sz w:val="21"/>
              </w:rPr>
              <w:t>2017.9.6</w:t>
            </w:r>
          </w:p>
        </w:tc>
      </w:tr>
      <w:tr>
        <w:trPr>
          <w:trHeight w:val="342" w:hRule="exact"/>
        </w:trPr>
        <w:tc>
          <w:tcPr>
            <w:tcW w:w="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0"/>
              <w:jc w:val="center"/>
              <w:rPr>
                <w:rFonts w:ascii="Times New Roman" w:hAnsi="Times New Roman" w:cs="Times New Roman" w:eastAsia="Times New Roman" w:hint="default"/>
                <w:sz w:val="21"/>
                <w:szCs w:val="21"/>
              </w:rPr>
            </w:pPr>
            <w:r>
              <w:rPr>
                <w:rFonts w:ascii="Times New Roman"/>
                <w:sz w:val="21"/>
              </w:rPr>
              <w:t>2</w:t>
            </w:r>
          </w:p>
        </w:tc>
        <w:tc>
          <w:tcPr>
            <w:tcW w:w="3983"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 w:right="0"/>
              <w:jc w:val="left"/>
              <w:rPr>
                <w:rFonts w:ascii="宋体" w:hAnsi="宋体" w:cs="宋体" w:eastAsia="宋体" w:hint="default"/>
                <w:sz w:val="21"/>
                <w:szCs w:val="21"/>
              </w:rPr>
            </w:pPr>
            <w:r>
              <w:rPr>
                <w:rFonts w:ascii="宋体" w:hAnsi="宋体" w:cs="宋体" w:eastAsia="宋体" w:hint="default"/>
                <w:sz w:val="21"/>
                <w:szCs w:val="21"/>
              </w:rPr>
              <w:t>辉煌基于现场总线的分布式微机监测系统</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82"/>
              <w:jc w:val="right"/>
              <w:rPr>
                <w:rFonts w:ascii="Times New Roman" w:hAnsi="Times New Roman" w:cs="Times New Roman" w:eastAsia="Times New Roman" w:hint="default"/>
                <w:sz w:val="21"/>
                <w:szCs w:val="21"/>
              </w:rPr>
            </w:pPr>
            <w:r>
              <w:rPr>
                <w:rFonts w:ascii="Times New Roman"/>
                <w:w w:val="95"/>
                <w:sz w:val="21"/>
              </w:rPr>
              <w:t>V1.0</w:t>
            </w:r>
            <w:r>
              <w:rPr>
                <w:rFonts w:ascii="Times New Roman"/>
                <w:sz w:val="21"/>
              </w:rPr>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87" w:lineRule="exact"/>
              <w:ind w:left="181"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豫</w:t>
            </w:r>
            <w:r>
              <w:rPr>
                <w:rFonts w:ascii="Times New Roman" w:hAnsi="Times New Roman" w:cs="Times New Roman" w:eastAsia="Times New Roman" w:hint="default"/>
                <w:sz w:val="21"/>
                <w:szCs w:val="21"/>
              </w:rPr>
              <w:t>RC</w:t>
            </w:r>
            <w:r>
              <w:rPr>
                <w:rFonts w:ascii="宋体" w:hAnsi="宋体" w:cs="宋体" w:eastAsia="宋体" w:hint="default"/>
                <w:sz w:val="21"/>
                <w:szCs w:val="21"/>
              </w:rPr>
              <w:t>－</w:t>
            </w:r>
            <w:r>
              <w:rPr>
                <w:rFonts w:ascii="Times New Roman" w:hAnsi="Times New Roman" w:cs="Times New Roman" w:eastAsia="Times New Roman" w:hint="default"/>
                <w:sz w:val="21"/>
                <w:szCs w:val="21"/>
              </w:rPr>
              <w:t>2017-0215</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336" w:right="0"/>
              <w:jc w:val="left"/>
              <w:rPr>
                <w:rFonts w:ascii="Times New Roman" w:hAnsi="Times New Roman" w:cs="Times New Roman" w:eastAsia="Times New Roman" w:hint="default"/>
                <w:sz w:val="21"/>
                <w:szCs w:val="21"/>
              </w:rPr>
            </w:pPr>
            <w:r>
              <w:rPr>
                <w:rFonts w:ascii="Times New Roman"/>
                <w:sz w:val="21"/>
              </w:rPr>
              <w:t>2017.9.6</w:t>
            </w:r>
          </w:p>
        </w:tc>
      </w:tr>
      <w:tr>
        <w:trPr>
          <w:trHeight w:val="342" w:hRule="exact"/>
        </w:trPr>
        <w:tc>
          <w:tcPr>
            <w:tcW w:w="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0"/>
              <w:jc w:val="center"/>
              <w:rPr>
                <w:rFonts w:ascii="Times New Roman" w:hAnsi="Times New Roman" w:cs="Times New Roman" w:eastAsia="Times New Roman" w:hint="default"/>
                <w:sz w:val="21"/>
                <w:szCs w:val="21"/>
              </w:rPr>
            </w:pPr>
            <w:r>
              <w:rPr>
                <w:rFonts w:ascii="Times New Roman"/>
                <w:sz w:val="21"/>
              </w:rPr>
              <w:t>3</w:t>
            </w:r>
          </w:p>
        </w:tc>
        <w:tc>
          <w:tcPr>
            <w:tcW w:w="3983" w:type="dxa"/>
            <w:tcBorders>
              <w:top w:val="single" w:sz="4" w:space="0" w:color="000000"/>
              <w:left w:val="single" w:sz="4" w:space="0" w:color="000000"/>
              <w:bottom w:val="single" w:sz="4" w:space="0" w:color="000000"/>
              <w:right w:val="single" w:sz="4" w:space="0" w:color="000000"/>
            </w:tcBorders>
            <w:shd w:val="clear" w:color="auto" w:fill="F1F1F1"/>
          </w:tcPr>
          <w:p>
            <w:pPr>
              <w:pStyle w:val="TableParagraph"/>
              <w:spacing w:line="287" w:lineRule="exact"/>
              <w:ind w:left="4" w:right="0"/>
              <w:jc w:val="left"/>
              <w:rPr>
                <w:rFonts w:ascii="宋体" w:hAnsi="宋体" w:cs="宋体" w:eastAsia="宋体" w:hint="default"/>
                <w:sz w:val="21"/>
                <w:szCs w:val="21"/>
              </w:rPr>
            </w:pPr>
            <w:r>
              <w:rPr>
                <w:rFonts w:ascii="宋体" w:hAnsi="宋体" w:cs="宋体" w:eastAsia="宋体" w:hint="default"/>
                <w:sz w:val="21"/>
                <w:szCs w:val="21"/>
              </w:rPr>
              <w:t>辉煌</w:t>
            </w:r>
            <w:r>
              <w:rPr>
                <w:rFonts w:ascii="Times New Roman" w:hAnsi="Times New Roman" w:cs="Times New Roman" w:eastAsia="Times New Roman" w:hint="default"/>
                <w:sz w:val="21"/>
                <w:szCs w:val="21"/>
              </w:rPr>
              <w:t>STP-hh</w:t>
            </w:r>
            <w:r>
              <w:rPr>
                <w:rFonts w:ascii="宋体" w:hAnsi="宋体" w:cs="宋体" w:eastAsia="宋体" w:hint="default"/>
                <w:sz w:val="21"/>
                <w:szCs w:val="21"/>
              </w:rPr>
              <w:t>无线调车机车信号和监控系统</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82"/>
              <w:jc w:val="right"/>
              <w:rPr>
                <w:rFonts w:ascii="Times New Roman" w:hAnsi="Times New Roman" w:cs="Times New Roman" w:eastAsia="Times New Roman" w:hint="default"/>
                <w:sz w:val="21"/>
                <w:szCs w:val="21"/>
              </w:rPr>
            </w:pPr>
            <w:r>
              <w:rPr>
                <w:rFonts w:ascii="Times New Roman"/>
                <w:w w:val="95"/>
                <w:sz w:val="21"/>
              </w:rPr>
              <w:t>V2.0</w:t>
            </w:r>
            <w:r>
              <w:rPr>
                <w:rFonts w:ascii="Times New Roman"/>
                <w:sz w:val="21"/>
              </w:rPr>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87" w:lineRule="exact"/>
              <w:ind w:left="181"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豫</w:t>
            </w:r>
            <w:r>
              <w:rPr>
                <w:rFonts w:ascii="Times New Roman" w:hAnsi="Times New Roman" w:cs="Times New Roman" w:eastAsia="Times New Roman" w:hint="default"/>
                <w:sz w:val="21"/>
                <w:szCs w:val="21"/>
              </w:rPr>
              <w:t>RC</w:t>
            </w:r>
            <w:r>
              <w:rPr>
                <w:rFonts w:ascii="宋体" w:hAnsi="宋体" w:cs="宋体" w:eastAsia="宋体" w:hint="default"/>
                <w:sz w:val="21"/>
                <w:szCs w:val="21"/>
              </w:rPr>
              <w:t>－</w:t>
            </w:r>
            <w:r>
              <w:rPr>
                <w:rFonts w:ascii="Times New Roman" w:hAnsi="Times New Roman" w:cs="Times New Roman" w:eastAsia="Times New Roman" w:hint="default"/>
                <w:sz w:val="21"/>
                <w:szCs w:val="21"/>
              </w:rPr>
              <w:t>2017-0216</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336" w:right="0"/>
              <w:jc w:val="left"/>
              <w:rPr>
                <w:rFonts w:ascii="Times New Roman" w:hAnsi="Times New Roman" w:cs="Times New Roman" w:eastAsia="Times New Roman" w:hint="default"/>
                <w:sz w:val="21"/>
                <w:szCs w:val="21"/>
              </w:rPr>
            </w:pPr>
            <w:r>
              <w:rPr>
                <w:rFonts w:ascii="Times New Roman"/>
                <w:sz w:val="21"/>
              </w:rPr>
              <w:t>2017.9.6</w:t>
            </w:r>
          </w:p>
        </w:tc>
      </w:tr>
      <w:tr>
        <w:trPr>
          <w:trHeight w:val="342" w:hRule="exact"/>
        </w:trPr>
        <w:tc>
          <w:tcPr>
            <w:tcW w:w="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0"/>
              <w:jc w:val="center"/>
              <w:rPr>
                <w:rFonts w:ascii="Times New Roman" w:hAnsi="Times New Roman" w:cs="Times New Roman" w:eastAsia="Times New Roman" w:hint="default"/>
                <w:sz w:val="21"/>
                <w:szCs w:val="21"/>
              </w:rPr>
            </w:pPr>
            <w:r>
              <w:rPr>
                <w:rFonts w:ascii="Times New Roman"/>
                <w:sz w:val="21"/>
              </w:rPr>
              <w:t>4</w:t>
            </w:r>
          </w:p>
        </w:tc>
        <w:tc>
          <w:tcPr>
            <w:tcW w:w="3983" w:type="dxa"/>
            <w:tcBorders>
              <w:top w:val="single" w:sz="4" w:space="0" w:color="000000"/>
              <w:left w:val="single" w:sz="4" w:space="0" w:color="000000"/>
              <w:bottom w:val="single" w:sz="4" w:space="0" w:color="000000"/>
              <w:right w:val="single" w:sz="4" w:space="0" w:color="000000"/>
            </w:tcBorders>
            <w:shd w:val="clear" w:color="auto" w:fill="F1F1F1"/>
          </w:tcPr>
          <w:p>
            <w:pPr>
              <w:pStyle w:val="TableParagraph"/>
              <w:spacing w:line="271" w:lineRule="exact"/>
              <w:ind w:left="4" w:right="0"/>
              <w:jc w:val="left"/>
              <w:rPr>
                <w:rFonts w:ascii="宋体" w:hAnsi="宋体" w:cs="宋体" w:eastAsia="宋体" w:hint="default"/>
                <w:sz w:val="21"/>
                <w:szCs w:val="21"/>
              </w:rPr>
            </w:pPr>
            <w:r>
              <w:rPr>
                <w:rFonts w:ascii="宋体" w:hAnsi="宋体" w:cs="宋体" w:eastAsia="宋体" w:hint="default"/>
                <w:sz w:val="21"/>
                <w:szCs w:val="21"/>
              </w:rPr>
              <w:t>辉煌动力环境监控系统</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82"/>
              <w:jc w:val="right"/>
              <w:rPr>
                <w:rFonts w:ascii="Times New Roman" w:hAnsi="Times New Roman" w:cs="Times New Roman" w:eastAsia="Times New Roman" w:hint="default"/>
                <w:sz w:val="21"/>
                <w:szCs w:val="21"/>
              </w:rPr>
            </w:pPr>
            <w:r>
              <w:rPr>
                <w:rFonts w:ascii="Times New Roman"/>
                <w:w w:val="95"/>
                <w:sz w:val="21"/>
              </w:rPr>
              <w:t>V0.3</w:t>
            </w:r>
            <w:r>
              <w:rPr>
                <w:rFonts w:ascii="Times New Roman"/>
                <w:sz w:val="21"/>
              </w:rPr>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87" w:lineRule="exact"/>
              <w:ind w:left="181"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豫</w:t>
            </w:r>
            <w:r>
              <w:rPr>
                <w:rFonts w:ascii="Times New Roman" w:hAnsi="Times New Roman" w:cs="Times New Roman" w:eastAsia="Times New Roman" w:hint="default"/>
                <w:sz w:val="21"/>
                <w:szCs w:val="21"/>
              </w:rPr>
              <w:t>RC</w:t>
            </w:r>
            <w:r>
              <w:rPr>
                <w:rFonts w:ascii="宋体" w:hAnsi="宋体" w:cs="宋体" w:eastAsia="宋体" w:hint="default"/>
                <w:sz w:val="21"/>
                <w:szCs w:val="21"/>
              </w:rPr>
              <w:t>－</w:t>
            </w:r>
            <w:r>
              <w:rPr>
                <w:rFonts w:ascii="Times New Roman" w:hAnsi="Times New Roman" w:cs="Times New Roman" w:eastAsia="Times New Roman" w:hint="default"/>
                <w:sz w:val="21"/>
                <w:szCs w:val="21"/>
              </w:rPr>
              <w:t>2017-0217</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336" w:right="0"/>
              <w:jc w:val="left"/>
              <w:rPr>
                <w:rFonts w:ascii="Times New Roman" w:hAnsi="Times New Roman" w:cs="Times New Roman" w:eastAsia="Times New Roman" w:hint="default"/>
                <w:sz w:val="21"/>
                <w:szCs w:val="21"/>
              </w:rPr>
            </w:pPr>
            <w:r>
              <w:rPr>
                <w:rFonts w:ascii="Times New Roman"/>
                <w:sz w:val="21"/>
              </w:rPr>
              <w:t>2017.9.6</w:t>
            </w:r>
          </w:p>
        </w:tc>
      </w:tr>
      <w:tr>
        <w:trPr>
          <w:trHeight w:val="342" w:hRule="exact"/>
        </w:trPr>
        <w:tc>
          <w:tcPr>
            <w:tcW w:w="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0"/>
              <w:jc w:val="center"/>
              <w:rPr>
                <w:rFonts w:ascii="Times New Roman" w:hAnsi="Times New Roman" w:cs="Times New Roman" w:eastAsia="Times New Roman" w:hint="default"/>
                <w:sz w:val="21"/>
                <w:szCs w:val="21"/>
              </w:rPr>
            </w:pPr>
            <w:r>
              <w:rPr>
                <w:rFonts w:ascii="Times New Roman"/>
                <w:sz w:val="21"/>
              </w:rPr>
              <w:t>5</w:t>
            </w:r>
          </w:p>
        </w:tc>
        <w:tc>
          <w:tcPr>
            <w:tcW w:w="3983" w:type="dxa"/>
            <w:tcBorders>
              <w:top w:val="single" w:sz="4" w:space="0" w:color="000000"/>
              <w:left w:val="single" w:sz="4" w:space="0" w:color="000000"/>
              <w:bottom w:val="single" w:sz="4" w:space="0" w:color="000000"/>
              <w:right w:val="single" w:sz="4" w:space="0" w:color="000000"/>
            </w:tcBorders>
            <w:shd w:val="clear" w:color="auto" w:fill="F1F1F1"/>
          </w:tcPr>
          <w:p>
            <w:pPr>
              <w:pStyle w:val="TableParagraph"/>
              <w:spacing w:line="287" w:lineRule="exact"/>
              <w:ind w:left="4" w:right="0"/>
              <w:jc w:val="left"/>
              <w:rPr>
                <w:rFonts w:ascii="宋体" w:hAnsi="宋体" w:cs="宋体" w:eastAsia="宋体" w:hint="default"/>
                <w:sz w:val="21"/>
                <w:szCs w:val="21"/>
              </w:rPr>
            </w:pPr>
            <w:r>
              <w:rPr>
                <w:rFonts w:ascii="宋体" w:hAnsi="宋体" w:cs="宋体" w:eastAsia="宋体" w:hint="default"/>
                <w:sz w:val="21"/>
                <w:szCs w:val="21"/>
              </w:rPr>
              <w:t>辉煌</w:t>
            </w:r>
            <w:r>
              <w:rPr>
                <w:rFonts w:ascii="Times New Roman" w:hAnsi="Times New Roman" w:cs="Times New Roman" w:eastAsia="Times New Roman" w:hint="default"/>
                <w:sz w:val="21"/>
                <w:szCs w:val="21"/>
              </w:rPr>
              <w:t>DCRXh-1</w:t>
            </w:r>
            <w:r>
              <w:rPr>
                <w:rFonts w:ascii="宋体" w:hAnsi="宋体" w:cs="宋体" w:eastAsia="宋体" w:hint="default"/>
                <w:sz w:val="21"/>
                <w:szCs w:val="21"/>
              </w:rPr>
              <w:t>型道岔融雪装置控制软件</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82"/>
              <w:jc w:val="right"/>
              <w:rPr>
                <w:rFonts w:ascii="Times New Roman" w:hAnsi="Times New Roman" w:cs="Times New Roman" w:eastAsia="Times New Roman" w:hint="default"/>
                <w:sz w:val="21"/>
                <w:szCs w:val="21"/>
              </w:rPr>
            </w:pPr>
            <w:r>
              <w:rPr>
                <w:rFonts w:ascii="Times New Roman"/>
                <w:w w:val="95"/>
                <w:sz w:val="21"/>
              </w:rPr>
              <w:t>V1.0</w:t>
            </w:r>
            <w:r>
              <w:rPr>
                <w:rFonts w:ascii="Times New Roman"/>
                <w:sz w:val="21"/>
              </w:rPr>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87" w:lineRule="exact"/>
              <w:ind w:left="181"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豫</w:t>
            </w:r>
            <w:r>
              <w:rPr>
                <w:rFonts w:ascii="Times New Roman" w:hAnsi="Times New Roman" w:cs="Times New Roman" w:eastAsia="Times New Roman" w:hint="default"/>
                <w:sz w:val="21"/>
                <w:szCs w:val="21"/>
              </w:rPr>
              <w:t>RC</w:t>
            </w:r>
            <w:r>
              <w:rPr>
                <w:rFonts w:ascii="宋体" w:hAnsi="宋体" w:cs="宋体" w:eastAsia="宋体" w:hint="default"/>
                <w:sz w:val="21"/>
                <w:szCs w:val="21"/>
              </w:rPr>
              <w:t>－</w:t>
            </w:r>
            <w:r>
              <w:rPr>
                <w:rFonts w:ascii="Times New Roman" w:hAnsi="Times New Roman" w:cs="Times New Roman" w:eastAsia="Times New Roman" w:hint="default"/>
                <w:sz w:val="21"/>
                <w:szCs w:val="21"/>
              </w:rPr>
              <w:t>2017-0218</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336" w:right="0"/>
              <w:jc w:val="left"/>
              <w:rPr>
                <w:rFonts w:ascii="Times New Roman" w:hAnsi="Times New Roman" w:cs="Times New Roman" w:eastAsia="Times New Roman" w:hint="default"/>
                <w:sz w:val="21"/>
                <w:szCs w:val="21"/>
              </w:rPr>
            </w:pPr>
            <w:r>
              <w:rPr>
                <w:rFonts w:ascii="Times New Roman"/>
                <w:sz w:val="21"/>
              </w:rPr>
              <w:t>2017.9.6</w:t>
            </w:r>
          </w:p>
        </w:tc>
      </w:tr>
      <w:tr>
        <w:trPr>
          <w:trHeight w:val="342" w:hRule="exact"/>
        </w:trPr>
        <w:tc>
          <w:tcPr>
            <w:tcW w:w="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0"/>
              <w:jc w:val="center"/>
              <w:rPr>
                <w:rFonts w:ascii="Times New Roman" w:hAnsi="Times New Roman" w:cs="Times New Roman" w:eastAsia="Times New Roman" w:hint="default"/>
                <w:sz w:val="21"/>
                <w:szCs w:val="21"/>
              </w:rPr>
            </w:pPr>
            <w:r>
              <w:rPr>
                <w:rFonts w:ascii="Times New Roman"/>
                <w:sz w:val="21"/>
              </w:rPr>
              <w:t>6</w:t>
            </w:r>
          </w:p>
        </w:tc>
        <w:tc>
          <w:tcPr>
            <w:tcW w:w="3983" w:type="dxa"/>
            <w:tcBorders>
              <w:top w:val="single" w:sz="4" w:space="0" w:color="000000"/>
              <w:left w:val="single" w:sz="4" w:space="0" w:color="000000"/>
              <w:bottom w:val="single" w:sz="4" w:space="0" w:color="000000"/>
              <w:right w:val="single" w:sz="4" w:space="0" w:color="000000"/>
            </w:tcBorders>
            <w:shd w:val="clear" w:color="auto" w:fill="F1F1F1"/>
          </w:tcPr>
          <w:p>
            <w:pPr>
              <w:pStyle w:val="TableParagraph"/>
              <w:spacing w:line="271" w:lineRule="exact"/>
              <w:ind w:left="4" w:right="0"/>
              <w:jc w:val="left"/>
              <w:rPr>
                <w:rFonts w:ascii="宋体" w:hAnsi="宋体" w:cs="宋体" w:eastAsia="宋体" w:hint="default"/>
                <w:sz w:val="21"/>
                <w:szCs w:val="21"/>
              </w:rPr>
            </w:pPr>
            <w:r>
              <w:rPr>
                <w:rFonts w:ascii="宋体" w:hAnsi="宋体" w:cs="宋体" w:eastAsia="宋体" w:hint="default"/>
                <w:sz w:val="21"/>
                <w:szCs w:val="21"/>
              </w:rPr>
              <w:t>辉煌城市轨道交通信号维护支持系统</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82"/>
              <w:jc w:val="right"/>
              <w:rPr>
                <w:rFonts w:ascii="Times New Roman" w:hAnsi="Times New Roman" w:cs="Times New Roman" w:eastAsia="Times New Roman" w:hint="default"/>
                <w:sz w:val="21"/>
                <w:szCs w:val="21"/>
              </w:rPr>
            </w:pPr>
            <w:r>
              <w:rPr>
                <w:rFonts w:ascii="Times New Roman"/>
                <w:w w:val="95"/>
                <w:sz w:val="21"/>
              </w:rPr>
              <w:t>V1.0</w:t>
            </w:r>
            <w:r>
              <w:rPr>
                <w:rFonts w:ascii="Times New Roman"/>
                <w:sz w:val="21"/>
              </w:rPr>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87" w:lineRule="exact"/>
              <w:ind w:left="181"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豫</w:t>
            </w:r>
            <w:r>
              <w:rPr>
                <w:rFonts w:ascii="Times New Roman" w:hAnsi="Times New Roman" w:cs="Times New Roman" w:eastAsia="Times New Roman" w:hint="default"/>
                <w:sz w:val="21"/>
                <w:szCs w:val="21"/>
              </w:rPr>
              <w:t>RC</w:t>
            </w:r>
            <w:r>
              <w:rPr>
                <w:rFonts w:ascii="宋体" w:hAnsi="宋体" w:cs="宋体" w:eastAsia="宋体" w:hint="default"/>
                <w:sz w:val="21"/>
                <w:szCs w:val="21"/>
              </w:rPr>
              <w:t>－</w:t>
            </w:r>
            <w:r>
              <w:rPr>
                <w:rFonts w:ascii="Times New Roman" w:hAnsi="Times New Roman" w:cs="Times New Roman" w:eastAsia="Times New Roman" w:hint="default"/>
                <w:sz w:val="21"/>
                <w:szCs w:val="21"/>
              </w:rPr>
              <w:t>2017-0219</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336" w:right="0"/>
              <w:jc w:val="left"/>
              <w:rPr>
                <w:rFonts w:ascii="Times New Roman" w:hAnsi="Times New Roman" w:cs="Times New Roman" w:eastAsia="Times New Roman" w:hint="default"/>
                <w:sz w:val="21"/>
                <w:szCs w:val="21"/>
              </w:rPr>
            </w:pPr>
            <w:r>
              <w:rPr>
                <w:rFonts w:ascii="Times New Roman"/>
                <w:sz w:val="21"/>
              </w:rPr>
              <w:t>2017.9.6</w:t>
            </w:r>
          </w:p>
        </w:tc>
      </w:tr>
      <w:tr>
        <w:trPr>
          <w:trHeight w:val="342" w:hRule="exact"/>
        </w:trPr>
        <w:tc>
          <w:tcPr>
            <w:tcW w:w="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0"/>
              <w:jc w:val="center"/>
              <w:rPr>
                <w:rFonts w:ascii="Times New Roman" w:hAnsi="Times New Roman" w:cs="Times New Roman" w:eastAsia="Times New Roman" w:hint="default"/>
                <w:sz w:val="21"/>
                <w:szCs w:val="21"/>
              </w:rPr>
            </w:pPr>
            <w:r>
              <w:rPr>
                <w:rFonts w:ascii="Times New Roman"/>
                <w:sz w:val="21"/>
              </w:rPr>
              <w:t>7</w:t>
            </w:r>
          </w:p>
        </w:tc>
        <w:tc>
          <w:tcPr>
            <w:tcW w:w="3983" w:type="dxa"/>
            <w:tcBorders>
              <w:top w:val="single" w:sz="4" w:space="0" w:color="000000"/>
              <w:left w:val="single" w:sz="4" w:space="0" w:color="000000"/>
              <w:bottom w:val="single" w:sz="4" w:space="0" w:color="000000"/>
              <w:right w:val="single" w:sz="4" w:space="0" w:color="000000"/>
            </w:tcBorders>
            <w:shd w:val="clear" w:color="auto" w:fill="F1F1F1"/>
          </w:tcPr>
          <w:p>
            <w:pPr>
              <w:pStyle w:val="TableParagraph"/>
              <w:spacing w:line="271" w:lineRule="exact"/>
              <w:ind w:left="4" w:right="0"/>
              <w:jc w:val="left"/>
              <w:rPr>
                <w:rFonts w:ascii="宋体" w:hAnsi="宋体" w:cs="宋体" w:eastAsia="宋体" w:hint="default"/>
                <w:sz w:val="21"/>
                <w:szCs w:val="21"/>
              </w:rPr>
            </w:pPr>
            <w:r>
              <w:rPr>
                <w:rFonts w:ascii="宋体" w:hAnsi="宋体" w:cs="宋体" w:eastAsia="宋体" w:hint="default"/>
                <w:sz w:val="21"/>
                <w:szCs w:val="21"/>
              </w:rPr>
              <w:t>辉煌车站接发列车防错办监督系统</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82"/>
              <w:jc w:val="right"/>
              <w:rPr>
                <w:rFonts w:ascii="Times New Roman" w:hAnsi="Times New Roman" w:cs="Times New Roman" w:eastAsia="Times New Roman" w:hint="default"/>
                <w:sz w:val="21"/>
                <w:szCs w:val="21"/>
              </w:rPr>
            </w:pPr>
            <w:r>
              <w:rPr>
                <w:rFonts w:ascii="Times New Roman"/>
                <w:w w:val="95"/>
                <w:sz w:val="21"/>
              </w:rPr>
              <w:t>V1.1</w:t>
            </w:r>
            <w:r>
              <w:rPr>
                <w:rFonts w:ascii="Times New Roman"/>
                <w:sz w:val="21"/>
              </w:rPr>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87" w:lineRule="exact"/>
              <w:ind w:left="181"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豫</w:t>
            </w:r>
            <w:r>
              <w:rPr>
                <w:rFonts w:ascii="Times New Roman" w:hAnsi="Times New Roman" w:cs="Times New Roman" w:eastAsia="Times New Roman" w:hint="default"/>
                <w:sz w:val="21"/>
                <w:szCs w:val="21"/>
              </w:rPr>
              <w:t>RC</w:t>
            </w:r>
            <w:r>
              <w:rPr>
                <w:rFonts w:ascii="宋体" w:hAnsi="宋体" w:cs="宋体" w:eastAsia="宋体" w:hint="default"/>
                <w:sz w:val="21"/>
                <w:szCs w:val="21"/>
              </w:rPr>
              <w:t>－</w:t>
            </w:r>
            <w:r>
              <w:rPr>
                <w:rFonts w:ascii="Times New Roman" w:hAnsi="Times New Roman" w:cs="Times New Roman" w:eastAsia="Times New Roman" w:hint="default"/>
                <w:sz w:val="21"/>
                <w:szCs w:val="21"/>
              </w:rPr>
              <w:t>2017-0220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336" w:right="0"/>
              <w:jc w:val="left"/>
              <w:rPr>
                <w:rFonts w:ascii="Times New Roman" w:hAnsi="Times New Roman" w:cs="Times New Roman" w:eastAsia="Times New Roman" w:hint="default"/>
                <w:sz w:val="21"/>
                <w:szCs w:val="21"/>
              </w:rPr>
            </w:pPr>
            <w:r>
              <w:rPr>
                <w:rFonts w:ascii="Times New Roman"/>
                <w:sz w:val="21"/>
              </w:rPr>
              <w:t>2017.9.6</w:t>
            </w:r>
          </w:p>
        </w:tc>
      </w:tr>
      <w:tr>
        <w:trPr>
          <w:trHeight w:val="342" w:hRule="exact"/>
        </w:trPr>
        <w:tc>
          <w:tcPr>
            <w:tcW w:w="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0"/>
              <w:jc w:val="center"/>
              <w:rPr>
                <w:rFonts w:ascii="Times New Roman" w:hAnsi="Times New Roman" w:cs="Times New Roman" w:eastAsia="Times New Roman" w:hint="default"/>
                <w:sz w:val="21"/>
                <w:szCs w:val="21"/>
              </w:rPr>
            </w:pPr>
            <w:r>
              <w:rPr>
                <w:rFonts w:ascii="Times New Roman"/>
                <w:sz w:val="21"/>
              </w:rPr>
              <w:t>8</w:t>
            </w:r>
          </w:p>
        </w:tc>
        <w:tc>
          <w:tcPr>
            <w:tcW w:w="3983" w:type="dxa"/>
            <w:tcBorders>
              <w:top w:val="single" w:sz="4" w:space="0" w:color="000000"/>
              <w:left w:val="single" w:sz="4" w:space="0" w:color="000000"/>
              <w:bottom w:val="single" w:sz="4" w:space="0" w:color="000000"/>
              <w:right w:val="single" w:sz="4" w:space="0" w:color="000000"/>
            </w:tcBorders>
            <w:shd w:val="clear" w:color="auto" w:fill="F1F1F1"/>
          </w:tcPr>
          <w:p>
            <w:pPr>
              <w:pStyle w:val="TableParagraph"/>
              <w:spacing w:line="271" w:lineRule="exact"/>
              <w:ind w:left="4" w:right="0"/>
              <w:jc w:val="left"/>
              <w:rPr>
                <w:rFonts w:ascii="宋体" w:hAnsi="宋体" w:cs="宋体" w:eastAsia="宋体" w:hint="default"/>
                <w:sz w:val="21"/>
                <w:szCs w:val="21"/>
              </w:rPr>
            </w:pPr>
            <w:r>
              <w:rPr>
                <w:rFonts w:ascii="宋体" w:hAnsi="宋体" w:cs="宋体" w:eastAsia="宋体" w:hint="default"/>
                <w:sz w:val="21"/>
                <w:szCs w:val="21"/>
              </w:rPr>
              <w:t>辉煌电务设备数据综合分析诊断中心系统</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82"/>
              <w:jc w:val="right"/>
              <w:rPr>
                <w:rFonts w:ascii="Times New Roman" w:hAnsi="Times New Roman" w:cs="Times New Roman" w:eastAsia="Times New Roman" w:hint="default"/>
                <w:sz w:val="21"/>
                <w:szCs w:val="21"/>
              </w:rPr>
            </w:pPr>
            <w:r>
              <w:rPr>
                <w:rFonts w:ascii="Times New Roman"/>
                <w:w w:val="95"/>
                <w:sz w:val="21"/>
              </w:rPr>
              <w:t>V1.0</w:t>
            </w:r>
            <w:r>
              <w:rPr>
                <w:rFonts w:ascii="Times New Roman"/>
                <w:sz w:val="21"/>
              </w:rPr>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87" w:lineRule="exact"/>
              <w:ind w:left="181"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豫</w:t>
            </w:r>
            <w:r>
              <w:rPr>
                <w:rFonts w:ascii="Times New Roman" w:hAnsi="Times New Roman" w:cs="Times New Roman" w:eastAsia="Times New Roman" w:hint="default"/>
                <w:sz w:val="21"/>
                <w:szCs w:val="21"/>
              </w:rPr>
              <w:t>RC</w:t>
            </w:r>
            <w:r>
              <w:rPr>
                <w:rFonts w:ascii="宋体" w:hAnsi="宋体" w:cs="宋体" w:eastAsia="宋体" w:hint="default"/>
                <w:sz w:val="21"/>
                <w:szCs w:val="21"/>
              </w:rPr>
              <w:t>－</w:t>
            </w:r>
            <w:r>
              <w:rPr>
                <w:rFonts w:ascii="Times New Roman" w:hAnsi="Times New Roman" w:cs="Times New Roman" w:eastAsia="Times New Roman" w:hint="default"/>
                <w:sz w:val="21"/>
                <w:szCs w:val="21"/>
              </w:rPr>
              <w:t>2017-0221</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336" w:right="0"/>
              <w:jc w:val="left"/>
              <w:rPr>
                <w:rFonts w:ascii="Times New Roman" w:hAnsi="Times New Roman" w:cs="Times New Roman" w:eastAsia="Times New Roman" w:hint="default"/>
                <w:sz w:val="21"/>
                <w:szCs w:val="21"/>
              </w:rPr>
            </w:pPr>
            <w:r>
              <w:rPr>
                <w:rFonts w:ascii="Times New Roman"/>
                <w:sz w:val="21"/>
              </w:rPr>
              <w:t>2017.9.6</w:t>
            </w:r>
          </w:p>
        </w:tc>
      </w:tr>
      <w:tr>
        <w:trPr>
          <w:trHeight w:val="342" w:hRule="exact"/>
        </w:trPr>
        <w:tc>
          <w:tcPr>
            <w:tcW w:w="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0"/>
              <w:jc w:val="center"/>
              <w:rPr>
                <w:rFonts w:ascii="Times New Roman" w:hAnsi="Times New Roman" w:cs="Times New Roman" w:eastAsia="Times New Roman" w:hint="default"/>
                <w:sz w:val="21"/>
                <w:szCs w:val="21"/>
              </w:rPr>
            </w:pPr>
            <w:r>
              <w:rPr>
                <w:rFonts w:ascii="Times New Roman"/>
                <w:sz w:val="21"/>
              </w:rPr>
              <w:t>9</w:t>
            </w:r>
          </w:p>
        </w:tc>
        <w:tc>
          <w:tcPr>
            <w:tcW w:w="3983" w:type="dxa"/>
            <w:tcBorders>
              <w:top w:val="single" w:sz="4" w:space="0" w:color="000000"/>
              <w:left w:val="single" w:sz="4" w:space="0" w:color="000000"/>
              <w:bottom w:val="single" w:sz="4" w:space="0" w:color="000000"/>
              <w:right w:val="single" w:sz="4" w:space="0" w:color="000000"/>
            </w:tcBorders>
            <w:shd w:val="clear" w:color="auto" w:fill="F1F1F1"/>
          </w:tcPr>
          <w:p>
            <w:pPr>
              <w:pStyle w:val="TableParagraph"/>
              <w:spacing w:line="287" w:lineRule="exact"/>
              <w:ind w:left="4" w:right="0"/>
              <w:jc w:val="left"/>
              <w:rPr>
                <w:rFonts w:ascii="宋体" w:hAnsi="宋体" w:cs="宋体" w:eastAsia="宋体" w:hint="default"/>
                <w:sz w:val="21"/>
                <w:szCs w:val="21"/>
              </w:rPr>
            </w:pPr>
            <w:r>
              <w:rPr>
                <w:rFonts w:ascii="宋体" w:hAnsi="宋体" w:cs="宋体" w:eastAsia="宋体" w:hint="default"/>
                <w:sz w:val="21"/>
                <w:szCs w:val="21"/>
              </w:rPr>
              <w:t>辉煌</w:t>
            </w:r>
            <w:r>
              <w:rPr>
                <w:rFonts w:ascii="Times New Roman" w:hAnsi="Times New Roman" w:cs="Times New Roman" w:eastAsia="Times New Roman" w:hint="default"/>
                <w:sz w:val="21"/>
                <w:szCs w:val="21"/>
              </w:rPr>
              <w:t>TJWX</w:t>
            </w:r>
            <w:r>
              <w:rPr>
                <w:rFonts w:ascii="宋体" w:hAnsi="宋体" w:cs="宋体" w:eastAsia="宋体" w:hint="default"/>
                <w:sz w:val="21"/>
                <w:szCs w:val="21"/>
              </w:rPr>
              <w:t>微机监测智能分析系统</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82"/>
              <w:jc w:val="right"/>
              <w:rPr>
                <w:rFonts w:ascii="Times New Roman" w:hAnsi="Times New Roman" w:cs="Times New Roman" w:eastAsia="Times New Roman" w:hint="default"/>
                <w:sz w:val="21"/>
                <w:szCs w:val="21"/>
              </w:rPr>
            </w:pPr>
            <w:r>
              <w:rPr>
                <w:rFonts w:ascii="Times New Roman"/>
                <w:w w:val="95"/>
                <w:sz w:val="21"/>
              </w:rPr>
              <w:t>V1.4</w:t>
            </w:r>
            <w:r>
              <w:rPr>
                <w:rFonts w:ascii="Times New Roman"/>
                <w:sz w:val="21"/>
              </w:rPr>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87" w:lineRule="exact"/>
              <w:ind w:left="181"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豫</w:t>
            </w:r>
            <w:r>
              <w:rPr>
                <w:rFonts w:ascii="Times New Roman" w:hAnsi="Times New Roman" w:cs="Times New Roman" w:eastAsia="Times New Roman" w:hint="default"/>
                <w:sz w:val="21"/>
                <w:szCs w:val="21"/>
              </w:rPr>
              <w:t>RC</w:t>
            </w:r>
            <w:r>
              <w:rPr>
                <w:rFonts w:ascii="宋体" w:hAnsi="宋体" w:cs="宋体" w:eastAsia="宋体" w:hint="default"/>
                <w:sz w:val="21"/>
                <w:szCs w:val="21"/>
              </w:rPr>
              <w:t>－</w:t>
            </w:r>
            <w:r>
              <w:rPr>
                <w:rFonts w:ascii="Times New Roman" w:hAnsi="Times New Roman" w:cs="Times New Roman" w:eastAsia="Times New Roman" w:hint="default"/>
                <w:sz w:val="21"/>
                <w:szCs w:val="21"/>
              </w:rPr>
              <w:t>2017-0222</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336" w:right="0"/>
              <w:jc w:val="left"/>
              <w:rPr>
                <w:rFonts w:ascii="Times New Roman" w:hAnsi="Times New Roman" w:cs="Times New Roman" w:eastAsia="Times New Roman" w:hint="default"/>
                <w:sz w:val="21"/>
                <w:szCs w:val="21"/>
              </w:rPr>
            </w:pPr>
            <w:r>
              <w:rPr>
                <w:rFonts w:ascii="Times New Roman"/>
                <w:sz w:val="21"/>
              </w:rPr>
              <w:t>2017.9.6</w:t>
            </w:r>
          </w:p>
        </w:tc>
      </w:tr>
      <w:tr>
        <w:trPr>
          <w:trHeight w:val="342" w:hRule="exact"/>
        </w:trPr>
        <w:tc>
          <w:tcPr>
            <w:tcW w:w="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0"/>
              <w:jc w:val="center"/>
              <w:rPr>
                <w:rFonts w:ascii="Times New Roman" w:hAnsi="Times New Roman" w:cs="Times New Roman" w:eastAsia="Times New Roman" w:hint="default"/>
                <w:sz w:val="21"/>
                <w:szCs w:val="21"/>
              </w:rPr>
            </w:pPr>
            <w:r>
              <w:rPr>
                <w:rFonts w:ascii="Times New Roman"/>
                <w:sz w:val="21"/>
              </w:rPr>
              <w:t>10</w:t>
            </w:r>
          </w:p>
        </w:tc>
        <w:tc>
          <w:tcPr>
            <w:tcW w:w="3983" w:type="dxa"/>
            <w:tcBorders>
              <w:top w:val="single" w:sz="4" w:space="0" w:color="000000"/>
              <w:left w:val="single" w:sz="4" w:space="0" w:color="000000"/>
              <w:bottom w:val="single" w:sz="4" w:space="0" w:color="000000"/>
              <w:right w:val="single" w:sz="4" w:space="0" w:color="000000"/>
            </w:tcBorders>
            <w:shd w:val="clear" w:color="auto" w:fill="F1F1F1"/>
          </w:tcPr>
          <w:p>
            <w:pPr>
              <w:pStyle w:val="TableParagraph"/>
              <w:spacing w:line="271" w:lineRule="exact"/>
              <w:ind w:left="4" w:right="0"/>
              <w:jc w:val="left"/>
              <w:rPr>
                <w:rFonts w:ascii="宋体" w:hAnsi="宋体" w:cs="宋体" w:eastAsia="宋体" w:hint="default"/>
                <w:sz w:val="21"/>
                <w:szCs w:val="21"/>
              </w:rPr>
            </w:pPr>
            <w:r>
              <w:rPr>
                <w:rFonts w:ascii="宋体" w:hAnsi="宋体" w:cs="宋体" w:eastAsia="宋体" w:hint="default"/>
                <w:sz w:val="21"/>
                <w:szCs w:val="21"/>
              </w:rPr>
              <w:t>辉煌电务安全生产指挥系统</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82"/>
              <w:jc w:val="right"/>
              <w:rPr>
                <w:rFonts w:ascii="Times New Roman" w:hAnsi="Times New Roman" w:cs="Times New Roman" w:eastAsia="Times New Roman" w:hint="default"/>
                <w:sz w:val="21"/>
                <w:szCs w:val="21"/>
              </w:rPr>
            </w:pPr>
            <w:r>
              <w:rPr>
                <w:rFonts w:ascii="Times New Roman"/>
                <w:w w:val="95"/>
                <w:sz w:val="21"/>
              </w:rPr>
              <w:t>V1.0</w:t>
            </w:r>
            <w:r>
              <w:rPr>
                <w:rFonts w:ascii="Times New Roman"/>
                <w:sz w:val="21"/>
              </w:rPr>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87" w:lineRule="exact"/>
              <w:ind w:left="181"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豫</w:t>
            </w:r>
            <w:r>
              <w:rPr>
                <w:rFonts w:ascii="Times New Roman" w:hAnsi="Times New Roman" w:cs="Times New Roman" w:eastAsia="Times New Roman" w:hint="default"/>
                <w:sz w:val="21"/>
                <w:szCs w:val="21"/>
              </w:rPr>
              <w:t>RC</w:t>
            </w:r>
            <w:r>
              <w:rPr>
                <w:rFonts w:ascii="宋体" w:hAnsi="宋体" w:cs="宋体" w:eastAsia="宋体" w:hint="default"/>
                <w:sz w:val="21"/>
                <w:szCs w:val="21"/>
              </w:rPr>
              <w:t>－</w:t>
            </w:r>
            <w:r>
              <w:rPr>
                <w:rFonts w:ascii="Times New Roman" w:hAnsi="Times New Roman" w:cs="Times New Roman" w:eastAsia="Times New Roman" w:hint="default"/>
                <w:sz w:val="21"/>
                <w:szCs w:val="21"/>
              </w:rPr>
              <w:t>2017-0223</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336" w:right="0"/>
              <w:jc w:val="left"/>
              <w:rPr>
                <w:rFonts w:ascii="Times New Roman" w:hAnsi="Times New Roman" w:cs="Times New Roman" w:eastAsia="Times New Roman" w:hint="default"/>
                <w:sz w:val="21"/>
                <w:szCs w:val="21"/>
              </w:rPr>
            </w:pPr>
            <w:r>
              <w:rPr>
                <w:rFonts w:ascii="Times New Roman"/>
                <w:sz w:val="21"/>
              </w:rPr>
              <w:t>2017.9.6</w:t>
            </w:r>
          </w:p>
        </w:tc>
      </w:tr>
      <w:tr>
        <w:trPr>
          <w:trHeight w:val="342" w:hRule="exact"/>
        </w:trPr>
        <w:tc>
          <w:tcPr>
            <w:tcW w:w="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0"/>
              <w:jc w:val="center"/>
              <w:rPr>
                <w:rFonts w:ascii="Times New Roman" w:hAnsi="Times New Roman" w:cs="Times New Roman" w:eastAsia="Times New Roman" w:hint="default"/>
                <w:sz w:val="21"/>
                <w:szCs w:val="21"/>
              </w:rPr>
            </w:pPr>
            <w:r>
              <w:rPr>
                <w:rFonts w:ascii="Times New Roman"/>
                <w:sz w:val="21"/>
              </w:rPr>
              <w:t>11</w:t>
            </w:r>
          </w:p>
        </w:tc>
        <w:tc>
          <w:tcPr>
            <w:tcW w:w="3983" w:type="dxa"/>
            <w:tcBorders>
              <w:top w:val="single" w:sz="4" w:space="0" w:color="000000"/>
              <w:left w:val="single" w:sz="4" w:space="0" w:color="000000"/>
              <w:bottom w:val="single" w:sz="4" w:space="0" w:color="000000"/>
              <w:right w:val="single" w:sz="4" w:space="0" w:color="000000"/>
            </w:tcBorders>
            <w:shd w:val="clear" w:color="auto" w:fill="F1F1F1"/>
          </w:tcPr>
          <w:p>
            <w:pPr>
              <w:pStyle w:val="TableParagraph"/>
              <w:spacing w:line="287" w:lineRule="exact"/>
              <w:ind w:left="4" w:right="0"/>
              <w:jc w:val="left"/>
              <w:rPr>
                <w:rFonts w:ascii="宋体" w:hAnsi="宋体" w:cs="宋体" w:eastAsia="宋体" w:hint="default"/>
                <w:sz w:val="21"/>
                <w:szCs w:val="21"/>
              </w:rPr>
            </w:pPr>
            <w:r>
              <w:rPr>
                <w:rFonts w:ascii="宋体" w:hAnsi="宋体" w:cs="宋体" w:eastAsia="宋体" w:hint="default"/>
                <w:sz w:val="21"/>
                <w:szCs w:val="21"/>
              </w:rPr>
              <w:t>辉煌</w:t>
            </w:r>
            <w:r>
              <w:rPr>
                <w:rFonts w:ascii="Times New Roman" w:hAnsi="Times New Roman" w:cs="Times New Roman" w:eastAsia="Times New Roman" w:hint="default"/>
                <w:sz w:val="21"/>
                <w:szCs w:val="21"/>
              </w:rPr>
              <w:t>HH-IVMSR</w:t>
            </w:r>
            <w:r>
              <w:rPr>
                <w:rFonts w:ascii="宋体" w:hAnsi="宋体" w:cs="宋体" w:eastAsia="宋体" w:hint="default"/>
                <w:sz w:val="21"/>
                <w:szCs w:val="21"/>
              </w:rPr>
              <w:t>型铁路综合视频监控系统</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82"/>
              <w:jc w:val="right"/>
              <w:rPr>
                <w:rFonts w:ascii="Times New Roman" w:hAnsi="Times New Roman" w:cs="Times New Roman" w:eastAsia="Times New Roman" w:hint="default"/>
                <w:sz w:val="21"/>
                <w:szCs w:val="21"/>
              </w:rPr>
            </w:pPr>
            <w:r>
              <w:rPr>
                <w:rFonts w:ascii="Times New Roman"/>
                <w:w w:val="95"/>
                <w:sz w:val="21"/>
              </w:rPr>
              <w:t>V2.0</w:t>
            </w:r>
            <w:r>
              <w:rPr>
                <w:rFonts w:ascii="Times New Roman"/>
                <w:sz w:val="21"/>
              </w:rPr>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87" w:lineRule="exact"/>
              <w:ind w:left="181"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豫</w:t>
            </w:r>
            <w:r>
              <w:rPr>
                <w:rFonts w:ascii="Times New Roman" w:hAnsi="Times New Roman" w:cs="Times New Roman" w:eastAsia="Times New Roman" w:hint="default"/>
                <w:sz w:val="21"/>
                <w:szCs w:val="21"/>
              </w:rPr>
              <w:t>RC</w:t>
            </w:r>
            <w:r>
              <w:rPr>
                <w:rFonts w:ascii="宋体" w:hAnsi="宋体" w:cs="宋体" w:eastAsia="宋体" w:hint="default"/>
                <w:sz w:val="21"/>
                <w:szCs w:val="21"/>
              </w:rPr>
              <w:t>－</w:t>
            </w:r>
            <w:r>
              <w:rPr>
                <w:rFonts w:ascii="Times New Roman" w:hAnsi="Times New Roman" w:cs="Times New Roman" w:eastAsia="Times New Roman" w:hint="default"/>
                <w:sz w:val="21"/>
                <w:szCs w:val="21"/>
              </w:rPr>
              <w:t>2017-0510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31"/>
              <w:jc w:val="right"/>
              <w:rPr>
                <w:rFonts w:ascii="Times New Roman" w:hAnsi="Times New Roman" w:cs="Times New Roman" w:eastAsia="Times New Roman" w:hint="default"/>
                <w:sz w:val="21"/>
                <w:szCs w:val="21"/>
              </w:rPr>
            </w:pPr>
            <w:r>
              <w:rPr>
                <w:rFonts w:ascii="Times New Roman"/>
                <w:sz w:val="21"/>
              </w:rPr>
              <w:t>2017.12.15</w:t>
            </w:r>
          </w:p>
        </w:tc>
      </w:tr>
      <w:tr>
        <w:trPr>
          <w:trHeight w:val="342" w:hRule="exact"/>
        </w:trPr>
        <w:tc>
          <w:tcPr>
            <w:tcW w:w="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0"/>
              <w:jc w:val="center"/>
              <w:rPr>
                <w:rFonts w:ascii="Times New Roman" w:hAnsi="Times New Roman" w:cs="Times New Roman" w:eastAsia="Times New Roman" w:hint="default"/>
                <w:sz w:val="21"/>
                <w:szCs w:val="21"/>
              </w:rPr>
            </w:pPr>
            <w:r>
              <w:rPr>
                <w:rFonts w:ascii="Times New Roman"/>
                <w:sz w:val="21"/>
              </w:rPr>
              <w:t>12</w:t>
            </w:r>
          </w:p>
        </w:tc>
        <w:tc>
          <w:tcPr>
            <w:tcW w:w="3983"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 w:right="0"/>
              <w:jc w:val="left"/>
              <w:rPr>
                <w:rFonts w:ascii="宋体" w:hAnsi="宋体" w:cs="宋体" w:eastAsia="宋体" w:hint="default"/>
                <w:sz w:val="21"/>
                <w:szCs w:val="21"/>
              </w:rPr>
            </w:pPr>
            <w:r>
              <w:rPr>
                <w:rFonts w:ascii="宋体" w:hAnsi="宋体" w:cs="宋体" w:eastAsia="宋体" w:hint="default"/>
                <w:sz w:val="21"/>
                <w:szCs w:val="21"/>
              </w:rPr>
              <w:t>辉煌城轨自动化监控平台</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82"/>
              <w:jc w:val="right"/>
              <w:rPr>
                <w:rFonts w:ascii="Times New Roman" w:hAnsi="Times New Roman" w:cs="Times New Roman" w:eastAsia="Times New Roman" w:hint="default"/>
                <w:sz w:val="21"/>
                <w:szCs w:val="21"/>
              </w:rPr>
            </w:pPr>
            <w:r>
              <w:rPr>
                <w:rFonts w:ascii="Times New Roman"/>
                <w:w w:val="95"/>
                <w:sz w:val="21"/>
              </w:rPr>
              <w:t>V1.0</w:t>
            </w:r>
            <w:r>
              <w:rPr>
                <w:rFonts w:ascii="Times New Roman"/>
                <w:sz w:val="21"/>
              </w:rPr>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87" w:lineRule="exact"/>
              <w:ind w:left="251"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豫</w:t>
            </w:r>
            <w:r>
              <w:rPr>
                <w:rFonts w:ascii="Times New Roman" w:hAnsi="Times New Roman" w:cs="Times New Roman" w:eastAsia="Times New Roman" w:hint="default"/>
                <w:sz w:val="21"/>
                <w:szCs w:val="21"/>
              </w:rPr>
              <w:t>RC-2017-0508</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31"/>
              <w:jc w:val="right"/>
              <w:rPr>
                <w:rFonts w:ascii="Times New Roman" w:hAnsi="Times New Roman" w:cs="Times New Roman" w:eastAsia="Times New Roman" w:hint="default"/>
                <w:sz w:val="21"/>
                <w:szCs w:val="21"/>
              </w:rPr>
            </w:pPr>
            <w:r>
              <w:rPr>
                <w:rFonts w:ascii="Times New Roman"/>
                <w:sz w:val="21"/>
              </w:rPr>
              <w:t>2017.12.15</w:t>
            </w:r>
          </w:p>
        </w:tc>
      </w:tr>
      <w:tr>
        <w:trPr>
          <w:trHeight w:val="342" w:hRule="exact"/>
        </w:trPr>
        <w:tc>
          <w:tcPr>
            <w:tcW w:w="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0"/>
              <w:jc w:val="center"/>
              <w:rPr>
                <w:rFonts w:ascii="Times New Roman" w:hAnsi="Times New Roman" w:cs="Times New Roman" w:eastAsia="Times New Roman" w:hint="default"/>
                <w:sz w:val="21"/>
                <w:szCs w:val="21"/>
              </w:rPr>
            </w:pPr>
            <w:r>
              <w:rPr>
                <w:rFonts w:ascii="Times New Roman"/>
                <w:sz w:val="21"/>
              </w:rPr>
              <w:t>13</w:t>
            </w:r>
          </w:p>
        </w:tc>
        <w:tc>
          <w:tcPr>
            <w:tcW w:w="3983"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 w:right="0"/>
              <w:jc w:val="left"/>
              <w:rPr>
                <w:rFonts w:ascii="宋体" w:hAnsi="宋体" w:cs="宋体" w:eastAsia="宋体" w:hint="default"/>
                <w:sz w:val="21"/>
                <w:szCs w:val="21"/>
              </w:rPr>
            </w:pPr>
            <w:r>
              <w:rPr>
                <w:rFonts w:ascii="宋体" w:hAnsi="宋体" w:cs="宋体" w:eastAsia="宋体" w:hint="default"/>
                <w:sz w:val="21"/>
                <w:szCs w:val="21"/>
              </w:rPr>
              <w:t>辉煌城轨城市轨道交通信号维护支持系统</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82"/>
              <w:jc w:val="right"/>
              <w:rPr>
                <w:rFonts w:ascii="Times New Roman" w:hAnsi="Times New Roman" w:cs="Times New Roman" w:eastAsia="Times New Roman" w:hint="default"/>
                <w:sz w:val="21"/>
                <w:szCs w:val="21"/>
              </w:rPr>
            </w:pPr>
            <w:r>
              <w:rPr>
                <w:rFonts w:ascii="Times New Roman"/>
                <w:w w:val="95"/>
                <w:sz w:val="21"/>
              </w:rPr>
              <w:t>V1.0</w:t>
            </w:r>
            <w:r>
              <w:rPr>
                <w:rFonts w:ascii="Times New Roman"/>
                <w:sz w:val="21"/>
              </w:rPr>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87" w:lineRule="exact"/>
              <w:ind w:left="251"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豫</w:t>
            </w:r>
            <w:r>
              <w:rPr>
                <w:rFonts w:ascii="Times New Roman" w:hAnsi="Times New Roman" w:cs="Times New Roman" w:eastAsia="Times New Roman" w:hint="default"/>
                <w:sz w:val="21"/>
                <w:szCs w:val="21"/>
              </w:rPr>
              <w:t>RC-2017-0509</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31"/>
              <w:jc w:val="right"/>
              <w:rPr>
                <w:rFonts w:ascii="Times New Roman" w:hAnsi="Times New Roman" w:cs="Times New Roman" w:eastAsia="Times New Roman" w:hint="default"/>
                <w:sz w:val="21"/>
                <w:szCs w:val="21"/>
              </w:rPr>
            </w:pPr>
            <w:r>
              <w:rPr>
                <w:rFonts w:ascii="Times New Roman"/>
                <w:sz w:val="21"/>
              </w:rPr>
              <w:t>2017.12.15</w:t>
            </w:r>
          </w:p>
        </w:tc>
      </w:tr>
      <w:tr>
        <w:trPr>
          <w:trHeight w:val="343" w:hRule="exact"/>
        </w:trPr>
        <w:tc>
          <w:tcPr>
            <w:tcW w:w="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0"/>
              <w:jc w:val="center"/>
              <w:rPr>
                <w:rFonts w:ascii="Times New Roman" w:hAnsi="Times New Roman" w:cs="Times New Roman" w:eastAsia="Times New Roman" w:hint="default"/>
                <w:sz w:val="21"/>
                <w:szCs w:val="21"/>
              </w:rPr>
            </w:pPr>
            <w:r>
              <w:rPr>
                <w:rFonts w:ascii="Times New Roman"/>
                <w:sz w:val="21"/>
              </w:rPr>
              <w:t>14</w:t>
            </w:r>
          </w:p>
        </w:tc>
        <w:tc>
          <w:tcPr>
            <w:tcW w:w="3983" w:type="dxa"/>
            <w:tcBorders>
              <w:top w:val="single" w:sz="4" w:space="0" w:color="000000"/>
              <w:left w:val="single" w:sz="4" w:space="0" w:color="000000"/>
              <w:bottom w:val="single" w:sz="4" w:space="0" w:color="000000"/>
              <w:right w:val="single" w:sz="4" w:space="0" w:color="000000"/>
            </w:tcBorders>
          </w:tcPr>
          <w:p>
            <w:pPr>
              <w:pStyle w:val="TableParagraph"/>
              <w:spacing w:line="287" w:lineRule="exact"/>
              <w:ind w:left="4" w:right="0"/>
              <w:jc w:val="left"/>
              <w:rPr>
                <w:rFonts w:ascii="宋体" w:hAnsi="宋体" w:cs="宋体" w:eastAsia="宋体" w:hint="default"/>
                <w:sz w:val="21"/>
                <w:szCs w:val="21"/>
              </w:rPr>
            </w:pPr>
            <w:r>
              <w:rPr>
                <w:rFonts w:ascii="宋体" w:hAnsi="宋体" w:cs="宋体" w:eastAsia="宋体" w:hint="default"/>
                <w:sz w:val="21"/>
                <w:szCs w:val="21"/>
              </w:rPr>
              <w:t>辉煌既有线小型</w:t>
            </w:r>
            <w:r>
              <w:rPr>
                <w:rFonts w:ascii="Times New Roman" w:hAnsi="Times New Roman" w:cs="Times New Roman" w:eastAsia="Times New Roman" w:hint="default"/>
                <w:sz w:val="21"/>
                <w:szCs w:val="21"/>
              </w:rPr>
              <w:t>UPS</w:t>
            </w:r>
            <w:r>
              <w:rPr>
                <w:rFonts w:ascii="宋体" w:hAnsi="宋体" w:cs="宋体" w:eastAsia="宋体" w:hint="default"/>
                <w:sz w:val="21"/>
                <w:szCs w:val="21"/>
              </w:rPr>
              <w:t>监测系统</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82"/>
              <w:jc w:val="right"/>
              <w:rPr>
                <w:rFonts w:ascii="Times New Roman" w:hAnsi="Times New Roman" w:cs="Times New Roman" w:eastAsia="Times New Roman" w:hint="default"/>
                <w:sz w:val="21"/>
                <w:szCs w:val="21"/>
              </w:rPr>
            </w:pPr>
            <w:r>
              <w:rPr>
                <w:rFonts w:ascii="Times New Roman"/>
                <w:w w:val="95"/>
                <w:sz w:val="21"/>
              </w:rPr>
              <w:t>V1.0</w:t>
            </w:r>
            <w:r>
              <w:rPr>
                <w:rFonts w:ascii="Times New Roman"/>
                <w:sz w:val="21"/>
              </w:rPr>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87" w:lineRule="exact"/>
              <w:ind w:left="251"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豫</w:t>
            </w:r>
            <w:r>
              <w:rPr>
                <w:rFonts w:ascii="Times New Roman" w:hAnsi="Times New Roman" w:cs="Times New Roman" w:eastAsia="Times New Roman" w:hint="default"/>
                <w:sz w:val="21"/>
                <w:szCs w:val="21"/>
              </w:rPr>
              <w:t>RC-2017-0595</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31"/>
              <w:jc w:val="right"/>
              <w:rPr>
                <w:rFonts w:ascii="Times New Roman" w:hAnsi="Times New Roman" w:cs="Times New Roman" w:eastAsia="Times New Roman" w:hint="default"/>
                <w:sz w:val="21"/>
                <w:szCs w:val="21"/>
              </w:rPr>
            </w:pPr>
            <w:r>
              <w:rPr>
                <w:rFonts w:ascii="Times New Roman"/>
                <w:sz w:val="21"/>
              </w:rPr>
              <w:t>2017.12.15</w:t>
            </w:r>
          </w:p>
        </w:tc>
      </w:tr>
    </w:tbl>
    <w:p>
      <w:pPr>
        <w:spacing w:after="0" w:line="240" w:lineRule="auto"/>
        <w:jc w:val="right"/>
        <w:rPr>
          <w:rFonts w:ascii="Times New Roman" w:hAnsi="Times New Roman" w:cs="Times New Roman" w:eastAsia="Times New Roman" w:hint="default"/>
          <w:sz w:val="21"/>
          <w:szCs w:val="21"/>
        </w:rPr>
        <w:sectPr>
          <w:pgSz w:w="11910" w:h="16840"/>
          <w:pgMar w:header="747" w:footer="979" w:top="1060" w:bottom="1160" w:left="98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3"/>
          <w:szCs w:val="23"/>
        </w:rPr>
      </w:pPr>
    </w:p>
    <w:p>
      <w:pPr>
        <w:pStyle w:val="Heading1"/>
        <w:spacing w:line="240" w:lineRule="auto"/>
        <w:ind w:left="2965" w:right="996"/>
        <w:jc w:val="left"/>
        <w:rPr>
          <w:b w:val="0"/>
          <w:bCs w:val="0"/>
        </w:rPr>
      </w:pPr>
      <w:bookmarkStart w:name="第四节 经营情况讨论与分析" w:id="25"/>
      <w:bookmarkEnd w:id="25"/>
      <w:r>
        <w:rPr>
          <w:b w:val="0"/>
          <w:bCs w:val="0"/>
        </w:rPr>
      </w:r>
      <w:bookmarkStart w:name="_bookmark4" w:id="26"/>
      <w:bookmarkEnd w:id="26"/>
      <w:r>
        <w:rPr>
          <w:b w:val="0"/>
          <w:bCs w:val="0"/>
        </w:rPr>
      </w:r>
      <w:r>
        <w:rPr/>
        <w:t>第四节</w:t>
      </w:r>
      <w:r>
        <w:rPr>
          <w:spacing w:val="-10"/>
        </w:rPr>
        <w:t> </w:t>
      </w:r>
      <w:r>
        <w:rPr/>
        <w:t>经营情况讨论与分析</w:t>
      </w:r>
      <w:r>
        <w:rPr>
          <w:b w:val="0"/>
          <w:bCs w:val="0"/>
        </w:rPr>
      </w: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6"/>
          <w:szCs w:val="16"/>
        </w:rPr>
      </w:pPr>
    </w:p>
    <w:p>
      <w:pPr>
        <w:pStyle w:val="Heading2"/>
        <w:spacing w:line="240" w:lineRule="auto"/>
        <w:ind w:left="153" w:right="0"/>
        <w:jc w:val="both"/>
        <w:rPr>
          <w:b w:val="0"/>
          <w:bCs w:val="0"/>
        </w:rPr>
      </w:pPr>
      <w:bookmarkStart w:name="一、概述" w:id="27"/>
      <w:bookmarkEnd w:id="27"/>
      <w:r>
        <w:rPr>
          <w:b w:val="0"/>
          <w:bCs w:val="0"/>
        </w:rPr>
      </w:r>
      <w:r>
        <w:rPr/>
        <w:t>一、概述</w:t>
      </w:r>
      <w:r>
        <w:rPr>
          <w:b w:val="0"/>
          <w:bCs w:val="0"/>
        </w:rPr>
      </w:r>
    </w:p>
    <w:p>
      <w:pPr>
        <w:spacing w:line="240" w:lineRule="auto" w:before="3"/>
        <w:rPr>
          <w:rFonts w:ascii="宋体" w:hAnsi="宋体" w:cs="宋体" w:eastAsia="宋体" w:hint="default"/>
          <w:b/>
          <w:bCs/>
          <w:sz w:val="31"/>
          <w:szCs w:val="31"/>
        </w:rPr>
      </w:pPr>
    </w:p>
    <w:p>
      <w:pPr>
        <w:pStyle w:val="BodyText"/>
        <w:spacing w:line="240" w:lineRule="auto" w:before="0"/>
        <w:ind w:left="633" w:right="996"/>
        <w:jc w:val="left"/>
      </w:pPr>
      <w:r>
        <w:rPr>
          <w:rFonts w:ascii="宋体" w:hAnsi="宋体" w:cs="宋体" w:eastAsia="宋体" w:hint="default"/>
        </w:rPr>
        <w:t>2017</w:t>
      </w:r>
      <w:r>
        <w:rPr>
          <w:rFonts w:ascii="宋体" w:hAnsi="宋体" w:cs="宋体" w:eastAsia="宋体" w:hint="default"/>
          <w:spacing w:val="-60"/>
        </w:rPr>
        <w:t> </w:t>
      </w:r>
      <w:r>
        <w:rPr/>
        <w:t>年，公司所处的铁路和城市轨道交通行业的投资基本保持稳定。</w:t>
      </w:r>
    </w:p>
    <w:p>
      <w:pPr>
        <w:pStyle w:val="BodyText"/>
        <w:spacing w:line="240" w:lineRule="auto" w:before="126"/>
        <w:ind w:left="633" w:right="996"/>
        <w:jc w:val="left"/>
      </w:pPr>
      <w:r>
        <w:rPr>
          <w:rFonts w:ascii="宋体" w:hAnsi="宋体" w:cs="宋体" w:eastAsia="宋体" w:hint="default"/>
        </w:rPr>
        <w:t>2017</w:t>
      </w:r>
      <w:r>
        <w:rPr>
          <w:rFonts w:ascii="宋体" w:hAnsi="宋体" w:cs="宋体" w:eastAsia="宋体" w:hint="default"/>
          <w:spacing w:val="-65"/>
        </w:rPr>
        <w:t> </w:t>
      </w:r>
      <w:r>
        <w:rPr/>
        <w:t>年度全国铁路行业固定资产投资完成</w:t>
      </w:r>
      <w:r>
        <w:rPr>
          <w:spacing w:val="-65"/>
        </w:rPr>
        <w:t> </w:t>
      </w:r>
      <w:r>
        <w:rPr>
          <w:rFonts w:ascii="宋体" w:hAnsi="宋体" w:cs="宋体" w:eastAsia="宋体" w:hint="default"/>
        </w:rPr>
        <w:t>8,010</w:t>
      </w:r>
      <w:r>
        <w:rPr>
          <w:rFonts w:ascii="宋体" w:hAnsi="宋体" w:cs="宋体" w:eastAsia="宋体" w:hint="default"/>
          <w:spacing w:val="-65"/>
        </w:rPr>
        <w:t> </w:t>
      </w:r>
      <w:r>
        <w:rPr/>
        <w:t>亿元，投产新线</w:t>
      </w:r>
      <w:r>
        <w:rPr>
          <w:spacing w:val="-65"/>
        </w:rPr>
        <w:t> </w:t>
      </w:r>
      <w:r>
        <w:rPr>
          <w:rFonts w:ascii="宋体" w:hAnsi="宋体" w:cs="宋体" w:eastAsia="宋体" w:hint="default"/>
        </w:rPr>
        <w:t>3,038</w:t>
      </w:r>
      <w:r>
        <w:rPr>
          <w:rFonts w:ascii="宋体" w:hAnsi="宋体" w:cs="宋体" w:eastAsia="宋体" w:hint="default"/>
          <w:spacing w:val="-65"/>
        </w:rPr>
        <w:t> </w:t>
      </w:r>
      <w:r>
        <w:rPr/>
        <w:t>公里，其中高速</w:t>
      </w:r>
    </w:p>
    <w:p>
      <w:pPr>
        <w:pStyle w:val="BodyText"/>
        <w:spacing w:line="240" w:lineRule="auto" w:before="126"/>
        <w:ind w:left="154" w:right="0"/>
        <w:jc w:val="both"/>
      </w:pPr>
      <w:r>
        <w:rPr/>
        <w:t>铁路</w:t>
      </w:r>
      <w:r>
        <w:rPr>
          <w:spacing w:val="-59"/>
        </w:rPr>
        <w:t> </w:t>
      </w:r>
      <w:r>
        <w:rPr>
          <w:rFonts w:ascii="宋体" w:hAnsi="宋体" w:cs="宋体" w:eastAsia="宋体" w:hint="default"/>
        </w:rPr>
        <w:t>2,182</w:t>
      </w:r>
      <w:r>
        <w:rPr>
          <w:rFonts w:ascii="宋体" w:hAnsi="宋体" w:cs="宋体" w:eastAsia="宋体" w:hint="default"/>
          <w:spacing w:val="-59"/>
        </w:rPr>
        <w:t> </w:t>
      </w:r>
      <w:r>
        <w:rPr>
          <w:spacing w:val="-3"/>
        </w:rPr>
        <w:t>公里，复线铁路</w:t>
      </w:r>
      <w:r>
        <w:rPr>
          <w:spacing w:val="-59"/>
        </w:rPr>
        <w:t> </w:t>
      </w:r>
      <w:r>
        <w:rPr>
          <w:rFonts w:ascii="宋体" w:hAnsi="宋体" w:cs="宋体" w:eastAsia="宋体" w:hint="default"/>
        </w:rPr>
        <w:t>3,223</w:t>
      </w:r>
      <w:r>
        <w:rPr>
          <w:rFonts w:ascii="宋体" w:hAnsi="宋体" w:cs="宋体" w:eastAsia="宋体" w:hint="default"/>
          <w:spacing w:val="-59"/>
        </w:rPr>
        <w:t> </w:t>
      </w:r>
      <w:r>
        <w:rPr>
          <w:spacing w:val="-3"/>
        </w:rPr>
        <w:t>公里，电气化铁路</w:t>
      </w:r>
      <w:r>
        <w:rPr>
          <w:spacing w:val="-59"/>
        </w:rPr>
        <w:t> </w:t>
      </w:r>
      <w:r>
        <w:rPr>
          <w:rFonts w:ascii="宋体" w:hAnsi="宋体" w:cs="宋体" w:eastAsia="宋体" w:hint="default"/>
        </w:rPr>
        <w:t>4,583</w:t>
      </w:r>
      <w:r>
        <w:rPr>
          <w:rFonts w:ascii="宋体" w:hAnsi="宋体" w:cs="宋体" w:eastAsia="宋体" w:hint="default"/>
          <w:spacing w:val="-59"/>
        </w:rPr>
        <w:t> </w:t>
      </w:r>
      <w:r>
        <w:rPr>
          <w:spacing w:val="-6"/>
        </w:rPr>
        <w:t>公里；至</w:t>
      </w:r>
      <w:r>
        <w:rPr>
          <w:spacing w:val="-59"/>
        </w:rPr>
        <w:t> </w:t>
      </w:r>
      <w:r>
        <w:rPr>
          <w:rFonts w:ascii="宋体" w:hAnsi="宋体" w:cs="宋体" w:eastAsia="宋体" w:hint="default"/>
        </w:rPr>
        <w:t>2017</w:t>
      </w:r>
      <w:r>
        <w:rPr>
          <w:rFonts w:ascii="宋体" w:hAnsi="宋体" w:cs="宋体" w:eastAsia="宋体" w:hint="default"/>
          <w:spacing w:val="-59"/>
        </w:rPr>
        <w:t> </w:t>
      </w:r>
      <w:r>
        <w:rPr>
          <w:spacing w:val="-3"/>
        </w:rPr>
        <w:t>年底，全国铁路营</w:t>
      </w:r>
    </w:p>
    <w:p>
      <w:pPr>
        <w:pStyle w:val="BodyText"/>
        <w:spacing w:line="336" w:lineRule="auto" w:before="125"/>
        <w:ind w:right="1131"/>
        <w:jc w:val="both"/>
      </w:pPr>
      <w:r>
        <w:rPr/>
        <w:t>运里程达</w:t>
      </w:r>
      <w:r>
        <w:rPr>
          <w:spacing w:val="-58"/>
        </w:rPr>
        <w:t> </w:t>
      </w:r>
      <w:r>
        <w:rPr>
          <w:rFonts w:ascii="宋体" w:hAnsi="宋体" w:cs="宋体" w:eastAsia="宋体" w:hint="default"/>
        </w:rPr>
        <w:t>12.7</w:t>
      </w:r>
      <w:r>
        <w:rPr>
          <w:rFonts w:ascii="宋体" w:hAnsi="宋体" w:cs="宋体" w:eastAsia="宋体" w:hint="default"/>
          <w:spacing w:val="-58"/>
        </w:rPr>
        <w:t> </w:t>
      </w:r>
      <w:r>
        <w:rPr>
          <w:spacing w:val="-3"/>
        </w:rPr>
        <w:t>万公里，其中高速铁路</w:t>
      </w:r>
      <w:r>
        <w:rPr>
          <w:spacing w:val="-58"/>
        </w:rPr>
        <w:t> </w:t>
      </w:r>
      <w:r>
        <w:rPr>
          <w:rFonts w:ascii="宋体" w:hAnsi="宋体" w:cs="宋体" w:eastAsia="宋体" w:hint="default"/>
        </w:rPr>
        <w:t>2.5</w:t>
      </w:r>
      <w:r>
        <w:rPr>
          <w:rFonts w:ascii="宋体" w:hAnsi="宋体" w:cs="宋体" w:eastAsia="宋体" w:hint="default"/>
          <w:spacing w:val="-58"/>
        </w:rPr>
        <w:t> </w:t>
      </w:r>
      <w:r>
        <w:rPr>
          <w:spacing w:val="-3"/>
        </w:rPr>
        <w:t>万公里以上，中西部地区（含东三省）铁路营运里</w:t>
      </w:r>
      <w:r>
        <w:rPr/>
        <w:t> 程达 </w:t>
      </w:r>
      <w:r>
        <w:rPr>
          <w:rFonts w:ascii="宋体" w:hAnsi="宋体" w:cs="宋体" w:eastAsia="宋体" w:hint="default"/>
        </w:rPr>
        <w:t>9.7 </w:t>
      </w:r>
      <w:r>
        <w:rPr/>
        <w:t>万公里。铁路投资将持续保持在高位规模，</w:t>
      </w:r>
      <w:r>
        <w:rPr>
          <w:rFonts w:ascii="宋体" w:hAnsi="宋体" w:cs="宋体" w:eastAsia="宋体" w:hint="default"/>
        </w:rPr>
        <w:t>2018</w:t>
      </w:r>
      <w:r>
        <w:rPr>
          <w:rFonts w:ascii="宋体" w:hAnsi="宋体" w:cs="宋体" w:eastAsia="宋体" w:hint="default"/>
          <w:spacing w:val="8"/>
        </w:rPr>
        <w:t> </w:t>
      </w:r>
      <w:r>
        <w:rPr/>
        <w:t>年度全国铁路固定资产投资安排 </w:t>
      </w:r>
      <w:r>
        <w:rPr>
          <w:rFonts w:ascii="宋体" w:hAnsi="宋体" w:cs="宋体" w:eastAsia="宋体" w:hint="default"/>
        </w:rPr>
        <w:t>7,320</w:t>
      </w:r>
      <w:r>
        <w:rPr>
          <w:rFonts w:ascii="宋体" w:hAnsi="宋体" w:cs="宋体" w:eastAsia="宋体" w:hint="default"/>
          <w:spacing w:val="-60"/>
        </w:rPr>
        <w:t> </w:t>
      </w:r>
      <w:r>
        <w:rPr/>
        <w:t>亿元，其中，国家铁路</w:t>
      </w:r>
      <w:r>
        <w:rPr>
          <w:spacing w:val="-60"/>
        </w:rPr>
        <w:t> </w:t>
      </w:r>
      <w:r>
        <w:rPr>
          <w:rFonts w:ascii="宋体" w:hAnsi="宋体" w:cs="宋体" w:eastAsia="宋体" w:hint="default"/>
        </w:rPr>
        <w:t>7,020</w:t>
      </w:r>
      <w:r>
        <w:rPr>
          <w:rFonts w:ascii="宋体" w:hAnsi="宋体" w:cs="宋体" w:eastAsia="宋体" w:hint="default"/>
          <w:spacing w:val="-60"/>
        </w:rPr>
        <w:t> </w:t>
      </w:r>
      <w:r>
        <w:rPr/>
        <w:t>亿元。投产新线</w:t>
      </w:r>
      <w:r>
        <w:rPr>
          <w:spacing w:val="-60"/>
        </w:rPr>
        <w:t> </w:t>
      </w:r>
      <w:r>
        <w:rPr>
          <w:rFonts w:ascii="宋体" w:hAnsi="宋体" w:cs="宋体" w:eastAsia="宋体" w:hint="default"/>
        </w:rPr>
        <w:t>4,000</w:t>
      </w:r>
      <w:r>
        <w:rPr>
          <w:rFonts w:ascii="宋体" w:hAnsi="宋体" w:cs="宋体" w:eastAsia="宋体" w:hint="default"/>
          <w:spacing w:val="-60"/>
        </w:rPr>
        <w:t> </w:t>
      </w:r>
      <w:r>
        <w:rPr/>
        <w:t>公里，其中，高铁</w:t>
      </w:r>
      <w:r>
        <w:rPr>
          <w:spacing w:val="-60"/>
        </w:rPr>
        <w:t> </w:t>
      </w:r>
      <w:r>
        <w:rPr>
          <w:rFonts w:ascii="宋体" w:hAnsi="宋体" w:cs="宋体" w:eastAsia="宋体" w:hint="default"/>
        </w:rPr>
        <w:t>3,500</w:t>
      </w:r>
      <w:r>
        <w:rPr>
          <w:rFonts w:ascii="宋体" w:hAnsi="宋体" w:cs="宋体" w:eastAsia="宋体" w:hint="default"/>
          <w:spacing w:val="-60"/>
        </w:rPr>
        <w:t> </w:t>
      </w:r>
      <w:r>
        <w:rPr/>
        <w:t>公里。</w:t>
      </w:r>
    </w:p>
    <w:p>
      <w:pPr>
        <w:pStyle w:val="BodyText"/>
        <w:spacing w:line="240" w:lineRule="auto" w:before="29"/>
        <w:ind w:left="633" w:right="996"/>
        <w:jc w:val="left"/>
      </w:pPr>
      <w:r>
        <w:rPr/>
        <w:t>城市轨道交通营运里程持续增长。截至</w:t>
      </w:r>
      <w:r>
        <w:rPr>
          <w:spacing w:val="-50"/>
        </w:rPr>
        <w:t> </w:t>
      </w:r>
      <w:r>
        <w:rPr>
          <w:rFonts w:ascii="宋体" w:hAnsi="宋体" w:cs="宋体" w:eastAsia="宋体" w:hint="default"/>
        </w:rPr>
        <w:t>2017</w:t>
      </w:r>
      <w:r>
        <w:rPr>
          <w:rFonts w:ascii="宋体" w:hAnsi="宋体" w:cs="宋体" w:eastAsia="宋体" w:hint="default"/>
          <w:spacing w:val="-51"/>
        </w:rPr>
        <w:t> </w:t>
      </w:r>
      <w:r>
        <w:rPr/>
        <w:t>年底，全国共有</w:t>
      </w:r>
      <w:r>
        <w:rPr>
          <w:spacing w:val="-51"/>
        </w:rPr>
        <w:t> </w:t>
      </w:r>
      <w:r>
        <w:rPr>
          <w:rFonts w:ascii="宋体" w:hAnsi="宋体" w:cs="宋体" w:eastAsia="宋体" w:hint="default"/>
        </w:rPr>
        <w:t>35</w:t>
      </w:r>
      <w:r>
        <w:rPr>
          <w:rFonts w:ascii="宋体" w:hAnsi="宋体" w:cs="宋体" w:eastAsia="宋体" w:hint="default"/>
          <w:spacing w:val="-51"/>
        </w:rPr>
        <w:t> </w:t>
      </w:r>
      <w:r>
        <w:rPr/>
        <w:t>个城市开通城市轨道交</w:t>
      </w:r>
    </w:p>
    <w:p>
      <w:pPr>
        <w:pStyle w:val="BodyText"/>
        <w:spacing w:line="240" w:lineRule="auto" w:before="126"/>
        <w:ind w:left="154" w:right="0"/>
        <w:jc w:val="both"/>
      </w:pPr>
      <w:r>
        <w:rPr/>
        <w:t>通运营，运营线路总长度达</w:t>
      </w:r>
      <w:r>
        <w:rPr>
          <w:spacing w:val="-41"/>
        </w:rPr>
        <w:t> </w:t>
      </w:r>
      <w:r>
        <w:rPr>
          <w:rFonts w:ascii="宋体" w:hAnsi="宋体" w:cs="宋体" w:eastAsia="宋体" w:hint="default"/>
        </w:rPr>
        <w:t>5,021.7</w:t>
      </w:r>
      <w:r>
        <w:rPr>
          <w:rFonts w:ascii="宋体" w:hAnsi="宋体" w:cs="宋体" w:eastAsia="宋体" w:hint="default"/>
          <w:spacing w:val="-41"/>
        </w:rPr>
        <w:t> </w:t>
      </w:r>
      <w:r>
        <w:rPr/>
        <w:t>公里。</w:t>
      </w:r>
      <w:r>
        <w:rPr>
          <w:rFonts w:ascii="宋体" w:hAnsi="宋体" w:cs="宋体" w:eastAsia="宋体" w:hint="default"/>
        </w:rPr>
        <w:t>2017</w:t>
      </w:r>
      <w:r>
        <w:rPr>
          <w:rFonts w:ascii="宋体" w:hAnsi="宋体" w:cs="宋体" w:eastAsia="宋体" w:hint="default"/>
          <w:spacing w:val="-41"/>
        </w:rPr>
        <w:t> </w:t>
      </w:r>
      <w:r>
        <w:rPr/>
        <w:t>年度新增</w:t>
      </w:r>
      <w:r>
        <w:rPr>
          <w:spacing w:val="-41"/>
        </w:rPr>
        <w:t> </w:t>
      </w:r>
      <w:r>
        <w:rPr>
          <w:rFonts w:ascii="宋体" w:hAnsi="宋体" w:cs="宋体" w:eastAsia="宋体" w:hint="default"/>
        </w:rPr>
        <w:t>33</w:t>
      </w:r>
      <w:r>
        <w:rPr>
          <w:rFonts w:ascii="宋体" w:hAnsi="宋体" w:cs="宋体" w:eastAsia="宋体" w:hint="default"/>
          <w:spacing w:val="-41"/>
        </w:rPr>
        <w:t> </w:t>
      </w:r>
      <w:r>
        <w:rPr/>
        <w:t>条运营线路，运营线路长度达</w:t>
      </w:r>
    </w:p>
    <w:p>
      <w:pPr>
        <w:pStyle w:val="BodyText"/>
        <w:spacing w:line="240" w:lineRule="auto" w:before="126"/>
        <w:ind w:right="0"/>
        <w:jc w:val="both"/>
      </w:pPr>
      <w:r>
        <w:rPr>
          <w:rFonts w:ascii="宋体" w:hAnsi="宋体" w:cs="宋体" w:eastAsia="宋体" w:hint="default"/>
        </w:rPr>
        <w:t>868.9</w:t>
      </w:r>
      <w:r>
        <w:rPr>
          <w:rFonts w:ascii="宋体" w:hAnsi="宋体" w:cs="宋体" w:eastAsia="宋体" w:hint="default"/>
          <w:spacing w:val="-50"/>
        </w:rPr>
        <w:t> </w:t>
      </w:r>
      <w:r>
        <w:rPr/>
        <w:t>公里，新增线路再创历史新高，同比增幅达</w:t>
      </w:r>
      <w:r>
        <w:rPr>
          <w:spacing w:val="-51"/>
        </w:rPr>
        <w:t> </w:t>
      </w:r>
      <w:r>
        <w:rPr>
          <w:rFonts w:ascii="宋体" w:hAnsi="宋体" w:cs="宋体" w:eastAsia="宋体" w:hint="default"/>
        </w:rPr>
        <w:t>62.5%</w:t>
      </w:r>
      <w:r>
        <w:rPr/>
        <w:t>；共有</w:t>
      </w:r>
      <w:r>
        <w:rPr>
          <w:spacing w:val="-51"/>
        </w:rPr>
        <w:t> </w:t>
      </w:r>
      <w:r>
        <w:rPr>
          <w:rFonts w:ascii="宋体" w:hAnsi="宋体" w:cs="宋体" w:eastAsia="宋体" w:hint="default"/>
        </w:rPr>
        <w:t>64</w:t>
      </w:r>
      <w:r>
        <w:rPr>
          <w:rFonts w:ascii="宋体" w:hAnsi="宋体" w:cs="宋体" w:eastAsia="宋体" w:hint="default"/>
          <w:spacing w:val="-50"/>
        </w:rPr>
        <w:t> </w:t>
      </w:r>
      <w:r>
        <w:rPr/>
        <w:t>个城市的城轨线网规划获</w:t>
      </w:r>
    </w:p>
    <w:p>
      <w:pPr>
        <w:pStyle w:val="BodyText"/>
        <w:spacing w:line="336" w:lineRule="auto" w:before="125"/>
        <w:ind w:left="154" w:right="1131"/>
        <w:jc w:val="both"/>
      </w:pPr>
      <w:r>
        <w:rPr/>
        <w:t>批，规划线路总长超过 </w:t>
      </w:r>
      <w:r>
        <w:rPr>
          <w:rFonts w:ascii="宋体" w:hAnsi="宋体" w:cs="宋体" w:eastAsia="宋体" w:hint="default"/>
        </w:rPr>
        <w:t>9,000</w:t>
      </w:r>
      <w:r>
        <w:rPr>
          <w:rFonts w:ascii="宋体" w:hAnsi="宋体" w:cs="宋体" w:eastAsia="宋体" w:hint="default"/>
          <w:spacing w:val="-82"/>
        </w:rPr>
        <w:t> </w:t>
      </w:r>
      <w:r>
        <w:rPr/>
        <w:t>公里。在建、规划线路规模进一步扩大、投资额持续增长，建 设速度稳健提升。</w:t>
      </w:r>
    </w:p>
    <w:p>
      <w:pPr>
        <w:pStyle w:val="BodyText"/>
        <w:spacing w:line="336" w:lineRule="auto" w:before="30"/>
        <w:ind w:right="1132" w:firstLine="480"/>
        <w:jc w:val="both"/>
      </w:pPr>
      <w:r>
        <w:rPr>
          <w:rFonts w:ascii="宋体" w:hAnsi="宋体" w:cs="宋体" w:eastAsia="宋体" w:hint="default"/>
        </w:rPr>
        <w:t>2017 </w:t>
      </w:r>
      <w:r>
        <w:rPr/>
        <w:t>年度是公司实施新战略的开局之年，报告期内，公司围绕公司战略，按照 </w:t>
      </w:r>
      <w:r>
        <w:rPr>
          <w:rFonts w:ascii="宋体" w:hAnsi="宋体" w:cs="宋体" w:eastAsia="宋体" w:hint="default"/>
        </w:rPr>
        <w:t>2017</w:t>
      </w:r>
      <w:r>
        <w:rPr>
          <w:rFonts w:ascii="宋体" w:hAnsi="宋体" w:cs="宋体" w:eastAsia="宋体" w:hint="default"/>
          <w:spacing w:val="-83"/>
        </w:rPr>
        <w:t> </w:t>
      </w:r>
      <w:r>
        <w:rPr/>
        <w:t>年 度经营计划，紧抓行业发展的机遇，积极开拓创新，加强公司内部管理，使公司的主营业务 保持了相对平稳的发展，逐步推进“产业</w:t>
      </w:r>
      <w:r>
        <w:rPr>
          <w:rFonts w:ascii="宋体" w:hAnsi="宋体" w:cs="宋体" w:eastAsia="宋体" w:hint="default"/>
        </w:rPr>
        <w:t>+</w:t>
      </w:r>
      <w:r>
        <w:rPr/>
        <w:t>资本”双轮驱动，延伸产业链条。</w:t>
      </w:r>
    </w:p>
    <w:p>
      <w:pPr>
        <w:pStyle w:val="BodyText"/>
        <w:spacing w:line="336" w:lineRule="auto" w:before="30"/>
        <w:ind w:left="633" w:right="996"/>
        <w:jc w:val="left"/>
      </w:pPr>
      <w:r>
        <w:rPr/>
        <w:t>主要开展了以下工作： </w:t>
      </w:r>
      <w:r>
        <w:rPr>
          <w:rFonts w:ascii="宋体" w:hAnsi="宋体" w:cs="宋体" w:eastAsia="宋体" w:hint="default"/>
          <w:spacing w:val="-6"/>
        </w:rPr>
        <w:t>1</w:t>
      </w:r>
      <w:r>
        <w:rPr>
          <w:spacing w:val="-6"/>
        </w:rPr>
        <w:t>、借助资本优势，推进产业布局。围绕“轨道交通运营维护一体化解决方案及高端装备”</w:t>
      </w:r>
    </w:p>
    <w:p>
      <w:pPr>
        <w:pStyle w:val="BodyText"/>
        <w:spacing w:line="336" w:lineRule="auto" w:before="30"/>
        <w:ind w:left="154" w:right="1139"/>
        <w:jc w:val="both"/>
      </w:pPr>
      <w:r>
        <w:rPr/>
        <w:t>的主营业务，经过广泛调研，缜密筹划，最终完成对西南交大驱动公司股权收购工作，使公 司在轨道交通领域及高铁后市场、在大型运维机械装备方面实现了新拓展，进一步完善了线 路、供电、机车、车辆、信号的全产业链布局。</w:t>
      </w:r>
    </w:p>
    <w:p>
      <w:pPr>
        <w:pStyle w:val="BodyText"/>
        <w:spacing w:line="336" w:lineRule="auto" w:before="30"/>
        <w:ind w:left="154" w:right="1032" w:firstLine="480"/>
        <w:jc w:val="left"/>
      </w:pPr>
      <w:r>
        <w:rPr>
          <w:rFonts w:ascii="宋体" w:hAnsi="宋体" w:cs="宋体" w:eastAsia="宋体" w:hint="default"/>
        </w:rPr>
        <w:t>2</w:t>
      </w:r>
      <w:r>
        <w:rPr/>
        <w:t>、加大市场推广与宣传，巩固市场地位，提高市场占有率。持续挖掘资源，聚焦客户， 精耕优势市场、稳固格局市场、突破劣势市场；积极与各业主、设计咨询单位举办技术交流 会议，推介公司产品，积极开拓省外城轨市场，长期深入耕耘；充分利用外围资源，强化与 国内领先企业、四电集成商、海外项目总包商的合作，推动合作共赢。</w:t>
      </w:r>
    </w:p>
    <w:p>
      <w:pPr>
        <w:pStyle w:val="BodyText"/>
        <w:spacing w:line="336" w:lineRule="auto" w:before="30"/>
        <w:ind w:left="633" w:right="996"/>
        <w:jc w:val="left"/>
      </w:pPr>
      <w:r>
        <w:rPr>
          <w:rFonts w:ascii="宋体" w:hAnsi="宋体" w:cs="宋体" w:eastAsia="宋体" w:hint="default"/>
        </w:rPr>
        <w:t>3</w:t>
      </w:r>
      <w:r>
        <w:rPr/>
        <w:t>、加大新项目（产品）研发投入，扩大领先优势，增强产品核心竞争力。 以“通过在监测领域横、纵向扩展业务范围，打造电务设备维护大监测生态平台”为指</w:t>
      </w:r>
    </w:p>
    <w:p>
      <w:pPr>
        <w:pStyle w:val="BodyText"/>
        <w:spacing w:line="336" w:lineRule="auto" w:before="30"/>
        <w:ind w:right="1132"/>
        <w:jc w:val="both"/>
      </w:pPr>
      <w:r>
        <w:rPr>
          <w:spacing w:val="-3"/>
        </w:rPr>
        <w:t>导思想，开展多个项目的研发工作，重点完成铁路电务</w:t>
      </w:r>
      <w:r>
        <w:rPr>
          <w:spacing w:val="-66"/>
        </w:rPr>
        <w:t> </w:t>
      </w:r>
      <w:r>
        <w:rPr>
          <w:rFonts w:ascii="宋体" w:hAnsi="宋体" w:cs="宋体" w:eastAsia="宋体" w:hint="default"/>
        </w:rPr>
        <w:t>8D</w:t>
      </w:r>
      <w:r>
        <w:rPr>
          <w:rFonts w:ascii="宋体" w:hAnsi="宋体" w:cs="宋体" w:eastAsia="宋体" w:hint="default"/>
          <w:spacing w:val="-66"/>
        </w:rPr>
        <w:t> </w:t>
      </w:r>
      <w:r>
        <w:rPr/>
        <w:t>系统的开发和试点部署；攻克高速 铁路地震预警监测系统核心算法难关，通过了中铁总组织的测试和系统上道评审工作。积极</w:t>
      </w:r>
    </w:p>
    <w:p>
      <w:pPr>
        <w:spacing w:after="0" w:line="336" w:lineRule="auto"/>
        <w:jc w:val="both"/>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336" w:lineRule="auto" w:before="182"/>
        <w:ind w:right="996"/>
        <w:jc w:val="left"/>
      </w:pPr>
      <w:r>
        <w:rPr/>
        <w:t>开展与科研院所、高校的前沿技术研发合作，推动周界入侵报警系统、滑坡与泥石流监测系 统在多个试点局段的推广验证工作，并逐步完成局级鉴定工作。</w:t>
      </w:r>
    </w:p>
    <w:p>
      <w:pPr>
        <w:pStyle w:val="BodyText"/>
        <w:spacing w:line="336" w:lineRule="auto" w:before="29"/>
        <w:ind w:right="1139" w:firstLine="480"/>
        <w:jc w:val="both"/>
      </w:pPr>
      <w:r>
        <w:rPr/>
        <w:t>组建专职团队研究国密技术应用开发，成功实现了国产密码技术与城轨自动化监控平台 融合，形成国内城市轨道交通领域首套全自主密文化自动化监控软件平台，并通过了中国软 件测评中心的测试，经科技部行业主管部门的评审已达到国内领先水平。</w:t>
      </w:r>
    </w:p>
    <w:p>
      <w:pPr>
        <w:pStyle w:val="BodyText"/>
        <w:spacing w:line="240" w:lineRule="auto" w:before="29"/>
        <w:ind w:left="633" w:right="996"/>
        <w:jc w:val="left"/>
      </w:pPr>
      <w:r>
        <w:rPr>
          <w:rFonts w:ascii="宋体" w:hAnsi="宋体" w:cs="宋体" w:eastAsia="宋体" w:hint="default"/>
        </w:rPr>
        <w:t>4</w:t>
      </w:r>
      <w:r>
        <w:rPr/>
        <w:t>、加强质量管理，优化完善管理体系，提升内部管理效率。</w:t>
      </w:r>
    </w:p>
    <w:p>
      <w:pPr>
        <w:pStyle w:val="BodyText"/>
        <w:spacing w:line="336" w:lineRule="auto" w:before="126"/>
        <w:ind w:right="1132" w:firstLine="480"/>
        <w:jc w:val="both"/>
      </w:pPr>
      <w:r>
        <w:rPr/>
        <w:t>完成</w:t>
      </w:r>
      <w:r>
        <w:rPr>
          <w:spacing w:val="-52"/>
        </w:rPr>
        <w:t> </w:t>
      </w:r>
      <w:r>
        <w:rPr>
          <w:rFonts w:ascii="宋体" w:hAnsi="宋体" w:cs="宋体" w:eastAsia="宋体" w:hint="default"/>
        </w:rPr>
        <w:t>IRIS</w:t>
      </w:r>
      <w:r>
        <w:rPr>
          <w:rFonts w:ascii="宋体" w:hAnsi="宋体" w:cs="宋体" w:eastAsia="宋体" w:hint="default"/>
          <w:spacing w:val="-52"/>
        </w:rPr>
        <w:t> </w:t>
      </w:r>
      <w:r>
        <w:rPr>
          <w:spacing w:val="-3"/>
        </w:rPr>
        <w:t>体系认证及体系版本升级工作，优化质量管理体系；逐步扩展覆盖范围，强化</w:t>
      </w:r>
      <w:r>
        <w:rPr/>
        <w:t> 细节落地，全面提升质量意识。</w:t>
      </w:r>
    </w:p>
    <w:p>
      <w:pPr>
        <w:pStyle w:val="BodyText"/>
        <w:spacing w:line="336" w:lineRule="auto" w:before="29"/>
        <w:ind w:right="1131" w:firstLine="480"/>
        <w:jc w:val="both"/>
      </w:pPr>
      <w:r>
        <w:rPr>
          <w:rFonts w:ascii="宋体" w:hAnsi="宋体" w:cs="宋体" w:eastAsia="宋体" w:hint="default"/>
          <w:spacing w:val="-3"/>
        </w:rPr>
        <w:t>5</w:t>
      </w:r>
      <w:r>
        <w:rPr>
          <w:spacing w:val="-3"/>
        </w:rPr>
        <w:t>、妥善完成公司第一期员工持股计划的清算工作，保持了公司人才队伍的稳定和各业务</w:t>
      </w:r>
      <w:r>
        <w:rPr/>
        <w:t> 板块的持续发展。</w:t>
      </w:r>
    </w:p>
    <w:p>
      <w:pPr>
        <w:pStyle w:val="BodyText"/>
        <w:spacing w:line="336" w:lineRule="auto" w:before="30"/>
        <w:ind w:right="1049" w:firstLine="480"/>
        <w:jc w:val="both"/>
      </w:pPr>
      <w:r>
        <w:rPr>
          <w:rFonts w:ascii="宋体" w:hAnsi="宋体" w:cs="宋体" w:eastAsia="宋体" w:hint="default"/>
        </w:rPr>
        <w:t>6</w:t>
      </w:r>
      <w:r>
        <w:rPr/>
        <w:t>、加强对新领域参股公司业务的参与和风险把控，规划各业务线，有效进行细化管理。 保证了不同业务线获得更加适宜的管理环境，以促进各业务线快速发展壮大。</w:t>
      </w:r>
    </w:p>
    <w:p>
      <w:pPr>
        <w:spacing w:line="240" w:lineRule="auto" w:before="11"/>
        <w:rPr>
          <w:rFonts w:ascii="宋体" w:hAnsi="宋体" w:cs="宋体" w:eastAsia="宋体" w:hint="default"/>
          <w:sz w:val="16"/>
          <w:szCs w:val="16"/>
        </w:rPr>
      </w:pPr>
    </w:p>
    <w:p>
      <w:pPr>
        <w:pStyle w:val="Heading2"/>
        <w:spacing w:line="240" w:lineRule="auto" w:before="0"/>
        <w:ind w:right="996" w:hanging="483"/>
        <w:jc w:val="left"/>
        <w:rPr>
          <w:b w:val="0"/>
          <w:bCs w:val="0"/>
        </w:rPr>
      </w:pPr>
      <w:bookmarkStart w:name="二、主营业务分析" w:id="28"/>
      <w:bookmarkEnd w:id="28"/>
      <w:r>
        <w:rPr>
          <w:b w:val="0"/>
          <w:bCs w:val="0"/>
        </w:rPr>
      </w:r>
      <w:r>
        <w:rPr/>
        <w:t>二、主营业务分析</w:t>
      </w:r>
      <w:r>
        <w:rPr>
          <w:b w:val="0"/>
          <w:bCs w:val="0"/>
        </w:rPr>
      </w:r>
    </w:p>
    <w:p>
      <w:pPr>
        <w:spacing w:line="240" w:lineRule="auto" w:before="6"/>
        <w:rPr>
          <w:rFonts w:ascii="宋体" w:hAnsi="宋体" w:cs="宋体" w:eastAsia="宋体" w:hint="default"/>
          <w:b/>
          <w:bCs/>
          <w:sz w:val="32"/>
          <w:szCs w:val="32"/>
        </w:rPr>
      </w:pPr>
    </w:p>
    <w:p>
      <w:pPr>
        <w:pStyle w:val="Heading2"/>
        <w:spacing w:line="240" w:lineRule="auto" w:before="0"/>
        <w:ind w:right="996"/>
        <w:jc w:val="left"/>
        <w:rPr>
          <w:b w:val="0"/>
          <w:bCs w:val="0"/>
        </w:rPr>
      </w:pPr>
      <w:bookmarkStart w:name="1、概述" w:id="29"/>
      <w:bookmarkEnd w:id="29"/>
      <w:r>
        <w:rPr>
          <w:b w:val="0"/>
          <w:bCs w:val="0"/>
        </w:rPr>
      </w:r>
      <w:r>
        <w:rPr>
          <w:rFonts w:ascii="Times New Roman" w:hAnsi="Times New Roman" w:cs="Times New Roman" w:eastAsia="Times New Roman" w:hint="default"/>
        </w:rPr>
        <w:t>1</w:t>
      </w:r>
      <w:r>
        <w:rPr/>
        <w:t>、概述</w:t>
      </w:r>
      <w:r>
        <w:rPr>
          <w:b w:val="0"/>
          <w:bCs w:val="0"/>
        </w:rPr>
      </w:r>
    </w:p>
    <w:p>
      <w:pPr>
        <w:pStyle w:val="BodyText"/>
        <w:spacing w:line="352" w:lineRule="auto" w:before="127"/>
        <w:ind w:right="1012" w:firstLine="480"/>
        <w:jc w:val="left"/>
      </w:pPr>
      <w:r>
        <w:rPr/>
        <w:t>（</w:t>
      </w:r>
      <w:r>
        <w:rPr>
          <w:rFonts w:ascii="宋体" w:hAnsi="宋体" w:cs="宋体" w:eastAsia="宋体" w:hint="default"/>
        </w:rPr>
        <w:t>1</w:t>
      </w:r>
      <w:r>
        <w:rPr/>
        <w:t>）报告期内，公司实现营业收入</w:t>
      </w:r>
      <w:r>
        <w:rPr>
          <w:rFonts w:ascii="宋体" w:hAnsi="宋体" w:cs="宋体" w:eastAsia="宋体" w:hint="default"/>
        </w:rPr>
        <w:t>54,689.25</w:t>
      </w:r>
      <w:r>
        <w:rPr/>
        <w:t>万元</w:t>
      </w:r>
      <w:r>
        <w:rPr>
          <w:rFonts w:ascii="宋体" w:hAnsi="宋体" w:cs="宋体" w:eastAsia="宋体" w:hint="default"/>
        </w:rPr>
        <w:t>,</w:t>
      </w:r>
      <w:r>
        <w:rPr/>
        <w:t>比上年同期增加</w:t>
      </w:r>
      <w:r>
        <w:rPr>
          <w:rFonts w:ascii="宋体" w:hAnsi="宋体" w:cs="宋体" w:eastAsia="宋体" w:hint="default"/>
        </w:rPr>
        <w:t>6.27%</w:t>
      </w:r>
      <w:r>
        <w:rPr/>
        <w:t>，营业成本 </w:t>
      </w:r>
      <w:r>
        <w:rPr>
          <w:rFonts w:ascii="宋体" w:hAnsi="宋体" w:cs="宋体" w:eastAsia="宋体" w:hint="default"/>
        </w:rPr>
        <w:t>28,827.44</w:t>
      </w:r>
      <w:r>
        <w:rPr/>
        <w:t>万元</w:t>
      </w:r>
      <w:r>
        <w:rPr>
          <w:rFonts w:ascii="宋体" w:hAnsi="宋体" w:cs="宋体" w:eastAsia="宋体" w:hint="default"/>
        </w:rPr>
        <w:t>,</w:t>
      </w:r>
      <w:r>
        <w:rPr/>
        <w:t>比上年同期增加</w:t>
      </w:r>
      <w:r>
        <w:rPr>
          <w:rFonts w:ascii="宋体" w:hAnsi="宋体" w:cs="宋体" w:eastAsia="宋体" w:hint="default"/>
        </w:rPr>
        <w:t>8.47%,</w:t>
      </w:r>
      <w:r>
        <w:rPr/>
        <w:t>实现归属于上市公司股东的净利润为</w:t>
      </w:r>
      <w:r>
        <w:rPr>
          <w:rFonts w:ascii="宋体" w:hAnsi="宋体" w:cs="宋体" w:eastAsia="宋体" w:hint="default"/>
        </w:rPr>
        <w:t>-15,174.28</w:t>
      </w:r>
      <w:r>
        <w:rPr/>
        <w:t>万元</w:t>
      </w:r>
      <w:r>
        <w:rPr>
          <w:rFonts w:ascii="宋体" w:hAnsi="宋体" w:cs="宋体" w:eastAsia="宋体" w:hint="default"/>
        </w:rPr>
        <w:t>,</w:t>
      </w:r>
      <w:r>
        <w:rPr>
          <w:rFonts w:ascii="宋体" w:hAnsi="宋体" w:cs="宋体" w:eastAsia="宋体" w:hint="default"/>
          <w:spacing w:val="-90"/>
        </w:rPr>
        <w:t> </w:t>
      </w:r>
      <w:r>
        <w:rPr/>
        <w:t>比上年同期减少</w:t>
      </w:r>
      <w:r>
        <w:rPr>
          <w:rFonts w:ascii="宋体" w:hAnsi="宋体" w:cs="宋体" w:eastAsia="宋体" w:hint="default"/>
        </w:rPr>
        <w:t>278.37%</w:t>
      </w:r>
      <w:r>
        <w:rPr/>
        <w:t>，主要原因系报告期内计提资产减值</w:t>
      </w:r>
      <w:r>
        <w:rPr>
          <w:rFonts w:ascii="宋体" w:hAnsi="宋体" w:cs="宋体" w:eastAsia="宋体" w:hint="default"/>
        </w:rPr>
        <w:t>23,524.37</w:t>
      </w:r>
      <w:r>
        <w:rPr/>
        <w:t>万元。</w:t>
      </w:r>
    </w:p>
    <w:p>
      <w:pPr>
        <w:pStyle w:val="BodyText"/>
        <w:spacing w:line="352" w:lineRule="auto" w:before="32"/>
        <w:ind w:right="1130" w:firstLine="480"/>
        <w:jc w:val="both"/>
      </w:pPr>
      <w:r>
        <w:rPr>
          <w:spacing w:val="-2"/>
        </w:rPr>
        <w:t>（</w:t>
      </w:r>
      <w:r>
        <w:rPr>
          <w:rFonts w:ascii="宋体" w:hAnsi="宋体" w:cs="宋体" w:eastAsia="宋体" w:hint="default"/>
          <w:spacing w:val="-2"/>
        </w:rPr>
        <w:t>2</w:t>
      </w:r>
      <w:r>
        <w:rPr>
          <w:spacing w:val="-2"/>
        </w:rPr>
        <w:t>）报告期内，公司的研发投入</w:t>
      </w:r>
      <w:r>
        <w:rPr>
          <w:rFonts w:ascii="宋体" w:hAnsi="宋体" w:cs="宋体" w:eastAsia="宋体" w:hint="default"/>
          <w:spacing w:val="-2"/>
        </w:rPr>
        <w:t>5,978.74</w:t>
      </w:r>
      <w:r>
        <w:rPr>
          <w:spacing w:val="-2"/>
        </w:rPr>
        <w:t>万元，占公司营业收入</w:t>
      </w:r>
      <w:r>
        <w:rPr>
          <w:rFonts w:ascii="宋体" w:hAnsi="宋体" w:cs="宋体" w:eastAsia="宋体" w:hint="default"/>
          <w:spacing w:val="-2"/>
        </w:rPr>
        <w:t>10.93%</w:t>
      </w:r>
      <w:r>
        <w:rPr>
          <w:spacing w:val="-2"/>
        </w:rPr>
        <w:t>，比上年同期增</w:t>
      </w:r>
      <w:r>
        <w:rPr/>
        <w:t> 加</w:t>
      </w:r>
      <w:r>
        <w:rPr>
          <w:rFonts w:ascii="宋体" w:hAnsi="宋体" w:cs="宋体" w:eastAsia="宋体" w:hint="default"/>
        </w:rPr>
        <w:t>13.55%</w:t>
      </w:r>
      <w:r>
        <w:rPr/>
        <w:t>，主要原因系公司研发投入增加所致。</w:t>
      </w:r>
    </w:p>
    <w:p>
      <w:pPr>
        <w:pStyle w:val="BodyText"/>
        <w:spacing w:line="350" w:lineRule="auto" w:before="32"/>
        <w:ind w:right="1132" w:firstLine="480"/>
        <w:jc w:val="both"/>
      </w:pPr>
      <w:r>
        <w:rPr>
          <w:spacing w:val="-2"/>
        </w:rPr>
        <w:t>（</w:t>
      </w:r>
      <w:r>
        <w:rPr>
          <w:rFonts w:ascii="宋体" w:hAnsi="宋体" w:cs="宋体" w:eastAsia="宋体" w:hint="default"/>
          <w:spacing w:val="-2"/>
        </w:rPr>
        <w:t>3</w:t>
      </w:r>
      <w:r>
        <w:rPr>
          <w:spacing w:val="-2"/>
        </w:rPr>
        <w:t>）报告期内，公司经营活动产生的现金流量净额比上年同期减少</w:t>
      </w:r>
      <w:r>
        <w:rPr>
          <w:rFonts w:ascii="宋体" w:hAnsi="宋体" w:cs="宋体" w:eastAsia="宋体" w:hint="default"/>
          <w:spacing w:val="-2"/>
        </w:rPr>
        <w:t>56.27%</w:t>
      </w:r>
      <w:r>
        <w:rPr>
          <w:spacing w:val="-2"/>
        </w:rPr>
        <w:t>，主要原因系</w:t>
      </w:r>
      <w:r>
        <w:rPr/>
        <w:t> 收到的增值税税费返还减少所致。</w:t>
      </w:r>
    </w:p>
    <w:p>
      <w:pPr>
        <w:pStyle w:val="BodyText"/>
        <w:spacing w:line="240" w:lineRule="auto"/>
        <w:ind w:left="633" w:right="996"/>
        <w:jc w:val="left"/>
      </w:pPr>
      <w:r>
        <w:rPr/>
        <w:t>（</w:t>
      </w:r>
      <w:r>
        <w:rPr>
          <w:rFonts w:ascii="宋体" w:hAnsi="宋体" w:cs="宋体" w:eastAsia="宋体" w:hint="default"/>
        </w:rPr>
        <w:t>4</w:t>
      </w:r>
      <w:r>
        <w:rPr/>
        <w:t>）报告期内，公司的产品毛利率为</w:t>
      </w:r>
      <w:r>
        <w:rPr>
          <w:rFonts w:ascii="宋体" w:hAnsi="宋体" w:cs="宋体" w:eastAsia="宋体" w:hint="default"/>
        </w:rPr>
        <w:t>47.29%</w:t>
      </w:r>
      <w:r>
        <w:rPr/>
        <w:t>，比上年同期减少</w:t>
      </w:r>
      <w:r>
        <w:rPr>
          <w:rFonts w:ascii="宋体" w:hAnsi="宋体" w:cs="宋体" w:eastAsia="宋体" w:hint="default"/>
        </w:rPr>
        <w:t>1.07%</w:t>
      </w:r>
      <w:r>
        <w:rPr/>
        <w:t>，基本保持稳定。</w:t>
      </w:r>
    </w:p>
    <w:p>
      <w:pPr>
        <w:pStyle w:val="BodyText"/>
        <w:spacing w:line="352" w:lineRule="auto" w:before="145"/>
        <w:ind w:right="1131" w:firstLine="480"/>
        <w:jc w:val="both"/>
      </w:pPr>
      <w:r>
        <w:rPr>
          <w:spacing w:val="-3"/>
        </w:rPr>
        <w:t>（</w:t>
      </w:r>
      <w:r>
        <w:rPr>
          <w:rFonts w:ascii="宋体" w:hAnsi="宋体" w:cs="宋体" w:eastAsia="宋体" w:hint="default"/>
          <w:spacing w:val="-3"/>
        </w:rPr>
        <w:t>5</w:t>
      </w:r>
      <w:r>
        <w:rPr>
          <w:spacing w:val="-3"/>
        </w:rPr>
        <w:t>）公司根据产品订单进行生产，不存在产品积压情况。报告期内，公司存货占总资产</w:t>
      </w:r>
      <w:r>
        <w:rPr/>
        <w:t> </w:t>
      </w:r>
      <w:r>
        <w:rPr>
          <w:spacing w:val="-2"/>
        </w:rPr>
        <w:t>的比例为</w:t>
      </w:r>
      <w:r>
        <w:rPr>
          <w:rFonts w:ascii="宋体" w:hAnsi="宋体" w:cs="宋体" w:eastAsia="宋体" w:hint="default"/>
          <w:spacing w:val="-2"/>
        </w:rPr>
        <w:t>8.62%</w:t>
      </w:r>
      <w:r>
        <w:rPr>
          <w:spacing w:val="-2"/>
        </w:rPr>
        <w:t>，主要是为合同备货的产品未到完工验收期，暂未确认收入，期末存货的可回</w:t>
      </w:r>
      <w:r>
        <w:rPr>
          <w:spacing w:val="-118"/>
        </w:rPr>
        <w:t> </w:t>
      </w:r>
      <w:r>
        <w:rPr>
          <w:spacing w:val="-118"/>
        </w:rPr>
      </w:r>
      <w:r>
        <w:rPr/>
        <w:t>收净值高于账面价值，无需计提跌价准备。</w:t>
      </w:r>
    </w:p>
    <w:p>
      <w:pPr>
        <w:pStyle w:val="BodyText"/>
        <w:spacing w:line="240" w:lineRule="auto" w:before="32"/>
        <w:ind w:left="634" w:right="996"/>
        <w:jc w:val="left"/>
      </w:pPr>
      <w:r>
        <w:rPr/>
        <w:t>（</w:t>
      </w:r>
      <w:r>
        <w:rPr>
          <w:rFonts w:ascii="宋体" w:hAnsi="宋体" w:cs="宋体" w:eastAsia="宋体" w:hint="default"/>
        </w:rPr>
        <w:t>6</w:t>
      </w:r>
      <w:r>
        <w:rPr/>
        <w:t>）报告期内，公司主要设备的盈利能力状况未发生变化。</w:t>
      </w:r>
    </w:p>
    <w:p>
      <w:pPr>
        <w:pStyle w:val="BodyText"/>
        <w:spacing w:line="352" w:lineRule="auto" w:before="145"/>
        <w:ind w:right="1130" w:firstLine="480"/>
        <w:jc w:val="both"/>
      </w:pPr>
      <w:r>
        <w:rPr/>
        <w:t>（</w:t>
      </w:r>
      <w:r>
        <w:rPr>
          <w:rFonts w:ascii="宋体" w:hAnsi="宋体" w:cs="宋体" w:eastAsia="宋体" w:hint="default"/>
        </w:rPr>
        <w:t>7</w:t>
      </w:r>
      <w:r>
        <w:rPr/>
        <w:t>）截至报告期末，公司的商誉为</w:t>
      </w:r>
      <w:r>
        <w:rPr>
          <w:rFonts w:ascii="宋体" w:hAnsi="宋体" w:cs="宋体" w:eastAsia="宋体" w:hint="default"/>
        </w:rPr>
        <w:t>7,006.66</w:t>
      </w:r>
      <w:r>
        <w:rPr/>
        <w:t>万元，占上市公司净资产的</w:t>
      </w:r>
      <w:r>
        <w:rPr>
          <w:rFonts w:ascii="宋体" w:hAnsi="宋体" w:cs="宋体" w:eastAsia="宋体" w:hint="default"/>
        </w:rPr>
        <w:t>4.96%</w:t>
      </w:r>
      <w:r>
        <w:rPr/>
        <w:t>。公司于 </w:t>
      </w:r>
      <w:r>
        <w:rPr>
          <w:rFonts w:ascii="宋体" w:hAnsi="宋体" w:cs="宋体" w:eastAsia="宋体" w:hint="default"/>
          <w:spacing w:val="-2"/>
        </w:rPr>
        <w:t>2011</w:t>
      </w:r>
      <w:r>
        <w:rPr>
          <w:spacing w:val="-2"/>
        </w:rPr>
        <w:t>年非同一控制下合并北京国铁路阳技术有限公司形成商誉</w:t>
      </w:r>
      <w:r>
        <w:rPr>
          <w:rFonts w:ascii="宋体" w:hAnsi="宋体" w:cs="宋体" w:eastAsia="宋体" w:hint="default"/>
          <w:spacing w:val="-2"/>
        </w:rPr>
        <w:t>10,786.30</w:t>
      </w:r>
      <w:r>
        <w:rPr>
          <w:spacing w:val="-2"/>
        </w:rPr>
        <w:t>万元，截至</w:t>
      </w:r>
      <w:r>
        <w:rPr>
          <w:rFonts w:ascii="宋体" w:hAnsi="宋体" w:cs="宋体" w:eastAsia="宋体" w:hint="default"/>
          <w:spacing w:val="-2"/>
        </w:rPr>
        <w:t>2017</w:t>
      </w:r>
      <w:r>
        <w:rPr>
          <w:spacing w:val="-2"/>
        </w:rPr>
        <w:t>年末</w:t>
      </w:r>
      <w:r>
        <w:rPr>
          <w:spacing w:val="-104"/>
        </w:rPr>
        <w:t> </w:t>
      </w:r>
      <w:r>
        <w:rPr>
          <w:spacing w:val="-2"/>
        </w:rPr>
        <w:t>公司对该商誉计提减值</w:t>
      </w:r>
      <w:r>
        <w:rPr>
          <w:rFonts w:ascii="宋体" w:hAnsi="宋体" w:cs="宋体" w:eastAsia="宋体" w:hint="default"/>
          <w:spacing w:val="-2"/>
        </w:rPr>
        <w:t>7,193.77</w:t>
      </w:r>
      <w:r>
        <w:rPr>
          <w:spacing w:val="-2"/>
        </w:rPr>
        <w:t>万元；公司于</w:t>
      </w:r>
      <w:r>
        <w:rPr>
          <w:rFonts w:ascii="宋体" w:hAnsi="宋体" w:cs="宋体" w:eastAsia="宋体" w:hint="default"/>
          <w:spacing w:val="-2"/>
        </w:rPr>
        <w:t>2017</w:t>
      </w:r>
      <w:r>
        <w:rPr>
          <w:spacing w:val="-2"/>
        </w:rPr>
        <w:t>年</w:t>
      </w:r>
      <w:r>
        <w:rPr>
          <w:rFonts w:ascii="宋体" w:hAnsi="宋体" w:cs="宋体" w:eastAsia="宋体" w:hint="default"/>
          <w:spacing w:val="-2"/>
        </w:rPr>
        <w:t>2</w:t>
      </w:r>
      <w:r>
        <w:rPr>
          <w:spacing w:val="-2"/>
        </w:rPr>
        <w:t>月非同一控制下合并成都西南交大驱动</w:t>
      </w:r>
    </w:p>
    <w:p>
      <w:pPr>
        <w:spacing w:after="0" w:line="352" w:lineRule="auto"/>
        <w:jc w:val="both"/>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747" w:footer="979" w:top="1060" w:bottom="1160" w:left="840" w:right="0"/>
        </w:sectPr>
      </w:pPr>
    </w:p>
    <w:p>
      <w:pPr>
        <w:pStyle w:val="BodyText"/>
        <w:spacing w:line="240" w:lineRule="auto" w:before="199"/>
        <w:ind w:left="293" w:right="-19"/>
        <w:jc w:val="left"/>
      </w:pPr>
      <w:r>
        <w:rPr/>
        <w:t>技术有限责任公司形成商誉</w:t>
      </w:r>
      <w:r>
        <w:rPr>
          <w:rFonts w:ascii="宋体" w:hAnsi="宋体" w:cs="宋体" w:eastAsia="宋体" w:hint="default"/>
        </w:rPr>
        <w:t>3,414.13</w:t>
      </w:r>
      <w:r>
        <w:rPr/>
        <w:t>万元。</w:t>
      </w:r>
    </w:p>
    <w:p>
      <w:pPr>
        <w:pStyle w:val="Heading2"/>
        <w:spacing w:line="240" w:lineRule="auto" w:before="145"/>
        <w:ind w:left="776" w:right="-19"/>
        <w:jc w:val="left"/>
        <w:rPr>
          <w:b w:val="0"/>
          <w:bCs w:val="0"/>
        </w:rPr>
      </w:pPr>
      <w:bookmarkStart w:name="2、收入与成本" w:id="30"/>
      <w:bookmarkEnd w:id="30"/>
      <w:r>
        <w:rPr>
          <w:b w:val="0"/>
          <w:bCs w:val="0"/>
        </w:rPr>
      </w:r>
      <w:r>
        <w:rPr>
          <w:rFonts w:ascii="Times New Roman" w:hAnsi="Times New Roman" w:cs="Times New Roman" w:eastAsia="Times New Roman" w:hint="default"/>
        </w:rPr>
        <w:t>2</w:t>
      </w:r>
      <w:r>
        <w:rPr/>
        <w:t>、收入与成本</w:t>
      </w:r>
      <w:r>
        <w:rPr>
          <w:b w:val="0"/>
          <w:bCs w:val="0"/>
        </w:rPr>
      </w:r>
    </w:p>
    <w:p>
      <w:pPr>
        <w:pStyle w:val="Heading2"/>
        <w:spacing w:line="240" w:lineRule="auto" w:before="128"/>
        <w:ind w:left="776" w:right="-19"/>
        <w:jc w:val="left"/>
        <w:rPr>
          <w:b w:val="0"/>
          <w:bCs w:val="0"/>
        </w:rPr>
      </w:pPr>
      <w:bookmarkStart w:name="（1）营业收入构成" w:id="31"/>
      <w:bookmarkEnd w:id="31"/>
      <w:r>
        <w:rPr>
          <w:b w:val="0"/>
          <w:bCs w:val="0"/>
        </w:rPr>
      </w:r>
      <w:r>
        <w:rPr/>
        <w:t>（</w:t>
      </w:r>
      <w:r>
        <w:rPr>
          <w:rFonts w:ascii="宋体" w:hAnsi="宋体" w:cs="宋体" w:eastAsia="宋体" w:hint="default"/>
        </w:rPr>
        <w:t>1</w:t>
      </w:r>
      <w:r>
        <w:rPr/>
        <w:t>）营业收入构成</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5"/>
          <w:szCs w:val="15"/>
        </w:rPr>
      </w:pPr>
    </w:p>
    <w:p>
      <w:pPr>
        <w:spacing w:before="0"/>
        <w:ind w:left="293" w:right="0" w:firstLine="0"/>
        <w:jc w:val="left"/>
        <w:rPr>
          <w:rFonts w:ascii="宋体" w:hAnsi="宋体" w:cs="宋体" w:eastAsia="宋体" w:hint="default"/>
          <w:sz w:val="21"/>
          <w:szCs w:val="21"/>
        </w:rPr>
      </w:pPr>
      <w:r>
        <w:rPr>
          <w:rFonts w:ascii="宋体" w:hAnsi="宋体" w:cs="宋体" w:eastAsia="宋体" w:hint="default"/>
          <w:sz w:val="21"/>
          <w:szCs w:val="21"/>
        </w:rPr>
        <w:t>单位：元</w:t>
      </w:r>
    </w:p>
    <w:p>
      <w:pPr>
        <w:spacing w:after="0"/>
        <w:jc w:val="left"/>
        <w:rPr>
          <w:rFonts w:ascii="宋体" w:hAnsi="宋体" w:cs="宋体" w:eastAsia="宋体" w:hint="default"/>
          <w:sz w:val="21"/>
          <w:szCs w:val="21"/>
        </w:rPr>
        <w:sectPr>
          <w:type w:val="continuous"/>
          <w:pgSz w:w="11910" w:h="16840"/>
          <w:pgMar w:top="1060" w:bottom="1160" w:left="840" w:right="0"/>
          <w:cols w:num="2" w:equalWidth="0">
            <w:col w:w="4855" w:space="3944"/>
            <w:col w:w="2271"/>
          </w:cols>
        </w:sectPr>
      </w:pPr>
    </w:p>
    <w:p>
      <w:pPr>
        <w:spacing w:line="240" w:lineRule="auto" w:before="0"/>
        <w:rPr>
          <w:rFonts w:ascii="宋体" w:hAnsi="宋体" w:cs="宋体" w:eastAsia="宋体" w:hint="default"/>
          <w:sz w:val="7"/>
          <w:szCs w:val="7"/>
        </w:rPr>
      </w:pPr>
    </w:p>
    <w:tbl>
      <w:tblPr>
        <w:tblW w:w="0" w:type="auto"/>
        <w:jc w:val="left"/>
        <w:tblInd w:w="111" w:type="dxa"/>
        <w:tblLayout w:type="fixed"/>
        <w:tblCellMar>
          <w:top w:w="0" w:type="dxa"/>
          <w:left w:w="0" w:type="dxa"/>
          <w:bottom w:w="0" w:type="dxa"/>
          <w:right w:w="0" w:type="dxa"/>
        </w:tblCellMar>
        <w:tblLook w:val="01E0"/>
      </w:tblPr>
      <w:tblGrid>
        <w:gridCol w:w="2026"/>
        <w:gridCol w:w="1594"/>
        <w:gridCol w:w="1591"/>
        <w:gridCol w:w="1598"/>
        <w:gridCol w:w="1588"/>
        <w:gridCol w:w="1597"/>
      </w:tblGrid>
      <w:tr>
        <w:trPr>
          <w:trHeight w:val="205" w:hRule="exact"/>
        </w:trPr>
        <w:tc>
          <w:tcPr>
            <w:tcW w:w="2026" w:type="dxa"/>
            <w:tcBorders>
              <w:top w:val="single" w:sz="4" w:space="0" w:color="000000"/>
              <w:left w:val="single" w:sz="4" w:space="0" w:color="000000"/>
              <w:bottom w:val="nil" w:sz="6" w:space="0" w:color="auto"/>
              <w:right w:val="single" w:sz="4" w:space="0" w:color="000000"/>
            </w:tcBorders>
            <w:shd w:val="clear" w:color="auto" w:fill="D2D2D2"/>
          </w:tcPr>
          <w:p>
            <w:pPr/>
          </w:p>
        </w:tc>
        <w:tc>
          <w:tcPr>
            <w:tcW w:w="318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1"/>
                <w:sz w:val="21"/>
                <w:szCs w:val="21"/>
              </w:rPr>
              <w:t> </w:t>
            </w:r>
            <w:r>
              <w:rPr>
                <w:rFonts w:ascii="宋体" w:hAnsi="宋体" w:cs="宋体" w:eastAsia="宋体" w:hint="default"/>
                <w:sz w:val="21"/>
                <w:szCs w:val="21"/>
              </w:rPr>
              <w:t>年</w:t>
            </w:r>
          </w:p>
        </w:tc>
        <w:tc>
          <w:tcPr>
            <w:tcW w:w="318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6"/>
              <w:ind w:left="1" w:right="0"/>
              <w:jc w:val="center"/>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1"/>
                <w:sz w:val="21"/>
                <w:szCs w:val="21"/>
              </w:rPr>
              <w:t> </w:t>
            </w:r>
            <w:r>
              <w:rPr>
                <w:rFonts w:ascii="宋体" w:hAnsi="宋体" w:cs="宋体" w:eastAsia="宋体" w:hint="default"/>
                <w:sz w:val="21"/>
                <w:szCs w:val="21"/>
              </w:rPr>
              <w:t>年</w:t>
            </w:r>
          </w:p>
        </w:tc>
        <w:tc>
          <w:tcPr>
            <w:tcW w:w="1597"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2" w:hRule="exact"/>
        </w:trPr>
        <w:tc>
          <w:tcPr>
            <w:tcW w:w="2026" w:type="dxa"/>
            <w:vMerge w:val="restart"/>
            <w:tcBorders>
              <w:top w:val="nil" w:sz="6" w:space="0" w:color="auto"/>
              <w:left w:val="single" w:sz="4" w:space="0" w:color="000000"/>
              <w:right w:val="single" w:sz="4" w:space="0" w:color="000000"/>
            </w:tcBorders>
            <w:shd w:val="clear" w:color="auto" w:fill="D2D2D2"/>
          </w:tcPr>
          <w:p>
            <w:pPr/>
          </w:p>
        </w:tc>
        <w:tc>
          <w:tcPr>
            <w:tcW w:w="3185" w:type="dxa"/>
            <w:gridSpan w:val="2"/>
            <w:vMerge/>
            <w:tcBorders>
              <w:left w:val="single" w:sz="4" w:space="0" w:color="000000"/>
              <w:bottom w:val="single" w:sz="4" w:space="0" w:color="000000"/>
              <w:right w:val="single" w:sz="4" w:space="0" w:color="000000"/>
            </w:tcBorders>
            <w:shd w:val="clear" w:color="auto" w:fill="D2D2D2"/>
          </w:tcPr>
          <w:p>
            <w:pPr/>
          </w:p>
        </w:tc>
        <w:tc>
          <w:tcPr>
            <w:tcW w:w="3186" w:type="dxa"/>
            <w:gridSpan w:val="2"/>
            <w:vMerge/>
            <w:tcBorders>
              <w:left w:val="single" w:sz="4" w:space="0" w:color="000000"/>
              <w:bottom w:val="single" w:sz="4" w:space="0" w:color="000000"/>
              <w:right w:val="single" w:sz="4" w:space="0" w:color="000000"/>
            </w:tcBorders>
            <w:shd w:val="clear" w:color="auto" w:fill="D2D2D2"/>
          </w:tcPr>
          <w:p>
            <w:pPr/>
          </w:p>
        </w:tc>
        <w:tc>
          <w:tcPr>
            <w:tcW w:w="15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6"/>
              <w:ind w:left="375" w:right="0"/>
              <w:jc w:val="left"/>
              <w:rPr>
                <w:rFonts w:ascii="宋体" w:hAnsi="宋体" w:cs="宋体" w:eastAsia="宋体" w:hint="default"/>
                <w:sz w:val="21"/>
                <w:szCs w:val="21"/>
              </w:rPr>
            </w:pPr>
            <w:r>
              <w:rPr>
                <w:rFonts w:ascii="宋体" w:hAnsi="宋体" w:cs="宋体" w:eastAsia="宋体" w:hint="default"/>
                <w:sz w:val="21"/>
                <w:szCs w:val="21"/>
              </w:rPr>
              <w:t>同比增减</w:t>
            </w:r>
          </w:p>
        </w:tc>
      </w:tr>
      <w:tr>
        <w:trPr>
          <w:trHeight w:val="200" w:hRule="exact"/>
        </w:trPr>
        <w:tc>
          <w:tcPr>
            <w:tcW w:w="2026" w:type="dxa"/>
            <w:vMerge/>
            <w:tcBorders>
              <w:left w:val="single" w:sz="4" w:space="0" w:color="000000"/>
              <w:bottom w:val="nil" w:sz="6" w:space="0" w:color="auto"/>
              <w:right w:val="single" w:sz="4" w:space="0" w:color="000000"/>
            </w:tcBorders>
            <w:shd w:val="clear" w:color="auto" w:fill="D2D2D2"/>
          </w:tcPr>
          <w:p>
            <w:pP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0"/>
              <w:ind w:right="3"/>
              <w:jc w:val="center"/>
              <w:rPr>
                <w:rFonts w:ascii="宋体" w:hAnsi="宋体" w:cs="宋体" w:eastAsia="宋体" w:hint="default"/>
                <w:sz w:val="21"/>
                <w:szCs w:val="21"/>
              </w:rPr>
            </w:pPr>
            <w:r>
              <w:rPr>
                <w:rFonts w:ascii="宋体" w:hAnsi="宋体" w:cs="宋体" w:eastAsia="宋体" w:hint="default"/>
                <w:sz w:val="21"/>
                <w:szCs w:val="21"/>
              </w:rPr>
              <w:t>金额</w:t>
            </w:r>
          </w:p>
        </w:tc>
        <w:tc>
          <w:tcPr>
            <w:tcW w:w="15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0"/>
              <w:ind w:left="53" w:right="0"/>
              <w:jc w:val="left"/>
              <w:rPr>
                <w:rFonts w:ascii="宋体" w:hAnsi="宋体" w:cs="宋体" w:eastAsia="宋体" w:hint="default"/>
                <w:sz w:val="21"/>
                <w:szCs w:val="21"/>
              </w:rPr>
            </w:pPr>
            <w:r>
              <w:rPr>
                <w:rFonts w:ascii="宋体" w:hAnsi="宋体" w:cs="宋体" w:eastAsia="宋体" w:hint="default"/>
                <w:sz w:val="21"/>
                <w:szCs w:val="21"/>
              </w:rPr>
              <w:t>占营业收入比重</w:t>
            </w:r>
          </w:p>
        </w:tc>
        <w:tc>
          <w:tcPr>
            <w:tcW w:w="15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0"/>
              <w:ind w:right="2"/>
              <w:jc w:val="center"/>
              <w:rPr>
                <w:rFonts w:ascii="宋体" w:hAnsi="宋体" w:cs="宋体" w:eastAsia="宋体" w:hint="default"/>
                <w:sz w:val="21"/>
                <w:szCs w:val="21"/>
              </w:rPr>
            </w:pPr>
            <w:r>
              <w:rPr>
                <w:rFonts w:ascii="宋体" w:hAnsi="宋体" w:cs="宋体" w:eastAsia="宋体" w:hint="default"/>
                <w:sz w:val="21"/>
                <w:szCs w:val="21"/>
              </w:rPr>
              <w:t>金额</w:t>
            </w:r>
          </w:p>
        </w:tc>
        <w:tc>
          <w:tcPr>
            <w:tcW w:w="15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0"/>
              <w:ind w:left="53" w:right="0"/>
              <w:jc w:val="left"/>
              <w:rPr>
                <w:rFonts w:ascii="宋体" w:hAnsi="宋体" w:cs="宋体" w:eastAsia="宋体" w:hint="default"/>
                <w:sz w:val="21"/>
                <w:szCs w:val="21"/>
              </w:rPr>
            </w:pPr>
            <w:r>
              <w:rPr>
                <w:rFonts w:ascii="宋体" w:hAnsi="宋体" w:cs="宋体" w:eastAsia="宋体" w:hint="default"/>
                <w:sz w:val="21"/>
                <w:szCs w:val="21"/>
              </w:rPr>
              <w:t>占营业收入比重</w:t>
            </w:r>
          </w:p>
        </w:tc>
        <w:tc>
          <w:tcPr>
            <w:tcW w:w="1597"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2026"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1" w:type="dxa"/>
            <w:vMerge/>
            <w:tcBorders>
              <w:left w:val="single" w:sz="4" w:space="0" w:color="000000"/>
              <w:bottom w:val="single" w:sz="4" w:space="0" w:color="000000"/>
              <w:right w:val="single" w:sz="4" w:space="0" w:color="000000"/>
            </w:tcBorders>
            <w:shd w:val="clear" w:color="auto" w:fill="D2D2D2"/>
          </w:tcPr>
          <w:p>
            <w:pPr/>
          </w:p>
        </w:tc>
        <w:tc>
          <w:tcPr>
            <w:tcW w:w="1598" w:type="dxa"/>
            <w:vMerge/>
            <w:tcBorders>
              <w:left w:val="single" w:sz="4" w:space="0" w:color="000000"/>
              <w:bottom w:val="single" w:sz="4" w:space="0" w:color="000000"/>
              <w:right w:val="single" w:sz="4" w:space="0" w:color="000000"/>
            </w:tcBorders>
            <w:shd w:val="clear" w:color="auto" w:fill="D2D2D2"/>
          </w:tcPr>
          <w:p>
            <w:pPr/>
          </w:p>
        </w:tc>
        <w:tc>
          <w:tcPr>
            <w:tcW w:w="1588" w:type="dxa"/>
            <w:vMerge/>
            <w:tcBorders>
              <w:left w:val="single" w:sz="4" w:space="0" w:color="000000"/>
              <w:bottom w:val="single" w:sz="4" w:space="0" w:color="000000"/>
              <w:right w:val="single" w:sz="4" w:space="0" w:color="000000"/>
            </w:tcBorders>
            <w:shd w:val="clear" w:color="auto" w:fill="D2D2D2"/>
          </w:tcPr>
          <w:p>
            <w:pPr/>
          </w:p>
        </w:tc>
        <w:tc>
          <w:tcPr>
            <w:tcW w:w="1597"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7" w:hRule="exact"/>
        </w:trPr>
        <w:tc>
          <w:tcPr>
            <w:tcW w:w="20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4" w:right="0"/>
              <w:jc w:val="left"/>
              <w:rPr>
                <w:rFonts w:ascii="宋体" w:hAnsi="宋体" w:cs="宋体" w:eastAsia="宋体" w:hint="default"/>
                <w:sz w:val="21"/>
                <w:szCs w:val="21"/>
              </w:rPr>
            </w:pPr>
            <w:r>
              <w:rPr>
                <w:rFonts w:ascii="宋体" w:hAnsi="宋体" w:cs="宋体" w:eastAsia="宋体" w:hint="default"/>
                <w:sz w:val="21"/>
                <w:szCs w:val="21"/>
              </w:rPr>
              <w:t>营业收入合计</w:t>
            </w:r>
          </w:p>
        </w:tc>
        <w:tc>
          <w:tcPr>
            <w:tcW w:w="1594" w:type="dxa"/>
            <w:tcBorders>
              <w:top w:val="single" w:sz="4" w:space="0" w:color="000000"/>
              <w:left w:val="single" w:sz="13" w:space="0" w:color="D2D2D2"/>
              <w:bottom w:val="single" w:sz="4" w:space="0" w:color="000000"/>
              <w:right w:val="single" w:sz="9" w:space="0" w:color="D2D2D2"/>
            </w:tcBorders>
          </w:tcPr>
          <w:p>
            <w:pPr>
              <w:pStyle w:val="TableParagraph"/>
              <w:spacing w:line="240" w:lineRule="auto" w:before="26"/>
              <w:ind w:right="16"/>
              <w:jc w:val="right"/>
              <w:rPr>
                <w:rFonts w:ascii="宋体" w:hAnsi="宋体" w:cs="宋体" w:eastAsia="宋体" w:hint="default"/>
                <w:sz w:val="21"/>
                <w:szCs w:val="21"/>
              </w:rPr>
            </w:pPr>
            <w:r>
              <w:rPr>
                <w:rFonts w:ascii="宋体"/>
                <w:spacing w:val="-1"/>
                <w:sz w:val="21"/>
              </w:rPr>
              <w:t>546,892,512.85</w:t>
            </w:r>
          </w:p>
        </w:tc>
        <w:tc>
          <w:tcPr>
            <w:tcW w:w="15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sz w:val="21"/>
              </w:rPr>
              <w:t>100%</w:t>
            </w:r>
          </w:p>
        </w:tc>
        <w:tc>
          <w:tcPr>
            <w:tcW w:w="1598"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26"/>
              <w:ind w:right="12"/>
              <w:jc w:val="right"/>
              <w:rPr>
                <w:rFonts w:ascii="宋体" w:hAnsi="宋体" w:cs="宋体" w:eastAsia="宋体" w:hint="default"/>
                <w:sz w:val="21"/>
                <w:szCs w:val="21"/>
              </w:rPr>
            </w:pPr>
            <w:r>
              <w:rPr>
                <w:rFonts w:ascii="宋体"/>
                <w:sz w:val="21"/>
              </w:rPr>
              <w:t>514,609,100.85</w:t>
            </w:r>
          </w:p>
        </w:tc>
        <w:tc>
          <w:tcPr>
            <w:tcW w:w="15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578"/>
              <w:jc w:val="right"/>
              <w:rPr>
                <w:rFonts w:ascii="宋体" w:hAnsi="宋体" w:cs="宋体" w:eastAsia="宋体" w:hint="default"/>
                <w:sz w:val="21"/>
                <w:szCs w:val="21"/>
              </w:rPr>
            </w:pPr>
            <w:r>
              <w:rPr>
                <w:rFonts w:ascii="宋体"/>
                <w:sz w:val="21"/>
              </w:rPr>
              <w:t>100%</w:t>
            </w:r>
          </w:p>
        </w:tc>
        <w:tc>
          <w:tcPr>
            <w:tcW w:w="15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6"/>
              <w:ind w:right="2"/>
              <w:jc w:val="center"/>
              <w:rPr>
                <w:rFonts w:ascii="宋体" w:hAnsi="宋体" w:cs="宋体" w:eastAsia="宋体" w:hint="default"/>
                <w:sz w:val="21"/>
                <w:szCs w:val="21"/>
              </w:rPr>
            </w:pPr>
            <w:r>
              <w:rPr>
                <w:rFonts w:ascii="宋体"/>
                <w:sz w:val="21"/>
              </w:rPr>
              <w:t>6.27%</w:t>
            </w:r>
          </w:p>
        </w:tc>
      </w:tr>
      <w:tr>
        <w:trPr>
          <w:trHeight w:val="397" w:hRule="exact"/>
        </w:trPr>
        <w:tc>
          <w:tcPr>
            <w:tcW w:w="9994"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24" w:right="0"/>
              <w:jc w:val="left"/>
              <w:rPr>
                <w:rFonts w:ascii="宋体" w:hAnsi="宋体" w:cs="宋体" w:eastAsia="宋体" w:hint="default"/>
                <w:sz w:val="21"/>
                <w:szCs w:val="21"/>
              </w:rPr>
            </w:pPr>
            <w:r>
              <w:rPr>
                <w:rFonts w:ascii="宋体" w:hAnsi="宋体" w:cs="宋体" w:eastAsia="宋体" w:hint="default"/>
                <w:sz w:val="21"/>
                <w:szCs w:val="21"/>
              </w:rPr>
              <w:t>分行业</w:t>
            </w:r>
          </w:p>
        </w:tc>
      </w:tr>
      <w:tr>
        <w:trPr>
          <w:trHeight w:val="402" w:hRule="exact"/>
        </w:trPr>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4" w:right="0"/>
              <w:jc w:val="left"/>
              <w:rPr>
                <w:rFonts w:ascii="宋体" w:hAnsi="宋体" w:cs="宋体" w:eastAsia="宋体" w:hint="default"/>
                <w:sz w:val="21"/>
                <w:szCs w:val="21"/>
              </w:rPr>
            </w:pPr>
            <w:r>
              <w:rPr>
                <w:rFonts w:ascii="宋体" w:hAnsi="宋体" w:cs="宋体" w:eastAsia="宋体" w:hint="default"/>
                <w:sz w:val="21"/>
                <w:szCs w:val="21"/>
              </w:rPr>
              <w:t>国家铁路</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2"/>
              <w:jc w:val="right"/>
              <w:rPr>
                <w:rFonts w:ascii="宋体" w:hAnsi="宋体" w:cs="宋体" w:eastAsia="宋体" w:hint="default"/>
                <w:sz w:val="21"/>
                <w:szCs w:val="21"/>
              </w:rPr>
            </w:pPr>
            <w:r>
              <w:rPr>
                <w:rFonts w:ascii="宋体"/>
                <w:sz w:val="21"/>
              </w:rPr>
              <w:t>359,520,434.62</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宋体" w:hAnsi="宋体" w:cs="宋体" w:eastAsia="宋体" w:hint="default"/>
                <w:sz w:val="21"/>
                <w:szCs w:val="21"/>
              </w:rPr>
            </w:pPr>
            <w:r>
              <w:rPr>
                <w:rFonts w:ascii="宋体"/>
                <w:sz w:val="21"/>
              </w:rPr>
              <w:t>65.74%</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3"/>
              <w:jc w:val="right"/>
              <w:rPr>
                <w:rFonts w:ascii="宋体" w:hAnsi="宋体" w:cs="宋体" w:eastAsia="宋体" w:hint="default"/>
                <w:sz w:val="21"/>
                <w:szCs w:val="21"/>
              </w:rPr>
            </w:pPr>
            <w:r>
              <w:rPr>
                <w:rFonts w:ascii="宋体"/>
                <w:sz w:val="21"/>
              </w:rPr>
              <w:t>361,845,587.49</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472"/>
              <w:jc w:val="right"/>
              <w:rPr>
                <w:rFonts w:ascii="宋体" w:hAnsi="宋体" w:cs="宋体" w:eastAsia="宋体" w:hint="default"/>
                <w:sz w:val="21"/>
                <w:szCs w:val="21"/>
              </w:rPr>
            </w:pPr>
            <w:r>
              <w:rPr>
                <w:rFonts w:ascii="宋体"/>
                <w:sz w:val="21"/>
              </w:rPr>
              <w:t>70.31%</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 w:right="0"/>
              <w:jc w:val="center"/>
              <w:rPr>
                <w:rFonts w:ascii="宋体" w:hAnsi="宋体" w:cs="宋体" w:eastAsia="宋体" w:hint="default"/>
                <w:sz w:val="21"/>
                <w:szCs w:val="21"/>
              </w:rPr>
            </w:pPr>
            <w:r>
              <w:rPr>
                <w:rFonts w:ascii="宋体"/>
                <w:sz w:val="21"/>
              </w:rPr>
              <w:t>-0.64%</w:t>
            </w:r>
          </w:p>
        </w:tc>
      </w:tr>
      <w:tr>
        <w:trPr>
          <w:trHeight w:val="402" w:hRule="exact"/>
        </w:trPr>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4" w:right="0"/>
              <w:jc w:val="left"/>
              <w:rPr>
                <w:rFonts w:ascii="宋体" w:hAnsi="宋体" w:cs="宋体" w:eastAsia="宋体" w:hint="default"/>
                <w:sz w:val="21"/>
                <w:szCs w:val="21"/>
              </w:rPr>
            </w:pPr>
            <w:r>
              <w:rPr>
                <w:rFonts w:ascii="宋体" w:hAnsi="宋体" w:cs="宋体" w:eastAsia="宋体" w:hint="default"/>
                <w:sz w:val="21"/>
                <w:szCs w:val="21"/>
              </w:rPr>
              <w:t>厂矿企业及地方铁路</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3"/>
              <w:jc w:val="right"/>
              <w:rPr>
                <w:rFonts w:ascii="宋体" w:hAnsi="宋体" w:cs="宋体" w:eastAsia="宋体" w:hint="default"/>
                <w:sz w:val="21"/>
                <w:szCs w:val="21"/>
              </w:rPr>
            </w:pPr>
            <w:r>
              <w:rPr>
                <w:rFonts w:ascii="宋体"/>
                <w:sz w:val="21"/>
              </w:rPr>
              <w:t>31,580,948.54</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宋体" w:hAnsi="宋体" w:cs="宋体" w:eastAsia="宋体" w:hint="default"/>
                <w:sz w:val="21"/>
                <w:szCs w:val="21"/>
              </w:rPr>
            </w:pPr>
            <w:r>
              <w:rPr>
                <w:rFonts w:ascii="宋体"/>
                <w:sz w:val="21"/>
              </w:rPr>
              <w:t>5.77%</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3"/>
              <w:jc w:val="right"/>
              <w:rPr>
                <w:rFonts w:ascii="宋体" w:hAnsi="宋体" w:cs="宋体" w:eastAsia="宋体" w:hint="default"/>
                <w:sz w:val="21"/>
                <w:szCs w:val="21"/>
              </w:rPr>
            </w:pPr>
            <w:r>
              <w:rPr>
                <w:rFonts w:ascii="宋体"/>
                <w:sz w:val="21"/>
              </w:rPr>
              <w:t>8,846,675.22</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524"/>
              <w:jc w:val="right"/>
              <w:rPr>
                <w:rFonts w:ascii="宋体" w:hAnsi="宋体" w:cs="宋体" w:eastAsia="宋体" w:hint="default"/>
                <w:sz w:val="21"/>
                <w:szCs w:val="21"/>
              </w:rPr>
            </w:pPr>
            <w:r>
              <w:rPr>
                <w:rFonts w:ascii="宋体"/>
                <w:sz w:val="21"/>
              </w:rPr>
              <w:t>1.72%</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3" w:right="0"/>
              <w:jc w:val="center"/>
              <w:rPr>
                <w:rFonts w:ascii="宋体" w:hAnsi="宋体" w:cs="宋体" w:eastAsia="宋体" w:hint="default"/>
                <w:sz w:val="21"/>
                <w:szCs w:val="21"/>
              </w:rPr>
            </w:pPr>
            <w:r>
              <w:rPr>
                <w:rFonts w:ascii="宋体"/>
                <w:sz w:val="21"/>
              </w:rPr>
              <w:t>256.98%</w:t>
            </w:r>
          </w:p>
        </w:tc>
      </w:tr>
      <w:tr>
        <w:trPr>
          <w:trHeight w:val="402" w:hRule="exact"/>
        </w:trPr>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4" w:right="0"/>
              <w:jc w:val="left"/>
              <w:rPr>
                <w:rFonts w:ascii="宋体" w:hAnsi="宋体" w:cs="宋体" w:eastAsia="宋体" w:hint="default"/>
                <w:sz w:val="21"/>
                <w:szCs w:val="21"/>
              </w:rPr>
            </w:pPr>
            <w:r>
              <w:rPr>
                <w:rFonts w:ascii="宋体" w:hAnsi="宋体" w:cs="宋体" w:eastAsia="宋体" w:hint="default"/>
                <w:sz w:val="21"/>
                <w:szCs w:val="21"/>
              </w:rPr>
              <w:t>城市轨道交通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3"/>
              <w:jc w:val="right"/>
              <w:rPr>
                <w:rFonts w:ascii="宋体" w:hAnsi="宋体" w:cs="宋体" w:eastAsia="宋体" w:hint="default"/>
                <w:sz w:val="21"/>
                <w:szCs w:val="21"/>
              </w:rPr>
            </w:pPr>
            <w:r>
              <w:rPr>
                <w:rFonts w:ascii="宋体"/>
                <w:sz w:val="21"/>
              </w:rPr>
              <w:t>70,318,081.12</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宋体" w:hAnsi="宋体" w:cs="宋体" w:eastAsia="宋体" w:hint="default"/>
                <w:sz w:val="21"/>
                <w:szCs w:val="21"/>
              </w:rPr>
            </w:pPr>
            <w:r>
              <w:rPr>
                <w:rFonts w:ascii="宋体"/>
                <w:sz w:val="21"/>
              </w:rPr>
              <w:t>12.86%</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4"/>
              <w:jc w:val="right"/>
              <w:rPr>
                <w:rFonts w:ascii="宋体" w:hAnsi="宋体" w:cs="宋体" w:eastAsia="宋体" w:hint="default"/>
                <w:sz w:val="21"/>
                <w:szCs w:val="21"/>
              </w:rPr>
            </w:pPr>
            <w:r>
              <w:rPr>
                <w:rFonts w:ascii="宋体"/>
                <w:sz w:val="21"/>
              </w:rPr>
              <w:t>97,517,376.53</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472"/>
              <w:jc w:val="right"/>
              <w:rPr>
                <w:rFonts w:ascii="宋体" w:hAnsi="宋体" w:cs="宋体" w:eastAsia="宋体" w:hint="default"/>
                <w:sz w:val="21"/>
                <w:szCs w:val="21"/>
              </w:rPr>
            </w:pPr>
            <w:r>
              <w:rPr>
                <w:rFonts w:ascii="宋体"/>
                <w:sz w:val="21"/>
              </w:rPr>
              <w:t>18.95%</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4" w:right="0"/>
              <w:jc w:val="center"/>
              <w:rPr>
                <w:rFonts w:ascii="宋体" w:hAnsi="宋体" w:cs="宋体" w:eastAsia="宋体" w:hint="default"/>
                <w:sz w:val="21"/>
                <w:szCs w:val="21"/>
              </w:rPr>
            </w:pPr>
            <w:r>
              <w:rPr>
                <w:rFonts w:ascii="宋体"/>
                <w:sz w:val="21"/>
              </w:rPr>
              <w:t>-27.89%</w:t>
            </w:r>
          </w:p>
        </w:tc>
      </w:tr>
      <w:tr>
        <w:trPr>
          <w:trHeight w:val="402" w:hRule="exact"/>
        </w:trPr>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4"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3"/>
              <w:jc w:val="right"/>
              <w:rPr>
                <w:rFonts w:ascii="宋体" w:hAnsi="宋体" w:cs="宋体" w:eastAsia="宋体" w:hint="default"/>
                <w:sz w:val="21"/>
                <w:szCs w:val="21"/>
              </w:rPr>
            </w:pPr>
            <w:r>
              <w:rPr>
                <w:rFonts w:ascii="宋体"/>
                <w:sz w:val="21"/>
              </w:rPr>
              <w:t>85,473,048.57</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宋体" w:hAnsi="宋体" w:cs="宋体" w:eastAsia="宋体" w:hint="default"/>
                <w:sz w:val="21"/>
                <w:szCs w:val="21"/>
              </w:rPr>
            </w:pPr>
            <w:r>
              <w:rPr>
                <w:rFonts w:ascii="宋体"/>
                <w:sz w:val="21"/>
              </w:rPr>
              <w:t>15.63%</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4"/>
              <w:jc w:val="right"/>
              <w:rPr>
                <w:rFonts w:ascii="宋体" w:hAnsi="宋体" w:cs="宋体" w:eastAsia="宋体" w:hint="default"/>
                <w:sz w:val="21"/>
                <w:szCs w:val="21"/>
              </w:rPr>
            </w:pPr>
            <w:r>
              <w:rPr>
                <w:rFonts w:ascii="宋体"/>
                <w:sz w:val="21"/>
              </w:rPr>
              <w:t>46,399,461.61</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524"/>
              <w:jc w:val="right"/>
              <w:rPr>
                <w:rFonts w:ascii="宋体" w:hAnsi="宋体" w:cs="宋体" w:eastAsia="宋体" w:hint="default"/>
                <w:sz w:val="21"/>
                <w:szCs w:val="21"/>
              </w:rPr>
            </w:pPr>
            <w:r>
              <w:rPr>
                <w:rFonts w:ascii="宋体"/>
                <w:sz w:val="21"/>
              </w:rPr>
              <w:t>9.02%</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 w:right="0"/>
              <w:jc w:val="center"/>
              <w:rPr>
                <w:rFonts w:ascii="宋体" w:hAnsi="宋体" w:cs="宋体" w:eastAsia="宋体" w:hint="default"/>
                <w:sz w:val="21"/>
                <w:szCs w:val="21"/>
              </w:rPr>
            </w:pPr>
            <w:r>
              <w:rPr>
                <w:rFonts w:ascii="宋体"/>
                <w:sz w:val="21"/>
              </w:rPr>
              <w:t>84.21%</w:t>
            </w:r>
          </w:p>
        </w:tc>
      </w:tr>
      <w:tr>
        <w:trPr>
          <w:trHeight w:val="402" w:hRule="exact"/>
        </w:trPr>
        <w:tc>
          <w:tcPr>
            <w:tcW w:w="9994"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4" w:right="0"/>
              <w:jc w:val="left"/>
              <w:rPr>
                <w:rFonts w:ascii="宋体" w:hAnsi="宋体" w:cs="宋体" w:eastAsia="宋体" w:hint="default"/>
                <w:sz w:val="21"/>
                <w:szCs w:val="21"/>
              </w:rPr>
            </w:pPr>
            <w:r>
              <w:rPr>
                <w:rFonts w:ascii="宋体" w:hAnsi="宋体" w:cs="宋体" w:eastAsia="宋体" w:hint="default"/>
                <w:sz w:val="21"/>
                <w:szCs w:val="21"/>
              </w:rPr>
              <w:t>分产品</w:t>
            </w:r>
          </w:p>
        </w:tc>
      </w:tr>
      <w:tr>
        <w:trPr>
          <w:trHeight w:val="714" w:hRule="exact"/>
        </w:trPr>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设备监测类产品</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22"/>
              <w:jc w:val="right"/>
              <w:rPr>
                <w:rFonts w:ascii="宋体" w:hAnsi="宋体" w:cs="宋体" w:eastAsia="宋体" w:hint="default"/>
                <w:sz w:val="21"/>
                <w:szCs w:val="21"/>
              </w:rPr>
            </w:pPr>
            <w:r>
              <w:rPr>
                <w:rFonts w:ascii="宋体"/>
                <w:sz w:val="21"/>
              </w:rPr>
              <w:t>194,512,702.40</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21"/>
                <w:szCs w:val="21"/>
              </w:rPr>
            </w:pPr>
            <w:r>
              <w:rPr>
                <w:rFonts w:ascii="宋体"/>
                <w:sz w:val="21"/>
              </w:rPr>
              <w:t>35.57%</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3"/>
              <w:jc w:val="right"/>
              <w:rPr>
                <w:rFonts w:ascii="宋体" w:hAnsi="宋体" w:cs="宋体" w:eastAsia="宋体" w:hint="default"/>
                <w:sz w:val="21"/>
                <w:szCs w:val="21"/>
              </w:rPr>
            </w:pPr>
            <w:r>
              <w:rPr>
                <w:rFonts w:ascii="宋体"/>
                <w:sz w:val="21"/>
              </w:rPr>
              <w:t>156,836,845.62</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472"/>
              <w:jc w:val="right"/>
              <w:rPr>
                <w:rFonts w:ascii="宋体" w:hAnsi="宋体" w:cs="宋体" w:eastAsia="宋体" w:hint="default"/>
                <w:sz w:val="21"/>
                <w:szCs w:val="21"/>
              </w:rPr>
            </w:pPr>
            <w:r>
              <w:rPr>
                <w:rFonts w:ascii="宋体"/>
                <w:sz w:val="21"/>
              </w:rPr>
              <w:t>30.48%</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 w:right="0"/>
              <w:jc w:val="center"/>
              <w:rPr>
                <w:rFonts w:ascii="宋体" w:hAnsi="宋体" w:cs="宋体" w:eastAsia="宋体" w:hint="default"/>
                <w:sz w:val="21"/>
                <w:szCs w:val="21"/>
              </w:rPr>
            </w:pPr>
            <w:r>
              <w:rPr>
                <w:rFonts w:ascii="宋体"/>
                <w:sz w:val="21"/>
              </w:rPr>
              <w:t>24.02%</w:t>
            </w:r>
          </w:p>
        </w:tc>
      </w:tr>
      <w:tr>
        <w:trPr>
          <w:trHeight w:val="402" w:hRule="exact"/>
        </w:trPr>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4" w:right="0"/>
              <w:jc w:val="left"/>
              <w:rPr>
                <w:rFonts w:ascii="宋体" w:hAnsi="宋体" w:cs="宋体" w:eastAsia="宋体" w:hint="default"/>
                <w:sz w:val="21"/>
                <w:szCs w:val="21"/>
              </w:rPr>
            </w:pPr>
            <w:r>
              <w:rPr>
                <w:rFonts w:ascii="宋体" w:hAnsi="宋体" w:cs="宋体" w:eastAsia="宋体" w:hint="default"/>
                <w:sz w:val="21"/>
                <w:szCs w:val="21"/>
              </w:rPr>
              <w:t>安防类产品</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3"/>
              <w:jc w:val="right"/>
              <w:rPr>
                <w:rFonts w:ascii="宋体" w:hAnsi="宋体" w:cs="宋体" w:eastAsia="宋体" w:hint="default"/>
                <w:sz w:val="21"/>
                <w:szCs w:val="21"/>
              </w:rPr>
            </w:pPr>
            <w:r>
              <w:rPr>
                <w:rFonts w:ascii="宋体"/>
                <w:sz w:val="21"/>
              </w:rPr>
              <w:t>108,187,991.32</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宋体" w:hAnsi="宋体" w:cs="宋体" w:eastAsia="宋体" w:hint="default"/>
                <w:sz w:val="21"/>
                <w:szCs w:val="21"/>
              </w:rPr>
            </w:pPr>
            <w:r>
              <w:rPr>
                <w:rFonts w:ascii="宋体"/>
                <w:sz w:val="21"/>
              </w:rPr>
              <w:t>19.78%</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3"/>
              <w:jc w:val="right"/>
              <w:rPr>
                <w:rFonts w:ascii="宋体" w:hAnsi="宋体" w:cs="宋体" w:eastAsia="宋体" w:hint="default"/>
                <w:sz w:val="21"/>
                <w:szCs w:val="21"/>
              </w:rPr>
            </w:pPr>
            <w:r>
              <w:rPr>
                <w:rFonts w:ascii="宋体"/>
                <w:sz w:val="21"/>
              </w:rPr>
              <w:t>198,910,388.50</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472"/>
              <w:jc w:val="right"/>
              <w:rPr>
                <w:rFonts w:ascii="宋体" w:hAnsi="宋体" w:cs="宋体" w:eastAsia="宋体" w:hint="default"/>
                <w:sz w:val="21"/>
                <w:szCs w:val="21"/>
              </w:rPr>
            </w:pPr>
            <w:r>
              <w:rPr>
                <w:rFonts w:ascii="宋体"/>
                <w:sz w:val="21"/>
              </w:rPr>
              <w:t>38.65%</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4" w:right="0"/>
              <w:jc w:val="center"/>
              <w:rPr>
                <w:rFonts w:ascii="宋体" w:hAnsi="宋体" w:cs="宋体" w:eastAsia="宋体" w:hint="default"/>
                <w:sz w:val="21"/>
                <w:szCs w:val="21"/>
              </w:rPr>
            </w:pPr>
            <w:r>
              <w:rPr>
                <w:rFonts w:ascii="宋体"/>
                <w:sz w:val="21"/>
              </w:rPr>
              <w:t>-45.61%</w:t>
            </w:r>
          </w:p>
        </w:tc>
      </w:tr>
      <w:tr>
        <w:trPr>
          <w:trHeight w:val="714" w:hRule="exact"/>
        </w:trPr>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4" w:right="100"/>
              <w:jc w:val="left"/>
              <w:rPr>
                <w:rFonts w:ascii="宋体" w:hAnsi="宋体" w:cs="宋体" w:eastAsia="宋体" w:hint="default"/>
                <w:sz w:val="21"/>
                <w:szCs w:val="21"/>
              </w:rPr>
            </w:pPr>
            <w:r>
              <w:rPr>
                <w:rFonts w:ascii="宋体" w:hAnsi="宋体" w:cs="宋体" w:eastAsia="宋体" w:hint="default"/>
                <w:sz w:val="21"/>
                <w:szCs w:val="21"/>
              </w:rPr>
              <w:t>生产指挥及运输调度 信息化类产品</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3"/>
              <w:jc w:val="right"/>
              <w:rPr>
                <w:rFonts w:ascii="宋体" w:hAnsi="宋体" w:cs="宋体" w:eastAsia="宋体" w:hint="default"/>
                <w:sz w:val="21"/>
                <w:szCs w:val="21"/>
              </w:rPr>
            </w:pPr>
            <w:r>
              <w:rPr>
                <w:rFonts w:ascii="宋体"/>
                <w:sz w:val="21"/>
              </w:rPr>
              <w:t>14,869,140.99</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21"/>
                <w:szCs w:val="21"/>
              </w:rPr>
            </w:pPr>
            <w:r>
              <w:rPr>
                <w:rFonts w:ascii="宋体"/>
                <w:sz w:val="21"/>
              </w:rPr>
              <w:t>2.72%</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4"/>
              <w:jc w:val="right"/>
              <w:rPr>
                <w:rFonts w:ascii="宋体" w:hAnsi="宋体" w:cs="宋体" w:eastAsia="宋体" w:hint="default"/>
                <w:sz w:val="21"/>
                <w:szCs w:val="21"/>
              </w:rPr>
            </w:pPr>
            <w:r>
              <w:rPr>
                <w:rFonts w:ascii="宋体"/>
                <w:sz w:val="21"/>
              </w:rPr>
              <w:t>11,716,611.13</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524"/>
              <w:jc w:val="right"/>
              <w:rPr>
                <w:rFonts w:ascii="宋体" w:hAnsi="宋体" w:cs="宋体" w:eastAsia="宋体" w:hint="default"/>
                <w:sz w:val="21"/>
                <w:szCs w:val="21"/>
              </w:rPr>
            </w:pPr>
            <w:r>
              <w:rPr>
                <w:rFonts w:ascii="宋体"/>
                <w:sz w:val="21"/>
              </w:rPr>
              <w:t>2.28%</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 w:right="0"/>
              <w:jc w:val="center"/>
              <w:rPr>
                <w:rFonts w:ascii="宋体" w:hAnsi="宋体" w:cs="宋体" w:eastAsia="宋体" w:hint="default"/>
                <w:sz w:val="21"/>
                <w:szCs w:val="21"/>
              </w:rPr>
            </w:pPr>
            <w:r>
              <w:rPr>
                <w:rFonts w:ascii="宋体"/>
                <w:sz w:val="21"/>
              </w:rPr>
              <w:t>26.91%</w:t>
            </w:r>
          </w:p>
        </w:tc>
      </w:tr>
      <w:tr>
        <w:trPr>
          <w:trHeight w:val="402" w:hRule="exact"/>
        </w:trPr>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4" w:right="0"/>
              <w:jc w:val="left"/>
              <w:rPr>
                <w:rFonts w:ascii="宋体" w:hAnsi="宋体" w:cs="宋体" w:eastAsia="宋体" w:hint="default"/>
                <w:sz w:val="21"/>
                <w:szCs w:val="21"/>
              </w:rPr>
            </w:pPr>
            <w:r>
              <w:rPr>
                <w:rFonts w:ascii="宋体" w:hAnsi="宋体" w:cs="宋体" w:eastAsia="宋体" w:hint="default"/>
                <w:sz w:val="21"/>
                <w:szCs w:val="21"/>
              </w:rPr>
              <w:t>信号控制类产品</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3"/>
              <w:jc w:val="right"/>
              <w:rPr>
                <w:rFonts w:ascii="宋体" w:hAnsi="宋体" w:cs="宋体" w:eastAsia="宋体" w:hint="default"/>
                <w:sz w:val="21"/>
                <w:szCs w:val="21"/>
              </w:rPr>
            </w:pPr>
            <w:r>
              <w:rPr>
                <w:rFonts w:ascii="宋体"/>
                <w:sz w:val="21"/>
              </w:rPr>
              <w:t>8,274,231.62</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宋体" w:hAnsi="宋体" w:cs="宋体" w:eastAsia="宋体" w:hint="default"/>
                <w:sz w:val="21"/>
                <w:szCs w:val="21"/>
              </w:rPr>
            </w:pPr>
            <w:r>
              <w:rPr>
                <w:rFonts w:ascii="宋体"/>
                <w:sz w:val="21"/>
              </w:rPr>
              <w:t>1.51%</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4"/>
              <w:jc w:val="right"/>
              <w:rPr>
                <w:rFonts w:ascii="宋体" w:hAnsi="宋体" w:cs="宋体" w:eastAsia="宋体" w:hint="default"/>
                <w:sz w:val="21"/>
                <w:szCs w:val="21"/>
              </w:rPr>
            </w:pPr>
            <w:r>
              <w:rPr>
                <w:rFonts w:ascii="宋体"/>
                <w:sz w:val="21"/>
              </w:rPr>
              <w:t>15,814,888.91</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524"/>
              <w:jc w:val="right"/>
              <w:rPr>
                <w:rFonts w:ascii="宋体" w:hAnsi="宋体" w:cs="宋体" w:eastAsia="宋体" w:hint="default"/>
                <w:sz w:val="21"/>
                <w:szCs w:val="21"/>
              </w:rPr>
            </w:pPr>
            <w:r>
              <w:rPr>
                <w:rFonts w:ascii="宋体"/>
                <w:sz w:val="21"/>
              </w:rPr>
              <w:t>3.07%</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4" w:right="0"/>
              <w:jc w:val="center"/>
              <w:rPr>
                <w:rFonts w:ascii="宋体" w:hAnsi="宋体" w:cs="宋体" w:eastAsia="宋体" w:hint="default"/>
                <w:sz w:val="21"/>
                <w:szCs w:val="21"/>
              </w:rPr>
            </w:pPr>
            <w:r>
              <w:rPr>
                <w:rFonts w:ascii="宋体"/>
                <w:sz w:val="21"/>
              </w:rPr>
              <w:t>-47.68%</w:t>
            </w:r>
          </w:p>
        </w:tc>
      </w:tr>
      <w:tr>
        <w:trPr>
          <w:trHeight w:val="402" w:hRule="exact"/>
        </w:trPr>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4" w:right="0"/>
              <w:jc w:val="left"/>
              <w:rPr>
                <w:rFonts w:ascii="宋体" w:hAnsi="宋体" w:cs="宋体" w:eastAsia="宋体" w:hint="default"/>
                <w:sz w:val="21"/>
                <w:szCs w:val="21"/>
              </w:rPr>
            </w:pPr>
            <w:r>
              <w:rPr>
                <w:rFonts w:ascii="宋体" w:hAnsi="宋体" w:cs="宋体" w:eastAsia="宋体" w:hint="default"/>
                <w:sz w:val="21"/>
                <w:szCs w:val="21"/>
              </w:rPr>
              <w:t>电源类设备</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3"/>
              <w:jc w:val="right"/>
              <w:rPr>
                <w:rFonts w:ascii="宋体" w:hAnsi="宋体" w:cs="宋体" w:eastAsia="宋体" w:hint="default"/>
                <w:sz w:val="21"/>
                <w:szCs w:val="21"/>
              </w:rPr>
            </w:pPr>
            <w:r>
              <w:rPr>
                <w:rFonts w:ascii="宋体"/>
                <w:sz w:val="21"/>
              </w:rPr>
              <w:t>81,421,154.87</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宋体" w:hAnsi="宋体" w:cs="宋体" w:eastAsia="宋体" w:hint="default"/>
                <w:sz w:val="21"/>
                <w:szCs w:val="21"/>
              </w:rPr>
            </w:pPr>
            <w:r>
              <w:rPr>
                <w:rFonts w:ascii="宋体"/>
                <w:sz w:val="21"/>
              </w:rPr>
              <w:t>14.89%</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4"/>
              <w:jc w:val="right"/>
              <w:rPr>
                <w:rFonts w:ascii="宋体" w:hAnsi="宋体" w:cs="宋体" w:eastAsia="宋体" w:hint="default"/>
                <w:sz w:val="21"/>
                <w:szCs w:val="21"/>
              </w:rPr>
            </w:pPr>
            <w:r>
              <w:rPr>
                <w:rFonts w:ascii="宋体"/>
                <w:sz w:val="21"/>
              </w:rPr>
              <w:t>73,587,226.46</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472"/>
              <w:jc w:val="right"/>
              <w:rPr>
                <w:rFonts w:ascii="宋体" w:hAnsi="宋体" w:cs="宋体" w:eastAsia="宋体" w:hint="default"/>
                <w:sz w:val="21"/>
                <w:szCs w:val="21"/>
              </w:rPr>
            </w:pPr>
            <w:r>
              <w:rPr>
                <w:rFonts w:ascii="宋体"/>
                <w:sz w:val="21"/>
              </w:rPr>
              <w:t>14.30%</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 w:right="0"/>
              <w:jc w:val="center"/>
              <w:rPr>
                <w:rFonts w:ascii="宋体" w:hAnsi="宋体" w:cs="宋体" w:eastAsia="宋体" w:hint="default"/>
                <w:sz w:val="21"/>
                <w:szCs w:val="21"/>
              </w:rPr>
            </w:pPr>
            <w:r>
              <w:rPr>
                <w:rFonts w:ascii="宋体"/>
                <w:sz w:val="21"/>
              </w:rPr>
              <w:t>10.65%</w:t>
            </w:r>
          </w:p>
        </w:tc>
      </w:tr>
      <w:tr>
        <w:trPr>
          <w:trHeight w:val="402" w:hRule="exact"/>
        </w:trPr>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4" w:right="0"/>
              <w:jc w:val="left"/>
              <w:rPr>
                <w:rFonts w:ascii="宋体" w:hAnsi="宋体" w:cs="宋体" w:eastAsia="宋体" w:hint="default"/>
                <w:sz w:val="21"/>
                <w:szCs w:val="21"/>
              </w:rPr>
            </w:pPr>
            <w:r>
              <w:rPr>
                <w:rFonts w:ascii="宋体" w:hAnsi="宋体" w:cs="宋体" w:eastAsia="宋体" w:hint="default"/>
                <w:sz w:val="21"/>
                <w:szCs w:val="21"/>
              </w:rPr>
              <w:t>信号设备及器材</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3"/>
              <w:jc w:val="right"/>
              <w:rPr>
                <w:rFonts w:ascii="宋体" w:hAnsi="宋体" w:cs="宋体" w:eastAsia="宋体" w:hint="default"/>
                <w:sz w:val="21"/>
                <w:szCs w:val="21"/>
              </w:rPr>
            </w:pPr>
            <w:r>
              <w:rPr>
                <w:rFonts w:ascii="宋体"/>
                <w:sz w:val="21"/>
              </w:rPr>
              <w:t>63,487,930.46</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宋体" w:hAnsi="宋体" w:cs="宋体" w:eastAsia="宋体" w:hint="default"/>
                <w:sz w:val="21"/>
                <w:szCs w:val="21"/>
              </w:rPr>
            </w:pPr>
            <w:r>
              <w:rPr>
                <w:rFonts w:ascii="宋体"/>
                <w:sz w:val="21"/>
              </w:rPr>
              <w:t>11.61%</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4"/>
              <w:jc w:val="right"/>
              <w:rPr>
                <w:rFonts w:ascii="宋体" w:hAnsi="宋体" w:cs="宋体" w:eastAsia="宋体" w:hint="default"/>
                <w:sz w:val="21"/>
                <w:szCs w:val="21"/>
              </w:rPr>
            </w:pPr>
            <w:r>
              <w:rPr>
                <w:rFonts w:ascii="宋体"/>
                <w:sz w:val="21"/>
              </w:rPr>
              <w:t>16,540,768.06</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524"/>
              <w:jc w:val="right"/>
              <w:rPr>
                <w:rFonts w:ascii="宋体" w:hAnsi="宋体" w:cs="宋体" w:eastAsia="宋体" w:hint="default"/>
                <w:sz w:val="21"/>
                <w:szCs w:val="21"/>
              </w:rPr>
            </w:pPr>
            <w:r>
              <w:rPr>
                <w:rFonts w:ascii="宋体"/>
                <w:sz w:val="21"/>
              </w:rPr>
              <w:t>3.21%</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3" w:right="0"/>
              <w:jc w:val="center"/>
              <w:rPr>
                <w:rFonts w:ascii="宋体" w:hAnsi="宋体" w:cs="宋体" w:eastAsia="宋体" w:hint="default"/>
                <w:sz w:val="21"/>
                <w:szCs w:val="21"/>
              </w:rPr>
            </w:pPr>
            <w:r>
              <w:rPr>
                <w:rFonts w:ascii="宋体"/>
                <w:sz w:val="21"/>
              </w:rPr>
              <w:t>283.83%</w:t>
            </w:r>
          </w:p>
        </w:tc>
      </w:tr>
      <w:tr>
        <w:trPr>
          <w:trHeight w:val="402" w:hRule="exact"/>
        </w:trPr>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4"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3"/>
              <w:jc w:val="right"/>
              <w:rPr>
                <w:rFonts w:ascii="宋体" w:hAnsi="宋体" w:cs="宋体" w:eastAsia="宋体" w:hint="default"/>
                <w:sz w:val="21"/>
                <w:szCs w:val="21"/>
              </w:rPr>
            </w:pPr>
            <w:r>
              <w:rPr>
                <w:rFonts w:ascii="宋体"/>
                <w:spacing w:val="-1"/>
                <w:sz w:val="21"/>
              </w:rPr>
              <w:t>76,139,361.19</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宋体" w:hAnsi="宋体" w:cs="宋体" w:eastAsia="宋体" w:hint="default"/>
                <w:sz w:val="21"/>
                <w:szCs w:val="21"/>
              </w:rPr>
            </w:pPr>
            <w:r>
              <w:rPr>
                <w:rFonts w:ascii="宋体"/>
                <w:sz w:val="21"/>
              </w:rPr>
              <w:t>13.92%</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4"/>
              <w:jc w:val="right"/>
              <w:rPr>
                <w:rFonts w:ascii="宋体" w:hAnsi="宋体" w:cs="宋体" w:eastAsia="宋体" w:hint="default"/>
                <w:sz w:val="21"/>
                <w:szCs w:val="21"/>
              </w:rPr>
            </w:pPr>
            <w:r>
              <w:rPr>
                <w:rFonts w:ascii="宋体"/>
                <w:sz w:val="21"/>
              </w:rPr>
              <w:t>41,202,372.17</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524"/>
              <w:jc w:val="right"/>
              <w:rPr>
                <w:rFonts w:ascii="宋体" w:hAnsi="宋体" w:cs="宋体" w:eastAsia="宋体" w:hint="default"/>
                <w:sz w:val="21"/>
                <w:szCs w:val="21"/>
              </w:rPr>
            </w:pPr>
            <w:r>
              <w:rPr>
                <w:rFonts w:ascii="宋体"/>
                <w:sz w:val="21"/>
              </w:rPr>
              <w:t>8.01%</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 w:right="0"/>
              <w:jc w:val="center"/>
              <w:rPr>
                <w:rFonts w:ascii="宋体" w:hAnsi="宋体" w:cs="宋体" w:eastAsia="宋体" w:hint="default"/>
                <w:sz w:val="21"/>
                <w:szCs w:val="21"/>
              </w:rPr>
            </w:pPr>
            <w:r>
              <w:rPr>
                <w:rFonts w:ascii="宋体"/>
                <w:sz w:val="21"/>
              </w:rPr>
              <w:t>84.79%</w:t>
            </w:r>
          </w:p>
        </w:tc>
      </w:tr>
      <w:tr>
        <w:trPr>
          <w:trHeight w:val="402" w:hRule="exact"/>
        </w:trPr>
        <w:tc>
          <w:tcPr>
            <w:tcW w:w="9994"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4" w:right="0"/>
              <w:jc w:val="left"/>
              <w:rPr>
                <w:rFonts w:ascii="宋体" w:hAnsi="宋体" w:cs="宋体" w:eastAsia="宋体" w:hint="default"/>
                <w:sz w:val="21"/>
                <w:szCs w:val="21"/>
              </w:rPr>
            </w:pPr>
            <w:r>
              <w:rPr>
                <w:rFonts w:ascii="宋体" w:hAnsi="宋体" w:cs="宋体" w:eastAsia="宋体" w:hint="default"/>
                <w:sz w:val="21"/>
                <w:szCs w:val="21"/>
              </w:rPr>
              <w:t>分地区</w:t>
            </w:r>
          </w:p>
        </w:tc>
      </w:tr>
      <w:tr>
        <w:trPr>
          <w:trHeight w:val="402" w:hRule="exact"/>
        </w:trPr>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4" w:right="0"/>
              <w:jc w:val="left"/>
              <w:rPr>
                <w:rFonts w:ascii="宋体" w:hAnsi="宋体" w:cs="宋体" w:eastAsia="宋体" w:hint="default"/>
                <w:sz w:val="21"/>
                <w:szCs w:val="21"/>
              </w:rPr>
            </w:pPr>
            <w:r>
              <w:rPr>
                <w:rFonts w:ascii="宋体" w:hAnsi="宋体" w:cs="宋体" w:eastAsia="宋体" w:hint="default"/>
                <w:sz w:val="21"/>
                <w:szCs w:val="21"/>
              </w:rPr>
              <w:t>华东区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3"/>
              <w:jc w:val="right"/>
              <w:rPr>
                <w:rFonts w:ascii="宋体" w:hAnsi="宋体" w:cs="宋体" w:eastAsia="宋体" w:hint="default"/>
                <w:sz w:val="21"/>
                <w:szCs w:val="21"/>
              </w:rPr>
            </w:pPr>
            <w:r>
              <w:rPr>
                <w:rFonts w:ascii="宋体"/>
                <w:spacing w:val="-1"/>
                <w:sz w:val="21"/>
              </w:rPr>
              <w:t>88,925,093.15</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宋体" w:hAnsi="宋体" w:cs="宋体" w:eastAsia="宋体" w:hint="default"/>
                <w:sz w:val="21"/>
                <w:szCs w:val="21"/>
              </w:rPr>
            </w:pPr>
            <w:r>
              <w:rPr>
                <w:rFonts w:ascii="宋体"/>
                <w:sz w:val="21"/>
              </w:rPr>
              <w:t>16.26%</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4"/>
              <w:jc w:val="right"/>
              <w:rPr>
                <w:rFonts w:ascii="宋体" w:hAnsi="宋体" w:cs="宋体" w:eastAsia="宋体" w:hint="default"/>
                <w:sz w:val="21"/>
                <w:szCs w:val="21"/>
              </w:rPr>
            </w:pPr>
            <w:r>
              <w:rPr>
                <w:rFonts w:ascii="宋体"/>
                <w:sz w:val="21"/>
              </w:rPr>
              <w:t>60,084,724.51</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473"/>
              <w:jc w:val="right"/>
              <w:rPr>
                <w:rFonts w:ascii="宋体" w:hAnsi="宋体" w:cs="宋体" w:eastAsia="宋体" w:hint="default"/>
                <w:sz w:val="21"/>
                <w:szCs w:val="21"/>
              </w:rPr>
            </w:pPr>
            <w:r>
              <w:rPr>
                <w:rFonts w:ascii="宋体"/>
                <w:sz w:val="21"/>
              </w:rPr>
              <w:t>11.68%</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 w:right="0"/>
              <w:jc w:val="center"/>
              <w:rPr>
                <w:rFonts w:ascii="宋体" w:hAnsi="宋体" w:cs="宋体" w:eastAsia="宋体" w:hint="default"/>
                <w:sz w:val="21"/>
                <w:szCs w:val="21"/>
              </w:rPr>
            </w:pPr>
            <w:r>
              <w:rPr>
                <w:rFonts w:ascii="宋体"/>
                <w:sz w:val="21"/>
              </w:rPr>
              <w:t>48.00%</w:t>
            </w:r>
          </w:p>
        </w:tc>
      </w:tr>
      <w:tr>
        <w:trPr>
          <w:trHeight w:val="402" w:hRule="exact"/>
        </w:trPr>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4" w:right="0"/>
              <w:jc w:val="left"/>
              <w:rPr>
                <w:rFonts w:ascii="宋体" w:hAnsi="宋体" w:cs="宋体" w:eastAsia="宋体" w:hint="default"/>
                <w:sz w:val="21"/>
                <w:szCs w:val="21"/>
              </w:rPr>
            </w:pPr>
            <w:r>
              <w:rPr>
                <w:rFonts w:ascii="宋体" w:hAnsi="宋体" w:cs="宋体" w:eastAsia="宋体" w:hint="default"/>
                <w:sz w:val="21"/>
                <w:szCs w:val="21"/>
              </w:rPr>
              <w:t>南方</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2"/>
              <w:jc w:val="right"/>
              <w:rPr>
                <w:rFonts w:ascii="宋体" w:hAnsi="宋体" w:cs="宋体" w:eastAsia="宋体" w:hint="default"/>
                <w:sz w:val="21"/>
                <w:szCs w:val="21"/>
              </w:rPr>
            </w:pPr>
            <w:r>
              <w:rPr>
                <w:rFonts w:ascii="宋体"/>
                <w:sz w:val="21"/>
              </w:rPr>
              <w:t>192,138,391.15</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宋体" w:hAnsi="宋体" w:cs="宋体" w:eastAsia="宋体" w:hint="default"/>
                <w:sz w:val="21"/>
                <w:szCs w:val="21"/>
              </w:rPr>
            </w:pPr>
            <w:r>
              <w:rPr>
                <w:rFonts w:ascii="宋体"/>
                <w:sz w:val="21"/>
              </w:rPr>
              <w:t>35.13%</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3"/>
              <w:jc w:val="right"/>
              <w:rPr>
                <w:rFonts w:ascii="宋体" w:hAnsi="宋体" w:cs="宋体" w:eastAsia="宋体" w:hint="default"/>
                <w:sz w:val="21"/>
                <w:szCs w:val="21"/>
              </w:rPr>
            </w:pPr>
            <w:r>
              <w:rPr>
                <w:rFonts w:ascii="宋体"/>
                <w:spacing w:val="-1"/>
                <w:sz w:val="21"/>
              </w:rPr>
              <w:t>263,332,911.77</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472"/>
              <w:jc w:val="right"/>
              <w:rPr>
                <w:rFonts w:ascii="宋体" w:hAnsi="宋体" w:cs="宋体" w:eastAsia="宋体" w:hint="default"/>
                <w:sz w:val="21"/>
                <w:szCs w:val="21"/>
              </w:rPr>
            </w:pPr>
            <w:r>
              <w:rPr>
                <w:rFonts w:ascii="宋体"/>
                <w:sz w:val="21"/>
              </w:rPr>
              <w:t>51.17%</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4" w:right="0"/>
              <w:jc w:val="center"/>
              <w:rPr>
                <w:rFonts w:ascii="宋体" w:hAnsi="宋体" w:cs="宋体" w:eastAsia="宋体" w:hint="default"/>
                <w:sz w:val="21"/>
                <w:szCs w:val="21"/>
              </w:rPr>
            </w:pPr>
            <w:r>
              <w:rPr>
                <w:rFonts w:ascii="宋体"/>
                <w:sz w:val="21"/>
              </w:rPr>
              <w:t>-27.04%</w:t>
            </w:r>
          </w:p>
        </w:tc>
      </w:tr>
      <w:tr>
        <w:trPr>
          <w:trHeight w:val="402" w:hRule="exact"/>
        </w:trPr>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4" w:right="0"/>
              <w:jc w:val="left"/>
              <w:rPr>
                <w:rFonts w:ascii="宋体" w:hAnsi="宋体" w:cs="宋体" w:eastAsia="宋体" w:hint="default"/>
                <w:sz w:val="21"/>
                <w:szCs w:val="21"/>
              </w:rPr>
            </w:pPr>
            <w:r>
              <w:rPr>
                <w:rFonts w:ascii="宋体" w:hAnsi="宋体" w:cs="宋体" w:eastAsia="宋体" w:hint="default"/>
                <w:sz w:val="21"/>
                <w:szCs w:val="21"/>
              </w:rPr>
              <w:t>北方</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57"/>
              <w:jc w:val="right"/>
              <w:rPr>
                <w:rFonts w:ascii="宋体" w:hAnsi="宋体" w:cs="宋体" w:eastAsia="宋体" w:hint="default"/>
                <w:sz w:val="21"/>
                <w:szCs w:val="21"/>
              </w:rPr>
            </w:pPr>
            <w:r>
              <w:rPr>
                <w:rFonts w:ascii="宋体"/>
                <w:sz w:val="21"/>
              </w:rPr>
              <w:t>189,689,667.36</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宋体" w:hAnsi="宋体" w:cs="宋体" w:eastAsia="宋体" w:hint="default"/>
                <w:sz w:val="21"/>
                <w:szCs w:val="21"/>
              </w:rPr>
            </w:pPr>
            <w:r>
              <w:rPr>
                <w:rFonts w:ascii="宋体"/>
                <w:sz w:val="21"/>
              </w:rPr>
              <w:t>34.68%</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58"/>
              <w:jc w:val="right"/>
              <w:rPr>
                <w:rFonts w:ascii="宋体" w:hAnsi="宋体" w:cs="宋体" w:eastAsia="宋体" w:hint="default"/>
                <w:sz w:val="21"/>
                <w:szCs w:val="21"/>
              </w:rPr>
            </w:pPr>
            <w:r>
              <w:rPr>
                <w:rFonts w:ascii="宋体"/>
                <w:sz w:val="21"/>
              </w:rPr>
              <w:t>149,989,092.40</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472"/>
              <w:jc w:val="right"/>
              <w:rPr>
                <w:rFonts w:ascii="宋体" w:hAnsi="宋体" w:cs="宋体" w:eastAsia="宋体" w:hint="default"/>
                <w:sz w:val="21"/>
                <w:szCs w:val="21"/>
              </w:rPr>
            </w:pPr>
            <w:r>
              <w:rPr>
                <w:rFonts w:ascii="宋体"/>
                <w:sz w:val="21"/>
              </w:rPr>
              <w:t>29.15%</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 w:right="0"/>
              <w:jc w:val="center"/>
              <w:rPr>
                <w:rFonts w:ascii="宋体" w:hAnsi="宋体" w:cs="宋体" w:eastAsia="宋体" w:hint="default"/>
                <w:sz w:val="21"/>
                <w:szCs w:val="21"/>
              </w:rPr>
            </w:pPr>
            <w:r>
              <w:rPr>
                <w:rFonts w:ascii="宋体"/>
                <w:sz w:val="21"/>
              </w:rPr>
              <w:t>26.47%</w:t>
            </w:r>
          </w:p>
        </w:tc>
      </w:tr>
      <w:tr>
        <w:trPr>
          <w:trHeight w:val="402" w:hRule="exact"/>
        </w:trPr>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4"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3"/>
              <w:jc w:val="right"/>
              <w:rPr>
                <w:rFonts w:ascii="宋体" w:hAnsi="宋体" w:cs="宋体" w:eastAsia="宋体" w:hint="default"/>
                <w:sz w:val="21"/>
                <w:szCs w:val="21"/>
              </w:rPr>
            </w:pPr>
            <w:r>
              <w:rPr>
                <w:rFonts w:ascii="宋体"/>
                <w:sz w:val="21"/>
              </w:rPr>
              <w:t>76,139,361.19</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宋体" w:hAnsi="宋体" w:cs="宋体" w:eastAsia="宋体" w:hint="default"/>
                <w:sz w:val="21"/>
                <w:szCs w:val="21"/>
              </w:rPr>
            </w:pPr>
            <w:r>
              <w:rPr>
                <w:rFonts w:ascii="宋体"/>
                <w:sz w:val="21"/>
              </w:rPr>
              <w:t>13.92%</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4"/>
              <w:jc w:val="right"/>
              <w:rPr>
                <w:rFonts w:ascii="宋体" w:hAnsi="宋体" w:cs="宋体" w:eastAsia="宋体" w:hint="default"/>
                <w:sz w:val="21"/>
                <w:szCs w:val="21"/>
              </w:rPr>
            </w:pPr>
            <w:r>
              <w:rPr>
                <w:rFonts w:ascii="宋体"/>
                <w:sz w:val="21"/>
              </w:rPr>
              <w:t>41,202,372.17</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524"/>
              <w:jc w:val="right"/>
              <w:rPr>
                <w:rFonts w:ascii="宋体" w:hAnsi="宋体" w:cs="宋体" w:eastAsia="宋体" w:hint="default"/>
                <w:sz w:val="21"/>
                <w:szCs w:val="21"/>
              </w:rPr>
            </w:pPr>
            <w:r>
              <w:rPr>
                <w:rFonts w:ascii="宋体"/>
                <w:sz w:val="21"/>
              </w:rPr>
              <w:t>8.01%</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 w:right="0"/>
              <w:jc w:val="center"/>
              <w:rPr>
                <w:rFonts w:ascii="宋体" w:hAnsi="宋体" w:cs="宋体" w:eastAsia="宋体" w:hint="default"/>
                <w:sz w:val="21"/>
                <w:szCs w:val="21"/>
              </w:rPr>
            </w:pPr>
            <w:r>
              <w:rPr>
                <w:rFonts w:ascii="宋体"/>
                <w:sz w:val="21"/>
              </w:rPr>
              <w:t>84.79%</w:t>
            </w:r>
          </w:p>
        </w:tc>
      </w:tr>
    </w:tbl>
    <w:p>
      <w:pPr>
        <w:spacing w:line="240" w:lineRule="auto" w:before="10"/>
        <w:rPr>
          <w:rFonts w:ascii="宋体" w:hAnsi="宋体" w:cs="宋体" w:eastAsia="宋体" w:hint="default"/>
          <w:sz w:val="4"/>
          <w:szCs w:val="4"/>
        </w:rPr>
      </w:pPr>
    </w:p>
    <w:p>
      <w:pPr>
        <w:spacing w:after="0" w:line="240" w:lineRule="auto"/>
        <w:rPr>
          <w:rFonts w:ascii="宋体" w:hAnsi="宋体" w:cs="宋体" w:eastAsia="宋体" w:hint="default"/>
          <w:sz w:val="4"/>
          <w:szCs w:val="4"/>
        </w:rPr>
        <w:sectPr>
          <w:type w:val="continuous"/>
          <w:pgSz w:w="11910" w:h="16840"/>
          <w:pgMar w:top="1060" w:bottom="1160" w:left="840" w:right="0"/>
        </w:sectPr>
      </w:pPr>
    </w:p>
    <w:p>
      <w:pPr>
        <w:pStyle w:val="Heading2"/>
        <w:spacing w:line="240" w:lineRule="auto"/>
        <w:ind w:left="776" w:right="0"/>
        <w:jc w:val="left"/>
        <w:rPr>
          <w:b w:val="0"/>
          <w:bCs w:val="0"/>
        </w:rPr>
      </w:pPr>
      <w:bookmarkStart w:name="（2）占公司营业收入或营业利润10%以上的行业、产品或地区情况" w:id="32"/>
      <w:bookmarkEnd w:id="32"/>
      <w:r>
        <w:rPr>
          <w:b w:val="0"/>
          <w:bCs w:val="0"/>
        </w:rPr>
      </w:r>
      <w:r>
        <w:rPr/>
        <w:t>（</w:t>
      </w:r>
      <w:r>
        <w:rPr>
          <w:rFonts w:ascii="宋体" w:hAnsi="宋体" w:cs="宋体" w:eastAsia="宋体" w:hint="default"/>
        </w:rPr>
        <w:t>2</w:t>
      </w:r>
      <w:r>
        <w:rPr/>
        <w:t>）占公司营业收入或营业利润</w:t>
      </w:r>
      <w:r>
        <w:rPr>
          <w:spacing w:val="-83"/>
        </w:rPr>
        <w:t> </w:t>
      </w:r>
      <w:r>
        <w:rPr>
          <w:rFonts w:ascii="宋体" w:hAnsi="宋体" w:cs="宋体" w:eastAsia="宋体" w:hint="default"/>
        </w:rPr>
        <w:t>10%</w:t>
      </w:r>
      <w:r>
        <w:rPr/>
        <w:t>以上的行业、产品或地区情况</w:t>
      </w:r>
      <w:r>
        <w:rPr>
          <w:b w:val="0"/>
          <w:bCs w:val="0"/>
        </w:rPr>
      </w:r>
    </w:p>
    <w:p>
      <w:pPr>
        <w:pStyle w:val="BodyText"/>
        <w:spacing w:line="352" w:lineRule="auto" w:before="145"/>
        <w:ind w:left="774" w:right="2949"/>
        <w:jc w:val="left"/>
      </w:pPr>
      <w:r>
        <w:rPr/>
        <w:t>√ 适用 □ 不适用 公司是否需要遵守特殊行业的披露要求 否</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7"/>
          <w:szCs w:val="17"/>
        </w:rPr>
      </w:pPr>
    </w:p>
    <w:p>
      <w:pPr>
        <w:spacing w:before="0"/>
        <w:ind w:left="773" w:right="0" w:firstLine="0"/>
        <w:jc w:val="left"/>
        <w:rPr>
          <w:rFonts w:ascii="宋体" w:hAnsi="宋体" w:cs="宋体" w:eastAsia="宋体" w:hint="default"/>
          <w:sz w:val="21"/>
          <w:szCs w:val="21"/>
        </w:rPr>
      </w:pPr>
      <w:r>
        <w:rPr>
          <w:rFonts w:ascii="宋体" w:hAnsi="宋体" w:cs="宋体" w:eastAsia="宋体" w:hint="default"/>
          <w:sz w:val="21"/>
          <w:szCs w:val="21"/>
        </w:rPr>
        <w:t>单位：元</w:t>
      </w:r>
    </w:p>
    <w:p>
      <w:pPr>
        <w:spacing w:after="0"/>
        <w:jc w:val="left"/>
        <w:rPr>
          <w:rFonts w:ascii="宋体" w:hAnsi="宋体" w:cs="宋体" w:eastAsia="宋体" w:hint="default"/>
          <w:sz w:val="21"/>
          <w:szCs w:val="21"/>
        </w:rPr>
        <w:sectPr>
          <w:type w:val="continuous"/>
          <w:pgSz w:w="11910" w:h="16840"/>
          <w:pgMar w:top="1060" w:bottom="1160" w:left="840" w:right="0"/>
          <w:cols w:num="2" w:equalWidth="0">
            <w:col w:w="7824" w:space="495"/>
            <w:col w:w="2751"/>
          </w:cols>
        </w:sectPr>
      </w:pPr>
    </w:p>
    <w:p>
      <w:pPr>
        <w:spacing w:line="240" w:lineRule="auto" w:before="0"/>
        <w:rPr>
          <w:rFonts w:ascii="宋体" w:hAnsi="宋体" w:cs="宋体" w:eastAsia="宋体" w:hint="default"/>
          <w:sz w:val="7"/>
          <w:szCs w:val="7"/>
        </w:rPr>
      </w:pPr>
    </w:p>
    <w:tbl>
      <w:tblPr>
        <w:tblW w:w="0" w:type="auto"/>
        <w:jc w:val="left"/>
        <w:tblInd w:w="358" w:type="dxa"/>
        <w:tblLayout w:type="fixed"/>
        <w:tblCellMar>
          <w:top w:w="0" w:type="dxa"/>
          <w:left w:w="0" w:type="dxa"/>
          <w:bottom w:w="0" w:type="dxa"/>
          <w:right w:w="0" w:type="dxa"/>
        </w:tblCellMar>
        <w:tblLook w:val="01E0"/>
      </w:tblPr>
      <w:tblGrid>
        <w:gridCol w:w="1368"/>
        <w:gridCol w:w="1824"/>
        <w:gridCol w:w="1701"/>
        <w:gridCol w:w="850"/>
        <w:gridCol w:w="1092"/>
        <w:gridCol w:w="1367"/>
        <w:gridCol w:w="1297"/>
      </w:tblGrid>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8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485"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7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424"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104" w:right="0"/>
              <w:jc w:val="left"/>
              <w:rPr>
                <w:rFonts w:ascii="宋体" w:hAnsi="宋体" w:cs="宋体" w:eastAsia="宋体" w:hint="default"/>
                <w:sz w:val="21"/>
                <w:szCs w:val="21"/>
              </w:rPr>
            </w:pPr>
            <w:r>
              <w:rPr>
                <w:rFonts w:ascii="宋体" w:hAnsi="宋体" w:cs="宋体" w:eastAsia="宋体" w:hint="default"/>
                <w:sz w:val="21"/>
                <w:szCs w:val="21"/>
              </w:rPr>
              <w:t>毛利率</w:t>
            </w:r>
          </w:p>
        </w:tc>
        <w:tc>
          <w:tcPr>
            <w:tcW w:w="10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auto" w:before="46"/>
              <w:ind w:left="121" w:right="119"/>
              <w:jc w:val="left"/>
              <w:rPr>
                <w:rFonts w:ascii="宋体" w:hAnsi="宋体" w:cs="宋体" w:eastAsia="宋体" w:hint="default"/>
                <w:sz w:val="21"/>
                <w:szCs w:val="21"/>
              </w:rPr>
            </w:pPr>
            <w:r>
              <w:rPr>
                <w:rFonts w:ascii="宋体" w:hAnsi="宋体" w:cs="宋体" w:eastAsia="宋体" w:hint="default"/>
                <w:sz w:val="21"/>
                <w:szCs w:val="21"/>
              </w:rPr>
              <w:t>营业收入 比上年同</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153" w:right="47" w:hanging="106"/>
              <w:jc w:val="left"/>
              <w:rPr>
                <w:rFonts w:ascii="宋体" w:hAnsi="宋体" w:cs="宋体" w:eastAsia="宋体" w:hint="default"/>
                <w:sz w:val="21"/>
                <w:szCs w:val="21"/>
              </w:rPr>
            </w:pPr>
            <w:r>
              <w:rPr>
                <w:rFonts w:ascii="宋体" w:hAnsi="宋体" w:cs="宋体" w:eastAsia="宋体" w:hint="default"/>
                <w:sz w:val="21"/>
                <w:szCs w:val="21"/>
              </w:rPr>
              <w:t>营业成本比上 年同期增减</w:t>
            </w:r>
          </w:p>
        </w:tc>
        <w:tc>
          <w:tcPr>
            <w:tcW w:w="1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118" w:right="116"/>
              <w:jc w:val="left"/>
              <w:rPr>
                <w:rFonts w:ascii="宋体" w:hAnsi="宋体" w:cs="宋体" w:eastAsia="宋体" w:hint="default"/>
                <w:sz w:val="21"/>
                <w:szCs w:val="21"/>
              </w:rPr>
            </w:pPr>
            <w:r>
              <w:rPr>
                <w:rFonts w:ascii="宋体" w:hAnsi="宋体" w:cs="宋体" w:eastAsia="宋体" w:hint="default"/>
                <w:sz w:val="21"/>
                <w:szCs w:val="21"/>
              </w:rPr>
              <w:t>毛利率比上 年同期增减</w:t>
            </w:r>
          </w:p>
        </w:tc>
      </w:tr>
    </w:tbl>
    <w:p>
      <w:pPr>
        <w:spacing w:after="0" w:line="273" w:lineRule="auto"/>
        <w:jc w:val="left"/>
        <w:rPr>
          <w:rFonts w:ascii="宋体" w:hAnsi="宋体" w:cs="宋体" w:eastAsia="宋体" w:hint="default"/>
          <w:sz w:val="21"/>
          <w:szCs w:val="21"/>
        </w:rPr>
        <w:sectPr>
          <w:type w:val="continuous"/>
          <w:pgSz w:w="11910" w:h="16840"/>
          <w:pgMar w:top="1060" w:bottom="1160" w:left="840" w:right="0"/>
        </w:sectPr>
      </w:pPr>
    </w:p>
    <w:p>
      <w:pPr>
        <w:spacing w:line="240" w:lineRule="auto" w:before="6"/>
        <w:rPr>
          <w:rFonts w:ascii="宋体" w:hAnsi="宋体" w:cs="宋体" w:eastAsia="宋体" w:hint="default"/>
          <w:sz w:val="28"/>
          <w:szCs w:val="28"/>
        </w:rPr>
      </w:pPr>
    </w:p>
    <w:tbl>
      <w:tblPr>
        <w:tblW w:w="0" w:type="auto"/>
        <w:jc w:val="left"/>
        <w:tblInd w:w="218" w:type="dxa"/>
        <w:tblLayout w:type="fixed"/>
        <w:tblCellMar>
          <w:top w:w="0" w:type="dxa"/>
          <w:left w:w="0" w:type="dxa"/>
          <w:bottom w:w="0" w:type="dxa"/>
          <w:right w:w="0" w:type="dxa"/>
        </w:tblCellMar>
        <w:tblLook w:val="01E0"/>
      </w:tblPr>
      <w:tblGrid>
        <w:gridCol w:w="1368"/>
        <w:gridCol w:w="1824"/>
        <w:gridCol w:w="1701"/>
        <w:gridCol w:w="850"/>
        <w:gridCol w:w="1092"/>
        <w:gridCol w:w="1367"/>
        <w:gridCol w:w="1297"/>
      </w:tblGrid>
      <w:tr>
        <w:trPr>
          <w:trHeight w:val="36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82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0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1" w:lineRule="exact"/>
              <w:ind w:left="226" w:right="0"/>
              <w:jc w:val="left"/>
              <w:rPr>
                <w:rFonts w:ascii="宋体" w:hAnsi="宋体" w:cs="宋体" w:eastAsia="宋体" w:hint="default"/>
                <w:sz w:val="21"/>
                <w:szCs w:val="21"/>
              </w:rPr>
            </w:pPr>
            <w:r>
              <w:rPr>
                <w:rFonts w:ascii="宋体" w:hAnsi="宋体" w:cs="宋体" w:eastAsia="宋体" w:hint="default"/>
                <w:sz w:val="21"/>
                <w:szCs w:val="21"/>
              </w:rPr>
              <w:t>期增减</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29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9499"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4" w:right="0"/>
              <w:jc w:val="left"/>
              <w:rPr>
                <w:rFonts w:ascii="宋体" w:hAnsi="宋体" w:cs="宋体" w:eastAsia="宋体" w:hint="default"/>
                <w:sz w:val="21"/>
                <w:szCs w:val="21"/>
              </w:rPr>
            </w:pPr>
            <w:r>
              <w:rPr>
                <w:rFonts w:ascii="宋体" w:hAnsi="宋体" w:cs="宋体" w:eastAsia="宋体" w:hint="default"/>
                <w:sz w:val="21"/>
                <w:szCs w:val="21"/>
              </w:rPr>
              <w:t>分行业</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4" w:right="0"/>
              <w:jc w:val="left"/>
              <w:rPr>
                <w:rFonts w:ascii="宋体" w:hAnsi="宋体" w:cs="宋体" w:eastAsia="宋体" w:hint="default"/>
                <w:sz w:val="21"/>
                <w:szCs w:val="21"/>
              </w:rPr>
            </w:pPr>
            <w:r>
              <w:rPr>
                <w:rFonts w:ascii="宋体" w:hAnsi="宋体" w:cs="宋体" w:eastAsia="宋体" w:hint="default"/>
                <w:sz w:val="21"/>
                <w:szCs w:val="21"/>
              </w:rPr>
              <w:t>国家铁路</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359,520,434.62</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160,682,559.29</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55.31%</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-0.64%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9"/>
              <w:jc w:val="right"/>
              <w:rPr>
                <w:rFonts w:ascii="宋体" w:hAnsi="宋体" w:cs="宋体" w:eastAsia="宋体" w:hint="default"/>
                <w:sz w:val="21"/>
                <w:szCs w:val="21"/>
              </w:rPr>
            </w:pPr>
            <w:r>
              <w:rPr>
                <w:rFonts w:ascii="宋体"/>
                <w:sz w:val="21"/>
              </w:rPr>
              <w:t>-11.25%</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5.35%</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4" w:right="0"/>
              <w:jc w:val="left"/>
              <w:rPr>
                <w:rFonts w:ascii="宋体" w:hAnsi="宋体" w:cs="宋体" w:eastAsia="宋体" w:hint="default"/>
                <w:sz w:val="21"/>
                <w:szCs w:val="21"/>
              </w:rPr>
            </w:pPr>
            <w:r>
              <w:rPr>
                <w:rFonts w:ascii="宋体" w:hAnsi="宋体" w:cs="宋体" w:eastAsia="宋体" w:hint="default"/>
                <w:sz w:val="21"/>
                <w:szCs w:val="21"/>
              </w:rPr>
              <w:t>城市轨道交通</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70,318,081.12</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51,823,823.63</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26.30%</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9"/>
              <w:jc w:val="right"/>
              <w:rPr>
                <w:rFonts w:ascii="宋体" w:hAnsi="宋体" w:cs="宋体" w:eastAsia="宋体" w:hint="default"/>
                <w:sz w:val="21"/>
                <w:szCs w:val="21"/>
              </w:rPr>
            </w:pPr>
            <w:r>
              <w:rPr>
                <w:rFonts w:ascii="宋体"/>
                <w:sz w:val="21"/>
              </w:rPr>
              <w:t>-27.89%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9"/>
              <w:jc w:val="right"/>
              <w:rPr>
                <w:rFonts w:ascii="宋体" w:hAnsi="宋体" w:cs="宋体" w:eastAsia="宋体" w:hint="default"/>
                <w:sz w:val="21"/>
                <w:szCs w:val="21"/>
              </w:rPr>
            </w:pPr>
            <w:r>
              <w:rPr>
                <w:rFonts w:ascii="宋体"/>
                <w:sz w:val="21"/>
              </w:rPr>
              <w:t>-15.65%</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9"/>
              <w:jc w:val="right"/>
              <w:rPr>
                <w:rFonts w:ascii="宋体" w:hAnsi="宋体" w:cs="宋体" w:eastAsia="宋体" w:hint="default"/>
                <w:sz w:val="21"/>
                <w:szCs w:val="21"/>
              </w:rPr>
            </w:pPr>
            <w:r>
              <w:rPr>
                <w:rFonts w:ascii="宋体"/>
                <w:sz w:val="21"/>
              </w:rPr>
              <w:t>-10.70%</w:t>
            </w:r>
          </w:p>
        </w:tc>
      </w:tr>
      <w:tr>
        <w:trPr>
          <w:trHeight w:val="402" w:hRule="exact"/>
        </w:trPr>
        <w:tc>
          <w:tcPr>
            <w:tcW w:w="9499"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4" w:right="0"/>
              <w:jc w:val="left"/>
              <w:rPr>
                <w:rFonts w:ascii="宋体" w:hAnsi="宋体" w:cs="宋体" w:eastAsia="宋体" w:hint="default"/>
                <w:sz w:val="21"/>
                <w:szCs w:val="21"/>
              </w:rPr>
            </w:pPr>
            <w:r>
              <w:rPr>
                <w:rFonts w:ascii="宋体" w:hAnsi="宋体" w:cs="宋体" w:eastAsia="宋体" w:hint="default"/>
                <w:sz w:val="21"/>
                <w:szCs w:val="21"/>
              </w:rPr>
              <w:t>分产品</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4" w:right="72"/>
              <w:jc w:val="left"/>
              <w:rPr>
                <w:rFonts w:ascii="宋体" w:hAnsi="宋体" w:cs="宋体" w:eastAsia="宋体" w:hint="default"/>
                <w:sz w:val="21"/>
                <w:szCs w:val="21"/>
              </w:rPr>
            </w:pPr>
            <w:r>
              <w:rPr>
                <w:rFonts w:ascii="宋体" w:hAnsi="宋体" w:cs="宋体" w:eastAsia="宋体" w:hint="default"/>
                <w:sz w:val="21"/>
                <w:szCs w:val="21"/>
              </w:rPr>
              <w:t>设备监测类产 品</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2"/>
              <w:jc w:val="right"/>
              <w:rPr>
                <w:rFonts w:ascii="宋体" w:hAnsi="宋体" w:cs="宋体" w:eastAsia="宋体" w:hint="default"/>
                <w:sz w:val="21"/>
                <w:szCs w:val="21"/>
              </w:rPr>
            </w:pPr>
            <w:r>
              <w:rPr>
                <w:rFonts w:ascii="宋体"/>
                <w:spacing w:val="-1"/>
                <w:sz w:val="21"/>
              </w:rPr>
              <w:t>194,512,702.40</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0"/>
              <w:jc w:val="right"/>
              <w:rPr>
                <w:rFonts w:ascii="宋体" w:hAnsi="宋体" w:cs="宋体" w:eastAsia="宋体" w:hint="default"/>
                <w:sz w:val="21"/>
                <w:szCs w:val="21"/>
              </w:rPr>
            </w:pPr>
            <w:r>
              <w:rPr>
                <w:rFonts w:ascii="宋体"/>
                <w:sz w:val="21"/>
              </w:rPr>
              <w:t>87,725,403.21</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104" w:right="0"/>
              <w:jc w:val="left"/>
              <w:rPr>
                <w:rFonts w:ascii="宋体" w:hAnsi="宋体" w:cs="宋体" w:eastAsia="宋体" w:hint="default"/>
                <w:sz w:val="21"/>
                <w:szCs w:val="21"/>
              </w:rPr>
            </w:pPr>
            <w:r>
              <w:rPr>
                <w:rFonts w:ascii="宋体"/>
                <w:sz w:val="21"/>
              </w:rPr>
              <w:t>54.90%</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0"/>
              <w:jc w:val="right"/>
              <w:rPr>
                <w:rFonts w:ascii="宋体" w:hAnsi="宋体" w:cs="宋体" w:eastAsia="宋体" w:hint="default"/>
                <w:sz w:val="21"/>
                <w:szCs w:val="21"/>
              </w:rPr>
            </w:pPr>
            <w:r>
              <w:rPr>
                <w:rFonts w:ascii="宋体"/>
                <w:sz w:val="21"/>
              </w:rPr>
              <w:t>24.02%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0"/>
              <w:jc w:val="right"/>
              <w:rPr>
                <w:rFonts w:ascii="宋体" w:hAnsi="宋体" w:cs="宋体" w:eastAsia="宋体" w:hint="default"/>
                <w:sz w:val="21"/>
                <w:szCs w:val="21"/>
              </w:rPr>
            </w:pPr>
            <w:r>
              <w:rPr>
                <w:rFonts w:ascii="宋体"/>
                <w:sz w:val="21"/>
              </w:rPr>
              <w:t>17.02%</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0"/>
              <w:jc w:val="right"/>
              <w:rPr>
                <w:rFonts w:ascii="宋体" w:hAnsi="宋体" w:cs="宋体" w:eastAsia="宋体" w:hint="default"/>
                <w:sz w:val="21"/>
                <w:szCs w:val="21"/>
              </w:rPr>
            </w:pPr>
            <w:r>
              <w:rPr>
                <w:rFonts w:ascii="宋体"/>
                <w:sz w:val="21"/>
              </w:rPr>
              <w:t>2.70%</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4" w:right="0"/>
              <w:jc w:val="left"/>
              <w:rPr>
                <w:rFonts w:ascii="宋体" w:hAnsi="宋体" w:cs="宋体" w:eastAsia="宋体" w:hint="default"/>
                <w:sz w:val="21"/>
                <w:szCs w:val="21"/>
              </w:rPr>
            </w:pPr>
            <w:r>
              <w:rPr>
                <w:rFonts w:ascii="宋体" w:hAnsi="宋体" w:cs="宋体" w:eastAsia="宋体" w:hint="default"/>
                <w:sz w:val="21"/>
                <w:szCs w:val="21"/>
              </w:rPr>
              <w:t>安防类产品</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108,187,991.32</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67,675,484.05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04" w:right="0"/>
              <w:jc w:val="left"/>
              <w:rPr>
                <w:rFonts w:ascii="宋体" w:hAnsi="宋体" w:cs="宋体" w:eastAsia="宋体" w:hint="default"/>
                <w:sz w:val="21"/>
                <w:szCs w:val="21"/>
              </w:rPr>
            </w:pPr>
            <w:r>
              <w:rPr>
                <w:rFonts w:ascii="宋体"/>
                <w:sz w:val="21"/>
              </w:rPr>
              <w:t>37.45%</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9"/>
              <w:jc w:val="right"/>
              <w:rPr>
                <w:rFonts w:ascii="宋体" w:hAnsi="宋体" w:cs="宋体" w:eastAsia="宋体" w:hint="default"/>
                <w:sz w:val="21"/>
                <w:szCs w:val="21"/>
              </w:rPr>
            </w:pPr>
            <w:r>
              <w:rPr>
                <w:rFonts w:ascii="宋体"/>
                <w:sz w:val="21"/>
              </w:rPr>
              <w:t>-45.61%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9"/>
              <w:jc w:val="right"/>
              <w:rPr>
                <w:rFonts w:ascii="宋体" w:hAnsi="宋体" w:cs="宋体" w:eastAsia="宋体" w:hint="default"/>
                <w:sz w:val="21"/>
                <w:szCs w:val="21"/>
              </w:rPr>
            </w:pPr>
            <w:r>
              <w:rPr>
                <w:rFonts w:ascii="宋体"/>
                <w:sz w:val="21"/>
              </w:rPr>
              <w:t>-38.70%</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-7.05%</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4" w:right="0"/>
              <w:jc w:val="left"/>
              <w:rPr>
                <w:rFonts w:ascii="宋体" w:hAnsi="宋体" w:cs="宋体" w:eastAsia="宋体" w:hint="default"/>
                <w:sz w:val="21"/>
                <w:szCs w:val="21"/>
              </w:rPr>
            </w:pPr>
            <w:r>
              <w:rPr>
                <w:rFonts w:ascii="宋体" w:hAnsi="宋体" w:cs="宋体" w:eastAsia="宋体" w:hint="default"/>
                <w:sz w:val="21"/>
                <w:szCs w:val="21"/>
              </w:rPr>
              <w:t>电源类设备</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81,421,154.87</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36,207,674.61</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04" w:right="0"/>
              <w:jc w:val="left"/>
              <w:rPr>
                <w:rFonts w:ascii="宋体" w:hAnsi="宋体" w:cs="宋体" w:eastAsia="宋体" w:hint="default"/>
                <w:sz w:val="21"/>
                <w:szCs w:val="21"/>
              </w:rPr>
            </w:pPr>
            <w:r>
              <w:rPr>
                <w:rFonts w:ascii="宋体"/>
                <w:sz w:val="21"/>
              </w:rPr>
              <w:t>55.53%</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10.65%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-1.41%</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5.44%</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4" w:right="72"/>
              <w:jc w:val="left"/>
              <w:rPr>
                <w:rFonts w:ascii="宋体" w:hAnsi="宋体" w:cs="宋体" w:eastAsia="宋体" w:hint="default"/>
                <w:sz w:val="21"/>
                <w:szCs w:val="21"/>
              </w:rPr>
            </w:pPr>
            <w:r>
              <w:rPr>
                <w:rFonts w:ascii="宋体" w:hAnsi="宋体" w:cs="宋体" w:eastAsia="宋体" w:hint="default"/>
                <w:sz w:val="21"/>
                <w:szCs w:val="21"/>
              </w:rPr>
              <w:t>信号设备及器 材</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1"/>
              <w:jc w:val="right"/>
              <w:rPr>
                <w:rFonts w:ascii="宋体" w:hAnsi="宋体" w:cs="宋体" w:eastAsia="宋体" w:hint="default"/>
                <w:sz w:val="21"/>
                <w:szCs w:val="21"/>
              </w:rPr>
            </w:pPr>
            <w:r>
              <w:rPr>
                <w:rFonts w:ascii="宋体"/>
                <w:sz w:val="21"/>
              </w:rPr>
              <w:t>63,487,930.46</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0"/>
              <w:jc w:val="right"/>
              <w:rPr>
                <w:rFonts w:ascii="宋体" w:hAnsi="宋体" w:cs="宋体" w:eastAsia="宋体" w:hint="default"/>
                <w:sz w:val="21"/>
                <w:szCs w:val="21"/>
              </w:rPr>
            </w:pPr>
            <w:r>
              <w:rPr>
                <w:rFonts w:ascii="宋体"/>
                <w:sz w:val="21"/>
              </w:rPr>
              <w:t>33,841,916.34</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104" w:right="0"/>
              <w:jc w:val="left"/>
              <w:rPr>
                <w:rFonts w:ascii="宋体" w:hAnsi="宋体" w:cs="宋体" w:eastAsia="宋体" w:hint="default"/>
                <w:sz w:val="21"/>
                <w:szCs w:val="21"/>
              </w:rPr>
            </w:pPr>
            <w:r>
              <w:rPr>
                <w:rFonts w:ascii="宋体"/>
                <w:sz w:val="21"/>
              </w:rPr>
              <w:t>46.70%</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0"/>
              <w:jc w:val="right"/>
              <w:rPr>
                <w:rFonts w:ascii="宋体" w:hAnsi="宋体" w:cs="宋体" w:eastAsia="宋体" w:hint="default"/>
                <w:sz w:val="21"/>
                <w:szCs w:val="21"/>
              </w:rPr>
            </w:pPr>
            <w:r>
              <w:rPr>
                <w:rFonts w:ascii="宋体"/>
                <w:sz w:val="21"/>
              </w:rPr>
              <w:t>283.83%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0"/>
              <w:jc w:val="right"/>
              <w:rPr>
                <w:rFonts w:ascii="宋体" w:hAnsi="宋体" w:cs="宋体" w:eastAsia="宋体" w:hint="default"/>
                <w:sz w:val="21"/>
                <w:szCs w:val="21"/>
              </w:rPr>
            </w:pPr>
            <w:r>
              <w:rPr>
                <w:rFonts w:ascii="宋体"/>
                <w:sz w:val="21"/>
              </w:rPr>
              <w:t>246.38%</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0"/>
              <w:jc w:val="right"/>
              <w:rPr>
                <w:rFonts w:ascii="宋体" w:hAnsi="宋体" w:cs="宋体" w:eastAsia="宋体" w:hint="default"/>
                <w:sz w:val="21"/>
                <w:szCs w:val="21"/>
              </w:rPr>
            </w:pPr>
            <w:r>
              <w:rPr>
                <w:rFonts w:ascii="宋体"/>
                <w:sz w:val="21"/>
              </w:rPr>
              <w:t>5.77%</w:t>
            </w:r>
          </w:p>
        </w:tc>
      </w:tr>
      <w:tr>
        <w:trPr>
          <w:trHeight w:val="402" w:hRule="exact"/>
        </w:trPr>
        <w:tc>
          <w:tcPr>
            <w:tcW w:w="9499"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4" w:right="0"/>
              <w:jc w:val="left"/>
              <w:rPr>
                <w:rFonts w:ascii="宋体" w:hAnsi="宋体" w:cs="宋体" w:eastAsia="宋体" w:hint="default"/>
                <w:sz w:val="21"/>
                <w:szCs w:val="21"/>
              </w:rPr>
            </w:pPr>
            <w:r>
              <w:rPr>
                <w:rFonts w:ascii="宋体" w:hAnsi="宋体" w:cs="宋体" w:eastAsia="宋体" w:hint="default"/>
                <w:sz w:val="21"/>
                <w:szCs w:val="21"/>
              </w:rPr>
              <w:t>分地区</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4" w:right="0"/>
              <w:jc w:val="left"/>
              <w:rPr>
                <w:rFonts w:ascii="宋体" w:hAnsi="宋体" w:cs="宋体" w:eastAsia="宋体" w:hint="default"/>
                <w:sz w:val="21"/>
                <w:szCs w:val="21"/>
              </w:rPr>
            </w:pPr>
            <w:r>
              <w:rPr>
                <w:rFonts w:ascii="宋体" w:hAnsi="宋体" w:cs="宋体" w:eastAsia="宋体" w:hint="default"/>
                <w:sz w:val="21"/>
                <w:szCs w:val="21"/>
              </w:rPr>
              <w:t>华东区</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88,925,093.15</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37,176,322.37</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58.19%</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48.00%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29.96%</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5.80%</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4" w:right="0"/>
              <w:jc w:val="left"/>
              <w:rPr>
                <w:rFonts w:ascii="宋体" w:hAnsi="宋体" w:cs="宋体" w:eastAsia="宋体" w:hint="default"/>
                <w:sz w:val="21"/>
                <w:szCs w:val="21"/>
              </w:rPr>
            </w:pPr>
            <w:r>
              <w:rPr>
                <w:rFonts w:ascii="宋体" w:hAnsi="宋体" w:cs="宋体" w:eastAsia="宋体" w:hint="default"/>
                <w:sz w:val="21"/>
                <w:szCs w:val="21"/>
              </w:rPr>
              <w:t>南方</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192,138,391.15</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113,015,667.32</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41.18%</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pacing w:val="-1"/>
                <w:sz w:val="21"/>
              </w:rPr>
              <w:t>-27.04%</w:t>
            </w:r>
            <w:r>
              <w:rPr>
                <w:rFonts w:ascii="宋体"/>
                <w:sz w:val="21"/>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9"/>
              <w:jc w:val="right"/>
              <w:rPr>
                <w:rFonts w:ascii="宋体" w:hAnsi="宋体" w:cs="宋体" w:eastAsia="宋体" w:hint="default"/>
                <w:sz w:val="21"/>
                <w:szCs w:val="21"/>
              </w:rPr>
            </w:pPr>
            <w:r>
              <w:rPr>
                <w:rFonts w:ascii="宋体"/>
                <w:sz w:val="21"/>
              </w:rPr>
              <w:t>-21.66%</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-4.03%</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4" w:right="0"/>
              <w:jc w:val="left"/>
              <w:rPr>
                <w:rFonts w:ascii="宋体" w:hAnsi="宋体" w:cs="宋体" w:eastAsia="宋体" w:hint="default"/>
                <w:sz w:val="21"/>
                <w:szCs w:val="21"/>
              </w:rPr>
            </w:pPr>
            <w:r>
              <w:rPr>
                <w:rFonts w:ascii="宋体" w:hAnsi="宋体" w:cs="宋体" w:eastAsia="宋体" w:hint="default"/>
                <w:sz w:val="21"/>
                <w:szCs w:val="21"/>
              </w:rPr>
              <w:t>北方</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2"/>
              <w:jc w:val="right"/>
              <w:rPr>
                <w:rFonts w:ascii="宋体" w:hAnsi="宋体" w:cs="宋体" w:eastAsia="宋体" w:hint="default"/>
                <w:sz w:val="21"/>
                <w:szCs w:val="21"/>
              </w:rPr>
            </w:pPr>
            <w:r>
              <w:rPr>
                <w:rFonts w:ascii="宋体"/>
                <w:spacing w:val="-1"/>
                <w:sz w:val="21"/>
              </w:rPr>
              <w:t>189,689,667.36</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pacing w:val="-1"/>
                <w:sz w:val="21"/>
              </w:rPr>
              <w:t>88,244,997.70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53.48%</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26.47%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17.57%</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3.52%</w:t>
            </w:r>
          </w:p>
        </w:tc>
      </w:tr>
    </w:tbl>
    <w:p>
      <w:pPr>
        <w:spacing w:line="240" w:lineRule="auto" w:before="10"/>
        <w:rPr>
          <w:rFonts w:ascii="宋体" w:hAnsi="宋体" w:cs="宋体" w:eastAsia="宋体" w:hint="default"/>
          <w:sz w:val="4"/>
          <w:szCs w:val="4"/>
        </w:rPr>
      </w:pPr>
    </w:p>
    <w:p>
      <w:pPr>
        <w:pStyle w:val="BodyText"/>
        <w:spacing w:line="350" w:lineRule="auto" w:before="26"/>
        <w:ind w:right="1152" w:firstLine="480"/>
        <w:jc w:val="left"/>
      </w:pPr>
      <w:r>
        <w:rPr/>
        <w:t>公司主营业务数据统计口径在报告期发生调整的情况下，公司最近</w:t>
      </w:r>
      <w:r>
        <w:rPr>
          <w:spacing w:val="-59"/>
        </w:rPr>
        <w:t> </w:t>
      </w:r>
      <w:r>
        <w:rPr>
          <w:rFonts w:ascii="宋体" w:hAnsi="宋体" w:cs="宋体" w:eastAsia="宋体" w:hint="default"/>
        </w:rPr>
        <w:t>1</w:t>
      </w:r>
      <w:r>
        <w:rPr>
          <w:rFonts w:ascii="宋体" w:hAnsi="宋体" w:cs="宋体" w:eastAsia="宋体" w:hint="default"/>
          <w:spacing w:val="-60"/>
        </w:rPr>
        <w:t> </w:t>
      </w:r>
      <w:r>
        <w:rPr/>
        <w:t>年按报告期末口径 调整后的主营业务数据</w:t>
      </w:r>
    </w:p>
    <w:p>
      <w:pPr>
        <w:pStyle w:val="BodyText"/>
        <w:spacing w:line="240" w:lineRule="auto"/>
        <w:ind w:left="633" w:right="996"/>
        <w:jc w:val="left"/>
      </w:pPr>
      <w:r>
        <w:rPr/>
        <w:t>□ 适用 √ 不适用</w:t>
      </w:r>
    </w:p>
    <w:p>
      <w:pPr>
        <w:pStyle w:val="Heading2"/>
        <w:spacing w:line="240" w:lineRule="auto" w:before="145"/>
        <w:ind w:right="996"/>
        <w:jc w:val="left"/>
        <w:rPr>
          <w:b w:val="0"/>
          <w:bCs w:val="0"/>
        </w:rPr>
      </w:pPr>
      <w:bookmarkStart w:name="（3）公司实物销售收入是否大于劳务收入" w:id="33"/>
      <w:bookmarkEnd w:id="33"/>
      <w:r>
        <w:rPr>
          <w:b w:val="0"/>
          <w:bCs w:val="0"/>
        </w:rPr>
      </w:r>
      <w:r>
        <w:rPr/>
        <w:t>（</w:t>
      </w:r>
      <w:r>
        <w:rPr>
          <w:rFonts w:ascii="宋体" w:hAnsi="宋体" w:cs="宋体" w:eastAsia="宋体" w:hint="default"/>
        </w:rPr>
        <w:t>3</w:t>
      </w:r>
      <w:r>
        <w:rPr/>
        <w:t>）公司实物销售收入是否大于劳务收入</w:t>
      </w:r>
      <w:r>
        <w:rPr>
          <w:b w:val="0"/>
          <w:bCs w:val="0"/>
        </w:rPr>
      </w:r>
    </w:p>
    <w:p>
      <w:pPr>
        <w:pStyle w:val="BodyText"/>
        <w:spacing w:line="240" w:lineRule="auto" w:before="145"/>
        <w:ind w:left="633" w:right="996"/>
        <w:jc w:val="left"/>
      </w:pPr>
      <w:r>
        <w:rPr/>
        <w:t>√ 是 □ 否</w:t>
      </w:r>
    </w:p>
    <w:p>
      <w:pPr>
        <w:spacing w:before="84"/>
        <w:ind w:left="0" w:right="1130" w:firstLine="0"/>
        <w:jc w:val="right"/>
        <w:rPr>
          <w:rFonts w:ascii="宋体" w:hAnsi="宋体" w:cs="宋体" w:eastAsia="宋体" w:hint="default"/>
          <w:sz w:val="21"/>
          <w:szCs w:val="21"/>
        </w:rPr>
      </w:pPr>
      <w:r>
        <w:rPr>
          <w:rFonts w:ascii="宋体" w:hAnsi="宋体" w:cs="宋体" w:eastAsia="宋体" w:hint="default"/>
          <w:sz w:val="21"/>
          <w:szCs w:val="21"/>
        </w:rPr>
        <w:t>单位：元</w:t>
      </w:r>
    </w:p>
    <w:p>
      <w:pPr>
        <w:spacing w:line="240" w:lineRule="auto" w:before="12"/>
        <w:rPr>
          <w:rFonts w:ascii="宋体" w:hAnsi="宋体" w:cs="宋体" w:eastAsia="宋体" w:hint="default"/>
          <w:sz w:val="6"/>
          <w:szCs w:val="6"/>
        </w:rPr>
      </w:pPr>
    </w:p>
    <w:tbl>
      <w:tblPr>
        <w:tblW w:w="0" w:type="auto"/>
        <w:jc w:val="left"/>
        <w:tblInd w:w="432" w:type="dxa"/>
        <w:tblLayout w:type="fixed"/>
        <w:tblCellMar>
          <w:top w:w="0" w:type="dxa"/>
          <w:left w:w="0" w:type="dxa"/>
          <w:bottom w:w="0" w:type="dxa"/>
          <w:right w:w="0" w:type="dxa"/>
        </w:tblCellMar>
        <w:tblLook w:val="01E0"/>
      </w:tblPr>
      <w:tblGrid>
        <w:gridCol w:w="1608"/>
        <w:gridCol w:w="1582"/>
        <w:gridCol w:w="2198"/>
        <w:gridCol w:w="1984"/>
        <w:gridCol w:w="1702"/>
      </w:tblGrid>
      <w:tr>
        <w:trPr>
          <w:trHeight w:val="402" w:hRule="exact"/>
        </w:trPr>
        <w:tc>
          <w:tcPr>
            <w:tcW w:w="16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372" w:right="0"/>
              <w:jc w:val="left"/>
              <w:rPr>
                <w:rFonts w:ascii="宋体" w:hAnsi="宋体" w:cs="宋体" w:eastAsia="宋体" w:hint="default"/>
                <w:sz w:val="21"/>
                <w:szCs w:val="21"/>
              </w:rPr>
            </w:pPr>
            <w:r>
              <w:rPr>
                <w:rFonts w:ascii="宋体" w:hAnsi="宋体" w:cs="宋体" w:eastAsia="宋体" w:hint="default"/>
                <w:sz w:val="21"/>
                <w:szCs w:val="21"/>
              </w:rPr>
              <w:t>行业分类</w:t>
            </w:r>
          </w:p>
        </w:tc>
        <w:tc>
          <w:tcPr>
            <w:tcW w:w="1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right="9"/>
              <w:jc w:val="center"/>
              <w:rPr>
                <w:rFonts w:ascii="宋体" w:hAnsi="宋体" w:cs="宋体" w:eastAsia="宋体" w:hint="default"/>
                <w:sz w:val="21"/>
                <w:szCs w:val="21"/>
              </w:rPr>
            </w:pPr>
            <w:r>
              <w:rPr>
                <w:rFonts w:ascii="宋体" w:hAnsi="宋体" w:cs="宋体" w:eastAsia="宋体" w:hint="default"/>
                <w:sz w:val="21"/>
                <w:szCs w:val="21"/>
              </w:rPr>
              <w:t>项目</w:t>
            </w:r>
          </w:p>
        </w:tc>
        <w:tc>
          <w:tcPr>
            <w:tcW w:w="2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right="0"/>
              <w:jc w:val="center"/>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1"/>
                <w:sz w:val="21"/>
                <w:szCs w:val="21"/>
              </w:rPr>
              <w:t> </w:t>
            </w:r>
            <w:r>
              <w:rPr>
                <w:rFonts w:ascii="宋体" w:hAnsi="宋体" w:cs="宋体" w:eastAsia="宋体" w:hint="default"/>
                <w:sz w:val="21"/>
                <w:szCs w:val="21"/>
              </w:rPr>
              <w:t>年</w:t>
            </w:r>
          </w:p>
        </w:tc>
        <w:tc>
          <w:tcPr>
            <w:tcW w:w="1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645"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1"/>
                <w:sz w:val="21"/>
                <w:szCs w:val="21"/>
              </w:rPr>
              <w:t> </w:t>
            </w:r>
            <w:r>
              <w:rPr>
                <w:rFonts w:ascii="宋体" w:hAnsi="宋体" w:cs="宋体" w:eastAsia="宋体" w:hint="default"/>
                <w:sz w:val="21"/>
                <w:szCs w:val="21"/>
              </w:rPr>
              <w:t>年</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426" w:right="0"/>
              <w:jc w:val="left"/>
              <w:rPr>
                <w:rFonts w:ascii="宋体" w:hAnsi="宋体" w:cs="宋体" w:eastAsia="宋体" w:hint="default"/>
                <w:sz w:val="21"/>
                <w:szCs w:val="21"/>
              </w:rPr>
            </w:pPr>
            <w:r>
              <w:rPr>
                <w:rFonts w:ascii="宋体" w:hAnsi="宋体" w:cs="宋体" w:eastAsia="宋体" w:hint="default"/>
                <w:sz w:val="21"/>
                <w:szCs w:val="21"/>
              </w:rPr>
              <w:t>同比增减</w:t>
            </w:r>
          </w:p>
        </w:tc>
      </w:tr>
      <w:tr>
        <w:trPr>
          <w:trHeight w:val="402" w:hRule="exact"/>
        </w:trPr>
        <w:tc>
          <w:tcPr>
            <w:tcW w:w="1608"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国家铁路</w:t>
            </w:r>
          </w:p>
        </w:tc>
        <w:tc>
          <w:tcPr>
            <w:tcW w:w="1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11" w:right="0"/>
              <w:jc w:val="left"/>
              <w:rPr>
                <w:rFonts w:ascii="宋体" w:hAnsi="宋体" w:cs="宋体" w:eastAsia="宋体" w:hint="default"/>
                <w:sz w:val="21"/>
                <w:szCs w:val="21"/>
              </w:rPr>
            </w:pPr>
            <w:r>
              <w:rPr>
                <w:rFonts w:ascii="宋体" w:hAnsi="宋体" w:cs="宋体" w:eastAsia="宋体" w:hint="default"/>
                <w:sz w:val="21"/>
                <w:szCs w:val="21"/>
              </w:rPr>
              <w:t>销售量</w:t>
            </w:r>
          </w:p>
        </w:tc>
        <w:tc>
          <w:tcPr>
            <w:tcW w:w="21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7"/>
              <w:ind w:right="20"/>
              <w:jc w:val="right"/>
              <w:rPr>
                <w:rFonts w:ascii="宋体" w:hAnsi="宋体" w:cs="宋体" w:eastAsia="宋体" w:hint="default"/>
                <w:sz w:val="21"/>
                <w:szCs w:val="21"/>
              </w:rPr>
            </w:pPr>
            <w:r>
              <w:rPr>
                <w:rFonts w:ascii="宋体"/>
                <w:sz w:val="21"/>
              </w:rPr>
              <w:t>359,520,434.62</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1"/>
              <w:jc w:val="right"/>
              <w:rPr>
                <w:rFonts w:ascii="宋体" w:hAnsi="宋体" w:cs="宋体" w:eastAsia="宋体" w:hint="default"/>
                <w:sz w:val="21"/>
                <w:szCs w:val="21"/>
              </w:rPr>
            </w:pPr>
            <w:r>
              <w:rPr>
                <w:rFonts w:ascii="宋体"/>
                <w:sz w:val="21"/>
              </w:rPr>
              <w:t>361,845,587.49</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0"/>
              <w:jc w:val="right"/>
              <w:rPr>
                <w:rFonts w:ascii="宋体" w:hAnsi="宋体" w:cs="宋体" w:eastAsia="宋体" w:hint="default"/>
                <w:sz w:val="21"/>
                <w:szCs w:val="21"/>
              </w:rPr>
            </w:pPr>
            <w:r>
              <w:rPr>
                <w:rFonts w:ascii="宋体"/>
                <w:sz w:val="21"/>
              </w:rPr>
              <w:t>-0.64%</w:t>
            </w:r>
          </w:p>
        </w:tc>
      </w:tr>
      <w:tr>
        <w:trPr>
          <w:trHeight w:val="162" w:hRule="exact"/>
        </w:trPr>
        <w:tc>
          <w:tcPr>
            <w:tcW w:w="1608" w:type="dxa"/>
            <w:vMerge w:val="restart"/>
            <w:tcBorders>
              <w:top w:val="single" w:sz="4" w:space="0" w:color="000000"/>
              <w:left w:val="single" w:sz="4" w:space="0" w:color="000000"/>
              <w:right w:val="single" w:sz="9" w:space="0" w:color="D2D2D2"/>
            </w:tcBorders>
          </w:tcPr>
          <w:p>
            <w:pPr>
              <w:pStyle w:val="TableParagraph"/>
              <w:spacing w:line="273" w:lineRule="auto" w:before="27"/>
              <w:ind w:left="22" w:right="96"/>
              <w:jc w:val="left"/>
              <w:rPr>
                <w:rFonts w:ascii="宋体" w:hAnsi="宋体" w:cs="宋体" w:eastAsia="宋体" w:hint="default"/>
                <w:sz w:val="21"/>
                <w:szCs w:val="21"/>
              </w:rPr>
            </w:pPr>
            <w:r>
              <w:rPr>
                <w:rFonts w:ascii="宋体" w:hAnsi="宋体" w:cs="宋体" w:eastAsia="宋体" w:hint="default"/>
                <w:sz w:val="21"/>
                <w:szCs w:val="21"/>
              </w:rPr>
              <w:t>厂矿企业及地方 铁路</w:t>
            </w:r>
          </w:p>
        </w:tc>
        <w:tc>
          <w:tcPr>
            <w:tcW w:w="1582" w:type="dxa"/>
            <w:tcBorders>
              <w:top w:val="single" w:sz="4" w:space="0" w:color="000000"/>
              <w:left w:val="single" w:sz="4" w:space="0" w:color="000000"/>
              <w:bottom w:val="nil" w:sz="6" w:space="0" w:color="auto"/>
              <w:right w:val="single" w:sz="4" w:space="0" w:color="000000"/>
            </w:tcBorders>
            <w:shd w:val="clear" w:color="auto" w:fill="D2D2D2"/>
          </w:tcPr>
          <w:p>
            <w:pPr/>
          </w:p>
        </w:tc>
        <w:tc>
          <w:tcPr>
            <w:tcW w:w="2198" w:type="dxa"/>
            <w:vMerge w:val="restart"/>
            <w:tcBorders>
              <w:top w:val="single" w:sz="4" w:space="0" w:color="000000"/>
              <w:left w:val="single" w:sz="9" w:space="0" w:color="D2D2D2"/>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792" w:right="0"/>
              <w:jc w:val="left"/>
              <w:rPr>
                <w:rFonts w:ascii="宋体" w:hAnsi="宋体" w:cs="宋体" w:eastAsia="宋体" w:hint="default"/>
                <w:sz w:val="21"/>
                <w:szCs w:val="21"/>
              </w:rPr>
            </w:pPr>
            <w:r>
              <w:rPr>
                <w:rFonts w:ascii="宋体"/>
                <w:sz w:val="21"/>
              </w:rPr>
              <w:t>31,580,948.54</w:t>
            </w:r>
          </w:p>
        </w:tc>
        <w:tc>
          <w:tcPr>
            <w:tcW w:w="1984"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692" w:right="0"/>
              <w:jc w:val="left"/>
              <w:rPr>
                <w:rFonts w:ascii="宋体" w:hAnsi="宋体" w:cs="宋体" w:eastAsia="宋体" w:hint="default"/>
                <w:sz w:val="21"/>
                <w:szCs w:val="21"/>
              </w:rPr>
            </w:pPr>
            <w:r>
              <w:rPr>
                <w:rFonts w:ascii="宋体"/>
                <w:sz w:val="21"/>
              </w:rPr>
              <w:t>8,846,675.22</w:t>
            </w:r>
          </w:p>
        </w:tc>
        <w:tc>
          <w:tcPr>
            <w:tcW w:w="170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934" w:right="0"/>
              <w:jc w:val="left"/>
              <w:rPr>
                <w:rFonts w:ascii="宋体" w:hAnsi="宋体" w:cs="宋体" w:eastAsia="宋体" w:hint="default"/>
                <w:sz w:val="21"/>
                <w:szCs w:val="21"/>
              </w:rPr>
            </w:pPr>
            <w:r>
              <w:rPr>
                <w:rFonts w:ascii="宋体"/>
                <w:sz w:val="21"/>
              </w:rPr>
              <w:t>256.98%</w:t>
            </w:r>
          </w:p>
        </w:tc>
      </w:tr>
      <w:tr>
        <w:trPr>
          <w:trHeight w:val="391" w:hRule="exact"/>
        </w:trPr>
        <w:tc>
          <w:tcPr>
            <w:tcW w:w="1608" w:type="dxa"/>
            <w:vMerge/>
            <w:tcBorders>
              <w:left w:val="single" w:sz="4" w:space="0" w:color="000000"/>
              <w:right w:val="single" w:sz="9" w:space="0" w:color="D2D2D2"/>
            </w:tcBorders>
          </w:tcPr>
          <w:p>
            <w:pPr/>
          </w:p>
        </w:tc>
        <w:tc>
          <w:tcPr>
            <w:tcW w:w="158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销售量</w:t>
            </w:r>
          </w:p>
        </w:tc>
        <w:tc>
          <w:tcPr>
            <w:tcW w:w="2198" w:type="dxa"/>
            <w:vMerge/>
            <w:tcBorders>
              <w:left w:val="single" w:sz="9" w:space="0" w:color="D2D2D2"/>
              <w:right w:val="single" w:sz="4" w:space="0" w:color="000000"/>
            </w:tcBorders>
          </w:tcPr>
          <w:p>
            <w:pPr/>
          </w:p>
        </w:tc>
        <w:tc>
          <w:tcPr>
            <w:tcW w:w="1984"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r>
      <w:tr>
        <w:trPr>
          <w:trHeight w:val="161" w:hRule="exact"/>
        </w:trPr>
        <w:tc>
          <w:tcPr>
            <w:tcW w:w="1608" w:type="dxa"/>
            <w:vMerge/>
            <w:tcBorders>
              <w:left w:val="single" w:sz="4" w:space="0" w:color="000000"/>
              <w:bottom w:val="single" w:sz="4" w:space="0" w:color="000000"/>
              <w:right w:val="single" w:sz="9" w:space="0" w:color="D2D2D2"/>
            </w:tcBorders>
          </w:tcPr>
          <w:p>
            <w:pPr/>
          </w:p>
        </w:tc>
        <w:tc>
          <w:tcPr>
            <w:tcW w:w="1582" w:type="dxa"/>
            <w:tcBorders>
              <w:top w:val="nil" w:sz="6" w:space="0" w:color="auto"/>
              <w:left w:val="single" w:sz="4" w:space="0" w:color="000000"/>
              <w:bottom w:val="single" w:sz="4" w:space="0" w:color="000000"/>
              <w:right w:val="single" w:sz="4" w:space="0" w:color="000000"/>
            </w:tcBorders>
            <w:shd w:val="clear" w:color="auto" w:fill="D2D2D2"/>
          </w:tcPr>
          <w:p>
            <w:pPr/>
          </w:p>
        </w:tc>
        <w:tc>
          <w:tcPr>
            <w:tcW w:w="2198" w:type="dxa"/>
            <w:vMerge/>
            <w:tcBorders>
              <w:left w:val="single" w:sz="9" w:space="0" w:color="D2D2D2"/>
              <w:bottom w:val="single" w:sz="4" w:space="0" w:color="000000"/>
              <w:right w:val="single" w:sz="4" w:space="0" w:color="000000"/>
            </w:tcBorders>
          </w:tcPr>
          <w:p>
            <w:pPr/>
          </w:p>
        </w:tc>
        <w:tc>
          <w:tcPr>
            <w:tcW w:w="1984" w:type="dxa"/>
            <w:vMerge/>
            <w:tcBorders>
              <w:left w:val="single" w:sz="4" w:space="0" w:color="000000"/>
              <w:bottom w:val="single" w:sz="4" w:space="0" w:color="000000"/>
              <w:right w:val="single" w:sz="4" w:space="0" w:color="000000"/>
            </w:tcBorders>
          </w:tcPr>
          <w:p>
            <w:pPr/>
          </w:p>
        </w:tc>
        <w:tc>
          <w:tcPr>
            <w:tcW w:w="1702" w:type="dxa"/>
            <w:vMerge/>
            <w:tcBorders>
              <w:left w:val="single" w:sz="4" w:space="0" w:color="000000"/>
              <w:bottom w:val="single" w:sz="4" w:space="0" w:color="000000"/>
              <w:right w:val="single" w:sz="4" w:space="0" w:color="000000"/>
            </w:tcBorders>
          </w:tcPr>
          <w:p>
            <w:pPr/>
          </w:p>
        </w:tc>
      </w:tr>
      <w:tr>
        <w:trPr>
          <w:trHeight w:val="403" w:hRule="exact"/>
        </w:trPr>
        <w:tc>
          <w:tcPr>
            <w:tcW w:w="1608"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城市轨道交通</w:t>
            </w:r>
          </w:p>
        </w:tc>
        <w:tc>
          <w:tcPr>
            <w:tcW w:w="1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11" w:right="0"/>
              <w:jc w:val="left"/>
              <w:rPr>
                <w:rFonts w:ascii="宋体" w:hAnsi="宋体" w:cs="宋体" w:eastAsia="宋体" w:hint="default"/>
                <w:sz w:val="21"/>
                <w:szCs w:val="21"/>
              </w:rPr>
            </w:pPr>
            <w:r>
              <w:rPr>
                <w:rFonts w:ascii="宋体" w:hAnsi="宋体" w:cs="宋体" w:eastAsia="宋体" w:hint="default"/>
                <w:sz w:val="21"/>
                <w:szCs w:val="21"/>
              </w:rPr>
              <w:t>销售量</w:t>
            </w:r>
          </w:p>
        </w:tc>
        <w:tc>
          <w:tcPr>
            <w:tcW w:w="21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7"/>
              <w:ind w:right="21"/>
              <w:jc w:val="right"/>
              <w:rPr>
                <w:rFonts w:ascii="宋体" w:hAnsi="宋体" w:cs="宋体" w:eastAsia="宋体" w:hint="default"/>
                <w:sz w:val="21"/>
                <w:szCs w:val="21"/>
              </w:rPr>
            </w:pPr>
            <w:r>
              <w:rPr>
                <w:rFonts w:ascii="宋体"/>
                <w:sz w:val="21"/>
              </w:rPr>
              <w:t>70,318,081.12</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0"/>
              <w:jc w:val="right"/>
              <w:rPr>
                <w:rFonts w:ascii="宋体" w:hAnsi="宋体" w:cs="宋体" w:eastAsia="宋体" w:hint="default"/>
                <w:sz w:val="21"/>
                <w:szCs w:val="21"/>
              </w:rPr>
            </w:pPr>
            <w:r>
              <w:rPr>
                <w:rFonts w:ascii="宋体"/>
                <w:sz w:val="21"/>
              </w:rPr>
              <w:t>97,517,376.53</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9"/>
              <w:jc w:val="right"/>
              <w:rPr>
                <w:rFonts w:ascii="宋体" w:hAnsi="宋体" w:cs="宋体" w:eastAsia="宋体" w:hint="default"/>
                <w:sz w:val="21"/>
                <w:szCs w:val="21"/>
              </w:rPr>
            </w:pPr>
            <w:r>
              <w:rPr>
                <w:rFonts w:ascii="宋体"/>
                <w:sz w:val="21"/>
              </w:rPr>
              <w:t>-27.89%</w:t>
            </w:r>
          </w:p>
        </w:tc>
      </w:tr>
    </w:tbl>
    <w:p>
      <w:pPr>
        <w:spacing w:line="240" w:lineRule="auto" w:before="10"/>
        <w:rPr>
          <w:rFonts w:ascii="宋体" w:hAnsi="宋体" w:cs="宋体" w:eastAsia="宋体" w:hint="default"/>
          <w:sz w:val="4"/>
          <w:szCs w:val="4"/>
        </w:rPr>
      </w:pPr>
    </w:p>
    <w:p>
      <w:pPr>
        <w:pStyle w:val="BodyText"/>
        <w:spacing w:line="350" w:lineRule="auto" w:before="26"/>
        <w:ind w:left="634" w:right="1212"/>
        <w:jc w:val="left"/>
      </w:pPr>
      <w:r>
        <w:rPr/>
        <w:t>相关数据同比发生变动</w:t>
      </w:r>
      <w:r>
        <w:rPr>
          <w:spacing w:val="-60"/>
        </w:rPr>
        <w:t> </w:t>
      </w:r>
      <w:r>
        <w:rPr>
          <w:rFonts w:ascii="宋体" w:hAnsi="宋体" w:cs="宋体" w:eastAsia="宋体" w:hint="default"/>
        </w:rPr>
        <w:t>30%</w:t>
      </w:r>
      <w:r>
        <w:rPr/>
        <w:t>以上的原因说明 报告期内公司厂矿企业及地方铁路销售收入比上年同期增加</w:t>
      </w:r>
      <w:r>
        <w:rPr>
          <w:spacing w:val="-60"/>
        </w:rPr>
        <w:t> </w:t>
      </w:r>
      <w:r>
        <w:rPr>
          <w:rFonts w:ascii="宋体" w:hAnsi="宋体" w:cs="宋体" w:eastAsia="宋体" w:hint="default"/>
        </w:rPr>
        <w:t>256.98%</w:t>
      </w:r>
      <w:r>
        <w:rPr/>
        <w:t>，主要原因系合并</w:t>
      </w:r>
    </w:p>
    <w:p>
      <w:pPr>
        <w:pStyle w:val="BodyText"/>
        <w:spacing w:line="240" w:lineRule="auto" w:before="35"/>
        <w:ind w:right="996"/>
        <w:jc w:val="left"/>
      </w:pPr>
      <w:r>
        <w:rPr/>
        <w:t>成都西南交大驱动技术有限责任公司销售收入所致。</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Heading2"/>
        <w:spacing w:line="240" w:lineRule="auto" w:before="199"/>
        <w:ind w:right="996"/>
        <w:jc w:val="left"/>
        <w:rPr>
          <w:b w:val="0"/>
          <w:bCs w:val="0"/>
        </w:rPr>
      </w:pPr>
      <w:bookmarkStart w:name="（4）公司已签订的重大销售合同截至本报告期的履行情况" w:id="34"/>
      <w:bookmarkEnd w:id="34"/>
      <w:r>
        <w:rPr>
          <w:b w:val="0"/>
          <w:bCs w:val="0"/>
        </w:rPr>
      </w:r>
      <w:r>
        <w:rPr/>
        <w:t>（</w:t>
      </w:r>
      <w:r>
        <w:rPr>
          <w:rFonts w:ascii="宋体" w:hAnsi="宋体" w:cs="宋体" w:eastAsia="宋体" w:hint="default"/>
        </w:rPr>
        <w:t>4</w:t>
      </w:r>
      <w:r>
        <w:rPr/>
        <w:t>）公司已签订的重大销售合同截至本报告期的履行情况</w:t>
      </w:r>
      <w:r>
        <w:rPr>
          <w:b w:val="0"/>
          <w:bCs w:val="0"/>
        </w:rPr>
      </w:r>
    </w:p>
    <w:p>
      <w:pPr>
        <w:pStyle w:val="BodyText"/>
        <w:spacing w:line="352" w:lineRule="auto" w:before="145"/>
        <w:ind w:right="998" w:firstLine="480"/>
        <w:jc w:val="left"/>
      </w:pPr>
      <w:bookmarkStart w:name="①2014年3月，辉煌科技、南京南瑞集团公司与郑州市轨道交通有限公司签订了关于郑" w:id="35"/>
      <w:bookmarkEnd w:id="35"/>
      <w:r>
        <w:rPr/>
      </w:r>
      <w:r>
        <w:rPr/>
        <w:t>①</w:t>
      </w:r>
      <w:r>
        <w:rPr>
          <w:rFonts w:ascii="宋体" w:hAnsi="宋体" w:cs="宋体" w:eastAsia="宋体" w:hint="default"/>
        </w:rPr>
        <w:t>2014</w:t>
      </w:r>
      <w:r>
        <w:rPr>
          <w:rFonts w:ascii="宋体" w:hAnsi="宋体" w:cs="宋体" w:eastAsia="宋体" w:hint="default"/>
          <w:spacing w:val="-65"/>
        </w:rPr>
        <w:t> </w:t>
      </w:r>
      <w:r>
        <w:rPr/>
        <w:t>年</w:t>
      </w:r>
      <w:r>
        <w:rPr>
          <w:spacing w:val="-65"/>
        </w:rPr>
        <w:t> </w:t>
      </w:r>
      <w:r>
        <w:rPr>
          <w:rFonts w:ascii="宋体" w:hAnsi="宋体" w:cs="宋体" w:eastAsia="宋体" w:hint="default"/>
        </w:rPr>
        <w:t>3</w:t>
      </w:r>
      <w:r>
        <w:rPr>
          <w:rFonts w:ascii="宋体" w:hAnsi="宋体" w:cs="宋体" w:eastAsia="宋体" w:hint="default"/>
          <w:spacing w:val="-65"/>
        </w:rPr>
        <w:t> </w:t>
      </w:r>
      <w:r>
        <w:rPr/>
        <w:t>月，辉煌科技、南京南瑞集团公司与郑州市轨道交通有限公司签订了关于郑 州市轨道交通</w:t>
      </w:r>
      <w:r>
        <w:rPr>
          <w:spacing w:val="-77"/>
        </w:rPr>
        <w:t> </w:t>
      </w:r>
      <w:r>
        <w:rPr>
          <w:rFonts w:ascii="宋体" w:hAnsi="宋体" w:cs="宋体" w:eastAsia="宋体" w:hint="default"/>
        </w:rPr>
        <w:t>2</w:t>
      </w:r>
      <w:r>
        <w:rPr>
          <w:rFonts w:ascii="宋体" w:hAnsi="宋体" w:cs="宋体" w:eastAsia="宋体" w:hint="default"/>
          <w:spacing w:val="-78"/>
        </w:rPr>
        <w:t> </w:t>
      </w:r>
      <w:r>
        <w:rPr>
          <w:spacing w:val="-5"/>
        </w:rPr>
        <w:t>号线一期工程综合监控系统集成项目的销售合同，合同金额为</w:t>
      </w:r>
      <w:r>
        <w:rPr>
          <w:spacing w:val="-77"/>
        </w:rPr>
        <w:t> </w:t>
      </w:r>
      <w:r>
        <w:rPr>
          <w:rFonts w:ascii="宋体" w:hAnsi="宋体" w:cs="宋体" w:eastAsia="宋体" w:hint="default"/>
        </w:rPr>
        <w:t>8,790.77</w:t>
      </w:r>
      <w:r>
        <w:rPr>
          <w:rFonts w:ascii="宋体" w:hAnsi="宋体" w:cs="宋体" w:eastAsia="宋体" w:hint="default"/>
          <w:spacing w:val="-78"/>
        </w:rPr>
        <w:t> </w:t>
      </w:r>
      <w:r>
        <w:rPr/>
        <w:t>万元。 截至本报告期末，该合同已执行完毕。</w:t>
      </w:r>
    </w:p>
    <w:p>
      <w:pPr>
        <w:pStyle w:val="BodyText"/>
        <w:spacing w:line="240" w:lineRule="auto" w:before="32"/>
        <w:ind w:left="633" w:right="996"/>
        <w:jc w:val="left"/>
      </w:pPr>
      <w:bookmarkStart w:name="②2017年11月，公司与郑州市轨道交通有限公司签订了郑州市轨道交通5号线工程综" w:id="36"/>
      <w:bookmarkEnd w:id="36"/>
      <w:r>
        <w:rPr/>
      </w:r>
      <w:r>
        <w:rPr/>
        <w:t>②</w:t>
      </w:r>
      <w:r>
        <w:rPr>
          <w:rFonts w:ascii="宋体" w:hAnsi="宋体" w:cs="宋体" w:eastAsia="宋体" w:hint="default"/>
        </w:rPr>
        <w:t>2017</w:t>
      </w:r>
      <w:r>
        <w:rPr>
          <w:rFonts w:ascii="宋体" w:hAnsi="宋体" w:cs="宋体" w:eastAsia="宋体" w:hint="default"/>
          <w:spacing w:val="-41"/>
        </w:rPr>
        <w:t> </w:t>
      </w:r>
      <w:r>
        <w:rPr/>
        <w:t>年</w:t>
      </w:r>
      <w:r>
        <w:rPr>
          <w:spacing w:val="-40"/>
        </w:rPr>
        <w:t> </w:t>
      </w:r>
      <w:r>
        <w:rPr>
          <w:rFonts w:ascii="宋体" w:hAnsi="宋体" w:cs="宋体" w:eastAsia="宋体" w:hint="default"/>
        </w:rPr>
        <w:t>11</w:t>
      </w:r>
      <w:r>
        <w:rPr>
          <w:rFonts w:ascii="宋体" w:hAnsi="宋体" w:cs="宋体" w:eastAsia="宋体" w:hint="default"/>
          <w:spacing w:val="-41"/>
        </w:rPr>
        <w:t> </w:t>
      </w:r>
      <w:r>
        <w:rPr/>
        <w:t>月，公司与郑州市轨道交通有限公司签订了郑州市轨道交通</w:t>
      </w:r>
      <w:r>
        <w:rPr>
          <w:spacing w:val="-40"/>
        </w:rPr>
        <w:t> </w:t>
      </w:r>
      <w:r>
        <w:rPr>
          <w:rFonts w:ascii="宋体" w:hAnsi="宋体" w:cs="宋体" w:eastAsia="宋体" w:hint="default"/>
        </w:rPr>
        <w:t>5</w:t>
      </w:r>
      <w:r>
        <w:rPr>
          <w:rFonts w:ascii="宋体" w:hAnsi="宋体" w:cs="宋体" w:eastAsia="宋体" w:hint="default"/>
          <w:spacing w:val="-40"/>
        </w:rPr>
        <w:t> </w:t>
      </w:r>
      <w:r>
        <w:rPr/>
        <w:t>号线工程综</w:t>
      </w:r>
    </w:p>
    <w:p>
      <w:pPr>
        <w:pStyle w:val="BodyText"/>
        <w:spacing w:line="350" w:lineRule="auto" w:before="146"/>
        <w:ind w:right="997"/>
        <w:jc w:val="left"/>
      </w:pPr>
      <w:r>
        <w:rPr>
          <w:spacing w:val="-6"/>
        </w:rPr>
        <w:t>合监控系统集成项目的销售合同，合同金额为</w:t>
      </w:r>
      <w:r>
        <w:rPr/>
        <w:t> </w:t>
      </w:r>
      <w:r>
        <w:rPr>
          <w:rFonts w:ascii="宋体" w:hAnsi="宋体" w:cs="宋体" w:eastAsia="宋体" w:hint="default"/>
        </w:rPr>
        <w:t>156,660,228.00</w:t>
      </w:r>
      <w:r>
        <w:rPr>
          <w:rFonts w:ascii="宋体" w:hAnsi="宋体" w:cs="宋体" w:eastAsia="宋体" w:hint="default"/>
          <w:spacing w:val="-92"/>
        </w:rPr>
        <w:t> </w:t>
      </w:r>
      <w:r>
        <w:rPr>
          <w:spacing w:val="-8"/>
        </w:rPr>
        <w:t>元。现该合同执行正在执行中，</w:t>
      </w:r>
      <w:r>
        <w:rPr/>
        <w:t> 截至本报告期末，该合同暂未确认收入。</w:t>
      </w:r>
    </w:p>
    <w:p>
      <w:pPr>
        <w:pStyle w:val="BodyText"/>
        <w:spacing w:line="240" w:lineRule="auto" w:before="35"/>
        <w:ind w:left="633" w:right="996"/>
        <w:jc w:val="left"/>
      </w:pPr>
      <w:bookmarkStart w:name="③2017年12月，公司与郑州市轨道交通有限公司签订了郑州市轨道交通2号线二期工" w:id="37"/>
      <w:bookmarkEnd w:id="37"/>
      <w:r>
        <w:rPr/>
      </w:r>
      <w:r>
        <w:rPr/>
        <w:t>③</w:t>
      </w:r>
      <w:r>
        <w:rPr>
          <w:rFonts w:ascii="宋体" w:hAnsi="宋体" w:cs="宋体" w:eastAsia="宋体" w:hint="default"/>
        </w:rPr>
        <w:t>2017</w:t>
      </w:r>
      <w:r>
        <w:rPr>
          <w:rFonts w:ascii="宋体" w:hAnsi="宋体" w:cs="宋体" w:eastAsia="宋体" w:hint="default"/>
          <w:spacing w:val="-41"/>
        </w:rPr>
        <w:t> </w:t>
      </w:r>
      <w:r>
        <w:rPr/>
        <w:t>年</w:t>
      </w:r>
      <w:r>
        <w:rPr>
          <w:spacing w:val="-40"/>
        </w:rPr>
        <w:t> </w:t>
      </w:r>
      <w:r>
        <w:rPr>
          <w:rFonts w:ascii="宋体" w:hAnsi="宋体" w:cs="宋体" w:eastAsia="宋体" w:hint="default"/>
        </w:rPr>
        <w:t>12</w:t>
      </w:r>
      <w:r>
        <w:rPr>
          <w:rFonts w:ascii="宋体" w:hAnsi="宋体" w:cs="宋体" w:eastAsia="宋体" w:hint="default"/>
          <w:spacing w:val="-41"/>
        </w:rPr>
        <w:t> </w:t>
      </w:r>
      <w:r>
        <w:rPr/>
        <w:t>月，公司与郑州市轨道交通有限公司签订了郑州市轨道交通</w:t>
      </w:r>
      <w:r>
        <w:rPr>
          <w:spacing w:val="-40"/>
        </w:rPr>
        <w:t> </w:t>
      </w:r>
      <w:r>
        <w:rPr>
          <w:rFonts w:ascii="宋体" w:hAnsi="宋体" w:cs="宋体" w:eastAsia="宋体" w:hint="default"/>
        </w:rPr>
        <w:t>2</w:t>
      </w:r>
      <w:r>
        <w:rPr>
          <w:rFonts w:ascii="宋体" w:hAnsi="宋体" w:cs="宋体" w:eastAsia="宋体" w:hint="default"/>
          <w:spacing w:val="-40"/>
        </w:rPr>
        <w:t> </w:t>
      </w:r>
      <w:r>
        <w:rPr/>
        <w:t>号线二期工</w:t>
      </w:r>
    </w:p>
    <w:p>
      <w:pPr>
        <w:pStyle w:val="BodyText"/>
        <w:spacing w:line="350" w:lineRule="auto" w:before="146"/>
        <w:ind w:right="1115"/>
        <w:jc w:val="left"/>
      </w:pPr>
      <w:r>
        <w:rPr/>
        <w:t>程综合监控系统集成项目的销售合同，合同金额为 </w:t>
      </w:r>
      <w:r>
        <w:rPr>
          <w:rFonts w:ascii="宋体" w:hAnsi="宋体" w:cs="宋体" w:eastAsia="宋体" w:hint="default"/>
        </w:rPr>
        <w:t>32,875,875.00</w:t>
      </w:r>
      <w:r>
        <w:rPr>
          <w:rFonts w:ascii="宋体" w:hAnsi="宋体" w:cs="宋体" w:eastAsia="宋体" w:hint="default"/>
          <w:spacing w:val="-82"/>
        </w:rPr>
        <w:t> </w:t>
      </w:r>
      <w:r>
        <w:rPr/>
        <w:t>元。现该合同执行正在执 行中，截至本报告期末，该合同暂未确认收入。</w:t>
      </w:r>
    </w:p>
    <w:p>
      <w:pPr>
        <w:pStyle w:val="Heading2"/>
        <w:spacing w:line="240" w:lineRule="auto" w:before="208"/>
        <w:ind w:left="153" w:right="996"/>
        <w:jc w:val="left"/>
        <w:rPr>
          <w:b w:val="0"/>
          <w:bCs w:val="0"/>
        </w:rPr>
      </w:pPr>
      <w:bookmarkStart w:name="（5）营业成本构成" w:id="38"/>
      <w:bookmarkEnd w:id="38"/>
      <w:r>
        <w:rPr>
          <w:b w:val="0"/>
          <w:bCs w:val="0"/>
        </w:rPr>
      </w:r>
      <w:r>
        <w:rPr/>
        <w:t>（</w:t>
      </w:r>
      <w:r>
        <w:rPr>
          <w:rFonts w:ascii="Times New Roman" w:hAnsi="Times New Roman" w:cs="Times New Roman" w:eastAsia="Times New Roman" w:hint="default"/>
        </w:rPr>
        <w:t>5</w:t>
      </w:r>
      <w:r>
        <w:rPr/>
        <w:t>）营业成本构成</w:t>
      </w:r>
      <w:r>
        <w:rPr>
          <w:b w:val="0"/>
          <w:bCs w:val="0"/>
        </w:rPr>
      </w:r>
    </w:p>
    <w:p>
      <w:pPr>
        <w:spacing w:line="240" w:lineRule="auto" w:before="2"/>
        <w:rPr>
          <w:rFonts w:ascii="宋体" w:hAnsi="宋体" w:cs="宋体" w:eastAsia="宋体" w:hint="default"/>
          <w:b/>
          <w:bCs/>
          <w:sz w:val="29"/>
          <w:szCs w:val="29"/>
        </w:rPr>
      </w:pPr>
    </w:p>
    <w:p>
      <w:pPr>
        <w:spacing w:after="0" w:line="240" w:lineRule="auto"/>
        <w:rPr>
          <w:rFonts w:ascii="宋体" w:hAnsi="宋体" w:cs="宋体" w:eastAsia="宋体" w:hint="default"/>
          <w:sz w:val="29"/>
          <w:szCs w:val="29"/>
        </w:rPr>
        <w:sectPr>
          <w:pgSz w:w="11910" w:h="16840"/>
          <w:pgMar w:header="747" w:footer="979" w:top="1060" w:bottom="1160" w:left="980" w:right="0"/>
        </w:sectPr>
      </w:pPr>
    </w:p>
    <w:p>
      <w:pPr>
        <w:pStyle w:val="BodyText"/>
        <w:spacing w:line="240" w:lineRule="auto" w:before="26"/>
        <w:ind w:left="633" w:right="-19"/>
        <w:jc w:val="left"/>
      </w:pPr>
      <w:r>
        <w:rPr/>
        <w:t>行业和产品分类</w:t>
      </w:r>
    </w:p>
    <w:p>
      <w:pPr>
        <w:spacing w:line="240" w:lineRule="auto" w:before="0"/>
        <w:rPr>
          <w:rFonts w:ascii="宋体" w:hAnsi="宋体" w:cs="宋体" w:eastAsia="宋体" w:hint="default"/>
          <w:sz w:val="20"/>
          <w:szCs w:val="20"/>
        </w:rPr>
      </w:pPr>
      <w:r>
        <w:rPr/>
        <w:br w:type="column"/>
      </w:r>
      <w:r>
        <w:rPr>
          <w:rFonts w:ascii="宋体"/>
          <w:sz w:val="20"/>
        </w:rPr>
      </w:r>
    </w:p>
    <w:p>
      <w:pPr>
        <w:spacing w:before="163"/>
        <w:ind w:left="633" w:right="0" w:firstLine="0"/>
        <w:jc w:val="left"/>
        <w:rPr>
          <w:rFonts w:ascii="宋体" w:hAnsi="宋体" w:cs="宋体" w:eastAsia="宋体" w:hint="default"/>
          <w:sz w:val="21"/>
          <w:szCs w:val="21"/>
        </w:rPr>
      </w:pPr>
      <w:r>
        <w:rPr>
          <w:rFonts w:ascii="宋体" w:hAnsi="宋体" w:cs="宋体" w:eastAsia="宋体" w:hint="default"/>
          <w:sz w:val="21"/>
          <w:szCs w:val="21"/>
        </w:rPr>
        <w:t>单位：元</w:t>
      </w:r>
    </w:p>
    <w:p>
      <w:pPr>
        <w:spacing w:after="0"/>
        <w:jc w:val="left"/>
        <w:rPr>
          <w:rFonts w:ascii="宋体" w:hAnsi="宋体" w:cs="宋体" w:eastAsia="宋体" w:hint="default"/>
          <w:sz w:val="21"/>
          <w:szCs w:val="21"/>
        </w:rPr>
        <w:sectPr>
          <w:type w:val="continuous"/>
          <w:pgSz w:w="11910" w:h="16840"/>
          <w:pgMar w:top="1060" w:bottom="1160" w:left="980" w:right="0"/>
          <w:cols w:num="2" w:equalWidth="0">
            <w:col w:w="2315" w:space="6005"/>
            <w:col w:w="2610"/>
          </w:cols>
        </w:sectPr>
      </w:pP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560"/>
        <w:gridCol w:w="568"/>
        <w:gridCol w:w="1559"/>
        <w:gridCol w:w="1276"/>
        <w:gridCol w:w="1702"/>
        <w:gridCol w:w="1275"/>
        <w:gridCol w:w="1633"/>
      </w:tblGrid>
      <w:tr>
        <w:trPr>
          <w:trHeight w:val="402" w:hRule="exact"/>
        </w:trPr>
        <w:tc>
          <w:tcPr>
            <w:tcW w:w="156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29"/>
                <w:szCs w:val="29"/>
              </w:rPr>
            </w:pPr>
          </w:p>
          <w:p>
            <w:pPr>
              <w:pStyle w:val="TableParagraph"/>
              <w:spacing w:line="240" w:lineRule="auto"/>
              <w:ind w:left="354" w:right="0"/>
              <w:jc w:val="left"/>
              <w:rPr>
                <w:rFonts w:ascii="宋体" w:hAnsi="宋体" w:cs="宋体" w:eastAsia="宋体" w:hint="default"/>
                <w:sz w:val="21"/>
                <w:szCs w:val="21"/>
              </w:rPr>
            </w:pPr>
            <w:r>
              <w:rPr>
                <w:rFonts w:ascii="宋体" w:hAnsi="宋体" w:cs="宋体" w:eastAsia="宋体" w:hint="default"/>
                <w:sz w:val="21"/>
                <w:szCs w:val="21"/>
              </w:rPr>
              <w:t>行业分类</w:t>
            </w:r>
          </w:p>
        </w:tc>
        <w:tc>
          <w:tcPr>
            <w:tcW w:w="5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29"/>
                <w:szCs w:val="29"/>
              </w:rPr>
            </w:pPr>
          </w:p>
          <w:p>
            <w:pPr>
              <w:pStyle w:val="TableParagraph"/>
              <w:spacing w:line="240" w:lineRule="auto"/>
              <w:ind w:left="68"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28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1"/>
                <w:sz w:val="21"/>
                <w:szCs w:val="21"/>
              </w:rPr>
              <w:t> </w:t>
            </w:r>
            <w:r>
              <w:rPr>
                <w:rFonts w:ascii="宋体" w:hAnsi="宋体" w:cs="宋体" w:eastAsia="宋体" w:hint="default"/>
                <w:sz w:val="21"/>
                <w:szCs w:val="21"/>
              </w:rPr>
              <w:t>年</w:t>
            </w:r>
          </w:p>
        </w:tc>
        <w:tc>
          <w:tcPr>
            <w:tcW w:w="297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1"/>
                <w:sz w:val="21"/>
                <w:szCs w:val="21"/>
              </w:rPr>
              <w:t> </w:t>
            </w:r>
            <w:r>
              <w:rPr>
                <w:rFonts w:ascii="宋体" w:hAnsi="宋体" w:cs="宋体" w:eastAsia="宋体" w:hint="default"/>
                <w:sz w:val="21"/>
                <w:szCs w:val="21"/>
              </w:rPr>
              <w:t>年</w:t>
            </w:r>
          </w:p>
        </w:tc>
        <w:tc>
          <w:tcPr>
            <w:tcW w:w="163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29"/>
                <w:szCs w:val="29"/>
              </w:rPr>
            </w:pPr>
          </w:p>
          <w:p>
            <w:pPr>
              <w:pStyle w:val="TableParagraph"/>
              <w:spacing w:line="240" w:lineRule="auto"/>
              <w:ind w:left="391" w:right="0"/>
              <w:jc w:val="left"/>
              <w:rPr>
                <w:rFonts w:ascii="宋体" w:hAnsi="宋体" w:cs="宋体" w:eastAsia="宋体" w:hint="default"/>
                <w:sz w:val="21"/>
                <w:szCs w:val="21"/>
              </w:rPr>
            </w:pPr>
            <w:r>
              <w:rPr>
                <w:rFonts w:ascii="宋体" w:hAnsi="宋体" w:cs="宋体" w:eastAsia="宋体" w:hint="default"/>
                <w:sz w:val="21"/>
                <w:szCs w:val="21"/>
              </w:rPr>
              <w:t>同比增减</w:t>
            </w:r>
          </w:p>
        </w:tc>
      </w:tr>
      <w:tr>
        <w:trPr>
          <w:trHeight w:val="714" w:hRule="exact"/>
        </w:trPr>
        <w:tc>
          <w:tcPr>
            <w:tcW w:w="1560" w:type="dxa"/>
            <w:vMerge/>
            <w:tcBorders>
              <w:left w:val="single" w:sz="4" w:space="0" w:color="000000"/>
              <w:bottom w:val="single" w:sz="4" w:space="0" w:color="000000"/>
              <w:right w:val="single" w:sz="4" w:space="0" w:color="000000"/>
            </w:tcBorders>
            <w:shd w:val="clear" w:color="auto" w:fill="D2D2D2"/>
          </w:tcPr>
          <w:p>
            <w:pPr/>
          </w:p>
        </w:tc>
        <w:tc>
          <w:tcPr>
            <w:tcW w:w="568" w:type="dxa"/>
            <w:vMerge/>
            <w:tcBorders>
              <w:left w:val="single" w:sz="4" w:space="0" w:color="000000"/>
              <w:bottom w:val="single" w:sz="4" w:space="0" w:color="000000"/>
              <w:right w:val="single" w:sz="4" w:space="0" w:color="000000"/>
            </w:tcBorders>
            <w:shd w:val="clear" w:color="auto" w:fill="D2D2D2"/>
          </w:tcPr>
          <w:p>
            <w:pPr/>
          </w:p>
        </w:tc>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7"/>
              <w:ind w:left="422" w:right="107" w:hanging="315"/>
              <w:jc w:val="left"/>
              <w:rPr>
                <w:rFonts w:ascii="宋体" w:hAnsi="宋体" w:cs="宋体" w:eastAsia="宋体" w:hint="default"/>
                <w:sz w:val="21"/>
                <w:szCs w:val="21"/>
              </w:rPr>
            </w:pPr>
            <w:r>
              <w:rPr>
                <w:rFonts w:ascii="宋体" w:hAnsi="宋体" w:cs="宋体" w:eastAsia="宋体" w:hint="default"/>
                <w:sz w:val="21"/>
                <w:szCs w:val="21"/>
              </w:rPr>
              <w:t>占营业成本 比重</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7"/>
              <w:ind w:left="422" w:right="106" w:hanging="316"/>
              <w:jc w:val="left"/>
              <w:rPr>
                <w:rFonts w:ascii="宋体" w:hAnsi="宋体" w:cs="宋体" w:eastAsia="宋体" w:hint="default"/>
                <w:sz w:val="21"/>
                <w:szCs w:val="21"/>
              </w:rPr>
            </w:pPr>
            <w:r>
              <w:rPr>
                <w:rFonts w:ascii="宋体" w:hAnsi="宋体" w:cs="宋体" w:eastAsia="宋体" w:hint="default"/>
                <w:sz w:val="21"/>
                <w:szCs w:val="21"/>
              </w:rPr>
              <w:t>占营业成本 比重</w:t>
            </w:r>
          </w:p>
        </w:tc>
        <w:tc>
          <w:tcPr>
            <w:tcW w:w="1633"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国家铁路</w:t>
            </w:r>
          </w:p>
        </w:tc>
        <w:tc>
          <w:tcPr>
            <w:tcW w:w="568"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0"/>
              <w:jc w:val="right"/>
              <w:rPr>
                <w:rFonts w:ascii="宋体" w:hAnsi="宋体" w:cs="宋体" w:eastAsia="宋体" w:hint="default"/>
                <w:sz w:val="21"/>
                <w:szCs w:val="21"/>
              </w:rPr>
            </w:pPr>
            <w:r>
              <w:rPr>
                <w:rFonts w:ascii="宋体"/>
                <w:sz w:val="21"/>
              </w:rPr>
              <w:t>160,682,559.29</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 w:right="0"/>
              <w:jc w:val="center"/>
              <w:rPr>
                <w:rFonts w:ascii="宋体" w:hAnsi="宋体" w:cs="宋体" w:eastAsia="宋体" w:hint="default"/>
                <w:sz w:val="21"/>
                <w:szCs w:val="21"/>
              </w:rPr>
            </w:pPr>
            <w:r>
              <w:rPr>
                <w:rFonts w:ascii="宋体"/>
                <w:sz w:val="21"/>
              </w:rPr>
              <w:t>55.74%</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10" w:right="0"/>
              <w:jc w:val="left"/>
              <w:rPr>
                <w:rFonts w:ascii="宋体" w:hAnsi="宋体" w:cs="宋体" w:eastAsia="宋体" w:hint="default"/>
                <w:sz w:val="21"/>
                <w:szCs w:val="21"/>
              </w:rPr>
            </w:pPr>
            <w:r>
              <w:rPr>
                <w:rFonts w:ascii="宋体"/>
                <w:sz w:val="21"/>
              </w:rPr>
              <w:t>181,051,924.13</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317"/>
              <w:jc w:val="right"/>
              <w:rPr>
                <w:rFonts w:ascii="宋体" w:hAnsi="宋体" w:cs="宋体" w:eastAsia="宋体" w:hint="default"/>
                <w:sz w:val="21"/>
                <w:szCs w:val="21"/>
              </w:rPr>
            </w:pPr>
            <w:r>
              <w:rPr>
                <w:rFonts w:ascii="宋体"/>
                <w:sz w:val="21"/>
              </w:rPr>
              <w:t>68.12%</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21"/>
                <w:szCs w:val="21"/>
              </w:rPr>
            </w:pPr>
            <w:r>
              <w:rPr>
                <w:rFonts w:ascii="宋体"/>
                <w:sz w:val="21"/>
              </w:rPr>
              <w:t>-11.25%</w:t>
            </w:r>
          </w:p>
        </w:tc>
      </w:tr>
      <w:tr>
        <w:trPr>
          <w:trHeight w:val="714"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7"/>
              <w:ind w:left="22" w:right="57"/>
              <w:jc w:val="left"/>
              <w:rPr>
                <w:rFonts w:ascii="宋体" w:hAnsi="宋体" w:cs="宋体" w:eastAsia="宋体" w:hint="default"/>
                <w:sz w:val="21"/>
                <w:szCs w:val="21"/>
              </w:rPr>
            </w:pPr>
            <w:r>
              <w:rPr>
                <w:rFonts w:ascii="宋体" w:hAnsi="宋体" w:cs="宋体" w:eastAsia="宋体" w:hint="default"/>
                <w:sz w:val="21"/>
                <w:szCs w:val="21"/>
              </w:rPr>
              <w:t>厂矿企业及地方 铁路</w:t>
            </w:r>
          </w:p>
        </w:tc>
        <w:tc>
          <w:tcPr>
            <w:tcW w:w="568"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21"/>
              <w:jc w:val="right"/>
              <w:rPr>
                <w:rFonts w:ascii="宋体" w:hAnsi="宋体" w:cs="宋体" w:eastAsia="宋体" w:hint="default"/>
                <w:sz w:val="21"/>
                <w:szCs w:val="21"/>
              </w:rPr>
            </w:pPr>
            <w:r>
              <w:rPr>
                <w:rFonts w:ascii="宋体"/>
                <w:sz w:val="21"/>
              </w:rPr>
              <w:t>21,736,093.49</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1" w:right="0"/>
              <w:jc w:val="center"/>
              <w:rPr>
                <w:rFonts w:ascii="宋体" w:hAnsi="宋体" w:cs="宋体" w:eastAsia="宋体" w:hint="default"/>
                <w:sz w:val="21"/>
                <w:szCs w:val="21"/>
              </w:rPr>
            </w:pPr>
            <w:r>
              <w:rPr>
                <w:rFonts w:ascii="宋体"/>
                <w:sz w:val="21"/>
              </w:rPr>
              <w:t>7.54%</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215" w:right="0"/>
              <w:jc w:val="left"/>
              <w:rPr>
                <w:rFonts w:ascii="宋体" w:hAnsi="宋体" w:cs="宋体" w:eastAsia="宋体" w:hint="default"/>
                <w:sz w:val="21"/>
                <w:szCs w:val="21"/>
              </w:rPr>
            </w:pPr>
            <w:r>
              <w:rPr>
                <w:rFonts w:ascii="宋体"/>
                <w:sz w:val="21"/>
              </w:rPr>
              <w:t>4,196,945.52</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368"/>
              <w:jc w:val="right"/>
              <w:rPr>
                <w:rFonts w:ascii="宋体" w:hAnsi="宋体" w:cs="宋体" w:eastAsia="宋体" w:hint="default"/>
                <w:sz w:val="21"/>
                <w:szCs w:val="21"/>
              </w:rPr>
            </w:pPr>
            <w:r>
              <w:rPr>
                <w:rFonts w:ascii="宋体"/>
                <w:sz w:val="21"/>
              </w:rPr>
              <w:t>1.58%</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21"/>
                <w:szCs w:val="21"/>
              </w:rPr>
            </w:pPr>
            <w:r>
              <w:rPr>
                <w:rFonts w:ascii="宋体"/>
                <w:sz w:val="21"/>
              </w:rPr>
              <w:t>417.90%</w:t>
            </w:r>
          </w:p>
        </w:tc>
      </w:tr>
      <w:tr>
        <w:trPr>
          <w:trHeight w:val="403"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城市轨道交通</w:t>
            </w:r>
          </w:p>
        </w:tc>
        <w:tc>
          <w:tcPr>
            <w:tcW w:w="568"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1"/>
              <w:jc w:val="right"/>
              <w:rPr>
                <w:rFonts w:ascii="宋体" w:hAnsi="宋体" w:cs="宋体" w:eastAsia="宋体" w:hint="default"/>
                <w:sz w:val="21"/>
                <w:szCs w:val="21"/>
              </w:rPr>
            </w:pPr>
            <w:r>
              <w:rPr>
                <w:rFonts w:ascii="宋体"/>
                <w:sz w:val="21"/>
              </w:rPr>
              <w:t>51,823,823.63</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 w:right="0"/>
              <w:jc w:val="center"/>
              <w:rPr>
                <w:rFonts w:ascii="宋体" w:hAnsi="宋体" w:cs="宋体" w:eastAsia="宋体" w:hint="default"/>
                <w:sz w:val="21"/>
                <w:szCs w:val="21"/>
              </w:rPr>
            </w:pPr>
            <w:r>
              <w:rPr>
                <w:rFonts w:ascii="宋体"/>
                <w:sz w:val="21"/>
              </w:rPr>
              <w:t>17.98%</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63" w:right="0"/>
              <w:jc w:val="left"/>
              <w:rPr>
                <w:rFonts w:ascii="宋体" w:hAnsi="宋体" w:cs="宋体" w:eastAsia="宋体" w:hint="default"/>
                <w:sz w:val="21"/>
                <w:szCs w:val="21"/>
              </w:rPr>
            </w:pPr>
            <w:r>
              <w:rPr>
                <w:rFonts w:ascii="宋体"/>
                <w:sz w:val="21"/>
              </w:rPr>
              <w:t>61,439,086.79</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317"/>
              <w:jc w:val="right"/>
              <w:rPr>
                <w:rFonts w:ascii="宋体" w:hAnsi="宋体" w:cs="宋体" w:eastAsia="宋体" w:hint="default"/>
                <w:sz w:val="21"/>
                <w:szCs w:val="21"/>
              </w:rPr>
            </w:pPr>
            <w:r>
              <w:rPr>
                <w:rFonts w:ascii="宋体"/>
                <w:sz w:val="21"/>
              </w:rPr>
              <w:t>23.12%</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21"/>
                <w:szCs w:val="21"/>
              </w:rPr>
            </w:pPr>
            <w:r>
              <w:rPr>
                <w:rFonts w:ascii="宋体"/>
                <w:sz w:val="21"/>
              </w:rPr>
              <w:t>-15.65%</w:t>
            </w:r>
          </w:p>
        </w:tc>
      </w:tr>
    </w:tbl>
    <w:p>
      <w:pPr>
        <w:spacing w:before="26"/>
        <w:ind w:left="0" w:right="1130" w:firstLine="0"/>
        <w:jc w:val="right"/>
        <w:rPr>
          <w:rFonts w:ascii="宋体" w:hAnsi="宋体" w:cs="宋体" w:eastAsia="宋体" w:hint="default"/>
          <w:sz w:val="21"/>
          <w:szCs w:val="21"/>
        </w:rPr>
      </w:pPr>
      <w:r>
        <w:rPr>
          <w:rFonts w:ascii="宋体" w:hAnsi="宋体" w:cs="宋体" w:eastAsia="宋体" w:hint="default"/>
          <w:sz w:val="21"/>
          <w:szCs w:val="21"/>
        </w:rPr>
        <w:t>单位：元</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560"/>
        <w:gridCol w:w="568"/>
        <w:gridCol w:w="1559"/>
        <w:gridCol w:w="1276"/>
        <w:gridCol w:w="1702"/>
        <w:gridCol w:w="1275"/>
        <w:gridCol w:w="1633"/>
      </w:tblGrid>
      <w:tr>
        <w:trPr>
          <w:trHeight w:val="402" w:hRule="exact"/>
        </w:trPr>
        <w:tc>
          <w:tcPr>
            <w:tcW w:w="156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29"/>
                <w:szCs w:val="29"/>
              </w:rPr>
            </w:pPr>
          </w:p>
          <w:p>
            <w:pPr>
              <w:pStyle w:val="TableParagraph"/>
              <w:spacing w:line="240" w:lineRule="auto"/>
              <w:ind w:left="354" w:right="0"/>
              <w:jc w:val="left"/>
              <w:rPr>
                <w:rFonts w:ascii="宋体" w:hAnsi="宋体" w:cs="宋体" w:eastAsia="宋体" w:hint="default"/>
                <w:sz w:val="21"/>
                <w:szCs w:val="21"/>
              </w:rPr>
            </w:pPr>
            <w:r>
              <w:rPr>
                <w:rFonts w:ascii="宋体" w:hAnsi="宋体" w:cs="宋体" w:eastAsia="宋体" w:hint="default"/>
                <w:sz w:val="21"/>
                <w:szCs w:val="21"/>
              </w:rPr>
              <w:t>产品分类</w:t>
            </w:r>
          </w:p>
        </w:tc>
        <w:tc>
          <w:tcPr>
            <w:tcW w:w="5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29"/>
                <w:szCs w:val="29"/>
              </w:rPr>
            </w:pPr>
          </w:p>
          <w:p>
            <w:pPr>
              <w:pStyle w:val="TableParagraph"/>
              <w:spacing w:line="240" w:lineRule="auto"/>
              <w:ind w:left="68"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28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1"/>
                <w:sz w:val="21"/>
                <w:szCs w:val="21"/>
              </w:rPr>
              <w:t> </w:t>
            </w:r>
            <w:r>
              <w:rPr>
                <w:rFonts w:ascii="宋体" w:hAnsi="宋体" w:cs="宋体" w:eastAsia="宋体" w:hint="default"/>
                <w:sz w:val="21"/>
                <w:szCs w:val="21"/>
              </w:rPr>
              <w:t>年</w:t>
            </w:r>
          </w:p>
        </w:tc>
        <w:tc>
          <w:tcPr>
            <w:tcW w:w="297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1"/>
                <w:sz w:val="21"/>
                <w:szCs w:val="21"/>
              </w:rPr>
              <w:t> </w:t>
            </w:r>
            <w:r>
              <w:rPr>
                <w:rFonts w:ascii="宋体" w:hAnsi="宋体" w:cs="宋体" w:eastAsia="宋体" w:hint="default"/>
                <w:sz w:val="21"/>
                <w:szCs w:val="21"/>
              </w:rPr>
              <w:t>年</w:t>
            </w:r>
          </w:p>
        </w:tc>
        <w:tc>
          <w:tcPr>
            <w:tcW w:w="163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29"/>
                <w:szCs w:val="29"/>
              </w:rPr>
            </w:pPr>
          </w:p>
          <w:p>
            <w:pPr>
              <w:pStyle w:val="TableParagraph"/>
              <w:spacing w:line="240" w:lineRule="auto"/>
              <w:ind w:left="391" w:right="0"/>
              <w:jc w:val="left"/>
              <w:rPr>
                <w:rFonts w:ascii="宋体" w:hAnsi="宋体" w:cs="宋体" w:eastAsia="宋体" w:hint="default"/>
                <w:sz w:val="21"/>
                <w:szCs w:val="21"/>
              </w:rPr>
            </w:pPr>
            <w:r>
              <w:rPr>
                <w:rFonts w:ascii="宋体" w:hAnsi="宋体" w:cs="宋体" w:eastAsia="宋体" w:hint="default"/>
                <w:sz w:val="21"/>
                <w:szCs w:val="21"/>
              </w:rPr>
              <w:t>同比增减</w:t>
            </w:r>
          </w:p>
        </w:tc>
      </w:tr>
      <w:tr>
        <w:trPr>
          <w:trHeight w:val="713" w:hRule="exact"/>
        </w:trPr>
        <w:tc>
          <w:tcPr>
            <w:tcW w:w="1560" w:type="dxa"/>
            <w:vMerge/>
            <w:tcBorders>
              <w:left w:val="single" w:sz="4" w:space="0" w:color="000000"/>
              <w:bottom w:val="single" w:sz="4" w:space="0" w:color="000000"/>
              <w:right w:val="single" w:sz="4" w:space="0" w:color="000000"/>
            </w:tcBorders>
            <w:shd w:val="clear" w:color="auto" w:fill="D2D2D2"/>
          </w:tcPr>
          <w:p>
            <w:pPr/>
          </w:p>
        </w:tc>
        <w:tc>
          <w:tcPr>
            <w:tcW w:w="568" w:type="dxa"/>
            <w:vMerge/>
            <w:tcBorders>
              <w:left w:val="single" w:sz="4" w:space="0" w:color="000000"/>
              <w:bottom w:val="single" w:sz="4" w:space="0" w:color="000000"/>
              <w:right w:val="single" w:sz="4" w:space="0" w:color="000000"/>
            </w:tcBorders>
            <w:shd w:val="clear" w:color="auto" w:fill="D2D2D2"/>
          </w:tcPr>
          <w:p>
            <w:pPr/>
          </w:p>
        </w:tc>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422" w:right="107" w:hanging="315"/>
              <w:jc w:val="left"/>
              <w:rPr>
                <w:rFonts w:ascii="宋体" w:hAnsi="宋体" w:cs="宋体" w:eastAsia="宋体" w:hint="default"/>
                <w:sz w:val="21"/>
                <w:szCs w:val="21"/>
              </w:rPr>
            </w:pPr>
            <w:r>
              <w:rPr>
                <w:rFonts w:ascii="宋体" w:hAnsi="宋体" w:cs="宋体" w:eastAsia="宋体" w:hint="default"/>
                <w:sz w:val="21"/>
                <w:szCs w:val="21"/>
              </w:rPr>
              <w:t>占营业成本 比重</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422" w:right="106" w:hanging="316"/>
              <w:jc w:val="left"/>
              <w:rPr>
                <w:rFonts w:ascii="宋体" w:hAnsi="宋体" w:cs="宋体" w:eastAsia="宋体" w:hint="default"/>
                <w:sz w:val="21"/>
                <w:szCs w:val="21"/>
              </w:rPr>
            </w:pPr>
            <w:r>
              <w:rPr>
                <w:rFonts w:ascii="宋体" w:hAnsi="宋体" w:cs="宋体" w:eastAsia="宋体" w:hint="default"/>
                <w:sz w:val="21"/>
                <w:szCs w:val="21"/>
              </w:rPr>
              <w:t>占营业成本 比重</w:t>
            </w:r>
          </w:p>
        </w:tc>
        <w:tc>
          <w:tcPr>
            <w:tcW w:w="1633"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设备监测类产品</w:t>
            </w:r>
          </w:p>
        </w:tc>
        <w:tc>
          <w:tcPr>
            <w:tcW w:w="568"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1"/>
              <w:jc w:val="right"/>
              <w:rPr>
                <w:rFonts w:ascii="宋体" w:hAnsi="宋体" w:cs="宋体" w:eastAsia="宋体" w:hint="default"/>
                <w:sz w:val="21"/>
                <w:szCs w:val="21"/>
              </w:rPr>
            </w:pPr>
            <w:r>
              <w:rPr>
                <w:rFonts w:ascii="宋体"/>
                <w:sz w:val="21"/>
              </w:rPr>
              <w:t>87,725,403.21</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0"/>
              <w:jc w:val="right"/>
              <w:rPr>
                <w:rFonts w:ascii="宋体" w:hAnsi="宋体" w:cs="宋体" w:eastAsia="宋体" w:hint="default"/>
                <w:sz w:val="21"/>
                <w:szCs w:val="21"/>
              </w:rPr>
            </w:pPr>
            <w:r>
              <w:rPr>
                <w:rFonts w:ascii="宋体"/>
                <w:sz w:val="21"/>
              </w:rPr>
              <w:t>30.43%</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1"/>
              <w:jc w:val="right"/>
              <w:rPr>
                <w:rFonts w:ascii="宋体" w:hAnsi="宋体" w:cs="宋体" w:eastAsia="宋体" w:hint="default"/>
                <w:sz w:val="21"/>
                <w:szCs w:val="21"/>
              </w:rPr>
            </w:pPr>
            <w:r>
              <w:rPr>
                <w:rFonts w:ascii="宋体"/>
                <w:sz w:val="21"/>
              </w:rPr>
              <w:t>74,962,999.79</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0"/>
              <w:jc w:val="right"/>
              <w:rPr>
                <w:rFonts w:ascii="宋体" w:hAnsi="宋体" w:cs="宋体" w:eastAsia="宋体" w:hint="default"/>
                <w:sz w:val="21"/>
                <w:szCs w:val="21"/>
              </w:rPr>
            </w:pPr>
            <w:r>
              <w:rPr>
                <w:rFonts w:ascii="宋体"/>
                <w:sz w:val="21"/>
              </w:rPr>
              <w:t>28.21%</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3"/>
              <w:jc w:val="right"/>
              <w:rPr>
                <w:rFonts w:ascii="宋体" w:hAnsi="宋体" w:cs="宋体" w:eastAsia="宋体" w:hint="default"/>
                <w:sz w:val="21"/>
                <w:szCs w:val="21"/>
              </w:rPr>
            </w:pPr>
            <w:r>
              <w:rPr>
                <w:rFonts w:ascii="宋体"/>
                <w:sz w:val="21"/>
              </w:rPr>
              <w:t>17.02%</w:t>
            </w: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安防类产品</w:t>
            </w:r>
          </w:p>
        </w:tc>
        <w:tc>
          <w:tcPr>
            <w:tcW w:w="568"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1"/>
              <w:jc w:val="right"/>
              <w:rPr>
                <w:rFonts w:ascii="宋体" w:hAnsi="宋体" w:cs="宋体" w:eastAsia="宋体" w:hint="default"/>
                <w:sz w:val="21"/>
                <w:szCs w:val="21"/>
              </w:rPr>
            </w:pPr>
            <w:r>
              <w:rPr>
                <w:rFonts w:ascii="宋体"/>
                <w:sz w:val="21"/>
              </w:rPr>
              <w:t>67,675,484.05</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0"/>
              <w:jc w:val="right"/>
              <w:rPr>
                <w:rFonts w:ascii="宋体" w:hAnsi="宋体" w:cs="宋体" w:eastAsia="宋体" w:hint="default"/>
                <w:sz w:val="21"/>
                <w:szCs w:val="21"/>
              </w:rPr>
            </w:pPr>
            <w:r>
              <w:rPr>
                <w:rFonts w:ascii="宋体"/>
                <w:sz w:val="21"/>
              </w:rPr>
              <w:t>23.48%</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0"/>
              <w:jc w:val="right"/>
              <w:rPr>
                <w:rFonts w:ascii="宋体" w:hAnsi="宋体" w:cs="宋体" w:eastAsia="宋体" w:hint="default"/>
                <w:sz w:val="21"/>
                <w:szCs w:val="21"/>
              </w:rPr>
            </w:pPr>
            <w:r>
              <w:rPr>
                <w:rFonts w:ascii="宋体"/>
                <w:sz w:val="21"/>
              </w:rPr>
              <w:t>110,391,723.17</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0"/>
              <w:jc w:val="right"/>
              <w:rPr>
                <w:rFonts w:ascii="宋体" w:hAnsi="宋体" w:cs="宋体" w:eastAsia="宋体" w:hint="default"/>
                <w:sz w:val="21"/>
                <w:szCs w:val="21"/>
              </w:rPr>
            </w:pPr>
            <w:r>
              <w:rPr>
                <w:rFonts w:ascii="宋体"/>
                <w:sz w:val="21"/>
              </w:rPr>
              <w:t>41.54%</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0"/>
              <w:jc w:val="right"/>
              <w:rPr>
                <w:rFonts w:ascii="宋体" w:hAnsi="宋体" w:cs="宋体" w:eastAsia="宋体" w:hint="default"/>
                <w:sz w:val="21"/>
                <w:szCs w:val="21"/>
              </w:rPr>
            </w:pPr>
            <w:r>
              <w:rPr>
                <w:rFonts w:ascii="宋体"/>
                <w:sz w:val="21"/>
              </w:rPr>
              <w:t>-38.70%</w:t>
            </w:r>
          </w:p>
        </w:tc>
      </w:tr>
      <w:tr>
        <w:trPr>
          <w:trHeight w:val="1026"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7"/>
              <w:ind w:left="22" w:right="57"/>
              <w:jc w:val="both"/>
              <w:rPr>
                <w:rFonts w:ascii="宋体" w:hAnsi="宋体" w:cs="宋体" w:eastAsia="宋体" w:hint="default"/>
                <w:sz w:val="21"/>
                <w:szCs w:val="21"/>
              </w:rPr>
            </w:pPr>
            <w:r>
              <w:rPr>
                <w:rFonts w:ascii="宋体" w:hAnsi="宋体" w:cs="宋体" w:eastAsia="宋体" w:hint="default"/>
                <w:sz w:val="21"/>
                <w:szCs w:val="21"/>
              </w:rPr>
              <w:t>生产指挥及运输 调度信息化类产 品</w:t>
            </w:r>
          </w:p>
        </w:tc>
        <w:tc>
          <w:tcPr>
            <w:tcW w:w="568"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right="20"/>
              <w:jc w:val="right"/>
              <w:rPr>
                <w:rFonts w:ascii="宋体" w:hAnsi="宋体" w:cs="宋体" w:eastAsia="宋体" w:hint="default"/>
                <w:sz w:val="21"/>
                <w:szCs w:val="21"/>
              </w:rPr>
            </w:pPr>
            <w:r>
              <w:rPr>
                <w:rFonts w:ascii="宋体"/>
                <w:sz w:val="21"/>
              </w:rPr>
              <w:t>7,402,958.84</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right="20"/>
              <w:jc w:val="right"/>
              <w:rPr>
                <w:rFonts w:ascii="宋体" w:hAnsi="宋体" w:cs="宋体" w:eastAsia="宋体" w:hint="default"/>
                <w:sz w:val="21"/>
                <w:szCs w:val="21"/>
              </w:rPr>
            </w:pPr>
            <w:r>
              <w:rPr>
                <w:rFonts w:ascii="宋体"/>
                <w:sz w:val="21"/>
              </w:rPr>
              <w:t>2.57%</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right="20"/>
              <w:jc w:val="right"/>
              <w:rPr>
                <w:rFonts w:ascii="宋体" w:hAnsi="宋体" w:cs="宋体" w:eastAsia="宋体" w:hint="default"/>
                <w:sz w:val="21"/>
                <w:szCs w:val="21"/>
              </w:rPr>
            </w:pPr>
            <w:r>
              <w:rPr>
                <w:rFonts w:ascii="宋体"/>
                <w:sz w:val="21"/>
              </w:rPr>
              <w:t>5,922,716.13</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right="20"/>
              <w:jc w:val="right"/>
              <w:rPr>
                <w:rFonts w:ascii="宋体" w:hAnsi="宋体" w:cs="宋体" w:eastAsia="宋体" w:hint="default"/>
                <w:sz w:val="21"/>
                <w:szCs w:val="21"/>
              </w:rPr>
            </w:pPr>
            <w:r>
              <w:rPr>
                <w:rFonts w:ascii="宋体"/>
                <w:sz w:val="21"/>
              </w:rPr>
              <w:t>2.23%</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right="23"/>
              <w:jc w:val="right"/>
              <w:rPr>
                <w:rFonts w:ascii="宋体" w:hAnsi="宋体" w:cs="宋体" w:eastAsia="宋体" w:hint="default"/>
                <w:sz w:val="21"/>
                <w:szCs w:val="21"/>
              </w:rPr>
            </w:pPr>
            <w:r>
              <w:rPr>
                <w:rFonts w:ascii="宋体"/>
                <w:sz w:val="21"/>
              </w:rPr>
              <w:t>24.99%</w:t>
            </w: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信号控制类产品</w:t>
            </w:r>
          </w:p>
        </w:tc>
        <w:tc>
          <w:tcPr>
            <w:tcW w:w="568"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0"/>
              <w:jc w:val="right"/>
              <w:rPr>
                <w:rFonts w:ascii="宋体" w:hAnsi="宋体" w:cs="宋体" w:eastAsia="宋体" w:hint="default"/>
                <w:sz w:val="21"/>
                <w:szCs w:val="21"/>
              </w:rPr>
            </w:pPr>
            <w:r>
              <w:rPr>
                <w:rFonts w:ascii="宋体"/>
                <w:sz w:val="21"/>
              </w:rPr>
              <w:t>5,583,550.34</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0"/>
              <w:jc w:val="right"/>
              <w:rPr>
                <w:rFonts w:ascii="宋体" w:hAnsi="宋体" w:cs="宋体" w:eastAsia="宋体" w:hint="default"/>
                <w:sz w:val="21"/>
                <w:szCs w:val="21"/>
              </w:rPr>
            </w:pPr>
            <w:r>
              <w:rPr>
                <w:rFonts w:ascii="宋体"/>
                <w:sz w:val="21"/>
              </w:rPr>
              <w:t>1.94%</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1"/>
              <w:jc w:val="right"/>
              <w:rPr>
                <w:rFonts w:ascii="宋体" w:hAnsi="宋体" w:cs="宋体" w:eastAsia="宋体" w:hint="default"/>
                <w:sz w:val="21"/>
                <w:szCs w:val="21"/>
              </w:rPr>
            </w:pPr>
            <w:r>
              <w:rPr>
                <w:rFonts w:ascii="宋体"/>
                <w:sz w:val="21"/>
              </w:rPr>
              <w:t>10,158,497.85</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0"/>
              <w:jc w:val="right"/>
              <w:rPr>
                <w:rFonts w:ascii="宋体" w:hAnsi="宋体" w:cs="宋体" w:eastAsia="宋体" w:hint="default"/>
                <w:sz w:val="21"/>
                <w:szCs w:val="21"/>
              </w:rPr>
            </w:pPr>
            <w:r>
              <w:rPr>
                <w:rFonts w:ascii="宋体"/>
                <w:sz w:val="21"/>
              </w:rPr>
              <w:t>3.82%</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0"/>
              <w:jc w:val="right"/>
              <w:rPr>
                <w:rFonts w:ascii="宋体" w:hAnsi="宋体" w:cs="宋体" w:eastAsia="宋体" w:hint="default"/>
                <w:sz w:val="21"/>
                <w:szCs w:val="21"/>
              </w:rPr>
            </w:pPr>
            <w:r>
              <w:rPr>
                <w:rFonts w:ascii="宋体"/>
                <w:sz w:val="21"/>
              </w:rPr>
              <w:t>-45.04%</w:t>
            </w: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电源类设备</w:t>
            </w:r>
          </w:p>
        </w:tc>
        <w:tc>
          <w:tcPr>
            <w:tcW w:w="568"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1"/>
              <w:jc w:val="right"/>
              <w:rPr>
                <w:rFonts w:ascii="宋体" w:hAnsi="宋体" w:cs="宋体" w:eastAsia="宋体" w:hint="default"/>
                <w:sz w:val="21"/>
                <w:szCs w:val="21"/>
              </w:rPr>
            </w:pPr>
            <w:r>
              <w:rPr>
                <w:rFonts w:ascii="宋体"/>
                <w:sz w:val="21"/>
              </w:rPr>
              <w:t>36,207,674.61</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0"/>
              <w:jc w:val="right"/>
              <w:rPr>
                <w:rFonts w:ascii="宋体" w:hAnsi="宋体" w:cs="宋体" w:eastAsia="宋体" w:hint="default"/>
                <w:sz w:val="21"/>
                <w:szCs w:val="21"/>
              </w:rPr>
            </w:pPr>
            <w:r>
              <w:rPr>
                <w:rFonts w:ascii="宋体"/>
                <w:sz w:val="21"/>
              </w:rPr>
              <w:t>12.56%</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1"/>
              <w:jc w:val="right"/>
              <w:rPr>
                <w:rFonts w:ascii="宋体" w:hAnsi="宋体" w:cs="宋体" w:eastAsia="宋体" w:hint="default"/>
                <w:sz w:val="21"/>
                <w:szCs w:val="21"/>
              </w:rPr>
            </w:pPr>
            <w:r>
              <w:rPr>
                <w:rFonts w:ascii="宋体"/>
                <w:sz w:val="21"/>
              </w:rPr>
              <w:t>36,724,661.67</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0"/>
              <w:jc w:val="right"/>
              <w:rPr>
                <w:rFonts w:ascii="宋体" w:hAnsi="宋体" w:cs="宋体" w:eastAsia="宋体" w:hint="default"/>
                <w:sz w:val="21"/>
                <w:szCs w:val="21"/>
              </w:rPr>
            </w:pPr>
            <w:r>
              <w:rPr>
                <w:rFonts w:ascii="宋体"/>
                <w:sz w:val="21"/>
              </w:rPr>
              <w:t>13.82%</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1"/>
              <w:jc w:val="right"/>
              <w:rPr>
                <w:rFonts w:ascii="宋体" w:hAnsi="宋体" w:cs="宋体" w:eastAsia="宋体" w:hint="default"/>
                <w:sz w:val="21"/>
                <w:szCs w:val="21"/>
              </w:rPr>
            </w:pPr>
            <w:r>
              <w:rPr>
                <w:rFonts w:ascii="宋体"/>
                <w:sz w:val="21"/>
              </w:rPr>
              <w:t>-1.41%</w:t>
            </w:r>
          </w:p>
        </w:tc>
      </w:tr>
      <w:tr>
        <w:trPr>
          <w:trHeight w:val="403"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信号设备及器材</w:t>
            </w:r>
          </w:p>
        </w:tc>
        <w:tc>
          <w:tcPr>
            <w:tcW w:w="568"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1"/>
              <w:jc w:val="right"/>
              <w:rPr>
                <w:rFonts w:ascii="宋体" w:hAnsi="宋体" w:cs="宋体" w:eastAsia="宋体" w:hint="default"/>
                <w:sz w:val="21"/>
                <w:szCs w:val="21"/>
              </w:rPr>
            </w:pPr>
            <w:r>
              <w:rPr>
                <w:rFonts w:ascii="宋体"/>
                <w:sz w:val="21"/>
              </w:rPr>
              <w:t>33,841,916.34</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0"/>
              <w:jc w:val="right"/>
              <w:rPr>
                <w:rFonts w:ascii="宋体" w:hAnsi="宋体" w:cs="宋体" w:eastAsia="宋体" w:hint="default"/>
                <w:sz w:val="21"/>
                <w:szCs w:val="21"/>
              </w:rPr>
            </w:pPr>
            <w:r>
              <w:rPr>
                <w:rFonts w:ascii="宋体"/>
                <w:sz w:val="21"/>
              </w:rPr>
              <w:t>11.74%</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0"/>
              <w:jc w:val="right"/>
              <w:rPr>
                <w:rFonts w:ascii="宋体" w:hAnsi="宋体" w:cs="宋体" w:eastAsia="宋体" w:hint="default"/>
                <w:sz w:val="21"/>
                <w:szCs w:val="21"/>
              </w:rPr>
            </w:pPr>
            <w:r>
              <w:rPr>
                <w:rFonts w:ascii="宋体"/>
                <w:sz w:val="21"/>
              </w:rPr>
              <w:t>9,770,040.69</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0"/>
              <w:jc w:val="right"/>
              <w:rPr>
                <w:rFonts w:ascii="宋体" w:hAnsi="宋体" w:cs="宋体" w:eastAsia="宋体" w:hint="default"/>
                <w:sz w:val="21"/>
                <w:szCs w:val="21"/>
              </w:rPr>
            </w:pPr>
            <w:r>
              <w:rPr>
                <w:rFonts w:ascii="宋体"/>
                <w:sz w:val="21"/>
              </w:rPr>
              <w:t>3.68%</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1"/>
              <w:jc w:val="right"/>
              <w:rPr>
                <w:rFonts w:ascii="宋体" w:hAnsi="宋体" w:cs="宋体" w:eastAsia="宋体" w:hint="default"/>
                <w:sz w:val="21"/>
                <w:szCs w:val="21"/>
              </w:rPr>
            </w:pPr>
            <w:r>
              <w:rPr>
                <w:rFonts w:ascii="宋体"/>
                <w:sz w:val="21"/>
              </w:rPr>
              <w:t>246.38%</w:t>
            </w:r>
          </w:p>
        </w:tc>
      </w:tr>
    </w:tbl>
    <w:p>
      <w:pPr>
        <w:pStyle w:val="BodyText"/>
        <w:spacing w:line="240" w:lineRule="auto" w:before="1"/>
        <w:ind w:left="154" w:right="996"/>
        <w:jc w:val="left"/>
      </w:pPr>
      <w:r>
        <w:rPr/>
        <w:t>说明</w:t>
      </w:r>
    </w:p>
    <w:p>
      <w:pPr>
        <w:spacing w:after="0" w:line="240" w:lineRule="auto"/>
        <w:jc w:val="left"/>
        <w:sectPr>
          <w:type w:val="continuous"/>
          <w:pgSz w:w="11910" w:h="16840"/>
          <w:pgMar w:top="1060" w:bottom="1160" w:left="980" w:right="0"/>
        </w:sectPr>
      </w:pPr>
    </w:p>
    <w:p>
      <w:pPr>
        <w:spacing w:line="240" w:lineRule="auto" w:before="0"/>
        <w:rPr>
          <w:rFonts w:ascii="宋体" w:hAnsi="宋体" w:cs="宋体" w:eastAsia="宋体" w:hint="default"/>
          <w:sz w:val="20"/>
          <w:szCs w:val="20"/>
        </w:rPr>
      </w:pPr>
    </w:p>
    <w:p>
      <w:pPr>
        <w:pStyle w:val="BodyText"/>
        <w:spacing w:line="352" w:lineRule="auto" w:before="199"/>
        <w:ind w:right="1170" w:firstLine="480"/>
        <w:jc w:val="both"/>
      </w:pPr>
      <w:r>
        <w:rPr/>
        <w:t>本年度产品成本的主要构成项目为原材料、人工工资、制造费用，占总成本的比例分别 为</w:t>
      </w:r>
      <w:r>
        <w:rPr>
          <w:spacing w:val="-60"/>
        </w:rPr>
        <w:t> </w:t>
      </w:r>
      <w:r>
        <w:rPr>
          <w:rFonts w:ascii="宋体" w:hAnsi="宋体" w:cs="宋体" w:eastAsia="宋体" w:hint="default"/>
        </w:rPr>
        <w:t>86%</w:t>
      </w:r>
      <w:r>
        <w:rPr/>
        <w:t>、</w:t>
      </w:r>
      <w:r>
        <w:rPr>
          <w:rFonts w:ascii="宋体" w:hAnsi="宋体" w:cs="宋体" w:eastAsia="宋体" w:hint="default"/>
        </w:rPr>
        <w:t>5%</w:t>
      </w:r>
      <w:r>
        <w:rPr/>
        <w:t>、</w:t>
      </w:r>
      <w:r>
        <w:rPr>
          <w:rFonts w:ascii="宋体" w:hAnsi="宋体" w:cs="宋体" w:eastAsia="宋体" w:hint="default"/>
        </w:rPr>
        <w:t>9%</w:t>
      </w:r>
      <w:r>
        <w:rPr/>
        <w:t>。上年度产品成本的主要构成项目为原材料、人工工资、制造费用，占总成 本的比例分别为</w:t>
      </w:r>
      <w:r>
        <w:rPr>
          <w:spacing w:val="-60"/>
        </w:rPr>
        <w:t> </w:t>
      </w:r>
      <w:r>
        <w:rPr>
          <w:rFonts w:ascii="宋体" w:hAnsi="宋体" w:cs="宋体" w:eastAsia="宋体" w:hint="default"/>
        </w:rPr>
        <w:t>85%</w:t>
      </w:r>
      <w:r>
        <w:rPr/>
        <w:t>、</w:t>
      </w:r>
      <w:r>
        <w:rPr>
          <w:rFonts w:ascii="宋体" w:hAnsi="宋体" w:cs="宋体" w:eastAsia="宋体" w:hint="default"/>
        </w:rPr>
        <w:t>6%</w:t>
      </w:r>
      <w:r>
        <w:rPr/>
        <w:t>、</w:t>
      </w:r>
      <w:r>
        <w:rPr>
          <w:rFonts w:ascii="宋体" w:hAnsi="宋体" w:cs="宋体" w:eastAsia="宋体" w:hint="default"/>
        </w:rPr>
        <w:t>9%</w:t>
      </w:r>
      <w:r>
        <w:rPr/>
        <w:t>。</w:t>
      </w:r>
    </w:p>
    <w:p>
      <w:pPr>
        <w:pStyle w:val="Heading2"/>
        <w:spacing w:line="240" w:lineRule="auto" w:before="206"/>
        <w:ind w:left="153" w:right="996"/>
        <w:jc w:val="left"/>
        <w:rPr>
          <w:b w:val="0"/>
          <w:bCs w:val="0"/>
        </w:rPr>
      </w:pPr>
      <w:bookmarkStart w:name="（6）报告期内合并范围是否发生变动" w:id="39"/>
      <w:bookmarkEnd w:id="39"/>
      <w:r>
        <w:rPr>
          <w:b w:val="0"/>
          <w:bCs w:val="0"/>
        </w:rPr>
      </w:r>
      <w:r>
        <w:rPr/>
        <w:t>（</w:t>
      </w:r>
      <w:r>
        <w:rPr>
          <w:rFonts w:ascii="Times New Roman" w:hAnsi="Times New Roman" w:cs="Times New Roman" w:eastAsia="Times New Roman" w:hint="default"/>
        </w:rPr>
        <w:t>6</w:t>
      </w:r>
      <w:r>
        <w:rPr/>
        <w:t>）报告期内合并范围是否发生变动</w:t>
      </w:r>
      <w:r>
        <w:rPr>
          <w:b w:val="0"/>
          <w:bCs w:val="0"/>
        </w:rPr>
      </w:r>
    </w:p>
    <w:p>
      <w:pPr>
        <w:spacing w:line="240" w:lineRule="auto" w:before="1"/>
        <w:rPr>
          <w:rFonts w:ascii="宋体" w:hAnsi="宋体" w:cs="宋体" w:eastAsia="宋体" w:hint="default"/>
          <w:b/>
          <w:bCs/>
          <w:sz w:val="31"/>
          <w:szCs w:val="31"/>
        </w:rPr>
      </w:pPr>
    </w:p>
    <w:p>
      <w:pPr>
        <w:pStyle w:val="BodyText"/>
        <w:spacing w:line="240" w:lineRule="auto" w:before="0"/>
        <w:ind w:left="633" w:right="996"/>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w:t>
      </w:r>
    </w:p>
    <w:p>
      <w:pPr>
        <w:pStyle w:val="BodyText"/>
        <w:spacing w:line="352" w:lineRule="auto" w:before="127"/>
        <w:ind w:left="154" w:right="1169" w:firstLine="480"/>
        <w:jc w:val="both"/>
      </w:pPr>
      <w:r>
        <w:rPr/>
        <w:pict>
          <v:shape style="position:absolute;margin-left:84.260002pt;margin-top:47.965649pt;width:427.15pt;height:51.8pt;mso-position-horizontal-relative:page;mso-position-vertical-relative:paragraph;z-index:116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832"/>
                    <w:gridCol w:w="3696"/>
                  </w:tblGrid>
                  <w:tr>
                    <w:trPr>
                      <w:trHeight w:val="342" w:hRule="exact"/>
                    </w:trPr>
                    <w:tc>
                      <w:tcPr>
                        <w:tcW w:w="4832"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名称</w:t>
                        </w:r>
                      </w:p>
                    </w:tc>
                    <w:tc>
                      <w:tcPr>
                        <w:tcW w:w="3696"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1423" w:right="0"/>
                          <w:jc w:val="left"/>
                          <w:rPr>
                            <w:rFonts w:ascii="宋体" w:hAnsi="宋体" w:cs="宋体" w:eastAsia="宋体" w:hint="default"/>
                            <w:sz w:val="21"/>
                            <w:szCs w:val="21"/>
                          </w:rPr>
                        </w:pPr>
                        <w:r>
                          <w:rPr>
                            <w:rFonts w:ascii="宋体" w:hAnsi="宋体" w:cs="宋体" w:eastAsia="宋体" w:hint="default"/>
                            <w:sz w:val="21"/>
                            <w:szCs w:val="21"/>
                          </w:rPr>
                          <w:t>变更原因</w:t>
                        </w:r>
                      </w:p>
                    </w:tc>
                  </w:tr>
                  <w:tr>
                    <w:trPr>
                      <w:trHeight w:val="342" w:hRule="exact"/>
                    </w:trPr>
                    <w:tc>
                      <w:tcPr>
                        <w:tcW w:w="4832"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 w:right="0"/>
                          <w:jc w:val="left"/>
                          <w:rPr>
                            <w:rFonts w:ascii="宋体" w:hAnsi="宋体" w:cs="宋体" w:eastAsia="宋体" w:hint="default"/>
                            <w:sz w:val="21"/>
                            <w:szCs w:val="21"/>
                          </w:rPr>
                        </w:pPr>
                        <w:r>
                          <w:rPr>
                            <w:rFonts w:ascii="宋体" w:hAnsi="宋体" w:cs="宋体" w:eastAsia="宋体" w:hint="default"/>
                            <w:sz w:val="21"/>
                            <w:szCs w:val="21"/>
                          </w:rPr>
                          <w:t>成都西南交大驱动技术有限责任公司</w:t>
                        </w:r>
                      </w:p>
                    </w:tc>
                    <w:tc>
                      <w:tcPr>
                        <w:tcW w:w="3696"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1423" w:right="0"/>
                          <w:jc w:val="left"/>
                          <w:rPr>
                            <w:rFonts w:ascii="宋体" w:hAnsi="宋体" w:cs="宋体" w:eastAsia="宋体" w:hint="default"/>
                            <w:sz w:val="21"/>
                            <w:szCs w:val="21"/>
                          </w:rPr>
                        </w:pPr>
                        <w:r>
                          <w:rPr>
                            <w:rFonts w:ascii="宋体" w:hAnsi="宋体" w:cs="宋体" w:eastAsia="宋体" w:hint="default"/>
                            <w:sz w:val="21"/>
                            <w:szCs w:val="21"/>
                          </w:rPr>
                          <w:t>投资购买</w:t>
                        </w:r>
                      </w:p>
                    </w:tc>
                  </w:tr>
                  <w:tr>
                    <w:trPr>
                      <w:trHeight w:val="342" w:hRule="exact"/>
                    </w:trPr>
                    <w:tc>
                      <w:tcPr>
                        <w:tcW w:w="4832"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 w:right="0"/>
                          <w:jc w:val="left"/>
                          <w:rPr>
                            <w:rFonts w:ascii="宋体" w:hAnsi="宋体" w:cs="宋体" w:eastAsia="宋体" w:hint="default"/>
                            <w:sz w:val="21"/>
                            <w:szCs w:val="21"/>
                          </w:rPr>
                        </w:pPr>
                        <w:r>
                          <w:rPr>
                            <w:rFonts w:ascii="宋体" w:hAnsi="宋体" w:cs="宋体" w:eastAsia="宋体" w:hint="default"/>
                            <w:sz w:val="21"/>
                            <w:szCs w:val="21"/>
                          </w:rPr>
                          <w:t>成都新一驱动科技有限责任公司</w:t>
                        </w:r>
                      </w:p>
                    </w:tc>
                    <w:tc>
                      <w:tcPr>
                        <w:tcW w:w="3696"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1423" w:right="0"/>
                          <w:jc w:val="left"/>
                          <w:rPr>
                            <w:rFonts w:ascii="宋体" w:hAnsi="宋体" w:cs="宋体" w:eastAsia="宋体" w:hint="default"/>
                            <w:sz w:val="21"/>
                            <w:szCs w:val="21"/>
                          </w:rPr>
                        </w:pPr>
                        <w:r>
                          <w:rPr>
                            <w:rFonts w:ascii="宋体" w:hAnsi="宋体" w:cs="宋体" w:eastAsia="宋体" w:hint="default"/>
                            <w:sz w:val="21"/>
                            <w:szCs w:val="21"/>
                          </w:rPr>
                          <w:t>投资购买</w:t>
                        </w:r>
                      </w:p>
                    </w:tc>
                  </w:tr>
                </w:tbl>
                <w:p>
                  <w:pPr/>
                </w:p>
              </w:txbxContent>
            </v:textbox>
            <w10:wrap type="none"/>
          </v:shape>
        </w:pict>
      </w:r>
      <w:r>
        <w:rPr/>
        <w:t>①本期新纳入合并范围的子公司、特殊目的主体、通过受托经营或承租等方式形成控制 权的经营实体。</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9"/>
          <w:szCs w:val="19"/>
        </w:rPr>
      </w:pPr>
    </w:p>
    <w:p>
      <w:pPr>
        <w:pStyle w:val="BodyText"/>
        <w:spacing w:line="352" w:lineRule="auto" w:before="26"/>
        <w:ind w:left="154" w:right="1152" w:firstLine="480"/>
        <w:jc w:val="left"/>
      </w:pPr>
      <w:r>
        <w:rPr/>
        <w:t>②本期无不再纳入合并范围的子公司、特殊目的主体、通过委托经营或出租等方式丧失 控制权的经营实体。</w:t>
      </w:r>
    </w:p>
    <w:p>
      <w:pPr>
        <w:pStyle w:val="Heading2"/>
        <w:spacing w:line="240" w:lineRule="auto" w:before="205"/>
        <w:ind w:left="154" w:right="996"/>
        <w:jc w:val="left"/>
        <w:rPr>
          <w:b w:val="0"/>
          <w:bCs w:val="0"/>
        </w:rPr>
      </w:pPr>
      <w:bookmarkStart w:name="（7）公司报告期内业务、产品或服务发生重大变化或调整有关情况" w:id="40"/>
      <w:bookmarkEnd w:id="40"/>
      <w:r>
        <w:rPr>
          <w:b w:val="0"/>
          <w:bCs w:val="0"/>
        </w:rPr>
      </w:r>
      <w:r>
        <w:rPr/>
        <w:t>（</w:t>
      </w:r>
      <w:r>
        <w:rPr>
          <w:rFonts w:ascii="Times New Roman" w:hAnsi="Times New Roman" w:cs="Times New Roman" w:eastAsia="Times New Roman" w:hint="default"/>
        </w:rPr>
        <w:t>7</w:t>
      </w:r>
      <w:r>
        <w:rPr/>
        <w:t>）公司报告期内业务、产品或服务发生重大变化或调整有关情况</w:t>
      </w:r>
      <w:r>
        <w:rPr>
          <w:b w:val="0"/>
          <w:bCs w:val="0"/>
        </w:rPr>
      </w:r>
    </w:p>
    <w:p>
      <w:pPr>
        <w:spacing w:line="240" w:lineRule="auto" w:before="1"/>
        <w:rPr>
          <w:rFonts w:ascii="宋体" w:hAnsi="宋体" w:cs="宋体" w:eastAsia="宋体" w:hint="default"/>
          <w:b/>
          <w:bCs/>
          <w:sz w:val="31"/>
          <w:szCs w:val="31"/>
        </w:rPr>
      </w:pPr>
    </w:p>
    <w:p>
      <w:pPr>
        <w:pStyle w:val="BodyText"/>
        <w:spacing w:line="240" w:lineRule="auto" w:before="0"/>
        <w:ind w:left="633" w:right="996"/>
        <w:jc w:val="left"/>
      </w:pPr>
      <w:r>
        <w:rPr/>
        <w:t>□ 适用 √ 不适用</w:t>
      </w:r>
    </w:p>
    <w:p>
      <w:pPr>
        <w:spacing w:line="240" w:lineRule="auto" w:before="5"/>
        <w:rPr>
          <w:rFonts w:ascii="宋体" w:hAnsi="宋体" w:cs="宋体" w:eastAsia="宋体" w:hint="default"/>
          <w:sz w:val="24"/>
          <w:szCs w:val="24"/>
        </w:rPr>
      </w:pPr>
    </w:p>
    <w:p>
      <w:pPr>
        <w:spacing w:line="532" w:lineRule="auto" w:before="0"/>
        <w:ind w:left="153" w:right="6192" w:firstLine="0"/>
        <w:jc w:val="left"/>
        <w:rPr>
          <w:rFonts w:ascii="宋体" w:hAnsi="宋体" w:cs="宋体" w:eastAsia="宋体" w:hint="default"/>
          <w:sz w:val="24"/>
          <w:szCs w:val="24"/>
        </w:rPr>
      </w:pPr>
      <w:r>
        <w:rPr/>
        <w:pict>
          <v:shape style="position:absolute;margin-left:56.459999pt;margin-top:55.595623pt;width:479.2pt;height:76.4pt;mso-position-horizontal-relative:page;mso-position-vertical-relative:paragraph;z-index:119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258"/>
                    <w:gridCol w:w="5311"/>
                  </w:tblGrid>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前五名客户合计销售金额（元）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9"/>
                          <w:jc w:val="right"/>
                          <w:rPr>
                            <w:rFonts w:ascii="宋体" w:hAnsi="宋体" w:cs="宋体" w:eastAsia="宋体" w:hint="default"/>
                            <w:sz w:val="21"/>
                            <w:szCs w:val="21"/>
                          </w:rPr>
                        </w:pPr>
                        <w:r>
                          <w:rPr>
                            <w:rFonts w:ascii="宋体"/>
                            <w:sz w:val="21"/>
                          </w:rPr>
                          <w:t>132,513,175.57</w:t>
                        </w:r>
                      </w:p>
                    </w:tc>
                  </w:tr>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前五名客户合计销售金额占年度销售总额比例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24.24%</w:t>
                        </w:r>
                      </w:p>
                    </w:tc>
                  </w:tr>
                  <w:tr>
                    <w:trPr>
                      <w:trHeight w:val="714"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22" w:right="23"/>
                          <w:jc w:val="left"/>
                          <w:rPr>
                            <w:rFonts w:ascii="宋体" w:hAnsi="宋体" w:cs="宋体" w:eastAsia="宋体" w:hint="default"/>
                            <w:sz w:val="21"/>
                            <w:szCs w:val="21"/>
                          </w:rPr>
                        </w:pPr>
                        <w:r>
                          <w:rPr>
                            <w:rFonts w:ascii="宋体" w:hAnsi="宋体" w:cs="宋体" w:eastAsia="宋体" w:hint="default"/>
                            <w:sz w:val="21"/>
                            <w:szCs w:val="21"/>
                          </w:rPr>
                          <w:t>前五名客户销售额中关联方销售额占年度销售 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0"/>
                          <w:jc w:val="right"/>
                          <w:rPr>
                            <w:rFonts w:ascii="宋体" w:hAnsi="宋体" w:cs="宋体" w:eastAsia="宋体" w:hint="default"/>
                            <w:sz w:val="21"/>
                            <w:szCs w:val="21"/>
                          </w:rPr>
                        </w:pPr>
                        <w:r>
                          <w:rPr>
                            <w:rFonts w:ascii="宋体"/>
                            <w:sz w:val="21"/>
                          </w:rPr>
                          <w:t>0.00%</w:t>
                        </w:r>
                      </w:p>
                    </w:tc>
                  </w:tr>
                </w:tbl>
                <w:p>
                  <w:pPr/>
                </w:p>
              </w:txbxContent>
            </v:textbox>
            <w10:wrap type="none"/>
          </v:shape>
        </w:pict>
      </w:r>
      <w:bookmarkStart w:name="（8）主要销售客户和主要供应商情况" w:id="41"/>
      <w:bookmarkEnd w:id="41"/>
      <w:r>
        <w:rPr/>
      </w:r>
      <w:r>
        <w:rPr>
          <w:rFonts w:ascii="宋体" w:hAnsi="宋体" w:cs="宋体" w:eastAsia="宋体" w:hint="default"/>
          <w:b/>
          <w:bCs/>
          <w:w w:val="95"/>
          <w:sz w:val="24"/>
          <w:szCs w:val="24"/>
        </w:rPr>
        <w:t>（</w:t>
      </w:r>
      <w:r>
        <w:rPr>
          <w:rFonts w:ascii="Times New Roman" w:hAnsi="Times New Roman" w:cs="Times New Roman" w:eastAsia="Times New Roman" w:hint="default"/>
          <w:b/>
          <w:bCs/>
          <w:w w:val="95"/>
          <w:sz w:val="24"/>
          <w:szCs w:val="24"/>
        </w:rPr>
        <w:t>8</w:t>
      </w:r>
      <w:r>
        <w:rPr>
          <w:rFonts w:ascii="宋体" w:hAnsi="宋体" w:cs="宋体" w:eastAsia="宋体" w:hint="default"/>
          <w:b/>
          <w:bCs/>
          <w:w w:val="95"/>
          <w:sz w:val="24"/>
          <w:szCs w:val="24"/>
        </w:rPr>
        <w:t>）主要销售客户和主要供应商情况</w:t>
      </w:r>
      <w:r>
        <w:rPr>
          <w:rFonts w:ascii="宋体" w:hAnsi="宋体" w:cs="宋体" w:eastAsia="宋体" w:hint="default"/>
          <w:b/>
          <w:bCs/>
          <w:spacing w:val="69"/>
          <w:w w:val="95"/>
          <w:sz w:val="24"/>
          <w:szCs w:val="24"/>
        </w:rPr>
        <w:t> </w:t>
      </w:r>
      <w:r>
        <w:rPr>
          <w:rFonts w:ascii="宋体" w:hAnsi="宋体" w:cs="宋体" w:eastAsia="宋体" w:hint="default"/>
          <w:sz w:val="24"/>
          <w:szCs w:val="24"/>
        </w:rPr>
        <w:t>公司主要销售客户情况</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3"/>
          <w:szCs w:val="23"/>
        </w:rPr>
      </w:pPr>
    </w:p>
    <w:p>
      <w:pPr>
        <w:pStyle w:val="BodyText"/>
        <w:spacing w:line="240" w:lineRule="auto" w:before="26"/>
        <w:ind w:left="154" w:right="996"/>
        <w:jc w:val="left"/>
      </w:pPr>
      <w:r>
        <w:rPr/>
        <w:t>公司前</w:t>
      </w:r>
      <w:r>
        <w:rPr>
          <w:spacing w:val="-60"/>
        </w:rPr>
        <w:t> </w:t>
      </w:r>
      <w:r>
        <w:rPr>
          <w:rFonts w:ascii="宋体" w:hAnsi="宋体" w:cs="宋体" w:eastAsia="宋体" w:hint="default"/>
        </w:rPr>
        <w:t>5</w:t>
      </w:r>
      <w:r>
        <w:rPr>
          <w:rFonts w:ascii="宋体" w:hAnsi="宋体" w:cs="宋体" w:eastAsia="宋体" w:hint="default"/>
          <w:spacing w:val="-60"/>
        </w:rPr>
        <w:t> </w:t>
      </w:r>
      <w:r>
        <w:rPr/>
        <w:t>大客户资料</w:t>
      </w:r>
    </w:p>
    <w:p>
      <w:pPr>
        <w:spacing w:line="240" w:lineRule="auto" w:before="6"/>
        <w:rPr>
          <w:rFonts w:ascii="宋体" w:hAnsi="宋体" w:cs="宋体" w:eastAsia="宋体" w:hint="default"/>
          <w:sz w:val="4"/>
          <w:szCs w:val="4"/>
        </w:rPr>
      </w:pPr>
    </w:p>
    <w:tbl>
      <w:tblPr>
        <w:tblW w:w="0" w:type="auto"/>
        <w:jc w:val="left"/>
        <w:tblInd w:w="149" w:type="dxa"/>
        <w:tblLayout w:type="fixed"/>
        <w:tblCellMar>
          <w:top w:w="0" w:type="dxa"/>
          <w:left w:w="0" w:type="dxa"/>
          <w:bottom w:w="0" w:type="dxa"/>
          <w:right w:w="0" w:type="dxa"/>
        </w:tblCellMar>
        <w:tblLook w:val="01E0"/>
      </w:tblPr>
      <w:tblGrid>
        <w:gridCol w:w="791"/>
        <w:gridCol w:w="3313"/>
        <w:gridCol w:w="2322"/>
        <w:gridCol w:w="3143"/>
      </w:tblGrid>
      <w:tr>
        <w:trPr>
          <w:trHeight w:val="401"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85" w:right="0"/>
              <w:jc w:val="left"/>
              <w:rPr>
                <w:rFonts w:ascii="宋体" w:hAnsi="宋体" w:cs="宋体" w:eastAsia="宋体" w:hint="default"/>
                <w:sz w:val="21"/>
                <w:szCs w:val="21"/>
              </w:rPr>
            </w:pPr>
            <w:r>
              <w:rPr>
                <w:rFonts w:ascii="宋体" w:hAnsi="宋体" w:cs="宋体" w:eastAsia="宋体" w:hint="default"/>
                <w:sz w:val="21"/>
                <w:szCs w:val="21"/>
              </w:rPr>
              <w:t>序号</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2" w:right="0"/>
              <w:jc w:val="center"/>
              <w:rPr>
                <w:rFonts w:ascii="宋体" w:hAnsi="宋体" w:cs="宋体" w:eastAsia="宋体" w:hint="default"/>
                <w:sz w:val="21"/>
                <w:szCs w:val="21"/>
              </w:rPr>
            </w:pPr>
            <w:r>
              <w:rPr>
                <w:rFonts w:ascii="宋体" w:hAnsi="宋体" w:cs="宋体" w:eastAsia="宋体" w:hint="default"/>
                <w:sz w:val="21"/>
                <w:szCs w:val="21"/>
              </w:rPr>
              <w:t>客户名称</w:t>
            </w:r>
          </w:p>
        </w:tc>
        <w:tc>
          <w:tcPr>
            <w:tcW w:w="2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销售额（元）</w:t>
            </w:r>
          </w:p>
        </w:tc>
        <w:tc>
          <w:tcPr>
            <w:tcW w:w="3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占年度销售总额比例</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10" w:right="0"/>
              <w:jc w:val="center"/>
              <w:rPr>
                <w:rFonts w:ascii="宋体" w:hAnsi="宋体" w:cs="宋体" w:eastAsia="宋体" w:hint="default"/>
                <w:sz w:val="21"/>
                <w:szCs w:val="21"/>
              </w:rPr>
            </w:pPr>
            <w:r>
              <w:rPr>
                <w:rFonts w:ascii="宋体"/>
                <w:sz w:val="21"/>
              </w:rPr>
              <w:t>1</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21"/>
                <w:szCs w:val="21"/>
              </w:rPr>
            </w:pPr>
            <w:r>
              <w:rPr>
                <w:rFonts w:ascii="宋体" w:hAnsi="宋体" w:cs="宋体" w:eastAsia="宋体" w:hint="default"/>
                <w:sz w:val="21"/>
                <w:szCs w:val="21"/>
              </w:rPr>
              <w:t>客户</w:t>
            </w:r>
            <w:r>
              <w:rPr>
                <w:rFonts w:ascii="宋体" w:hAnsi="宋体" w:cs="宋体" w:eastAsia="宋体" w:hint="default"/>
                <w:spacing w:val="-53"/>
                <w:sz w:val="21"/>
                <w:szCs w:val="21"/>
              </w:rPr>
              <w:t> </w:t>
            </w:r>
            <w:r>
              <w:rPr>
                <w:rFonts w:ascii="宋体" w:hAnsi="宋体" w:cs="宋体" w:eastAsia="宋体" w:hint="default"/>
                <w:sz w:val="21"/>
                <w:szCs w:val="21"/>
              </w:rPr>
              <w:t>1</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
              <w:jc w:val="center"/>
              <w:rPr>
                <w:rFonts w:ascii="宋体" w:hAnsi="宋体" w:cs="宋体" w:eastAsia="宋体" w:hint="default"/>
                <w:sz w:val="21"/>
                <w:szCs w:val="21"/>
              </w:rPr>
            </w:pPr>
            <w:r>
              <w:rPr>
                <w:rFonts w:ascii="宋体"/>
                <w:sz w:val="21"/>
              </w:rPr>
              <w:t>57,425,794.24</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 w:right="0"/>
              <w:jc w:val="center"/>
              <w:rPr>
                <w:rFonts w:ascii="宋体" w:hAnsi="宋体" w:cs="宋体" w:eastAsia="宋体" w:hint="default"/>
                <w:sz w:val="21"/>
                <w:szCs w:val="21"/>
              </w:rPr>
            </w:pPr>
            <w:r>
              <w:rPr>
                <w:rFonts w:ascii="宋体"/>
                <w:sz w:val="21"/>
              </w:rPr>
              <w:t>10.50%</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10" w:right="0"/>
              <w:jc w:val="center"/>
              <w:rPr>
                <w:rFonts w:ascii="宋体" w:hAnsi="宋体" w:cs="宋体" w:eastAsia="宋体" w:hint="default"/>
                <w:sz w:val="21"/>
                <w:szCs w:val="21"/>
              </w:rPr>
            </w:pPr>
            <w:r>
              <w:rPr>
                <w:rFonts w:ascii="宋体"/>
                <w:sz w:val="21"/>
              </w:rPr>
              <w:t>2</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21"/>
                <w:szCs w:val="21"/>
              </w:rPr>
            </w:pPr>
            <w:r>
              <w:rPr>
                <w:rFonts w:ascii="宋体" w:hAnsi="宋体" w:cs="宋体" w:eastAsia="宋体" w:hint="default"/>
                <w:sz w:val="21"/>
                <w:szCs w:val="21"/>
              </w:rPr>
              <w:t>客户</w:t>
            </w:r>
            <w:r>
              <w:rPr>
                <w:rFonts w:ascii="宋体" w:hAnsi="宋体" w:cs="宋体" w:eastAsia="宋体" w:hint="default"/>
                <w:spacing w:val="-53"/>
                <w:sz w:val="21"/>
                <w:szCs w:val="21"/>
              </w:rPr>
              <w:t> </w:t>
            </w:r>
            <w:r>
              <w:rPr>
                <w:rFonts w:ascii="宋体" w:hAnsi="宋体" w:cs="宋体" w:eastAsia="宋体" w:hint="default"/>
                <w:sz w:val="21"/>
                <w:szCs w:val="21"/>
              </w:rPr>
              <w:t>2</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
              <w:jc w:val="center"/>
              <w:rPr>
                <w:rFonts w:ascii="宋体" w:hAnsi="宋体" w:cs="宋体" w:eastAsia="宋体" w:hint="default"/>
                <w:sz w:val="21"/>
                <w:szCs w:val="21"/>
              </w:rPr>
            </w:pPr>
            <w:r>
              <w:rPr>
                <w:rFonts w:ascii="宋体"/>
                <w:sz w:val="21"/>
              </w:rPr>
              <w:t>31,536,461.54</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 w:right="0"/>
              <w:jc w:val="center"/>
              <w:rPr>
                <w:rFonts w:ascii="宋体" w:hAnsi="宋体" w:cs="宋体" w:eastAsia="宋体" w:hint="default"/>
                <w:sz w:val="21"/>
                <w:szCs w:val="21"/>
              </w:rPr>
            </w:pPr>
            <w:r>
              <w:rPr>
                <w:rFonts w:ascii="宋体"/>
                <w:sz w:val="21"/>
              </w:rPr>
              <w:t>5.77%</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10" w:right="0"/>
              <w:jc w:val="center"/>
              <w:rPr>
                <w:rFonts w:ascii="宋体" w:hAnsi="宋体" w:cs="宋体" w:eastAsia="宋体" w:hint="default"/>
                <w:sz w:val="21"/>
                <w:szCs w:val="21"/>
              </w:rPr>
            </w:pPr>
            <w:r>
              <w:rPr>
                <w:rFonts w:ascii="宋体"/>
                <w:sz w:val="21"/>
              </w:rPr>
              <w:t>3</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21"/>
                <w:szCs w:val="21"/>
              </w:rPr>
            </w:pPr>
            <w:r>
              <w:rPr>
                <w:rFonts w:ascii="宋体" w:hAnsi="宋体" w:cs="宋体" w:eastAsia="宋体" w:hint="default"/>
                <w:sz w:val="21"/>
                <w:szCs w:val="21"/>
              </w:rPr>
              <w:t>客户</w:t>
            </w:r>
            <w:r>
              <w:rPr>
                <w:rFonts w:ascii="宋体" w:hAnsi="宋体" w:cs="宋体" w:eastAsia="宋体" w:hint="default"/>
                <w:spacing w:val="-53"/>
                <w:sz w:val="21"/>
                <w:szCs w:val="21"/>
              </w:rPr>
              <w:t> </w:t>
            </w:r>
            <w:r>
              <w:rPr>
                <w:rFonts w:ascii="宋体" w:hAnsi="宋体" w:cs="宋体" w:eastAsia="宋体" w:hint="default"/>
                <w:sz w:val="21"/>
                <w:szCs w:val="21"/>
              </w:rPr>
              <w:t>3</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
              <w:jc w:val="center"/>
              <w:rPr>
                <w:rFonts w:ascii="宋体" w:hAnsi="宋体" w:cs="宋体" w:eastAsia="宋体" w:hint="default"/>
                <w:sz w:val="21"/>
                <w:szCs w:val="21"/>
              </w:rPr>
            </w:pPr>
            <w:r>
              <w:rPr>
                <w:rFonts w:ascii="宋体"/>
                <w:sz w:val="21"/>
              </w:rPr>
              <w:t>14,862,500.01</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 w:right="0"/>
              <w:jc w:val="center"/>
              <w:rPr>
                <w:rFonts w:ascii="宋体" w:hAnsi="宋体" w:cs="宋体" w:eastAsia="宋体" w:hint="default"/>
                <w:sz w:val="21"/>
                <w:szCs w:val="21"/>
              </w:rPr>
            </w:pPr>
            <w:r>
              <w:rPr>
                <w:rFonts w:ascii="宋体"/>
                <w:sz w:val="21"/>
              </w:rPr>
              <w:t>2.72%</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10" w:right="0"/>
              <w:jc w:val="center"/>
              <w:rPr>
                <w:rFonts w:ascii="宋体" w:hAnsi="宋体" w:cs="宋体" w:eastAsia="宋体" w:hint="default"/>
                <w:sz w:val="21"/>
                <w:szCs w:val="21"/>
              </w:rPr>
            </w:pPr>
            <w:r>
              <w:rPr>
                <w:rFonts w:ascii="宋体"/>
                <w:sz w:val="21"/>
              </w:rPr>
              <w:t>4</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21"/>
                <w:szCs w:val="21"/>
              </w:rPr>
            </w:pPr>
            <w:r>
              <w:rPr>
                <w:rFonts w:ascii="宋体" w:hAnsi="宋体" w:cs="宋体" w:eastAsia="宋体" w:hint="default"/>
                <w:sz w:val="21"/>
                <w:szCs w:val="21"/>
              </w:rPr>
              <w:t>客户</w:t>
            </w:r>
            <w:r>
              <w:rPr>
                <w:rFonts w:ascii="宋体" w:hAnsi="宋体" w:cs="宋体" w:eastAsia="宋体" w:hint="default"/>
                <w:spacing w:val="-53"/>
                <w:sz w:val="21"/>
                <w:szCs w:val="21"/>
              </w:rPr>
              <w:t> </w:t>
            </w:r>
            <w:r>
              <w:rPr>
                <w:rFonts w:ascii="宋体" w:hAnsi="宋体" w:cs="宋体" w:eastAsia="宋体" w:hint="default"/>
                <w:sz w:val="21"/>
                <w:szCs w:val="21"/>
              </w:rPr>
              <w:t>4</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
              <w:jc w:val="center"/>
              <w:rPr>
                <w:rFonts w:ascii="宋体" w:hAnsi="宋体" w:cs="宋体" w:eastAsia="宋体" w:hint="default"/>
                <w:sz w:val="21"/>
                <w:szCs w:val="21"/>
              </w:rPr>
            </w:pPr>
            <w:r>
              <w:rPr>
                <w:rFonts w:ascii="宋体"/>
                <w:sz w:val="21"/>
              </w:rPr>
              <w:t>15,888,745.29</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 w:right="0"/>
              <w:jc w:val="center"/>
              <w:rPr>
                <w:rFonts w:ascii="宋体" w:hAnsi="宋体" w:cs="宋体" w:eastAsia="宋体" w:hint="default"/>
                <w:sz w:val="21"/>
                <w:szCs w:val="21"/>
              </w:rPr>
            </w:pPr>
            <w:r>
              <w:rPr>
                <w:rFonts w:ascii="宋体"/>
                <w:sz w:val="21"/>
              </w:rPr>
              <w:t>2.91%</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10" w:right="0"/>
              <w:jc w:val="center"/>
              <w:rPr>
                <w:rFonts w:ascii="宋体" w:hAnsi="宋体" w:cs="宋体" w:eastAsia="宋体" w:hint="default"/>
                <w:sz w:val="21"/>
                <w:szCs w:val="21"/>
              </w:rPr>
            </w:pPr>
            <w:r>
              <w:rPr>
                <w:rFonts w:ascii="宋体"/>
                <w:sz w:val="21"/>
              </w:rPr>
              <w:t>5</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21"/>
                <w:szCs w:val="21"/>
              </w:rPr>
            </w:pPr>
            <w:r>
              <w:rPr>
                <w:rFonts w:ascii="宋体" w:hAnsi="宋体" w:cs="宋体" w:eastAsia="宋体" w:hint="default"/>
                <w:sz w:val="21"/>
                <w:szCs w:val="21"/>
              </w:rPr>
              <w:t>客户</w:t>
            </w:r>
            <w:r>
              <w:rPr>
                <w:rFonts w:ascii="宋体" w:hAnsi="宋体" w:cs="宋体" w:eastAsia="宋体" w:hint="default"/>
                <w:spacing w:val="-53"/>
                <w:sz w:val="21"/>
                <w:szCs w:val="21"/>
              </w:rPr>
              <w:t> </w:t>
            </w:r>
            <w:r>
              <w:rPr>
                <w:rFonts w:ascii="宋体" w:hAnsi="宋体" w:cs="宋体" w:eastAsia="宋体" w:hint="default"/>
                <w:sz w:val="21"/>
                <w:szCs w:val="21"/>
              </w:rPr>
              <w:t>5</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
              <w:jc w:val="center"/>
              <w:rPr>
                <w:rFonts w:ascii="宋体" w:hAnsi="宋体" w:cs="宋体" w:eastAsia="宋体" w:hint="default"/>
                <w:sz w:val="21"/>
                <w:szCs w:val="21"/>
              </w:rPr>
            </w:pPr>
            <w:r>
              <w:rPr>
                <w:rFonts w:ascii="宋体"/>
                <w:sz w:val="21"/>
              </w:rPr>
              <w:t>12,799,674.49</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 w:right="0"/>
              <w:jc w:val="center"/>
              <w:rPr>
                <w:rFonts w:ascii="宋体" w:hAnsi="宋体" w:cs="宋体" w:eastAsia="宋体" w:hint="default"/>
                <w:sz w:val="21"/>
                <w:szCs w:val="21"/>
              </w:rPr>
            </w:pPr>
            <w:r>
              <w:rPr>
                <w:rFonts w:ascii="宋体"/>
                <w:sz w:val="21"/>
              </w:rPr>
              <w:t>2.34%</w:t>
            </w:r>
          </w:p>
        </w:tc>
      </w:tr>
      <w:tr>
        <w:trPr>
          <w:trHeight w:val="403"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12" w:right="0"/>
              <w:jc w:val="center"/>
              <w:rPr>
                <w:rFonts w:ascii="宋体" w:hAnsi="宋体" w:cs="宋体" w:eastAsia="宋体" w:hint="default"/>
                <w:sz w:val="21"/>
                <w:szCs w:val="21"/>
              </w:rPr>
            </w:pPr>
            <w:r>
              <w:rPr>
                <w:rFonts w:ascii="宋体"/>
                <w:sz w:val="21"/>
              </w:rPr>
              <w:t>--</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21"/>
                <w:szCs w:val="21"/>
              </w:rPr>
            </w:pPr>
            <w:r>
              <w:rPr>
                <w:rFonts w:ascii="宋体"/>
                <w:sz w:val="21"/>
              </w:rPr>
              <w:t>132,513,175.57</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 w:right="0"/>
              <w:jc w:val="center"/>
              <w:rPr>
                <w:rFonts w:ascii="宋体" w:hAnsi="宋体" w:cs="宋体" w:eastAsia="宋体" w:hint="default"/>
                <w:sz w:val="21"/>
                <w:szCs w:val="21"/>
              </w:rPr>
            </w:pPr>
            <w:r>
              <w:rPr>
                <w:rFonts w:ascii="宋体"/>
                <w:sz w:val="21"/>
              </w:rPr>
              <w:t>24.2</w:t>
            </w:r>
            <w:r>
              <w:rPr>
                <w:rFonts w:ascii="宋体"/>
                <w:sz w:val="21"/>
                <w:shd w:fill="FFFF00" w:color="auto" w:val="clear"/>
              </w:rPr>
              <w:t>4</w:t>
            </w:r>
            <w:r>
              <w:rPr>
                <w:rFonts w:ascii="宋体"/>
                <w:sz w:val="21"/>
              </w:rPr>
              <w:t>%</w:t>
            </w:r>
          </w:p>
        </w:tc>
      </w:tr>
    </w:tbl>
    <w:p>
      <w:pPr>
        <w:spacing w:line="240" w:lineRule="auto" w:before="10"/>
        <w:rPr>
          <w:rFonts w:ascii="宋体" w:hAnsi="宋体" w:cs="宋体" w:eastAsia="宋体" w:hint="default"/>
          <w:sz w:val="4"/>
          <w:szCs w:val="4"/>
        </w:rPr>
      </w:pPr>
    </w:p>
    <w:p>
      <w:pPr>
        <w:pStyle w:val="BodyText"/>
        <w:spacing w:line="240" w:lineRule="auto" w:before="26"/>
        <w:ind w:left="154" w:right="996"/>
        <w:jc w:val="left"/>
      </w:pPr>
      <w:r>
        <w:rPr/>
        <w:t>主要客户其他情况说明</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350" w:lineRule="auto" w:before="199"/>
        <w:ind w:left="634" w:right="1152" w:hanging="480"/>
        <w:jc w:val="left"/>
      </w:pPr>
      <w:r>
        <w:rPr/>
        <w:t>√ 适用 □ 不适用 公司前五名客户与公司不存在关联关系，公司董事、监事、高级管理人员、核心技术人</w:t>
      </w:r>
    </w:p>
    <w:p>
      <w:pPr>
        <w:pStyle w:val="BodyText"/>
        <w:spacing w:line="350" w:lineRule="auto"/>
        <w:ind w:right="1813"/>
        <w:jc w:val="left"/>
        <w:rPr>
          <w:rFonts w:ascii="宋体" w:hAnsi="宋体" w:cs="宋体" w:eastAsia="宋体" w:hint="default"/>
        </w:rPr>
      </w:pPr>
      <w:r>
        <w:rPr/>
        <w:pict>
          <v:shape style="position:absolute;margin-left:56.459999pt;margin-top:43.405605pt;width:479.2pt;height:60.8pt;mso-position-horizontal-relative:page;mso-position-vertical-relative:paragraph;z-index:121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6522"/>
                    <w:gridCol w:w="3047"/>
                  </w:tblGrid>
                  <w:tr>
                    <w:trPr>
                      <w:trHeight w:val="402" w:hRule="exact"/>
                    </w:trPr>
                    <w:tc>
                      <w:tcPr>
                        <w:tcW w:w="6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前五名供应商合计采购金额（元）</w:t>
                        </w:r>
                      </w:p>
                    </w:tc>
                    <w:tc>
                      <w:tcPr>
                        <w:tcW w:w="3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9"/>
                          <w:jc w:val="right"/>
                          <w:rPr>
                            <w:rFonts w:ascii="宋体" w:hAnsi="宋体" w:cs="宋体" w:eastAsia="宋体" w:hint="default"/>
                            <w:sz w:val="21"/>
                            <w:szCs w:val="21"/>
                          </w:rPr>
                        </w:pPr>
                        <w:r>
                          <w:rPr>
                            <w:rFonts w:ascii="宋体"/>
                            <w:sz w:val="21"/>
                          </w:rPr>
                          <w:t>500,789,149.25</w:t>
                        </w:r>
                      </w:p>
                    </w:tc>
                  </w:tr>
                  <w:tr>
                    <w:trPr>
                      <w:trHeight w:val="402" w:hRule="exact"/>
                    </w:trPr>
                    <w:tc>
                      <w:tcPr>
                        <w:tcW w:w="6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前五名供应商合计采购金额占年度采购总额比例</w:t>
                        </w:r>
                      </w:p>
                    </w:tc>
                    <w:tc>
                      <w:tcPr>
                        <w:tcW w:w="3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22.04%</w:t>
                        </w:r>
                      </w:p>
                    </w:tc>
                  </w:tr>
                  <w:tr>
                    <w:trPr>
                      <w:trHeight w:val="402" w:hRule="exact"/>
                    </w:trPr>
                    <w:tc>
                      <w:tcPr>
                        <w:tcW w:w="6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前五名供应商采购额中关联方采购额占年度采购总额比例</w:t>
                        </w:r>
                      </w:p>
                    </w:tc>
                    <w:tc>
                      <w:tcPr>
                        <w:tcW w:w="3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0.00%</w:t>
                        </w:r>
                      </w:p>
                    </w:tc>
                  </w:tr>
                </w:tbl>
                <w:p>
                  <w:pPr/>
                </w:p>
              </w:txbxContent>
            </v:textbox>
            <w10:wrap type="none"/>
          </v:shape>
        </w:pict>
      </w:r>
      <w:r>
        <w:rPr/>
        <w:t>员、持股</w:t>
      </w:r>
      <w:r>
        <w:rPr>
          <w:spacing w:val="-60"/>
        </w:rPr>
        <w:t> </w:t>
      </w:r>
      <w:r>
        <w:rPr>
          <w:rFonts w:ascii="宋体" w:hAnsi="宋体" w:cs="宋体" w:eastAsia="宋体" w:hint="default"/>
        </w:rPr>
        <w:t>5%</w:t>
      </w:r>
      <w:r>
        <w:rPr/>
        <w:t>以上股东、实际控制人和其他关联方在主要客户中不直接或间拥有权益。 </w:t>
      </w:r>
      <w:r>
        <w:rPr>
          <w:rFonts w:ascii="宋体" w:hAnsi="宋体" w:cs="宋体" w:eastAsia="宋体" w:hint="default"/>
          <w:b/>
          <w:bCs/>
        </w:rPr>
        <w:t>公司主要供应商情况</w:t>
      </w:r>
      <w:r>
        <w:rPr>
          <w:rFonts w:ascii="宋体" w:hAnsi="宋体" w:cs="宋体" w:eastAsia="宋体" w:hint="default"/>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pStyle w:val="Heading2"/>
        <w:spacing w:line="240" w:lineRule="auto" w:before="205"/>
        <w:ind w:left="154" w:right="996"/>
        <w:jc w:val="left"/>
        <w:rPr>
          <w:b w:val="0"/>
          <w:bCs w:val="0"/>
        </w:rPr>
      </w:pPr>
      <w:r>
        <w:rPr/>
        <w:t>公司前</w:t>
      </w:r>
      <w:r>
        <w:rPr>
          <w:spacing w:val="-64"/>
        </w:rPr>
        <w:t> </w:t>
      </w:r>
      <w:r>
        <w:rPr>
          <w:rFonts w:ascii="宋体" w:hAnsi="宋体" w:cs="宋体" w:eastAsia="宋体" w:hint="default"/>
        </w:rPr>
        <w:t>5</w:t>
      </w:r>
      <w:r>
        <w:rPr>
          <w:rFonts w:ascii="宋体" w:hAnsi="宋体" w:cs="宋体" w:eastAsia="宋体" w:hint="default"/>
          <w:spacing w:val="-64"/>
        </w:rPr>
        <w:t> </w:t>
      </w:r>
      <w:r>
        <w:rPr/>
        <w:t>名供应商资料</w:t>
      </w:r>
      <w:r>
        <w:rPr>
          <w:b w:val="0"/>
          <w:bCs w:val="0"/>
        </w:rPr>
      </w:r>
    </w:p>
    <w:p>
      <w:pPr>
        <w:spacing w:line="240" w:lineRule="auto" w:before="5"/>
        <w:rPr>
          <w:rFonts w:ascii="宋体" w:hAnsi="宋体" w:cs="宋体" w:eastAsia="宋体" w:hint="default"/>
          <w:b/>
          <w:bCs/>
          <w:sz w:val="4"/>
          <w:szCs w:val="4"/>
        </w:rPr>
      </w:pPr>
    </w:p>
    <w:tbl>
      <w:tblPr>
        <w:tblW w:w="0" w:type="auto"/>
        <w:jc w:val="left"/>
        <w:tblInd w:w="160" w:type="dxa"/>
        <w:tblLayout w:type="fixed"/>
        <w:tblCellMar>
          <w:top w:w="0" w:type="dxa"/>
          <w:left w:w="0" w:type="dxa"/>
          <w:bottom w:w="0" w:type="dxa"/>
          <w:right w:w="0" w:type="dxa"/>
        </w:tblCellMar>
        <w:tblLook w:val="01E0"/>
      </w:tblPr>
      <w:tblGrid>
        <w:gridCol w:w="686"/>
        <w:gridCol w:w="3839"/>
        <w:gridCol w:w="2694"/>
        <w:gridCol w:w="2338"/>
      </w:tblGrid>
      <w:tr>
        <w:trPr>
          <w:trHeight w:val="402" w:hRule="exact"/>
        </w:trPr>
        <w:tc>
          <w:tcPr>
            <w:tcW w:w="6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27" w:right="0"/>
              <w:jc w:val="left"/>
              <w:rPr>
                <w:rFonts w:ascii="宋体" w:hAnsi="宋体" w:cs="宋体" w:eastAsia="宋体" w:hint="default"/>
                <w:sz w:val="21"/>
                <w:szCs w:val="21"/>
              </w:rPr>
            </w:pPr>
            <w:r>
              <w:rPr>
                <w:rFonts w:ascii="宋体" w:hAnsi="宋体" w:cs="宋体" w:eastAsia="宋体" w:hint="default"/>
                <w:sz w:val="21"/>
                <w:szCs w:val="21"/>
              </w:rPr>
              <w:t>序号</w:t>
            </w:r>
          </w:p>
        </w:tc>
        <w:tc>
          <w:tcPr>
            <w:tcW w:w="38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center"/>
              <w:rPr>
                <w:rFonts w:ascii="宋体" w:hAnsi="宋体" w:cs="宋体" w:eastAsia="宋体" w:hint="default"/>
                <w:sz w:val="21"/>
                <w:szCs w:val="21"/>
              </w:rPr>
            </w:pPr>
            <w:r>
              <w:rPr>
                <w:rFonts w:ascii="宋体" w:hAnsi="宋体" w:cs="宋体" w:eastAsia="宋体" w:hint="default"/>
                <w:sz w:val="21"/>
                <w:szCs w:val="21"/>
              </w:rPr>
              <w:t>供应商名称</w:t>
            </w:r>
          </w:p>
        </w:tc>
        <w:tc>
          <w:tcPr>
            <w:tcW w:w="2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711" w:right="0"/>
              <w:jc w:val="left"/>
              <w:rPr>
                <w:rFonts w:ascii="宋体" w:hAnsi="宋体" w:cs="宋体" w:eastAsia="宋体" w:hint="default"/>
                <w:sz w:val="21"/>
                <w:szCs w:val="21"/>
              </w:rPr>
            </w:pPr>
            <w:r>
              <w:rPr>
                <w:rFonts w:ascii="宋体" w:hAnsi="宋体" w:cs="宋体" w:eastAsia="宋体" w:hint="default"/>
                <w:sz w:val="21"/>
                <w:szCs w:val="21"/>
              </w:rPr>
              <w:t>采购额（元）</w:t>
            </w:r>
          </w:p>
        </w:tc>
        <w:tc>
          <w:tcPr>
            <w:tcW w:w="23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占年度采购总额比例</w:t>
            </w:r>
          </w:p>
        </w:tc>
      </w:tr>
      <w:tr>
        <w:trPr>
          <w:trHeight w:val="402" w:hRule="exact"/>
        </w:trPr>
        <w:tc>
          <w:tcPr>
            <w:tcW w:w="6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1"/>
              <w:jc w:val="center"/>
              <w:rPr>
                <w:rFonts w:ascii="宋体" w:hAnsi="宋体" w:cs="宋体" w:eastAsia="宋体" w:hint="default"/>
                <w:sz w:val="21"/>
                <w:szCs w:val="21"/>
              </w:rPr>
            </w:pPr>
            <w:r>
              <w:rPr>
                <w:rFonts w:ascii="宋体"/>
                <w:sz w:val="21"/>
              </w:rPr>
              <w:t>1</w:t>
            </w:r>
          </w:p>
        </w:tc>
        <w:tc>
          <w:tcPr>
            <w:tcW w:w="383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供应商</w:t>
            </w:r>
            <w:r>
              <w:rPr>
                <w:rFonts w:ascii="宋体" w:hAnsi="宋体" w:cs="宋体" w:eastAsia="宋体" w:hint="default"/>
                <w:spacing w:val="-53"/>
                <w:sz w:val="21"/>
                <w:szCs w:val="21"/>
              </w:rPr>
              <w:t> </w:t>
            </w:r>
            <w:r>
              <w:rPr>
                <w:rFonts w:ascii="宋体" w:hAnsi="宋体" w:cs="宋体" w:eastAsia="宋体" w:hint="default"/>
                <w:sz w:val="21"/>
                <w:szCs w:val="21"/>
              </w:rPr>
              <w:t>1</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501"/>
              <w:jc w:val="right"/>
              <w:rPr>
                <w:rFonts w:ascii="宋体" w:hAnsi="宋体" w:cs="宋体" w:eastAsia="宋体" w:hint="default"/>
                <w:sz w:val="21"/>
                <w:szCs w:val="21"/>
              </w:rPr>
            </w:pPr>
            <w:r>
              <w:rPr>
                <w:rFonts w:ascii="宋体"/>
                <w:spacing w:val="-1"/>
                <w:sz w:val="21"/>
              </w:rPr>
              <w:t>31,536,461.54</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宋体" w:hAnsi="宋体" w:cs="宋体" w:eastAsia="宋体" w:hint="default"/>
                <w:sz w:val="21"/>
                <w:szCs w:val="21"/>
              </w:rPr>
            </w:pPr>
            <w:r>
              <w:rPr>
                <w:rFonts w:ascii="宋体"/>
                <w:sz w:val="21"/>
              </w:rPr>
              <w:t>10.31%</w:t>
            </w:r>
          </w:p>
        </w:tc>
      </w:tr>
      <w:tr>
        <w:trPr>
          <w:trHeight w:val="402" w:hRule="exact"/>
        </w:trPr>
        <w:tc>
          <w:tcPr>
            <w:tcW w:w="6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1"/>
              <w:jc w:val="center"/>
              <w:rPr>
                <w:rFonts w:ascii="宋体" w:hAnsi="宋体" w:cs="宋体" w:eastAsia="宋体" w:hint="default"/>
                <w:sz w:val="21"/>
                <w:szCs w:val="21"/>
              </w:rPr>
            </w:pPr>
            <w:r>
              <w:rPr>
                <w:rFonts w:ascii="宋体"/>
                <w:sz w:val="21"/>
              </w:rPr>
              <w:t>2</w:t>
            </w:r>
          </w:p>
        </w:tc>
        <w:tc>
          <w:tcPr>
            <w:tcW w:w="383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供应商</w:t>
            </w:r>
            <w:r>
              <w:rPr>
                <w:rFonts w:ascii="宋体" w:hAnsi="宋体" w:cs="宋体" w:eastAsia="宋体" w:hint="default"/>
                <w:spacing w:val="-53"/>
                <w:sz w:val="21"/>
                <w:szCs w:val="21"/>
              </w:rPr>
              <w:t> </w:t>
            </w:r>
            <w:r>
              <w:rPr>
                <w:rFonts w:ascii="宋体" w:hAnsi="宋体" w:cs="宋体" w:eastAsia="宋体" w:hint="default"/>
                <w:sz w:val="21"/>
                <w:szCs w:val="21"/>
              </w:rPr>
              <w:t>2</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501"/>
              <w:jc w:val="right"/>
              <w:rPr>
                <w:rFonts w:ascii="宋体" w:hAnsi="宋体" w:cs="宋体" w:eastAsia="宋体" w:hint="default"/>
                <w:sz w:val="21"/>
                <w:szCs w:val="21"/>
              </w:rPr>
            </w:pPr>
            <w:r>
              <w:rPr>
                <w:rFonts w:ascii="宋体"/>
                <w:spacing w:val="-1"/>
                <w:sz w:val="21"/>
              </w:rPr>
              <w:t>12,599,891.45</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sz w:val="21"/>
              </w:rPr>
              <w:t>4.12%</w:t>
            </w:r>
          </w:p>
        </w:tc>
      </w:tr>
      <w:tr>
        <w:trPr>
          <w:trHeight w:val="402" w:hRule="exact"/>
        </w:trPr>
        <w:tc>
          <w:tcPr>
            <w:tcW w:w="6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1"/>
              <w:jc w:val="center"/>
              <w:rPr>
                <w:rFonts w:ascii="宋体" w:hAnsi="宋体" w:cs="宋体" w:eastAsia="宋体" w:hint="default"/>
                <w:sz w:val="21"/>
                <w:szCs w:val="21"/>
              </w:rPr>
            </w:pPr>
            <w:r>
              <w:rPr>
                <w:rFonts w:ascii="宋体"/>
                <w:sz w:val="21"/>
              </w:rPr>
              <w:t>3</w:t>
            </w:r>
          </w:p>
        </w:tc>
        <w:tc>
          <w:tcPr>
            <w:tcW w:w="383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供应商</w:t>
            </w:r>
            <w:r>
              <w:rPr>
                <w:rFonts w:ascii="宋体" w:hAnsi="宋体" w:cs="宋体" w:eastAsia="宋体" w:hint="default"/>
                <w:spacing w:val="-53"/>
                <w:sz w:val="21"/>
                <w:szCs w:val="21"/>
              </w:rPr>
              <w:t> </w:t>
            </w:r>
            <w:r>
              <w:rPr>
                <w:rFonts w:ascii="宋体" w:hAnsi="宋体" w:cs="宋体" w:eastAsia="宋体" w:hint="default"/>
                <w:sz w:val="21"/>
                <w:szCs w:val="21"/>
              </w:rPr>
              <w:t>3</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501"/>
              <w:jc w:val="right"/>
              <w:rPr>
                <w:rFonts w:ascii="宋体" w:hAnsi="宋体" w:cs="宋体" w:eastAsia="宋体" w:hint="default"/>
                <w:sz w:val="21"/>
                <w:szCs w:val="21"/>
              </w:rPr>
            </w:pPr>
            <w:r>
              <w:rPr>
                <w:rFonts w:ascii="宋体"/>
                <w:spacing w:val="-1"/>
                <w:sz w:val="21"/>
              </w:rPr>
              <w:t>12,265,376.92</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sz w:val="21"/>
              </w:rPr>
              <w:t>4.01%</w:t>
            </w:r>
          </w:p>
        </w:tc>
      </w:tr>
      <w:tr>
        <w:trPr>
          <w:trHeight w:val="402" w:hRule="exact"/>
        </w:trPr>
        <w:tc>
          <w:tcPr>
            <w:tcW w:w="6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1"/>
              <w:jc w:val="center"/>
              <w:rPr>
                <w:rFonts w:ascii="宋体" w:hAnsi="宋体" w:cs="宋体" w:eastAsia="宋体" w:hint="default"/>
                <w:sz w:val="21"/>
                <w:szCs w:val="21"/>
              </w:rPr>
            </w:pPr>
            <w:r>
              <w:rPr>
                <w:rFonts w:ascii="宋体"/>
                <w:sz w:val="21"/>
              </w:rPr>
              <w:t>4</w:t>
            </w:r>
          </w:p>
        </w:tc>
        <w:tc>
          <w:tcPr>
            <w:tcW w:w="383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供应商</w:t>
            </w:r>
            <w:r>
              <w:rPr>
                <w:rFonts w:ascii="宋体" w:hAnsi="宋体" w:cs="宋体" w:eastAsia="宋体" w:hint="default"/>
                <w:spacing w:val="-53"/>
                <w:sz w:val="21"/>
                <w:szCs w:val="21"/>
              </w:rPr>
              <w:t> </w:t>
            </w:r>
            <w:r>
              <w:rPr>
                <w:rFonts w:ascii="宋体" w:hAnsi="宋体" w:cs="宋体" w:eastAsia="宋体" w:hint="default"/>
                <w:sz w:val="21"/>
                <w:szCs w:val="21"/>
              </w:rPr>
              <w:t>4</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501"/>
              <w:jc w:val="right"/>
              <w:rPr>
                <w:rFonts w:ascii="宋体" w:hAnsi="宋体" w:cs="宋体" w:eastAsia="宋体" w:hint="default"/>
                <w:sz w:val="21"/>
                <w:szCs w:val="21"/>
              </w:rPr>
            </w:pPr>
            <w:r>
              <w:rPr>
                <w:rFonts w:ascii="宋体"/>
                <w:sz w:val="21"/>
              </w:rPr>
              <w:t>6,745,283.02</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sz w:val="21"/>
              </w:rPr>
              <w:t>2.20%</w:t>
            </w:r>
          </w:p>
        </w:tc>
      </w:tr>
      <w:tr>
        <w:trPr>
          <w:trHeight w:val="402" w:hRule="exact"/>
        </w:trPr>
        <w:tc>
          <w:tcPr>
            <w:tcW w:w="6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1"/>
              <w:jc w:val="center"/>
              <w:rPr>
                <w:rFonts w:ascii="宋体" w:hAnsi="宋体" w:cs="宋体" w:eastAsia="宋体" w:hint="default"/>
                <w:sz w:val="21"/>
                <w:szCs w:val="21"/>
              </w:rPr>
            </w:pPr>
            <w:r>
              <w:rPr>
                <w:rFonts w:ascii="宋体"/>
                <w:sz w:val="21"/>
              </w:rPr>
              <w:t>5</w:t>
            </w:r>
          </w:p>
        </w:tc>
        <w:tc>
          <w:tcPr>
            <w:tcW w:w="383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供应商</w:t>
            </w:r>
            <w:r>
              <w:rPr>
                <w:rFonts w:ascii="宋体" w:hAnsi="宋体" w:cs="宋体" w:eastAsia="宋体" w:hint="default"/>
                <w:spacing w:val="-53"/>
                <w:sz w:val="21"/>
                <w:szCs w:val="21"/>
              </w:rPr>
              <w:t> </w:t>
            </w:r>
            <w:r>
              <w:rPr>
                <w:rFonts w:ascii="宋体" w:hAnsi="宋体" w:cs="宋体" w:eastAsia="宋体" w:hint="default"/>
                <w:sz w:val="21"/>
                <w:szCs w:val="21"/>
              </w:rPr>
              <w:t>5</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501"/>
              <w:jc w:val="right"/>
              <w:rPr>
                <w:rFonts w:ascii="宋体" w:hAnsi="宋体" w:cs="宋体" w:eastAsia="宋体" w:hint="default"/>
                <w:sz w:val="21"/>
                <w:szCs w:val="21"/>
              </w:rPr>
            </w:pPr>
            <w:r>
              <w:rPr>
                <w:rFonts w:ascii="宋体"/>
                <w:sz w:val="21"/>
              </w:rPr>
              <w:t>4,276,068.38</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sz w:val="21"/>
              </w:rPr>
              <w:t>1.40%</w:t>
            </w:r>
          </w:p>
        </w:tc>
      </w:tr>
      <w:tr>
        <w:trPr>
          <w:trHeight w:val="402" w:hRule="exact"/>
        </w:trPr>
        <w:tc>
          <w:tcPr>
            <w:tcW w:w="6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8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2" w:right="0"/>
              <w:jc w:val="center"/>
              <w:rPr>
                <w:rFonts w:ascii="宋体" w:hAnsi="宋体" w:cs="宋体" w:eastAsia="宋体" w:hint="default"/>
                <w:sz w:val="21"/>
                <w:szCs w:val="21"/>
              </w:rPr>
            </w:pPr>
            <w:r>
              <w:rPr>
                <w:rFonts w:ascii="宋体"/>
                <w:sz w:val="21"/>
              </w:rPr>
              <w:t>--</w:t>
            </w:r>
          </w:p>
        </w:tc>
        <w:tc>
          <w:tcPr>
            <w:tcW w:w="26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501"/>
              <w:jc w:val="right"/>
              <w:rPr>
                <w:rFonts w:ascii="宋体" w:hAnsi="宋体" w:cs="宋体" w:eastAsia="宋体" w:hint="default"/>
                <w:sz w:val="21"/>
                <w:szCs w:val="21"/>
              </w:rPr>
            </w:pPr>
            <w:r>
              <w:rPr>
                <w:rFonts w:ascii="宋体"/>
                <w:sz w:val="21"/>
              </w:rPr>
              <w:t>500,789,149.25</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宋体" w:hAnsi="宋体" w:cs="宋体" w:eastAsia="宋体" w:hint="default"/>
                <w:sz w:val="21"/>
                <w:szCs w:val="21"/>
              </w:rPr>
            </w:pPr>
            <w:r>
              <w:rPr>
                <w:rFonts w:ascii="宋体"/>
                <w:sz w:val="21"/>
              </w:rPr>
              <w:t>22.04%</w:t>
            </w:r>
          </w:p>
        </w:tc>
      </w:tr>
    </w:tbl>
    <w:p>
      <w:pPr>
        <w:spacing w:line="240" w:lineRule="auto" w:before="10"/>
        <w:rPr>
          <w:rFonts w:ascii="宋体" w:hAnsi="宋体" w:cs="宋体" w:eastAsia="宋体" w:hint="default"/>
          <w:b/>
          <w:bCs/>
          <w:sz w:val="4"/>
          <w:szCs w:val="4"/>
        </w:rPr>
      </w:pPr>
    </w:p>
    <w:p>
      <w:pPr>
        <w:pStyle w:val="BodyText"/>
        <w:spacing w:line="240" w:lineRule="auto" w:before="26"/>
        <w:ind w:left="634" w:right="996"/>
        <w:jc w:val="left"/>
      </w:pPr>
      <w:r>
        <w:rPr/>
        <w:t>主要供应商其他情况说明</w:t>
      </w:r>
    </w:p>
    <w:p>
      <w:pPr>
        <w:pStyle w:val="BodyText"/>
        <w:spacing w:line="350" w:lineRule="auto" w:before="147"/>
        <w:ind w:left="634" w:right="1152"/>
        <w:jc w:val="left"/>
      </w:pPr>
      <w:r>
        <w:rPr/>
        <w:t>√ 适用 □ 不适用 公司前五名供应商与公司不存在关联关系，公司董事、监事、高级管理人员、核心技术</w:t>
      </w:r>
    </w:p>
    <w:p>
      <w:pPr>
        <w:pStyle w:val="BodyText"/>
        <w:spacing w:line="484" w:lineRule="auto" w:before="35"/>
        <w:ind w:right="1573"/>
        <w:jc w:val="left"/>
        <w:rPr>
          <w:rFonts w:ascii="宋体" w:hAnsi="宋体" w:cs="宋体" w:eastAsia="宋体" w:hint="default"/>
        </w:rPr>
      </w:pPr>
      <w:r>
        <w:rPr/>
        <w:t>人员、持股</w:t>
      </w:r>
      <w:r>
        <w:rPr>
          <w:spacing w:val="-60"/>
        </w:rPr>
        <w:t> </w:t>
      </w:r>
      <w:r>
        <w:rPr>
          <w:rFonts w:ascii="宋体" w:hAnsi="宋体" w:cs="宋体" w:eastAsia="宋体" w:hint="default"/>
        </w:rPr>
        <w:t>5%</w:t>
      </w:r>
      <w:r>
        <w:rPr/>
        <w:t>以上股东、实际控制人和其他关联方在主要客户中不直接或间拥有权益。 </w:t>
      </w:r>
      <w:bookmarkStart w:name="3、费用" w:id="42"/>
      <w:bookmarkEnd w:id="42"/>
      <w:r>
        <w:rPr/>
      </w:r>
      <w:r>
        <w:rPr>
          <w:rFonts w:ascii="宋体" w:hAnsi="宋体" w:cs="宋体" w:eastAsia="宋体" w:hint="default"/>
          <w:b/>
          <w:bCs/>
        </w:rPr>
        <w:t>3</w:t>
      </w:r>
      <w:r>
        <w:rPr>
          <w:rFonts w:ascii="宋体" w:hAnsi="宋体" w:cs="宋体" w:eastAsia="宋体" w:hint="default"/>
          <w:b/>
          <w:bCs/>
        </w:rPr>
        <w:t>、费用</w:t>
      </w:r>
      <w:r>
        <w:rPr>
          <w:rFonts w:ascii="宋体" w:hAnsi="宋体" w:cs="宋体" w:eastAsia="宋体" w:hint="default"/>
        </w:rPr>
      </w:r>
    </w:p>
    <w:p>
      <w:pPr>
        <w:spacing w:before="78"/>
        <w:ind w:left="0" w:right="1130" w:firstLine="0"/>
        <w:jc w:val="right"/>
        <w:rPr>
          <w:rFonts w:ascii="宋体" w:hAnsi="宋体" w:cs="宋体" w:eastAsia="宋体" w:hint="default"/>
          <w:sz w:val="21"/>
          <w:szCs w:val="21"/>
        </w:rPr>
      </w:pPr>
      <w:r>
        <w:rPr>
          <w:rFonts w:ascii="宋体" w:hAnsi="宋体" w:cs="宋体" w:eastAsia="宋体" w:hint="default"/>
          <w:sz w:val="21"/>
          <w:szCs w:val="21"/>
        </w:rPr>
        <w:t>单位：元</w:t>
      </w:r>
    </w:p>
    <w:p>
      <w:pPr>
        <w:spacing w:line="240" w:lineRule="auto" w:before="12"/>
        <w:rPr>
          <w:rFonts w:ascii="宋体" w:hAnsi="宋体" w:cs="宋体" w:eastAsia="宋体" w:hint="default"/>
          <w:sz w:val="6"/>
          <w:szCs w:val="6"/>
        </w:rPr>
      </w:pPr>
    </w:p>
    <w:tbl>
      <w:tblPr>
        <w:tblW w:w="0" w:type="auto"/>
        <w:jc w:val="left"/>
        <w:tblInd w:w="230" w:type="dxa"/>
        <w:tblLayout w:type="fixed"/>
        <w:tblCellMar>
          <w:top w:w="0" w:type="dxa"/>
          <w:left w:w="0" w:type="dxa"/>
          <w:bottom w:w="0" w:type="dxa"/>
          <w:right w:w="0" w:type="dxa"/>
        </w:tblCellMar>
        <w:tblLook w:val="01E0"/>
      </w:tblPr>
      <w:tblGrid>
        <w:gridCol w:w="1337"/>
        <w:gridCol w:w="1637"/>
        <w:gridCol w:w="1637"/>
        <w:gridCol w:w="1190"/>
        <w:gridCol w:w="3686"/>
      </w:tblGrid>
      <w:tr>
        <w:trPr>
          <w:trHeight w:val="402" w:hRule="exact"/>
        </w:trPr>
        <w:tc>
          <w:tcPr>
            <w:tcW w:w="133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71"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1"/>
                <w:sz w:val="21"/>
                <w:szCs w:val="21"/>
              </w:rPr>
              <w:t> </w:t>
            </w:r>
            <w:r>
              <w:rPr>
                <w:rFonts w:ascii="宋体" w:hAnsi="宋体" w:cs="宋体" w:eastAsia="宋体" w:hint="default"/>
                <w:sz w:val="21"/>
                <w:szCs w:val="21"/>
              </w:rPr>
              <w:t>年</w:t>
            </w: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71"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1"/>
                <w:sz w:val="21"/>
                <w:szCs w:val="21"/>
              </w:rPr>
              <w:t> </w:t>
            </w:r>
            <w:r>
              <w:rPr>
                <w:rFonts w:ascii="宋体" w:hAnsi="宋体" w:cs="宋体" w:eastAsia="宋体" w:hint="default"/>
                <w:sz w:val="21"/>
                <w:szCs w:val="21"/>
              </w:rPr>
              <w:t>年</w:t>
            </w:r>
          </w:p>
        </w:tc>
        <w:tc>
          <w:tcPr>
            <w:tcW w:w="1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69" w:right="0"/>
              <w:jc w:val="left"/>
              <w:rPr>
                <w:rFonts w:ascii="宋体" w:hAnsi="宋体" w:cs="宋体" w:eastAsia="宋体" w:hint="default"/>
                <w:sz w:val="21"/>
                <w:szCs w:val="21"/>
              </w:rPr>
            </w:pPr>
            <w:r>
              <w:rPr>
                <w:rFonts w:ascii="宋体" w:hAnsi="宋体" w:cs="宋体" w:eastAsia="宋体" w:hint="default"/>
                <w:sz w:val="21"/>
                <w:szCs w:val="21"/>
              </w:rPr>
              <w:t>同比增减</w:t>
            </w:r>
          </w:p>
        </w:tc>
        <w:tc>
          <w:tcPr>
            <w:tcW w:w="36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207" w:right="0"/>
              <w:jc w:val="left"/>
              <w:rPr>
                <w:rFonts w:ascii="宋体" w:hAnsi="宋体" w:cs="宋体" w:eastAsia="宋体" w:hint="default"/>
                <w:sz w:val="21"/>
                <w:szCs w:val="21"/>
              </w:rPr>
            </w:pPr>
            <w:r>
              <w:rPr>
                <w:rFonts w:ascii="宋体" w:hAnsi="宋体" w:cs="宋体" w:eastAsia="宋体" w:hint="default"/>
                <w:sz w:val="21"/>
                <w:szCs w:val="21"/>
              </w:rPr>
              <w:t>重大变动说明</w:t>
            </w:r>
          </w:p>
        </w:tc>
      </w:tr>
      <w:tr>
        <w:trPr>
          <w:trHeight w:val="402" w:hRule="exact"/>
        </w:trPr>
        <w:tc>
          <w:tcPr>
            <w:tcW w:w="13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2"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163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31,096,146.69</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32,051,198.07</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-2.98%</w:t>
            </w:r>
          </w:p>
        </w:tc>
        <w:tc>
          <w:tcPr>
            <w:tcW w:w="36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2"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163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19"/>
              <w:jc w:val="right"/>
              <w:rPr>
                <w:rFonts w:ascii="宋体" w:hAnsi="宋体" w:cs="宋体" w:eastAsia="宋体" w:hint="default"/>
                <w:sz w:val="21"/>
                <w:szCs w:val="21"/>
              </w:rPr>
            </w:pPr>
            <w:r>
              <w:rPr>
                <w:rFonts w:ascii="宋体"/>
                <w:sz w:val="21"/>
              </w:rPr>
              <w:t>108,189,529.40</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94,807,818.81</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3"/>
              <w:jc w:val="right"/>
              <w:rPr>
                <w:rFonts w:ascii="宋体" w:hAnsi="宋体" w:cs="宋体" w:eastAsia="宋体" w:hint="default"/>
                <w:sz w:val="21"/>
                <w:szCs w:val="21"/>
              </w:rPr>
            </w:pPr>
            <w:r>
              <w:rPr>
                <w:rFonts w:ascii="宋体"/>
                <w:sz w:val="21"/>
              </w:rPr>
              <w:t>14.11%</w:t>
            </w:r>
          </w:p>
        </w:tc>
        <w:tc>
          <w:tcPr>
            <w:tcW w:w="3686" w:type="dxa"/>
            <w:tcBorders>
              <w:top w:val="single" w:sz="4" w:space="0" w:color="000000"/>
              <w:left w:val="single" w:sz="4" w:space="0" w:color="000000"/>
              <w:bottom w:val="single" w:sz="4" w:space="0" w:color="000000"/>
              <w:right w:val="single" w:sz="4" w:space="0" w:color="000000"/>
            </w:tcBorders>
          </w:tcPr>
          <w:p>
            <w:pPr/>
          </w:p>
        </w:tc>
      </w:tr>
      <w:tr>
        <w:trPr>
          <w:trHeight w:val="317" w:hRule="exact"/>
        </w:trPr>
        <w:tc>
          <w:tcPr>
            <w:tcW w:w="1337" w:type="dxa"/>
            <w:tcBorders>
              <w:top w:val="single" w:sz="4" w:space="0" w:color="000000"/>
              <w:left w:val="single" w:sz="4" w:space="0" w:color="000000"/>
              <w:bottom w:val="nil" w:sz="6" w:space="0" w:color="auto"/>
              <w:right w:val="single" w:sz="4" w:space="0" w:color="000000"/>
            </w:tcBorders>
            <w:shd w:val="clear" w:color="auto" w:fill="D2D2D2"/>
          </w:tcPr>
          <w:p>
            <w:pPr/>
          </w:p>
        </w:tc>
        <w:tc>
          <w:tcPr>
            <w:tcW w:w="1637" w:type="dxa"/>
            <w:vMerge w:val="restart"/>
            <w:tcBorders>
              <w:top w:val="single" w:sz="4" w:space="0" w:color="000000"/>
              <w:left w:val="single" w:sz="9" w:space="0" w:color="D2D2D2"/>
              <w:right w:val="single"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left="233" w:right="0"/>
              <w:jc w:val="left"/>
              <w:rPr>
                <w:rFonts w:ascii="宋体" w:hAnsi="宋体" w:cs="宋体" w:eastAsia="宋体" w:hint="default"/>
                <w:sz w:val="21"/>
                <w:szCs w:val="21"/>
              </w:rPr>
            </w:pPr>
            <w:r>
              <w:rPr>
                <w:rFonts w:ascii="宋体"/>
                <w:sz w:val="21"/>
              </w:rPr>
              <w:t>15,641,036.26</w:t>
            </w:r>
          </w:p>
        </w:tc>
        <w:tc>
          <w:tcPr>
            <w:tcW w:w="1637"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left="345" w:right="0"/>
              <w:jc w:val="left"/>
              <w:rPr>
                <w:rFonts w:ascii="宋体" w:hAnsi="宋体" w:cs="宋体" w:eastAsia="宋体" w:hint="default"/>
                <w:sz w:val="21"/>
                <w:szCs w:val="21"/>
              </w:rPr>
            </w:pPr>
            <w:r>
              <w:rPr>
                <w:rFonts w:ascii="宋体"/>
                <w:sz w:val="21"/>
              </w:rPr>
              <w:t>7,669,024.20</w:t>
            </w:r>
          </w:p>
        </w:tc>
        <w:tc>
          <w:tcPr>
            <w:tcW w:w="1190"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left="422" w:right="0"/>
              <w:jc w:val="left"/>
              <w:rPr>
                <w:rFonts w:ascii="宋体" w:hAnsi="宋体" w:cs="宋体" w:eastAsia="宋体" w:hint="default"/>
                <w:sz w:val="21"/>
                <w:szCs w:val="21"/>
              </w:rPr>
            </w:pPr>
            <w:r>
              <w:rPr>
                <w:rFonts w:ascii="宋体"/>
                <w:sz w:val="21"/>
              </w:rPr>
              <w:t>103.95%</w:t>
            </w:r>
          </w:p>
        </w:tc>
        <w:tc>
          <w:tcPr>
            <w:tcW w:w="3686" w:type="dxa"/>
            <w:vMerge w:val="restart"/>
            <w:tcBorders>
              <w:top w:val="single" w:sz="4" w:space="0" w:color="000000"/>
              <w:left w:val="single" w:sz="4" w:space="0" w:color="000000"/>
              <w:right w:val="single" w:sz="4" w:space="0" w:color="000000"/>
            </w:tcBorders>
          </w:tcPr>
          <w:p>
            <w:pPr>
              <w:pStyle w:val="TableParagraph"/>
              <w:spacing w:line="273" w:lineRule="auto" w:before="26"/>
              <w:ind w:left="22" w:right="20"/>
              <w:jc w:val="both"/>
              <w:rPr>
                <w:rFonts w:ascii="宋体" w:hAnsi="宋体" w:cs="宋体" w:eastAsia="宋体" w:hint="default"/>
                <w:sz w:val="21"/>
                <w:szCs w:val="21"/>
              </w:rPr>
            </w:pPr>
            <w:r>
              <w:rPr>
                <w:rFonts w:ascii="宋体" w:hAnsi="宋体" w:cs="宋体" w:eastAsia="宋体" w:hint="default"/>
                <w:sz w:val="21"/>
                <w:szCs w:val="21"/>
              </w:rPr>
              <w:t>财务费用较上年同期增加</w:t>
            </w:r>
            <w:r>
              <w:rPr>
                <w:rFonts w:ascii="宋体" w:hAnsi="宋体" w:cs="宋体" w:eastAsia="宋体" w:hint="default"/>
                <w:spacing w:val="-52"/>
                <w:sz w:val="21"/>
                <w:szCs w:val="21"/>
              </w:rPr>
              <w:t> </w:t>
            </w:r>
            <w:r>
              <w:rPr>
                <w:rFonts w:ascii="宋体" w:hAnsi="宋体" w:cs="宋体" w:eastAsia="宋体" w:hint="default"/>
                <w:spacing w:val="-10"/>
                <w:sz w:val="21"/>
                <w:szCs w:val="21"/>
              </w:rPr>
              <w:t>103.95%</w:t>
            </w:r>
            <w:r>
              <w:rPr>
                <w:rFonts w:ascii="宋体" w:hAnsi="宋体" w:cs="宋体" w:eastAsia="宋体" w:hint="default"/>
                <w:spacing w:val="-10"/>
                <w:sz w:val="21"/>
                <w:szCs w:val="21"/>
              </w:rPr>
              <w:t>，主要</w:t>
            </w:r>
            <w:r>
              <w:rPr>
                <w:rFonts w:ascii="宋体" w:hAnsi="宋体" w:cs="宋体" w:eastAsia="宋体" w:hint="default"/>
                <w:sz w:val="21"/>
                <w:szCs w:val="21"/>
              </w:rPr>
              <w:t> 系公司本年定期存款到期较上年减少导 致本年利息收入减少。</w:t>
            </w:r>
          </w:p>
        </w:tc>
      </w:tr>
      <w:tr>
        <w:trPr>
          <w:trHeight w:val="392" w:hRule="exact"/>
        </w:trPr>
        <w:tc>
          <w:tcPr>
            <w:tcW w:w="133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6"/>
              <w:ind w:left="12"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1637" w:type="dxa"/>
            <w:vMerge/>
            <w:tcBorders>
              <w:left w:val="single" w:sz="9" w:space="0" w:color="D2D2D2"/>
              <w:right w:val="single" w:sz="4" w:space="0" w:color="000000"/>
            </w:tcBorders>
          </w:tcPr>
          <w:p>
            <w:pPr/>
          </w:p>
        </w:tc>
        <w:tc>
          <w:tcPr>
            <w:tcW w:w="1637" w:type="dxa"/>
            <w:vMerge/>
            <w:tcBorders>
              <w:left w:val="single" w:sz="4" w:space="0" w:color="000000"/>
              <w:right w:val="single" w:sz="4" w:space="0" w:color="000000"/>
            </w:tcBorders>
          </w:tcPr>
          <w:p>
            <w:pPr/>
          </w:p>
        </w:tc>
        <w:tc>
          <w:tcPr>
            <w:tcW w:w="1190" w:type="dxa"/>
            <w:vMerge/>
            <w:tcBorders>
              <w:left w:val="single" w:sz="4" w:space="0" w:color="000000"/>
              <w:right w:val="single" w:sz="4" w:space="0" w:color="000000"/>
            </w:tcBorders>
          </w:tcPr>
          <w:p>
            <w:pPr/>
          </w:p>
        </w:tc>
        <w:tc>
          <w:tcPr>
            <w:tcW w:w="3686" w:type="dxa"/>
            <w:vMerge/>
            <w:tcBorders>
              <w:left w:val="single" w:sz="4" w:space="0" w:color="000000"/>
              <w:right w:val="single" w:sz="4" w:space="0" w:color="000000"/>
            </w:tcBorders>
          </w:tcPr>
          <w:p>
            <w:pPr/>
          </w:p>
        </w:tc>
      </w:tr>
      <w:tr>
        <w:trPr>
          <w:trHeight w:val="317" w:hRule="exact"/>
        </w:trPr>
        <w:tc>
          <w:tcPr>
            <w:tcW w:w="1337" w:type="dxa"/>
            <w:tcBorders>
              <w:top w:val="nil" w:sz="6" w:space="0" w:color="auto"/>
              <w:left w:val="single" w:sz="4" w:space="0" w:color="000000"/>
              <w:bottom w:val="single" w:sz="4" w:space="0" w:color="000000"/>
              <w:right w:val="single" w:sz="4" w:space="0" w:color="000000"/>
            </w:tcBorders>
            <w:shd w:val="clear" w:color="auto" w:fill="D2D2D2"/>
          </w:tcPr>
          <w:p>
            <w:pPr/>
          </w:p>
        </w:tc>
        <w:tc>
          <w:tcPr>
            <w:tcW w:w="1637" w:type="dxa"/>
            <w:vMerge/>
            <w:tcBorders>
              <w:left w:val="single" w:sz="9" w:space="0" w:color="D2D2D2"/>
              <w:bottom w:val="single" w:sz="4" w:space="0" w:color="000000"/>
              <w:right w:val="single" w:sz="4" w:space="0" w:color="000000"/>
            </w:tcBorders>
          </w:tcPr>
          <w:p>
            <w:pPr/>
          </w:p>
        </w:tc>
        <w:tc>
          <w:tcPr>
            <w:tcW w:w="1637" w:type="dxa"/>
            <w:vMerge/>
            <w:tcBorders>
              <w:left w:val="single" w:sz="4" w:space="0" w:color="000000"/>
              <w:bottom w:val="single" w:sz="4" w:space="0" w:color="000000"/>
              <w:right w:val="single" w:sz="4" w:space="0" w:color="000000"/>
            </w:tcBorders>
          </w:tcPr>
          <w:p>
            <w:pPr/>
          </w:p>
        </w:tc>
        <w:tc>
          <w:tcPr>
            <w:tcW w:w="1190" w:type="dxa"/>
            <w:vMerge/>
            <w:tcBorders>
              <w:left w:val="single" w:sz="4" w:space="0" w:color="000000"/>
              <w:bottom w:val="single" w:sz="4" w:space="0" w:color="000000"/>
              <w:right w:val="single" w:sz="4" w:space="0" w:color="000000"/>
            </w:tcBorders>
          </w:tcPr>
          <w:p>
            <w:pPr/>
          </w:p>
        </w:tc>
        <w:tc>
          <w:tcPr>
            <w:tcW w:w="3686" w:type="dxa"/>
            <w:vMerge/>
            <w:tcBorders>
              <w:left w:val="single" w:sz="4" w:space="0" w:color="000000"/>
              <w:bottom w:val="single" w:sz="4" w:space="0" w:color="000000"/>
              <w:right w:val="single" w:sz="4" w:space="0" w:color="000000"/>
            </w:tcBorders>
          </w:tcPr>
          <w:p>
            <w:pPr/>
          </w:p>
        </w:tc>
      </w:tr>
    </w:tbl>
    <w:p>
      <w:pPr>
        <w:spacing w:line="240" w:lineRule="auto" w:before="10"/>
        <w:rPr>
          <w:rFonts w:ascii="宋体" w:hAnsi="宋体" w:cs="宋体" w:eastAsia="宋体" w:hint="default"/>
          <w:sz w:val="4"/>
          <w:szCs w:val="4"/>
        </w:rPr>
      </w:pPr>
    </w:p>
    <w:p>
      <w:pPr>
        <w:pStyle w:val="Heading2"/>
        <w:spacing w:line="240" w:lineRule="auto"/>
        <w:ind w:left="154" w:right="996"/>
        <w:jc w:val="left"/>
        <w:rPr>
          <w:b w:val="0"/>
          <w:bCs w:val="0"/>
        </w:rPr>
      </w:pPr>
      <w:bookmarkStart w:name="4、研发投入" w:id="43"/>
      <w:bookmarkEnd w:id="43"/>
      <w:r>
        <w:rPr>
          <w:b w:val="0"/>
          <w:bCs w:val="0"/>
        </w:rPr>
      </w:r>
      <w:r>
        <w:rPr>
          <w:rFonts w:ascii="宋体" w:hAnsi="宋体" w:cs="宋体" w:eastAsia="宋体" w:hint="default"/>
        </w:rPr>
        <w:t>4</w:t>
      </w:r>
      <w:r>
        <w:rPr/>
        <w:t>、研发投入</w:t>
      </w:r>
      <w:r>
        <w:rPr>
          <w:b w:val="0"/>
          <w:bCs w:val="0"/>
        </w:rPr>
      </w:r>
    </w:p>
    <w:p>
      <w:pPr>
        <w:pStyle w:val="BodyText"/>
        <w:spacing w:line="350" w:lineRule="auto" w:before="146"/>
        <w:ind w:left="154" w:right="996" w:firstLine="480"/>
        <w:jc w:val="left"/>
      </w:pPr>
      <w:r>
        <w:rPr>
          <w:spacing w:val="-3"/>
        </w:rPr>
        <w:t>公司高度重视对产品研发的投入和自身研发实力综合能力的提升。一方面以客户为中心，</w:t>
      </w:r>
      <w:r>
        <w:rPr/>
        <w:t> 完善升级现有产品，提高客户满意度，提升市场影响力和竞争力；另一方面加大预研力度， 开发新需求，增加产品应用，拓展新领域，满足未来市场需求。同时，不断加强与高校、科</w:t>
      </w:r>
    </w:p>
    <w:p>
      <w:pPr>
        <w:spacing w:after="0" w:line="35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350" w:lineRule="auto" w:before="199"/>
        <w:ind w:right="1153"/>
        <w:jc w:val="left"/>
      </w:pPr>
      <w:r>
        <w:rPr/>
        <w:t>研院所合作力度，跟踪当前技术发展方向，使公司在技术创新、新技术应用等方面不断保持 领先优势，持续提升公司整体研发技术水平。</w:t>
      </w:r>
    </w:p>
    <w:p>
      <w:pPr>
        <w:pStyle w:val="BodyText"/>
        <w:spacing w:line="240" w:lineRule="auto"/>
        <w:ind w:left="633" w:right="996"/>
        <w:jc w:val="left"/>
      </w:pPr>
      <w:r>
        <w:rPr/>
        <w:t>报告期内，公司实施的重点新研发项目进展如下：</w:t>
      </w:r>
    </w:p>
    <w:p>
      <w:pPr>
        <w:pStyle w:val="BodyText"/>
        <w:spacing w:line="350" w:lineRule="auto" w:before="146"/>
        <w:ind w:right="1131" w:firstLine="480"/>
        <w:jc w:val="both"/>
      </w:pPr>
      <w:r>
        <w:rPr>
          <w:spacing w:val="-3"/>
        </w:rPr>
        <w:t>（</w:t>
      </w:r>
      <w:r>
        <w:rPr>
          <w:rFonts w:ascii="宋体" w:hAnsi="宋体" w:cs="宋体" w:eastAsia="宋体" w:hint="default"/>
          <w:spacing w:val="-3"/>
        </w:rPr>
        <w:t>1</w:t>
      </w:r>
      <w:r>
        <w:rPr>
          <w:spacing w:val="-3"/>
        </w:rPr>
        <w:t>）完成电务安全监测综合管理平台（</w:t>
      </w:r>
      <w:r>
        <w:rPr>
          <w:rFonts w:ascii="宋体" w:hAnsi="宋体" w:cs="宋体" w:eastAsia="宋体" w:hint="default"/>
          <w:spacing w:val="-3"/>
        </w:rPr>
        <w:t>8D</w:t>
      </w:r>
      <w:r>
        <w:rPr>
          <w:spacing w:val="-3"/>
        </w:rPr>
        <w:t>）系统的总体方案设计和现场试点部署，正式</w:t>
      </w:r>
      <w:r>
        <w:rPr/>
        <w:t> 进入试点验证阶段，为运营维护大数据深入研究奠定了平台基础。</w:t>
      </w:r>
    </w:p>
    <w:p>
      <w:pPr>
        <w:pStyle w:val="BodyText"/>
        <w:spacing w:line="350" w:lineRule="auto"/>
        <w:ind w:right="1131" w:firstLine="480"/>
        <w:jc w:val="both"/>
      </w:pPr>
      <w:r>
        <w:rPr>
          <w:spacing w:val="-3"/>
        </w:rPr>
        <w:t>（</w:t>
      </w:r>
      <w:r>
        <w:rPr>
          <w:rFonts w:ascii="宋体" w:hAnsi="宋体" w:cs="宋体" w:eastAsia="宋体" w:hint="default"/>
          <w:spacing w:val="-3"/>
        </w:rPr>
        <w:t>2</w:t>
      </w:r>
      <w:r>
        <w:rPr>
          <w:spacing w:val="-3"/>
        </w:rPr>
        <w:t>）完成了高速铁路地震预警监测系统核心算法软件的难关攻克工作，系统通过了中铁</w:t>
      </w:r>
      <w:r>
        <w:rPr/>
        <w:t> 总组织的测试，并在中国铁路总公司科技管理部和中国地震局科技司的共同组织下，通过了 上道评审工作。</w:t>
      </w:r>
    </w:p>
    <w:p>
      <w:pPr>
        <w:pStyle w:val="BodyText"/>
        <w:spacing w:line="350" w:lineRule="auto"/>
        <w:ind w:right="1131" w:firstLine="480"/>
        <w:jc w:val="both"/>
      </w:pPr>
      <w:r>
        <w:rPr>
          <w:spacing w:val="-3"/>
        </w:rPr>
        <w:t>（</w:t>
      </w:r>
      <w:r>
        <w:rPr>
          <w:rFonts w:ascii="宋体" w:hAnsi="宋体" w:cs="宋体" w:eastAsia="宋体" w:hint="default"/>
          <w:spacing w:val="-3"/>
        </w:rPr>
        <w:t>3</w:t>
      </w:r>
      <w:r>
        <w:rPr>
          <w:spacing w:val="-3"/>
        </w:rPr>
        <w:t>）完成了国产密码技术与城轨自动化监控平台融合，形成国内城市轨道交通领域首套</w:t>
      </w:r>
      <w:r>
        <w:rPr/>
        <w:t> 全自主密文化自动化监控软件平台，并通过了中国软件测评中心的测试，经科技部行业主管 部门的评审已达到国内领先水平。</w:t>
      </w:r>
    </w:p>
    <w:p>
      <w:pPr>
        <w:pStyle w:val="BodyText"/>
        <w:spacing w:line="350" w:lineRule="auto"/>
        <w:ind w:left="633" w:right="3433"/>
        <w:jc w:val="left"/>
      </w:pPr>
      <w:r>
        <w:rPr/>
        <w:pict>
          <v:shape style="position:absolute;margin-left:71.190002pt;margin-top:43.355618pt;width:453.75pt;height:156.9pt;mso-position-horizontal-relative:page;mso-position-vertical-relative:paragraph;z-index:124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935"/>
                    <w:gridCol w:w="2157"/>
                    <w:gridCol w:w="2127"/>
                    <w:gridCol w:w="1842"/>
                  </w:tblGrid>
                  <w:tr>
                    <w:trPr>
                      <w:trHeight w:val="402" w:hRule="exact"/>
                    </w:trPr>
                    <w:tc>
                      <w:tcPr>
                        <w:tcW w:w="293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1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11" w:right="0"/>
                          <w:jc w:val="center"/>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1"/>
                            <w:sz w:val="21"/>
                            <w:szCs w:val="21"/>
                          </w:rPr>
                          <w:t> </w:t>
                        </w:r>
                        <w:r>
                          <w:rPr>
                            <w:rFonts w:ascii="宋体" w:hAnsi="宋体" w:cs="宋体" w:eastAsia="宋体" w:hint="default"/>
                            <w:sz w:val="21"/>
                            <w:szCs w:val="21"/>
                          </w:rPr>
                          <w:t>年</w:t>
                        </w:r>
                      </w:p>
                    </w:tc>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right="0"/>
                          <w:jc w:val="center"/>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1"/>
                            <w:sz w:val="21"/>
                            <w:szCs w:val="21"/>
                          </w:rPr>
                          <w:t> </w:t>
                        </w:r>
                        <w:r>
                          <w:rPr>
                            <w:rFonts w:ascii="宋体" w:hAnsi="宋体" w:cs="宋体" w:eastAsia="宋体" w:hint="default"/>
                            <w:sz w:val="21"/>
                            <w:szCs w:val="21"/>
                          </w:rPr>
                          <w:t>年</w:t>
                        </w:r>
                      </w:p>
                    </w:tc>
                    <w:tc>
                      <w:tcPr>
                        <w:tcW w:w="18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495" w:right="0"/>
                          <w:jc w:val="left"/>
                          <w:rPr>
                            <w:rFonts w:ascii="宋体" w:hAnsi="宋体" w:cs="宋体" w:eastAsia="宋体" w:hint="default"/>
                            <w:sz w:val="21"/>
                            <w:szCs w:val="21"/>
                          </w:rPr>
                        </w:pPr>
                        <w:r>
                          <w:rPr>
                            <w:rFonts w:ascii="宋体" w:hAnsi="宋体" w:cs="宋体" w:eastAsia="宋体" w:hint="default"/>
                            <w:sz w:val="21"/>
                            <w:szCs w:val="21"/>
                          </w:rPr>
                          <w:t>变动比例</w:t>
                        </w:r>
                      </w:p>
                    </w:tc>
                  </w:tr>
                  <w:tr>
                    <w:trPr>
                      <w:trHeight w:val="402" w:hRule="exact"/>
                    </w:trPr>
                    <w:tc>
                      <w:tcPr>
                        <w:tcW w:w="2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11" w:right="0"/>
                          <w:jc w:val="left"/>
                          <w:rPr>
                            <w:rFonts w:ascii="宋体" w:hAnsi="宋体" w:cs="宋体" w:eastAsia="宋体" w:hint="default"/>
                            <w:sz w:val="21"/>
                            <w:szCs w:val="21"/>
                          </w:rPr>
                        </w:pPr>
                        <w:r>
                          <w:rPr>
                            <w:rFonts w:ascii="宋体" w:hAnsi="宋体" w:cs="宋体" w:eastAsia="宋体" w:hint="default"/>
                            <w:sz w:val="21"/>
                            <w:szCs w:val="21"/>
                          </w:rPr>
                          <w:t>研发人员数量（人）</w:t>
                        </w:r>
                      </w:p>
                    </w:tc>
                    <w:tc>
                      <w:tcPr>
                        <w:tcW w:w="215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7"/>
                          <w:ind w:right="21"/>
                          <w:jc w:val="right"/>
                          <w:rPr>
                            <w:rFonts w:ascii="宋体" w:hAnsi="宋体" w:cs="宋体" w:eastAsia="宋体" w:hint="default"/>
                            <w:sz w:val="21"/>
                            <w:szCs w:val="21"/>
                          </w:rPr>
                        </w:pPr>
                        <w:r>
                          <w:rPr>
                            <w:rFonts w:ascii="宋体"/>
                            <w:sz w:val="21"/>
                          </w:rPr>
                          <w:t>242</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0"/>
                          <w:jc w:val="right"/>
                          <w:rPr>
                            <w:rFonts w:ascii="宋体" w:hAnsi="宋体" w:cs="宋体" w:eastAsia="宋体" w:hint="default"/>
                            <w:sz w:val="21"/>
                            <w:szCs w:val="21"/>
                          </w:rPr>
                        </w:pPr>
                        <w:r>
                          <w:rPr>
                            <w:rFonts w:ascii="宋体"/>
                            <w:sz w:val="21"/>
                          </w:rPr>
                          <w:t>216</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3"/>
                          <w:jc w:val="right"/>
                          <w:rPr>
                            <w:rFonts w:ascii="宋体" w:hAnsi="宋体" w:cs="宋体" w:eastAsia="宋体" w:hint="default"/>
                            <w:sz w:val="21"/>
                            <w:szCs w:val="21"/>
                          </w:rPr>
                        </w:pPr>
                        <w:r>
                          <w:rPr>
                            <w:rFonts w:ascii="宋体"/>
                            <w:sz w:val="21"/>
                          </w:rPr>
                          <w:t>12.04%</w:t>
                        </w:r>
                      </w:p>
                    </w:tc>
                  </w:tr>
                  <w:tr>
                    <w:trPr>
                      <w:trHeight w:val="402" w:hRule="exact"/>
                    </w:trPr>
                    <w:tc>
                      <w:tcPr>
                        <w:tcW w:w="2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11" w:right="0"/>
                          <w:jc w:val="left"/>
                          <w:rPr>
                            <w:rFonts w:ascii="宋体" w:hAnsi="宋体" w:cs="宋体" w:eastAsia="宋体" w:hint="default"/>
                            <w:sz w:val="21"/>
                            <w:szCs w:val="21"/>
                          </w:rPr>
                        </w:pPr>
                        <w:r>
                          <w:rPr>
                            <w:rFonts w:ascii="宋体" w:hAnsi="宋体" w:cs="宋体" w:eastAsia="宋体" w:hint="default"/>
                            <w:sz w:val="21"/>
                            <w:szCs w:val="21"/>
                          </w:rPr>
                          <w:t>研发人员数量占比</w:t>
                        </w:r>
                      </w:p>
                    </w:tc>
                    <w:tc>
                      <w:tcPr>
                        <w:tcW w:w="215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7"/>
                          <w:ind w:right="21"/>
                          <w:jc w:val="right"/>
                          <w:rPr>
                            <w:rFonts w:ascii="宋体" w:hAnsi="宋体" w:cs="宋体" w:eastAsia="宋体" w:hint="default"/>
                            <w:sz w:val="21"/>
                            <w:szCs w:val="21"/>
                          </w:rPr>
                        </w:pPr>
                        <w:r>
                          <w:rPr>
                            <w:rFonts w:ascii="宋体"/>
                            <w:sz w:val="21"/>
                          </w:rPr>
                          <w:t>32.18%</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1"/>
                          <w:jc w:val="right"/>
                          <w:rPr>
                            <w:rFonts w:ascii="宋体" w:hAnsi="宋体" w:cs="宋体" w:eastAsia="宋体" w:hint="default"/>
                            <w:sz w:val="21"/>
                            <w:szCs w:val="21"/>
                          </w:rPr>
                        </w:pPr>
                        <w:r>
                          <w:rPr>
                            <w:rFonts w:ascii="宋体"/>
                            <w:sz w:val="21"/>
                          </w:rPr>
                          <w:t>31.44%</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1"/>
                          <w:jc w:val="right"/>
                          <w:rPr>
                            <w:rFonts w:ascii="宋体" w:hAnsi="宋体" w:cs="宋体" w:eastAsia="宋体" w:hint="default"/>
                            <w:sz w:val="21"/>
                            <w:szCs w:val="21"/>
                          </w:rPr>
                        </w:pPr>
                        <w:r>
                          <w:rPr>
                            <w:rFonts w:ascii="宋体"/>
                            <w:sz w:val="21"/>
                          </w:rPr>
                          <w:t>0.74%</w:t>
                        </w:r>
                      </w:p>
                    </w:tc>
                  </w:tr>
                  <w:tr>
                    <w:trPr>
                      <w:trHeight w:val="402" w:hRule="exact"/>
                    </w:trPr>
                    <w:tc>
                      <w:tcPr>
                        <w:tcW w:w="2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11" w:right="0"/>
                          <w:jc w:val="left"/>
                          <w:rPr>
                            <w:rFonts w:ascii="宋体" w:hAnsi="宋体" w:cs="宋体" w:eastAsia="宋体" w:hint="default"/>
                            <w:sz w:val="21"/>
                            <w:szCs w:val="21"/>
                          </w:rPr>
                        </w:pPr>
                        <w:r>
                          <w:rPr>
                            <w:rFonts w:ascii="宋体" w:hAnsi="宋体" w:cs="宋体" w:eastAsia="宋体" w:hint="default"/>
                            <w:sz w:val="21"/>
                            <w:szCs w:val="21"/>
                          </w:rPr>
                          <w:t>研发投入金额（元）</w:t>
                        </w:r>
                      </w:p>
                    </w:tc>
                    <w:tc>
                      <w:tcPr>
                        <w:tcW w:w="215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7"/>
                          <w:ind w:right="21"/>
                          <w:jc w:val="right"/>
                          <w:rPr>
                            <w:rFonts w:ascii="宋体" w:hAnsi="宋体" w:cs="宋体" w:eastAsia="宋体" w:hint="default"/>
                            <w:sz w:val="21"/>
                            <w:szCs w:val="21"/>
                          </w:rPr>
                        </w:pPr>
                        <w:r>
                          <w:rPr>
                            <w:rFonts w:ascii="宋体"/>
                            <w:sz w:val="21"/>
                          </w:rPr>
                          <w:t>59,787,351.00</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0"/>
                          <w:jc w:val="right"/>
                          <w:rPr>
                            <w:rFonts w:ascii="宋体" w:hAnsi="宋体" w:cs="宋体" w:eastAsia="宋体" w:hint="default"/>
                            <w:sz w:val="21"/>
                            <w:szCs w:val="21"/>
                          </w:rPr>
                        </w:pPr>
                        <w:r>
                          <w:rPr>
                            <w:rFonts w:ascii="宋体"/>
                            <w:sz w:val="21"/>
                          </w:rPr>
                          <w:t>52,655,150.78</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3"/>
                          <w:jc w:val="right"/>
                          <w:rPr>
                            <w:rFonts w:ascii="宋体" w:hAnsi="宋体" w:cs="宋体" w:eastAsia="宋体" w:hint="default"/>
                            <w:sz w:val="21"/>
                            <w:szCs w:val="21"/>
                          </w:rPr>
                        </w:pPr>
                        <w:r>
                          <w:rPr>
                            <w:rFonts w:ascii="宋体"/>
                            <w:sz w:val="21"/>
                          </w:rPr>
                          <w:t>13.55%</w:t>
                        </w:r>
                      </w:p>
                    </w:tc>
                  </w:tr>
                  <w:tr>
                    <w:trPr>
                      <w:trHeight w:val="402" w:hRule="exact"/>
                    </w:trPr>
                    <w:tc>
                      <w:tcPr>
                        <w:tcW w:w="2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11" w:right="0"/>
                          <w:jc w:val="left"/>
                          <w:rPr>
                            <w:rFonts w:ascii="宋体" w:hAnsi="宋体" w:cs="宋体" w:eastAsia="宋体" w:hint="default"/>
                            <w:sz w:val="21"/>
                            <w:szCs w:val="21"/>
                          </w:rPr>
                        </w:pPr>
                        <w:r>
                          <w:rPr>
                            <w:rFonts w:ascii="宋体" w:hAnsi="宋体" w:cs="宋体" w:eastAsia="宋体" w:hint="default"/>
                            <w:sz w:val="21"/>
                            <w:szCs w:val="21"/>
                          </w:rPr>
                          <w:t>研发投入占营业收入比例</w:t>
                        </w:r>
                      </w:p>
                    </w:tc>
                    <w:tc>
                      <w:tcPr>
                        <w:tcW w:w="215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7"/>
                          <w:ind w:right="21"/>
                          <w:jc w:val="right"/>
                          <w:rPr>
                            <w:rFonts w:ascii="宋体" w:hAnsi="宋体" w:cs="宋体" w:eastAsia="宋体" w:hint="default"/>
                            <w:sz w:val="21"/>
                            <w:szCs w:val="21"/>
                          </w:rPr>
                        </w:pPr>
                        <w:r>
                          <w:rPr>
                            <w:rFonts w:ascii="宋体"/>
                            <w:sz w:val="21"/>
                          </w:rPr>
                          <w:t>10.93%</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1"/>
                          <w:jc w:val="right"/>
                          <w:rPr>
                            <w:rFonts w:ascii="宋体" w:hAnsi="宋体" w:cs="宋体" w:eastAsia="宋体" w:hint="default"/>
                            <w:sz w:val="21"/>
                            <w:szCs w:val="21"/>
                          </w:rPr>
                        </w:pPr>
                        <w:r>
                          <w:rPr>
                            <w:rFonts w:ascii="宋体"/>
                            <w:sz w:val="21"/>
                          </w:rPr>
                          <w:t>10.23%</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1"/>
                          <w:jc w:val="right"/>
                          <w:rPr>
                            <w:rFonts w:ascii="宋体" w:hAnsi="宋体" w:cs="宋体" w:eastAsia="宋体" w:hint="default"/>
                            <w:sz w:val="21"/>
                            <w:szCs w:val="21"/>
                          </w:rPr>
                        </w:pPr>
                        <w:r>
                          <w:rPr>
                            <w:rFonts w:ascii="宋体"/>
                            <w:sz w:val="21"/>
                          </w:rPr>
                          <w:t>0.70%</w:t>
                        </w:r>
                      </w:p>
                    </w:tc>
                  </w:tr>
                  <w:tr>
                    <w:trPr>
                      <w:trHeight w:val="402" w:hRule="exact"/>
                    </w:trPr>
                    <w:tc>
                      <w:tcPr>
                        <w:tcW w:w="2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11" w:right="0"/>
                          <w:jc w:val="left"/>
                          <w:rPr>
                            <w:rFonts w:ascii="宋体" w:hAnsi="宋体" w:cs="宋体" w:eastAsia="宋体" w:hint="default"/>
                            <w:sz w:val="21"/>
                            <w:szCs w:val="21"/>
                          </w:rPr>
                        </w:pPr>
                        <w:r>
                          <w:rPr>
                            <w:rFonts w:ascii="宋体" w:hAnsi="宋体" w:cs="宋体" w:eastAsia="宋体" w:hint="default"/>
                            <w:sz w:val="21"/>
                            <w:szCs w:val="21"/>
                          </w:rPr>
                          <w:t>研发投入资本化的金额（元）</w:t>
                        </w:r>
                      </w:p>
                    </w:tc>
                    <w:tc>
                      <w:tcPr>
                        <w:tcW w:w="215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7"/>
                          <w:ind w:right="23"/>
                          <w:jc w:val="right"/>
                          <w:rPr>
                            <w:rFonts w:ascii="宋体" w:hAnsi="宋体" w:cs="宋体" w:eastAsia="宋体" w:hint="default"/>
                            <w:sz w:val="21"/>
                            <w:szCs w:val="21"/>
                          </w:rPr>
                        </w:pPr>
                        <w:r>
                          <w:rPr>
                            <w:rFonts w:ascii="宋体"/>
                            <w:sz w:val="21"/>
                          </w:rPr>
                          <w:t>0.00</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0"/>
                          <w:jc w:val="right"/>
                          <w:rPr>
                            <w:rFonts w:ascii="宋体" w:hAnsi="宋体" w:cs="宋体" w:eastAsia="宋体" w:hint="default"/>
                            <w:sz w:val="21"/>
                            <w:szCs w:val="21"/>
                          </w:rPr>
                        </w:pPr>
                        <w:r>
                          <w:rPr>
                            <w:rFonts w:ascii="宋体"/>
                            <w:sz w:val="21"/>
                          </w:rPr>
                          <w:t>0.00</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1"/>
                          <w:jc w:val="right"/>
                          <w:rPr>
                            <w:rFonts w:ascii="宋体" w:hAnsi="宋体" w:cs="宋体" w:eastAsia="宋体" w:hint="default"/>
                            <w:sz w:val="21"/>
                            <w:szCs w:val="21"/>
                          </w:rPr>
                        </w:pPr>
                        <w:r>
                          <w:rPr>
                            <w:rFonts w:ascii="宋体"/>
                            <w:sz w:val="21"/>
                          </w:rPr>
                          <w:t>0.00%</w:t>
                        </w:r>
                      </w:p>
                    </w:tc>
                  </w:tr>
                  <w:tr>
                    <w:trPr>
                      <w:trHeight w:val="715" w:hRule="exact"/>
                    </w:trPr>
                    <w:tc>
                      <w:tcPr>
                        <w:tcW w:w="2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7"/>
                          <w:ind w:left="11" w:right="183"/>
                          <w:jc w:val="left"/>
                          <w:rPr>
                            <w:rFonts w:ascii="宋体" w:hAnsi="宋体" w:cs="宋体" w:eastAsia="宋体" w:hint="default"/>
                            <w:sz w:val="21"/>
                            <w:szCs w:val="21"/>
                          </w:rPr>
                        </w:pPr>
                        <w:r>
                          <w:rPr>
                            <w:rFonts w:ascii="宋体" w:hAnsi="宋体" w:cs="宋体" w:eastAsia="宋体" w:hint="default"/>
                            <w:sz w:val="21"/>
                            <w:szCs w:val="21"/>
                          </w:rPr>
                          <w:t>资本化研发投入占研发投入的 比例</w:t>
                        </w:r>
                      </w:p>
                    </w:tc>
                    <w:tc>
                      <w:tcPr>
                        <w:tcW w:w="215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21"/>
                          <w:jc w:val="right"/>
                          <w:rPr>
                            <w:rFonts w:ascii="宋体" w:hAnsi="宋体" w:cs="宋体" w:eastAsia="宋体" w:hint="default"/>
                            <w:sz w:val="21"/>
                            <w:szCs w:val="21"/>
                          </w:rPr>
                        </w:pPr>
                        <w:r>
                          <w:rPr>
                            <w:rFonts w:ascii="宋体"/>
                            <w:sz w:val="21"/>
                          </w:rPr>
                          <w:t>0.00%</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20"/>
                          <w:jc w:val="right"/>
                          <w:rPr>
                            <w:rFonts w:ascii="宋体" w:hAnsi="宋体" w:cs="宋体" w:eastAsia="宋体" w:hint="default"/>
                            <w:sz w:val="21"/>
                            <w:szCs w:val="21"/>
                          </w:rPr>
                        </w:pPr>
                        <w:r>
                          <w:rPr>
                            <w:rFonts w:ascii="宋体"/>
                            <w:sz w:val="21"/>
                          </w:rPr>
                          <w:t>0.00%</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21"/>
                          <w:jc w:val="right"/>
                          <w:rPr>
                            <w:rFonts w:ascii="宋体" w:hAnsi="宋体" w:cs="宋体" w:eastAsia="宋体" w:hint="default"/>
                            <w:sz w:val="21"/>
                            <w:szCs w:val="21"/>
                          </w:rPr>
                        </w:pPr>
                        <w:r>
                          <w:rPr>
                            <w:rFonts w:ascii="宋体"/>
                            <w:sz w:val="21"/>
                          </w:rPr>
                          <w:t>0.00%</w:t>
                        </w:r>
                      </w:p>
                    </w:tc>
                  </w:tr>
                </w:tbl>
                <w:p>
                  <w:pPr/>
                </w:p>
              </w:txbxContent>
            </v:textbox>
            <w10:wrap type="none"/>
          </v:shape>
        </w:pict>
      </w:r>
      <w:r>
        <w:rPr/>
        <w:t>（</w:t>
      </w:r>
      <w:r>
        <w:rPr>
          <w:rFonts w:ascii="宋体" w:hAnsi="宋体" w:cs="宋体" w:eastAsia="宋体" w:hint="default"/>
        </w:rPr>
        <w:t>4</w:t>
      </w:r>
      <w:r>
        <w:rPr/>
        <w:t>）稳步推进募投项目各个子系统的试点验证和结项准备工作。 公司研发投入情况</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747" w:footer="979" w:top="1060" w:bottom="1160" w:left="980" w:right="0"/>
        </w:sectPr>
      </w:pPr>
    </w:p>
    <w:p>
      <w:pPr>
        <w:pStyle w:val="BodyText"/>
        <w:spacing w:line="240" w:lineRule="auto" w:before="26"/>
        <w:ind w:left="634" w:right="-20"/>
        <w:jc w:val="left"/>
      </w:pPr>
      <w:r>
        <w:rPr/>
        <w:t>研发投入总额占营业收入的比重较上年发生显著变化的原因</w:t>
      </w:r>
    </w:p>
    <w:p>
      <w:pPr>
        <w:pStyle w:val="BodyText"/>
        <w:spacing w:line="350" w:lineRule="auto" w:before="145"/>
        <w:ind w:left="634" w:right="940"/>
        <w:jc w:val="left"/>
      </w:pPr>
      <w:r>
        <w:rPr/>
        <w:t>□ 适用 √ 不适用 研发投入资本化率大幅变动的原因及其合理性说明</w:t>
      </w:r>
    </w:p>
    <w:p>
      <w:pPr>
        <w:spacing w:line="350" w:lineRule="auto" w:before="36"/>
        <w:ind w:left="153" w:right="4181" w:firstLine="480"/>
        <w:jc w:val="left"/>
        <w:rPr>
          <w:rFonts w:ascii="宋体" w:hAnsi="宋体" w:cs="宋体" w:eastAsia="宋体" w:hint="default"/>
          <w:sz w:val="24"/>
          <w:szCs w:val="24"/>
        </w:rPr>
      </w:pPr>
      <w:r>
        <w:rPr>
          <w:rFonts w:ascii="宋体" w:hAnsi="宋体" w:cs="宋体" w:eastAsia="宋体" w:hint="default"/>
          <w:sz w:val="24"/>
          <w:szCs w:val="24"/>
        </w:rPr>
        <w:t>□ 适用 √ 不适用 </w:t>
      </w:r>
      <w:bookmarkStart w:name="5、现金流" w:id="44"/>
      <w:bookmarkEnd w:id="44"/>
      <w:r>
        <w:rPr>
          <w:rFonts w:ascii="宋体" w:hAnsi="宋体" w:cs="宋体" w:eastAsia="宋体" w:hint="default"/>
          <w:sz w:val="24"/>
          <w:szCs w:val="24"/>
        </w:rPr>
      </w:r>
      <w:r>
        <w:rPr>
          <w:rFonts w:ascii="宋体" w:hAnsi="宋体" w:cs="宋体" w:eastAsia="宋体" w:hint="default"/>
          <w:b/>
          <w:bCs/>
          <w:sz w:val="24"/>
          <w:szCs w:val="24"/>
        </w:rPr>
        <w:t>5</w:t>
      </w:r>
      <w:r>
        <w:rPr>
          <w:rFonts w:ascii="宋体" w:hAnsi="宋体" w:cs="宋体" w:eastAsia="宋体" w:hint="default"/>
          <w:b/>
          <w:bCs/>
          <w:sz w:val="24"/>
          <w:szCs w:val="24"/>
        </w:rPr>
        <w:t>、现金流</w:t>
      </w:r>
      <w:r>
        <w:rPr>
          <w:rFonts w:ascii="宋体" w:hAnsi="宋体" w:cs="宋体" w:eastAsia="宋体" w:hint="default"/>
          <w:sz w:val="24"/>
          <w:szCs w:val="24"/>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before="169"/>
        <w:ind w:left="153" w:right="0" w:firstLine="0"/>
        <w:jc w:val="left"/>
        <w:rPr>
          <w:rFonts w:ascii="宋体" w:hAnsi="宋体" w:cs="宋体" w:eastAsia="宋体" w:hint="default"/>
          <w:sz w:val="21"/>
          <w:szCs w:val="21"/>
        </w:rPr>
      </w:pPr>
      <w:r>
        <w:rPr>
          <w:rFonts w:ascii="宋体" w:hAnsi="宋体" w:cs="宋体" w:eastAsia="宋体" w:hint="default"/>
          <w:sz w:val="21"/>
          <w:szCs w:val="21"/>
        </w:rPr>
        <w:t>单位：元</w:t>
      </w:r>
    </w:p>
    <w:p>
      <w:pPr>
        <w:spacing w:after="0"/>
        <w:jc w:val="left"/>
        <w:rPr>
          <w:rFonts w:ascii="宋体" w:hAnsi="宋体" w:cs="宋体" w:eastAsia="宋体" w:hint="default"/>
          <w:sz w:val="21"/>
          <w:szCs w:val="21"/>
        </w:rPr>
        <w:sectPr>
          <w:type w:val="continuous"/>
          <w:pgSz w:w="11910" w:h="16840"/>
          <w:pgMar w:top="1060" w:bottom="1160" w:left="980" w:right="0"/>
          <w:cols w:num="2" w:equalWidth="0">
            <w:col w:w="6875" w:space="1925"/>
            <w:col w:w="2130"/>
          </w:cols>
        </w:sectPr>
      </w:pPr>
    </w:p>
    <w:p>
      <w:pPr>
        <w:spacing w:line="240" w:lineRule="auto" w:before="0"/>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369"/>
        <w:gridCol w:w="2405"/>
        <w:gridCol w:w="2392"/>
        <w:gridCol w:w="2392"/>
      </w:tblGrid>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4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3" w:right="0"/>
              <w:jc w:val="center"/>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1"/>
                <w:sz w:val="21"/>
                <w:szCs w:val="21"/>
              </w:rPr>
              <w:t> </w:t>
            </w:r>
            <w:r>
              <w:rPr>
                <w:rFonts w:ascii="宋体" w:hAnsi="宋体" w:cs="宋体" w:eastAsia="宋体" w:hint="default"/>
                <w:sz w:val="21"/>
                <w:szCs w:val="21"/>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849"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1"/>
                <w:sz w:val="21"/>
                <w:szCs w:val="21"/>
              </w:rPr>
              <w:t> </w:t>
            </w:r>
            <w:r>
              <w:rPr>
                <w:rFonts w:ascii="宋体" w:hAnsi="宋体" w:cs="宋体" w:eastAsia="宋体" w:hint="default"/>
                <w:sz w:val="21"/>
                <w:szCs w:val="21"/>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770" w:right="0"/>
              <w:jc w:val="left"/>
              <w:rPr>
                <w:rFonts w:ascii="宋体" w:hAnsi="宋体" w:cs="宋体" w:eastAsia="宋体" w:hint="default"/>
                <w:sz w:val="21"/>
                <w:szCs w:val="21"/>
              </w:rPr>
            </w:pPr>
            <w:r>
              <w:rPr>
                <w:rFonts w:ascii="宋体" w:hAnsi="宋体" w:cs="宋体" w:eastAsia="宋体" w:hint="default"/>
                <w:sz w:val="21"/>
                <w:szCs w:val="21"/>
              </w:rPr>
              <w:t>同比增减</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经营活动现金流入小计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578,608,001.09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890" w:right="0"/>
              <w:jc w:val="left"/>
              <w:rPr>
                <w:rFonts w:ascii="宋体" w:hAnsi="宋体" w:cs="宋体" w:eastAsia="宋体" w:hint="default"/>
                <w:sz w:val="21"/>
                <w:szCs w:val="21"/>
              </w:rPr>
            </w:pPr>
            <w:r>
              <w:rPr>
                <w:rFonts w:ascii="宋体"/>
                <w:sz w:val="21"/>
              </w:rPr>
              <w:t>608,050,309.80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-4.84%</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经营活动现金流出小计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518,889,090.78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890" w:right="0"/>
              <w:jc w:val="left"/>
              <w:rPr>
                <w:rFonts w:ascii="宋体" w:hAnsi="宋体" w:cs="宋体" w:eastAsia="宋体" w:hint="default"/>
                <w:sz w:val="21"/>
                <w:szCs w:val="21"/>
              </w:rPr>
            </w:pPr>
            <w:r>
              <w:rPr>
                <w:rFonts w:ascii="宋体"/>
                <w:sz w:val="21"/>
              </w:rPr>
              <w:t>471,481,101.62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10.06%</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11" w:right="35"/>
              <w:jc w:val="left"/>
              <w:rPr>
                <w:rFonts w:ascii="宋体" w:hAnsi="宋体" w:cs="宋体" w:eastAsia="宋体" w:hint="default"/>
                <w:sz w:val="21"/>
                <w:szCs w:val="21"/>
              </w:rPr>
            </w:pPr>
            <w:r>
              <w:rPr>
                <w:rFonts w:ascii="宋体" w:hAnsi="宋体" w:cs="宋体" w:eastAsia="宋体" w:hint="default"/>
                <w:sz w:val="21"/>
                <w:szCs w:val="21"/>
              </w:rPr>
              <w:t>经营活动产生的现金流量 净额</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0"/>
              <w:jc w:val="right"/>
              <w:rPr>
                <w:rFonts w:ascii="宋体" w:hAnsi="宋体" w:cs="宋体" w:eastAsia="宋体" w:hint="default"/>
                <w:sz w:val="21"/>
                <w:szCs w:val="21"/>
              </w:rPr>
            </w:pPr>
            <w:r>
              <w:rPr>
                <w:rFonts w:ascii="宋体"/>
                <w:sz w:val="21"/>
              </w:rPr>
              <w:t>59,718,910.31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890" w:right="0"/>
              <w:jc w:val="left"/>
              <w:rPr>
                <w:rFonts w:ascii="宋体" w:hAnsi="宋体" w:cs="宋体" w:eastAsia="宋体" w:hint="default"/>
                <w:sz w:val="21"/>
                <w:szCs w:val="21"/>
              </w:rPr>
            </w:pPr>
            <w:r>
              <w:rPr>
                <w:rFonts w:ascii="宋体"/>
                <w:sz w:val="21"/>
              </w:rPr>
              <w:t>136,569,208.18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9"/>
              <w:jc w:val="right"/>
              <w:rPr>
                <w:rFonts w:ascii="宋体" w:hAnsi="宋体" w:cs="宋体" w:eastAsia="宋体" w:hint="default"/>
                <w:sz w:val="21"/>
                <w:szCs w:val="21"/>
              </w:rPr>
            </w:pPr>
            <w:r>
              <w:rPr>
                <w:rFonts w:ascii="宋体"/>
                <w:sz w:val="21"/>
              </w:rPr>
              <w:t>-56.27%</w:t>
            </w:r>
          </w:p>
        </w:tc>
      </w:tr>
    </w:tbl>
    <w:p>
      <w:pPr>
        <w:spacing w:after="0" w:line="240" w:lineRule="auto"/>
        <w:jc w:val="right"/>
        <w:rPr>
          <w:rFonts w:ascii="宋体" w:hAnsi="宋体" w:cs="宋体" w:eastAsia="宋体" w:hint="default"/>
          <w:sz w:val="21"/>
          <w:szCs w:val="21"/>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38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投资活动现金流入小计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5,296,209.93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98,712.28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5,265.30%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投资活动现金流出小计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75,521,926.90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156,434,619.92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9"/>
              <w:jc w:val="right"/>
              <w:rPr>
                <w:rFonts w:ascii="宋体" w:hAnsi="宋体" w:cs="宋体" w:eastAsia="宋体" w:hint="default"/>
                <w:sz w:val="21"/>
                <w:szCs w:val="21"/>
              </w:rPr>
            </w:pPr>
            <w:r>
              <w:rPr>
                <w:rFonts w:ascii="宋体"/>
                <w:sz w:val="21"/>
              </w:rPr>
              <w:t>-51.72%</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22" w:right="47"/>
              <w:jc w:val="left"/>
              <w:rPr>
                <w:rFonts w:ascii="宋体" w:hAnsi="宋体" w:cs="宋体" w:eastAsia="宋体" w:hint="default"/>
                <w:sz w:val="21"/>
                <w:szCs w:val="21"/>
              </w:rPr>
            </w:pPr>
            <w:r>
              <w:rPr>
                <w:rFonts w:ascii="宋体" w:hAnsi="宋体" w:cs="宋体" w:eastAsia="宋体" w:hint="default"/>
                <w:sz w:val="21"/>
                <w:szCs w:val="21"/>
              </w:rPr>
              <w:t>投资活动产生的现金流量 净额</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0"/>
              <w:jc w:val="right"/>
              <w:rPr>
                <w:rFonts w:ascii="宋体" w:hAnsi="宋体" w:cs="宋体" w:eastAsia="宋体" w:hint="default"/>
                <w:sz w:val="21"/>
                <w:szCs w:val="21"/>
              </w:rPr>
            </w:pPr>
            <w:r>
              <w:rPr>
                <w:rFonts w:ascii="宋体"/>
                <w:spacing w:val="-1"/>
                <w:sz w:val="21"/>
              </w:rPr>
              <w:t>-70,225,716.97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1"/>
              <w:jc w:val="right"/>
              <w:rPr>
                <w:rFonts w:ascii="宋体" w:hAnsi="宋体" w:cs="宋体" w:eastAsia="宋体" w:hint="default"/>
                <w:sz w:val="21"/>
                <w:szCs w:val="21"/>
              </w:rPr>
            </w:pPr>
            <w:r>
              <w:rPr>
                <w:rFonts w:ascii="宋体"/>
                <w:spacing w:val="-1"/>
                <w:sz w:val="21"/>
              </w:rPr>
              <w:t>-156,335,907.64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0"/>
              <w:jc w:val="right"/>
              <w:rPr>
                <w:rFonts w:ascii="宋体" w:hAnsi="宋体" w:cs="宋体" w:eastAsia="宋体" w:hint="default"/>
                <w:sz w:val="21"/>
                <w:szCs w:val="21"/>
              </w:rPr>
            </w:pPr>
            <w:r>
              <w:rPr>
                <w:rFonts w:ascii="宋体"/>
                <w:sz w:val="21"/>
              </w:rPr>
              <w:t>55.08%</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筹资活动现金流入小计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351,589,018.34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142,413,508.96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146.88%</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筹资活动现金流出小计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286,695,166.76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110,053,600.00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160.51%</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22" w:right="47"/>
              <w:jc w:val="left"/>
              <w:rPr>
                <w:rFonts w:ascii="宋体" w:hAnsi="宋体" w:cs="宋体" w:eastAsia="宋体" w:hint="default"/>
                <w:sz w:val="21"/>
                <w:szCs w:val="21"/>
              </w:rPr>
            </w:pPr>
            <w:r>
              <w:rPr>
                <w:rFonts w:ascii="宋体" w:hAnsi="宋体" w:cs="宋体" w:eastAsia="宋体" w:hint="default"/>
                <w:sz w:val="21"/>
                <w:szCs w:val="21"/>
              </w:rPr>
              <w:t>筹资活动产生的现金流量 净额</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0"/>
              <w:jc w:val="right"/>
              <w:rPr>
                <w:rFonts w:ascii="宋体" w:hAnsi="宋体" w:cs="宋体" w:eastAsia="宋体" w:hint="default"/>
                <w:sz w:val="21"/>
                <w:szCs w:val="21"/>
              </w:rPr>
            </w:pPr>
            <w:r>
              <w:rPr>
                <w:rFonts w:ascii="宋体"/>
                <w:sz w:val="21"/>
              </w:rPr>
              <w:t>64,893,851.58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0"/>
              <w:jc w:val="right"/>
              <w:rPr>
                <w:rFonts w:ascii="宋体" w:hAnsi="宋体" w:cs="宋体" w:eastAsia="宋体" w:hint="default"/>
                <w:sz w:val="21"/>
                <w:szCs w:val="21"/>
              </w:rPr>
            </w:pPr>
            <w:r>
              <w:rPr>
                <w:rFonts w:ascii="宋体"/>
                <w:sz w:val="21"/>
              </w:rPr>
              <w:t>32,359,908.96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0"/>
              <w:jc w:val="right"/>
              <w:rPr>
                <w:rFonts w:ascii="宋体" w:hAnsi="宋体" w:cs="宋体" w:eastAsia="宋体" w:hint="default"/>
                <w:sz w:val="21"/>
                <w:szCs w:val="21"/>
              </w:rPr>
            </w:pPr>
            <w:r>
              <w:rPr>
                <w:rFonts w:ascii="宋体"/>
                <w:sz w:val="21"/>
              </w:rPr>
              <w:t>100.54%</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22" w:right="47"/>
              <w:jc w:val="left"/>
              <w:rPr>
                <w:rFonts w:ascii="宋体" w:hAnsi="宋体" w:cs="宋体" w:eastAsia="宋体" w:hint="default"/>
                <w:sz w:val="21"/>
                <w:szCs w:val="21"/>
              </w:rPr>
            </w:pPr>
            <w:r>
              <w:rPr>
                <w:rFonts w:ascii="宋体" w:hAnsi="宋体" w:cs="宋体" w:eastAsia="宋体" w:hint="default"/>
                <w:sz w:val="21"/>
                <w:szCs w:val="21"/>
              </w:rPr>
              <w:t>现金及现金等价物净增加 额</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0"/>
              <w:jc w:val="right"/>
              <w:rPr>
                <w:rFonts w:ascii="宋体" w:hAnsi="宋体" w:cs="宋体" w:eastAsia="宋体" w:hint="default"/>
                <w:sz w:val="21"/>
                <w:szCs w:val="21"/>
              </w:rPr>
            </w:pPr>
            <w:r>
              <w:rPr>
                <w:rFonts w:ascii="宋体"/>
                <w:sz w:val="21"/>
              </w:rPr>
              <w:t>54,387,044.92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0"/>
              <w:jc w:val="right"/>
              <w:rPr>
                <w:rFonts w:ascii="宋体" w:hAnsi="宋体" w:cs="宋体" w:eastAsia="宋体" w:hint="default"/>
                <w:sz w:val="21"/>
                <w:szCs w:val="21"/>
              </w:rPr>
            </w:pPr>
            <w:r>
              <w:rPr>
                <w:rFonts w:ascii="宋体"/>
                <w:sz w:val="21"/>
              </w:rPr>
              <w:t>12,593,209.50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0"/>
              <w:jc w:val="right"/>
              <w:rPr>
                <w:rFonts w:ascii="宋体" w:hAnsi="宋体" w:cs="宋体" w:eastAsia="宋体" w:hint="default"/>
                <w:sz w:val="21"/>
                <w:szCs w:val="21"/>
              </w:rPr>
            </w:pPr>
            <w:r>
              <w:rPr>
                <w:rFonts w:ascii="宋体"/>
                <w:sz w:val="21"/>
              </w:rPr>
              <w:t>331.88%</w:t>
            </w:r>
          </w:p>
        </w:tc>
      </w:tr>
    </w:tbl>
    <w:p>
      <w:pPr>
        <w:spacing w:line="240" w:lineRule="auto" w:before="10"/>
        <w:rPr>
          <w:rFonts w:ascii="宋体" w:hAnsi="宋体" w:cs="宋体" w:eastAsia="宋体" w:hint="default"/>
          <w:sz w:val="4"/>
          <w:szCs w:val="4"/>
        </w:rPr>
      </w:pPr>
    </w:p>
    <w:p>
      <w:pPr>
        <w:pStyle w:val="BodyText"/>
        <w:spacing w:line="240" w:lineRule="auto" w:before="26"/>
        <w:ind w:left="874" w:right="1117"/>
        <w:jc w:val="left"/>
      </w:pPr>
      <w:r>
        <w:rPr/>
        <w:t>相关数据同比发生重大变动的主要影响因素说明</w:t>
      </w:r>
    </w:p>
    <w:p>
      <w:pPr>
        <w:pStyle w:val="BodyText"/>
        <w:spacing w:line="240" w:lineRule="auto" w:before="146"/>
        <w:ind w:left="874" w:right="1117"/>
        <w:jc w:val="left"/>
      </w:pPr>
      <w:r>
        <w:rPr/>
        <w:t>√ 适用 □ 不适用</w:t>
      </w:r>
    </w:p>
    <w:p>
      <w:pPr>
        <w:pStyle w:val="BodyText"/>
        <w:spacing w:line="350" w:lineRule="auto" w:before="145"/>
        <w:ind w:left="393" w:right="1117" w:firstLine="480"/>
        <w:jc w:val="left"/>
      </w:pPr>
      <w:r>
        <w:rPr>
          <w:spacing w:val="-2"/>
        </w:rPr>
        <w:t>（</w:t>
      </w:r>
      <w:r>
        <w:rPr>
          <w:rFonts w:ascii="宋体" w:hAnsi="宋体" w:cs="宋体" w:eastAsia="宋体" w:hint="default"/>
          <w:spacing w:val="-2"/>
        </w:rPr>
        <w:t>1</w:t>
      </w:r>
      <w:r>
        <w:rPr>
          <w:spacing w:val="-2"/>
        </w:rPr>
        <w:t>）经营活动产生的现金流量净额比上年同期减少</w:t>
      </w:r>
      <w:r>
        <w:rPr>
          <w:rFonts w:ascii="宋体" w:hAnsi="宋体" w:cs="宋体" w:eastAsia="宋体" w:hint="default"/>
          <w:spacing w:val="-2"/>
        </w:rPr>
        <w:t>56.27%</w:t>
      </w:r>
      <w:r>
        <w:rPr>
          <w:spacing w:val="-2"/>
        </w:rPr>
        <w:t>，主要系报告期内收到的增值</w:t>
      </w:r>
      <w:r>
        <w:rPr/>
        <w:t> 税超税负返还比上年同期减少所致。</w:t>
      </w:r>
    </w:p>
    <w:p>
      <w:pPr>
        <w:pStyle w:val="BodyText"/>
        <w:spacing w:line="350" w:lineRule="auto"/>
        <w:ind w:left="393" w:right="1117" w:firstLine="480"/>
        <w:jc w:val="left"/>
      </w:pPr>
      <w:r>
        <w:rPr>
          <w:spacing w:val="-2"/>
        </w:rPr>
        <w:t>（</w:t>
      </w:r>
      <w:r>
        <w:rPr>
          <w:rFonts w:ascii="宋体" w:hAnsi="宋体" w:cs="宋体" w:eastAsia="宋体" w:hint="default"/>
          <w:spacing w:val="-2"/>
        </w:rPr>
        <w:t>2</w:t>
      </w:r>
      <w:r>
        <w:rPr>
          <w:spacing w:val="-2"/>
        </w:rPr>
        <w:t>）投资活动产生的现金流量净额比上年同期增加</w:t>
      </w:r>
      <w:r>
        <w:rPr>
          <w:rFonts w:ascii="宋体" w:hAnsi="宋体" w:cs="宋体" w:eastAsia="宋体" w:hint="default"/>
          <w:spacing w:val="-2"/>
        </w:rPr>
        <w:t>55.08%</w:t>
      </w:r>
      <w:r>
        <w:rPr>
          <w:spacing w:val="-2"/>
        </w:rPr>
        <w:t>，主要系报告期内投资支付的</w:t>
      </w:r>
      <w:r>
        <w:rPr/>
        <w:t> 现金减少所致。</w:t>
      </w:r>
    </w:p>
    <w:p>
      <w:pPr>
        <w:pStyle w:val="BodyText"/>
        <w:spacing w:line="352" w:lineRule="auto" w:before="35"/>
        <w:ind w:left="393" w:right="1153" w:firstLine="480"/>
        <w:jc w:val="left"/>
      </w:pPr>
      <w:r>
        <w:rPr/>
        <w:t>（</w:t>
      </w:r>
      <w:r>
        <w:rPr>
          <w:rFonts w:ascii="宋体" w:hAnsi="宋体" w:cs="宋体" w:eastAsia="宋体" w:hint="default"/>
        </w:rPr>
        <w:t>3</w:t>
      </w:r>
      <w:r>
        <w:rPr/>
        <w:t>）筹资活动产生的现金流量净额比上年同期增加</w:t>
      </w:r>
      <w:r>
        <w:rPr>
          <w:rFonts w:ascii="宋体" w:hAnsi="宋体" w:cs="宋体" w:eastAsia="宋体" w:hint="default"/>
        </w:rPr>
        <w:t>100.54%</w:t>
      </w:r>
      <w:r>
        <w:rPr/>
        <w:t>，主要系报告期内银行贷款 增加所致。</w:t>
      </w:r>
    </w:p>
    <w:p>
      <w:pPr>
        <w:pStyle w:val="BodyText"/>
        <w:spacing w:line="240" w:lineRule="auto" w:before="32"/>
        <w:ind w:left="873" w:right="1117"/>
        <w:jc w:val="left"/>
      </w:pPr>
      <w:r>
        <w:rPr/>
        <w:t>报告期内公司经营活动产生的现金净流量与本年度净利润存在重大差异的原因说明</w:t>
      </w:r>
    </w:p>
    <w:p>
      <w:pPr>
        <w:spacing w:line="352" w:lineRule="auto" w:before="145"/>
        <w:ind w:left="393" w:right="8233" w:firstLine="480"/>
        <w:jc w:val="left"/>
        <w:rPr>
          <w:rFonts w:ascii="宋体" w:hAnsi="宋体" w:cs="宋体" w:eastAsia="宋体" w:hint="default"/>
          <w:sz w:val="24"/>
          <w:szCs w:val="24"/>
        </w:rPr>
      </w:pPr>
      <w:r>
        <w:rPr>
          <w:rFonts w:ascii="宋体" w:hAnsi="宋体" w:cs="宋体" w:eastAsia="宋体" w:hint="default"/>
          <w:sz w:val="24"/>
          <w:szCs w:val="24"/>
        </w:rPr>
        <w:t>□ 适用 √ 不适用 </w:t>
      </w:r>
      <w:bookmarkStart w:name="三、非主营业务分析" w:id="45"/>
      <w:bookmarkEnd w:id="45"/>
      <w:r>
        <w:rPr>
          <w:rFonts w:ascii="宋体" w:hAnsi="宋体" w:cs="宋体" w:eastAsia="宋体" w:hint="default"/>
          <w:sz w:val="24"/>
          <w:szCs w:val="24"/>
        </w:rPr>
      </w:r>
      <w:r>
        <w:rPr>
          <w:rFonts w:ascii="宋体" w:hAnsi="宋体" w:cs="宋体" w:eastAsia="宋体" w:hint="default"/>
          <w:b/>
          <w:bCs/>
          <w:sz w:val="24"/>
          <w:szCs w:val="24"/>
        </w:rPr>
        <w:t>三、非主营业务分析</w:t>
      </w:r>
      <w:r>
        <w:rPr>
          <w:rFonts w:ascii="宋体" w:hAnsi="宋体" w:cs="宋体" w:eastAsia="宋体" w:hint="default"/>
          <w:sz w:val="24"/>
          <w:szCs w:val="24"/>
        </w:rPr>
      </w:r>
    </w:p>
    <w:p>
      <w:pPr>
        <w:spacing w:line="350" w:lineRule="auto" w:before="32"/>
        <w:ind w:left="393" w:right="5755" w:firstLine="480"/>
        <w:jc w:val="left"/>
        <w:rPr>
          <w:rFonts w:ascii="宋体" w:hAnsi="宋体" w:cs="宋体" w:eastAsia="宋体" w:hint="default"/>
          <w:sz w:val="24"/>
          <w:szCs w:val="24"/>
        </w:rPr>
      </w:pPr>
      <w:r>
        <w:rPr>
          <w:rFonts w:ascii="宋体" w:hAnsi="宋体" w:cs="宋体" w:eastAsia="宋体" w:hint="default"/>
          <w:sz w:val="24"/>
          <w:szCs w:val="24"/>
        </w:rPr>
        <w:t>□ 适用 √ 不适用 </w:t>
      </w:r>
      <w:bookmarkStart w:name="四、资产及负债状况分析" w:id="46"/>
      <w:bookmarkEnd w:id="46"/>
      <w:r>
        <w:rPr>
          <w:rFonts w:ascii="宋体" w:hAnsi="宋体" w:cs="宋体" w:eastAsia="宋体" w:hint="default"/>
          <w:sz w:val="24"/>
          <w:szCs w:val="24"/>
        </w:rPr>
      </w:r>
      <w:r>
        <w:rPr>
          <w:rFonts w:ascii="宋体" w:hAnsi="宋体" w:cs="宋体" w:eastAsia="宋体" w:hint="default"/>
          <w:b/>
          <w:bCs/>
          <w:w w:val="95"/>
          <w:sz w:val="24"/>
          <w:szCs w:val="24"/>
        </w:rPr>
        <w:t>四、资产及负债状况分析</w:t>
      </w:r>
      <w:r>
        <w:rPr>
          <w:rFonts w:ascii="宋体" w:hAnsi="宋体" w:cs="宋体" w:eastAsia="宋体" w:hint="default"/>
          <w:sz w:val="24"/>
          <w:szCs w:val="24"/>
        </w:rPr>
      </w:r>
    </w:p>
    <w:p>
      <w:pPr>
        <w:pStyle w:val="Heading2"/>
        <w:spacing w:line="240" w:lineRule="auto" w:before="36"/>
        <w:ind w:left="876" w:right="1117"/>
        <w:jc w:val="left"/>
        <w:rPr>
          <w:b w:val="0"/>
          <w:bCs w:val="0"/>
        </w:rPr>
      </w:pPr>
      <w:r>
        <w:rPr>
          <w:rFonts w:ascii="宋体" w:hAnsi="宋体" w:cs="宋体" w:eastAsia="宋体" w:hint="default"/>
        </w:rPr>
        <w:t>1</w:t>
      </w:r>
      <w:r>
        <w:rPr/>
        <w:t>、资产构成重大变动情况</w:t>
      </w:r>
      <w:r>
        <w:rPr>
          <w:b w:val="0"/>
          <w:bCs w:val="0"/>
        </w:rPr>
      </w:r>
    </w:p>
    <w:p>
      <w:pPr>
        <w:spacing w:before="83"/>
        <w:ind w:left="0" w:right="1130" w:firstLine="0"/>
        <w:jc w:val="right"/>
        <w:rPr>
          <w:rFonts w:ascii="宋体" w:hAnsi="宋体" w:cs="宋体" w:eastAsia="宋体" w:hint="default"/>
          <w:sz w:val="21"/>
          <w:szCs w:val="21"/>
        </w:rPr>
      </w:pPr>
      <w:r>
        <w:rPr>
          <w:rFonts w:ascii="宋体" w:hAnsi="宋体" w:cs="宋体" w:eastAsia="宋体" w:hint="default"/>
          <w:sz w:val="21"/>
          <w:szCs w:val="21"/>
        </w:rPr>
        <w:t>单位：元</w:t>
      </w:r>
    </w:p>
    <w:p>
      <w:pPr>
        <w:spacing w:line="240" w:lineRule="auto" w:before="0"/>
        <w:rPr>
          <w:rFonts w:ascii="宋体" w:hAnsi="宋体" w:cs="宋体" w:eastAsia="宋体" w:hint="default"/>
          <w:sz w:val="7"/>
          <w:szCs w:val="7"/>
        </w:rPr>
      </w:pPr>
    </w:p>
    <w:tbl>
      <w:tblPr>
        <w:tblW w:w="0" w:type="auto"/>
        <w:jc w:val="left"/>
        <w:tblInd w:w="116" w:type="dxa"/>
        <w:tblLayout w:type="fixed"/>
        <w:tblCellMar>
          <w:top w:w="0" w:type="dxa"/>
          <w:left w:w="0" w:type="dxa"/>
          <w:bottom w:w="0" w:type="dxa"/>
          <w:right w:w="0" w:type="dxa"/>
        </w:tblCellMar>
        <w:tblLook w:val="01E0"/>
      </w:tblPr>
      <w:tblGrid>
        <w:gridCol w:w="1537"/>
        <w:gridCol w:w="1713"/>
        <w:gridCol w:w="1419"/>
        <w:gridCol w:w="1700"/>
        <w:gridCol w:w="1559"/>
        <w:gridCol w:w="1417"/>
      </w:tblGrid>
      <w:tr>
        <w:trPr>
          <w:trHeight w:val="205" w:hRule="exact"/>
        </w:trPr>
        <w:tc>
          <w:tcPr>
            <w:tcW w:w="1537" w:type="dxa"/>
            <w:tcBorders>
              <w:top w:val="single" w:sz="4" w:space="0" w:color="000000"/>
              <w:left w:val="single" w:sz="4" w:space="0" w:color="000000"/>
              <w:bottom w:val="nil" w:sz="6" w:space="0" w:color="auto"/>
              <w:right w:val="single" w:sz="4" w:space="0" w:color="000000"/>
            </w:tcBorders>
            <w:shd w:val="clear" w:color="auto" w:fill="D2D2D2"/>
          </w:tcPr>
          <w:p>
            <w:pPr/>
          </w:p>
        </w:tc>
        <w:tc>
          <w:tcPr>
            <w:tcW w:w="313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6"/>
              <w:ind w:left="12" w:right="0"/>
              <w:jc w:val="center"/>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1"/>
                <w:sz w:val="21"/>
                <w:szCs w:val="21"/>
              </w:rPr>
              <w:t> </w:t>
            </w:r>
            <w:r>
              <w:rPr>
                <w:rFonts w:ascii="宋体" w:hAnsi="宋体" w:cs="宋体" w:eastAsia="宋体" w:hint="default"/>
                <w:sz w:val="21"/>
                <w:szCs w:val="21"/>
              </w:rPr>
              <w:t>年末</w:t>
            </w:r>
          </w:p>
        </w:tc>
        <w:tc>
          <w:tcPr>
            <w:tcW w:w="326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1"/>
                <w:sz w:val="21"/>
                <w:szCs w:val="21"/>
              </w:rPr>
              <w:t> </w:t>
            </w:r>
            <w:r>
              <w:rPr>
                <w:rFonts w:ascii="宋体" w:hAnsi="宋体" w:cs="宋体" w:eastAsia="宋体" w:hint="default"/>
                <w:sz w:val="21"/>
                <w:szCs w:val="21"/>
              </w:rPr>
              <w:t>年末</w:t>
            </w:r>
          </w:p>
        </w:tc>
        <w:tc>
          <w:tcPr>
            <w:tcW w:w="1417"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2" w:hRule="exact"/>
        </w:trPr>
        <w:tc>
          <w:tcPr>
            <w:tcW w:w="1537" w:type="dxa"/>
            <w:vMerge w:val="restart"/>
            <w:tcBorders>
              <w:top w:val="nil" w:sz="6" w:space="0" w:color="auto"/>
              <w:left w:val="single" w:sz="4" w:space="0" w:color="000000"/>
              <w:right w:val="single" w:sz="4" w:space="0" w:color="000000"/>
            </w:tcBorders>
            <w:shd w:val="clear" w:color="auto" w:fill="D2D2D2"/>
          </w:tcPr>
          <w:p>
            <w:pPr/>
          </w:p>
        </w:tc>
        <w:tc>
          <w:tcPr>
            <w:tcW w:w="3132" w:type="dxa"/>
            <w:gridSpan w:val="2"/>
            <w:vMerge/>
            <w:tcBorders>
              <w:left w:val="single" w:sz="4" w:space="0" w:color="000000"/>
              <w:bottom w:val="single" w:sz="4" w:space="0" w:color="000000"/>
              <w:right w:val="single" w:sz="4" w:space="0" w:color="000000"/>
            </w:tcBorders>
            <w:shd w:val="clear" w:color="auto" w:fill="D2D2D2"/>
          </w:tcPr>
          <w:p>
            <w:pPr/>
          </w:p>
        </w:tc>
        <w:tc>
          <w:tcPr>
            <w:tcW w:w="3260" w:type="dxa"/>
            <w:gridSpan w:val="2"/>
            <w:vMerge/>
            <w:tcBorders>
              <w:left w:val="single" w:sz="4" w:space="0" w:color="000000"/>
              <w:bottom w:val="single" w:sz="4" w:space="0" w:color="000000"/>
              <w:right w:val="single" w:sz="4" w:space="0" w:color="000000"/>
            </w:tcBorders>
            <w:shd w:val="clear" w:color="auto" w:fill="D2D2D2"/>
          </w:tcPr>
          <w:p>
            <w:pPr/>
          </w:p>
        </w:tc>
        <w:tc>
          <w:tcPr>
            <w:tcW w:w="141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6"/>
              <w:ind w:left="283" w:right="0"/>
              <w:jc w:val="left"/>
              <w:rPr>
                <w:rFonts w:ascii="宋体" w:hAnsi="宋体" w:cs="宋体" w:eastAsia="宋体" w:hint="default"/>
                <w:sz w:val="21"/>
                <w:szCs w:val="21"/>
              </w:rPr>
            </w:pPr>
            <w:r>
              <w:rPr>
                <w:rFonts w:ascii="宋体" w:hAnsi="宋体" w:cs="宋体" w:eastAsia="宋体" w:hint="default"/>
                <w:sz w:val="21"/>
                <w:szCs w:val="21"/>
              </w:rPr>
              <w:t>比重增减</w:t>
            </w:r>
          </w:p>
        </w:tc>
      </w:tr>
      <w:tr>
        <w:trPr>
          <w:trHeight w:val="200" w:hRule="exact"/>
        </w:trPr>
        <w:tc>
          <w:tcPr>
            <w:tcW w:w="1537" w:type="dxa"/>
            <w:vMerge/>
            <w:tcBorders>
              <w:left w:val="single" w:sz="4" w:space="0" w:color="000000"/>
              <w:bottom w:val="nil" w:sz="6" w:space="0" w:color="auto"/>
              <w:right w:val="single" w:sz="4" w:space="0" w:color="000000"/>
            </w:tcBorders>
            <w:shd w:val="clear" w:color="auto" w:fill="D2D2D2"/>
          </w:tcPr>
          <w:p>
            <w:pPr/>
          </w:p>
        </w:tc>
        <w:tc>
          <w:tcPr>
            <w:tcW w:w="17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0"/>
              <w:ind w:left="11"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41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0"/>
              <w:ind w:left="73" w:right="0"/>
              <w:jc w:val="left"/>
              <w:rPr>
                <w:rFonts w:ascii="宋体" w:hAnsi="宋体" w:cs="宋体" w:eastAsia="宋体" w:hint="default"/>
                <w:sz w:val="21"/>
                <w:szCs w:val="21"/>
              </w:rPr>
            </w:pPr>
            <w:r>
              <w:rPr>
                <w:rFonts w:ascii="宋体" w:hAnsi="宋体" w:cs="宋体" w:eastAsia="宋体" w:hint="default"/>
                <w:sz w:val="21"/>
                <w:szCs w:val="21"/>
              </w:rPr>
              <w:t>占总资产比例</w:t>
            </w:r>
          </w:p>
        </w:tc>
        <w:tc>
          <w:tcPr>
            <w:tcW w:w="170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0"/>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155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0"/>
              <w:ind w:left="143" w:right="0"/>
              <w:jc w:val="left"/>
              <w:rPr>
                <w:rFonts w:ascii="宋体" w:hAnsi="宋体" w:cs="宋体" w:eastAsia="宋体" w:hint="default"/>
                <w:sz w:val="21"/>
                <w:szCs w:val="21"/>
              </w:rPr>
            </w:pPr>
            <w:r>
              <w:rPr>
                <w:rFonts w:ascii="宋体" w:hAnsi="宋体" w:cs="宋体" w:eastAsia="宋体" w:hint="default"/>
                <w:sz w:val="21"/>
                <w:szCs w:val="21"/>
              </w:rPr>
              <w:t>占总资产比例</w:t>
            </w:r>
          </w:p>
        </w:tc>
        <w:tc>
          <w:tcPr>
            <w:tcW w:w="1417"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1537" w:type="dxa"/>
            <w:tcBorders>
              <w:top w:val="nil" w:sz="6" w:space="0" w:color="auto"/>
              <w:left w:val="single" w:sz="4" w:space="0" w:color="000000"/>
              <w:bottom w:val="single" w:sz="4" w:space="0" w:color="000000"/>
              <w:right w:val="single" w:sz="4" w:space="0" w:color="000000"/>
            </w:tcBorders>
            <w:shd w:val="clear" w:color="auto" w:fill="D2D2D2"/>
          </w:tcPr>
          <w:p>
            <w:pPr/>
          </w:p>
        </w:tc>
        <w:tc>
          <w:tcPr>
            <w:tcW w:w="1713" w:type="dxa"/>
            <w:vMerge/>
            <w:tcBorders>
              <w:left w:val="single" w:sz="4" w:space="0" w:color="000000"/>
              <w:bottom w:val="single" w:sz="4" w:space="0" w:color="000000"/>
              <w:right w:val="single" w:sz="4" w:space="0" w:color="000000"/>
            </w:tcBorders>
            <w:shd w:val="clear" w:color="auto" w:fill="D2D2D2"/>
          </w:tcPr>
          <w:p>
            <w:pPr/>
          </w:p>
        </w:tc>
        <w:tc>
          <w:tcPr>
            <w:tcW w:w="1419" w:type="dxa"/>
            <w:vMerge/>
            <w:tcBorders>
              <w:left w:val="single" w:sz="4" w:space="0" w:color="000000"/>
              <w:bottom w:val="single" w:sz="4" w:space="0" w:color="000000"/>
              <w:right w:val="single" w:sz="4" w:space="0" w:color="000000"/>
            </w:tcBorders>
            <w:shd w:val="clear" w:color="auto" w:fill="D2D2D2"/>
          </w:tcPr>
          <w:p>
            <w:pPr/>
          </w:p>
        </w:tc>
        <w:tc>
          <w:tcPr>
            <w:tcW w:w="1700" w:type="dxa"/>
            <w:vMerge/>
            <w:tcBorders>
              <w:left w:val="single" w:sz="4" w:space="0" w:color="000000"/>
              <w:bottom w:val="single" w:sz="4" w:space="0" w:color="000000"/>
              <w:right w:val="single" w:sz="4" w:space="0" w:color="000000"/>
            </w:tcBorders>
            <w:shd w:val="clear" w:color="auto" w:fill="D2D2D2"/>
          </w:tcPr>
          <w:p>
            <w:pPr/>
          </w:p>
        </w:tc>
        <w:tc>
          <w:tcPr>
            <w:tcW w:w="1559" w:type="dxa"/>
            <w:vMerge/>
            <w:tcBorders>
              <w:left w:val="single" w:sz="4" w:space="0" w:color="000000"/>
              <w:bottom w:val="single" w:sz="4" w:space="0" w:color="000000"/>
              <w:right w:val="single" w:sz="4" w:space="0" w:color="000000"/>
            </w:tcBorders>
            <w:shd w:val="clear" w:color="auto" w:fill="D2D2D2"/>
          </w:tcPr>
          <w:p>
            <w:pPr/>
          </w:p>
        </w:tc>
        <w:tc>
          <w:tcPr>
            <w:tcW w:w="1417"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1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2"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17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19"/>
              <w:jc w:val="right"/>
              <w:rPr>
                <w:rFonts w:ascii="宋体" w:hAnsi="宋体" w:cs="宋体" w:eastAsia="宋体" w:hint="default"/>
                <w:sz w:val="21"/>
                <w:szCs w:val="21"/>
              </w:rPr>
            </w:pPr>
            <w:r>
              <w:rPr>
                <w:rFonts w:ascii="宋体"/>
                <w:sz w:val="21"/>
              </w:rPr>
              <w:t>888,934,246.92</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宋体" w:hAnsi="宋体" w:cs="宋体" w:eastAsia="宋体" w:hint="default"/>
                <w:sz w:val="21"/>
                <w:szCs w:val="21"/>
              </w:rPr>
            </w:pPr>
            <w:r>
              <w:rPr>
                <w:rFonts w:ascii="宋体"/>
                <w:sz w:val="21"/>
              </w:rPr>
              <w:t>39.53%</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pacing w:val="-1"/>
                <w:sz w:val="21"/>
              </w:rPr>
              <w:t>832,087,230.65</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sz w:val="21"/>
              </w:rPr>
              <w:t>37.23%</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440" w:right="0"/>
              <w:jc w:val="left"/>
              <w:rPr>
                <w:rFonts w:ascii="宋体" w:hAnsi="宋体" w:cs="宋体" w:eastAsia="宋体" w:hint="default"/>
                <w:sz w:val="21"/>
                <w:szCs w:val="21"/>
              </w:rPr>
            </w:pPr>
            <w:r>
              <w:rPr>
                <w:rFonts w:ascii="宋体"/>
                <w:sz w:val="21"/>
              </w:rPr>
              <w:t>2.30%</w:t>
            </w:r>
          </w:p>
        </w:tc>
      </w:tr>
      <w:tr>
        <w:trPr>
          <w:trHeight w:val="402" w:hRule="exact"/>
        </w:trPr>
        <w:tc>
          <w:tcPr>
            <w:tcW w:w="1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2"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7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19"/>
              <w:jc w:val="right"/>
              <w:rPr>
                <w:rFonts w:ascii="宋体" w:hAnsi="宋体" w:cs="宋体" w:eastAsia="宋体" w:hint="default"/>
                <w:sz w:val="21"/>
                <w:szCs w:val="21"/>
              </w:rPr>
            </w:pPr>
            <w:r>
              <w:rPr>
                <w:rFonts w:ascii="宋体"/>
                <w:sz w:val="21"/>
              </w:rPr>
              <w:t>567,489,218.42</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宋体" w:hAnsi="宋体" w:cs="宋体" w:eastAsia="宋体" w:hint="default"/>
                <w:sz w:val="21"/>
                <w:szCs w:val="21"/>
              </w:rPr>
            </w:pPr>
            <w:r>
              <w:rPr>
                <w:rFonts w:ascii="宋体"/>
                <w:sz w:val="21"/>
              </w:rPr>
              <w:t>25.23%</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9"/>
              <w:jc w:val="right"/>
              <w:rPr>
                <w:rFonts w:ascii="宋体" w:hAnsi="宋体" w:cs="宋体" w:eastAsia="宋体" w:hint="default"/>
                <w:sz w:val="21"/>
                <w:szCs w:val="21"/>
              </w:rPr>
            </w:pPr>
            <w:r>
              <w:rPr>
                <w:rFonts w:ascii="宋体"/>
                <w:sz w:val="21"/>
              </w:rPr>
              <w:t>465,789,583.70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sz w:val="21"/>
              </w:rPr>
              <w:t>20.84%</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440" w:right="0"/>
              <w:jc w:val="left"/>
              <w:rPr>
                <w:rFonts w:ascii="宋体" w:hAnsi="宋体" w:cs="宋体" w:eastAsia="宋体" w:hint="default"/>
                <w:sz w:val="21"/>
                <w:szCs w:val="21"/>
              </w:rPr>
            </w:pPr>
            <w:r>
              <w:rPr>
                <w:rFonts w:ascii="宋体"/>
                <w:sz w:val="21"/>
              </w:rPr>
              <w:t>4.39%</w:t>
            </w:r>
          </w:p>
        </w:tc>
      </w:tr>
      <w:tr>
        <w:trPr>
          <w:trHeight w:val="402" w:hRule="exact"/>
        </w:trPr>
        <w:tc>
          <w:tcPr>
            <w:tcW w:w="1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2"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17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19"/>
              <w:jc w:val="right"/>
              <w:rPr>
                <w:rFonts w:ascii="宋体" w:hAnsi="宋体" w:cs="宋体" w:eastAsia="宋体" w:hint="default"/>
                <w:sz w:val="21"/>
                <w:szCs w:val="21"/>
              </w:rPr>
            </w:pPr>
            <w:r>
              <w:rPr>
                <w:rFonts w:ascii="宋体"/>
                <w:sz w:val="21"/>
              </w:rPr>
              <w:t>193,818,869.11</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sz w:val="21"/>
              </w:rPr>
              <w:t>8.62%</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9"/>
              <w:jc w:val="right"/>
              <w:rPr>
                <w:rFonts w:ascii="宋体" w:hAnsi="宋体" w:cs="宋体" w:eastAsia="宋体" w:hint="default"/>
                <w:sz w:val="21"/>
                <w:szCs w:val="21"/>
              </w:rPr>
            </w:pPr>
            <w:r>
              <w:rPr>
                <w:rFonts w:ascii="宋体"/>
                <w:sz w:val="21"/>
              </w:rPr>
              <w:t>176,173,316.80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sz w:val="21"/>
              </w:rPr>
              <w:t>7.88%</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440" w:right="0"/>
              <w:jc w:val="left"/>
              <w:rPr>
                <w:rFonts w:ascii="宋体" w:hAnsi="宋体" w:cs="宋体" w:eastAsia="宋体" w:hint="default"/>
                <w:sz w:val="21"/>
                <w:szCs w:val="21"/>
              </w:rPr>
            </w:pPr>
            <w:r>
              <w:rPr>
                <w:rFonts w:ascii="宋体"/>
                <w:sz w:val="21"/>
              </w:rPr>
              <w:t>0.74%</w:t>
            </w:r>
          </w:p>
        </w:tc>
      </w:tr>
      <w:tr>
        <w:trPr>
          <w:trHeight w:val="402" w:hRule="exact"/>
        </w:trPr>
        <w:tc>
          <w:tcPr>
            <w:tcW w:w="1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2"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17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83,471,427.52</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sz w:val="21"/>
              </w:rPr>
              <w:t>3.71%</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9"/>
              <w:jc w:val="right"/>
              <w:rPr>
                <w:rFonts w:ascii="宋体" w:hAnsi="宋体" w:cs="宋体" w:eastAsia="宋体" w:hint="default"/>
                <w:sz w:val="21"/>
                <w:szCs w:val="21"/>
              </w:rPr>
            </w:pPr>
            <w:r>
              <w:rPr>
                <w:rFonts w:ascii="宋体"/>
                <w:sz w:val="21"/>
              </w:rPr>
              <w:t>164,283,266.37</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sz w:val="21"/>
              </w:rPr>
              <w:t>7.35%</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387" w:right="0"/>
              <w:jc w:val="left"/>
              <w:rPr>
                <w:rFonts w:ascii="宋体" w:hAnsi="宋体" w:cs="宋体" w:eastAsia="宋体" w:hint="default"/>
                <w:sz w:val="21"/>
                <w:szCs w:val="21"/>
              </w:rPr>
            </w:pPr>
            <w:r>
              <w:rPr>
                <w:rFonts w:ascii="宋体"/>
                <w:sz w:val="21"/>
              </w:rPr>
              <w:t>-3.64%</w:t>
            </w:r>
          </w:p>
        </w:tc>
      </w:tr>
      <w:tr>
        <w:trPr>
          <w:trHeight w:val="402" w:hRule="exact"/>
        </w:trPr>
        <w:tc>
          <w:tcPr>
            <w:tcW w:w="1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2"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17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19"/>
              <w:jc w:val="right"/>
              <w:rPr>
                <w:rFonts w:ascii="宋体" w:hAnsi="宋体" w:cs="宋体" w:eastAsia="宋体" w:hint="default"/>
                <w:sz w:val="21"/>
                <w:szCs w:val="21"/>
              </w:rPr>
            </w:pPr>
            <w:r>
              <w:rPr>
                <w:rFonts w:ascii="宋体"/>
                <w:sz w:val="21"/>
              </w:rPr>
              <w:t>102,475,593.67</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sz w:val="21"/>
              </w:rPr>
              <w:t>4.56%</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50,959,553.03</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sz w:val="21"/>
              </w:rPr>
              <w:t>2.28%</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440" w:right="0"/>
              <w:jc w:val="left"/>
              <w:rPr>
                <w:rFonts w:ascii="宋体" w:hAnsi="宋体" w:cs="宋体" w:eastAsia="宋体" w:hint="default"/>
                <w:sz w:val="21"/>
                <w:szCs w:val="21"/>
              </w:rPr>
            </w:pPr>
            <w:r>
              <w:rPr>
                <w:rFonts w:ascii="宋体"/>
                <w:sz w:val="21"/>
              </w:rPr>
              <w:t>2.28%</w:t>
            </w:r>
          </w:p>
        </w:tc>
      </w:tr>
      <w:tr>
        <w:trPr>
          <w:trHeight w:val="402" w:hRule="exact"/>
        </w:trPr>
        <w:tc>
          <w:tcPr>
            <w:tcW w:w="1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2"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17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19"/>
              <w:jc w:val="right"/>
              <w:rPr>
                <w:rFonts w:ascii="宋体" w:hAnsi="宋体" w:cs="宋体" w:eastAsia="宋体" w:hint="default"/>
                <w:sz w:val="21"/>
                <w:szCs w:val="21"/>
              </w:rPr>
            </w:pPr>
            <w:r>
              <w:rPr>
                <w:rFonts w:ascii="宋体"/>
                <w:sz w:val="21"/>
              </w:rPr>
              <w:t>141,627,602.21</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宋体" w:hAnsi="宋体" w:cs="宋体" w:eastAsia="宋体" w:hint="default"/>
                <w:sz w:val="21"/>
                <w:szCs w:val="21"/>
              </w:rPr>
            </w:pPr>
            <w:r>
              <w:rPr>
                <w:rFonts w:ascii="宋体"/>
                <w:sz w:val="21"/>
              </w:rPr>
              <w:t>6.30%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9"/>
              <w:jc w:val="right"/>
              <w:rPr>
                <w:rFonts w:ascii="宋体" w:hAnsi="宋体" w:cs="宋体" w:eastAsia="宋体" w:hint="default"/>
                <w:sz w:val="21"/>
                <w:szCs w:val="21"/>
              </w:rPr>
            </w:pPr>
            <w:r>
              <w:rPr>
                <w:rFonts w:ascii="宋体"/>
                <w:sz w:val="21"/>
              </w:rPr>
              <w:t>167,456,659.41</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sz w:val="21"/>
              </w:rPr>
              <w:t>7.49%</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387" w:right="0"/>
              <w:jc w:val="left"/>
              <w:rPr>
                <w:rFonts w:ascii="宋体" w:hAnsi="宋体" w:cs="宋体" w:eastAsia="宋体" w:hint="default"/>
                <w:sz w:val="21"/>
                <w:szCs w:val="21"/>
              </w:rPr>
            </w:pPr>
            <w:r>
              <w:rPr>
                <w:rFonts w:ascii="宋体"/>
                <w:sz w:val="21"/>
              </w:rPr>
              <w:t>-1.19%</w:t>
            </w:r>
          </w:p>
        </w:tc>
      </w:tr>
    </w:tbl>
    <w:p>
      <w:pPr>
        <w:spacing w:after="0" w:line="240" w:lineRule="auto"/>
        <w:jc w:val="left"/>
        <w:rPr>
          <w:rFonts w:ascii="宋体" w:hAnsi="宋体" w:cs="宋体" w:eastAsia="宋体" w:hint="default"/>
          <w:sz w:val="21"/>
          <w:szCs w:val="21"/>
        </w:rPr>
        <w:sectPr>
          <w:pgSz w:w="11910" w:h="16840"/>
          <w:pgMar w:header="747" w:footer="979" w:top="1060" w:bottom="1160" w:left="740" w:right="0"/>
        </w:sectPr>
      </w:pPr>
    </w:p>
    <w:p>
      <w:pPr>
        <w:spacing w:line="240" w:lineRule="auto" w:before="6"/>
        <w:rPr>
          <w:rFonts w:ascii="宋体" w:hAnsi="宋体" w:cs="宋体" w:eastAsia="宋体" w:hint="default"/>
          <w:sz w:val="28"/>
          <w:szCs w:val="28"/>
        </w:rPr>
      </w:pPr>
    </w:p>
    <w:tbl>
      <w:tblPr>
        <w:tblW w:w="0" w:type="auto"/>
        <w:jc w:val="left"/>
        <w:tblInd w:w="105" w:type="dxa"/>
        <w:tblLayout w:type="fixed"/>
        <w:tblCellMar>
          <w:top w:w="0" w:type="dxa"/>
          <w:left w:w="0" w:type="dxa"/>
          <w:bottom w:w="0" w:type="dxa"/>
          <w:right w:w="0" w:type="dxa"/>
        </w:tblCellMar>
        <w:tblLook w:val="01E0"/>
      </w:tblPr>
      <w:tblGrid>
        <w:gridCol w:w="1560"/>
        <w:gridCol w:w="1702"/>
        <w:gridCol w:w="1419"/>
        <w:gridCol w:w="1700"/>
        <w:gridCol w:w="1559"/>
        <w:gridCol w:w="1417"/>
      </w:tblGrid>
      <w:tr>
        <w:trPr>
          <w:trHeight w:val="402"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3"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99,563,440.79</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440"/>
              <w:jc w:val="right"/>
              <w:rPr>
                <w:rFonts w:ascii="宋体" w:hAnsi="宋体" w:cs="宋体" w:eastAsia="宋体" w:hint="default"/>
                <w:sz w:val="21"/>
                <w:szCs w:val="21"/>
              </w:rPr>
            </w:pPr>
            <w:r>
              <w:rPr>
                <w:rFonts w:ascii="宋体"/>
                <w:sz w:val="21"/>
              </w:rPr>
              <w:t>4.43%</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99" w:right="0"/>
              <w:jc w:val="left"/>
              <w:rPr>
                <w:rFonts w:ascii="宋体" w:hAnsi="宋体" w:cs="宋体" w:eastAsia="宋体" w:hint="default"/>
                <w:sz w:val="21"/>
                <w:szCs w:val="21"/>
              </w:rPr>
            </w:pPr>
            <w:r>
              <w:rPr>
                <w:rFonts w:ascii="宋体"/>
                <w:sz w:val="21"/>
              </w:rPr>
              <w:t>142,413,508.96</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sz w:val="21"/>
              </w:rPr>
              <w:t>6.37%</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387" w:right="0"/>
              <w:jc w:val="left"/>
              <w:rPr>
                <w:rFonts w:ascii="宋体" w:hAnsi="宋体" w:cs="宋体" w:eastAsia="宋体" w:hint="default"/>
                <w:sz w:val="21"/>
                <w:szCs w:val="21"/>
              </w:rPr>
            </w:pPr>
            <w:r>
              <w:rPr>
                <w:rFonts w:ascii="宋体"/>
                <w:sz w:val="21"/>
              </w:rPr>
              <w:t>-1.94%</w:t>
            </w: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3"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9"/>
              <w:jc w:val="right"/>
              <w:rPr>
                <w:rFonts w:ascii="宋体" w:hAnsi="宋体" w:cs="宋体" w:eastAsia="宋体" w:hint="default"/>
                <w:sz w:val="21"/>
                <w:szCs w:val="21"/>
              </w:rPr>
            </w:pPr>
            <w:r>
              <w:rPr>
                <w:rFonts w:ascii="宋体"/>
                <w:sz w:val="21"/>
              </w:rPr>
              <w:t>127,000,000.00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440"/>
              <w:jc w:val="right"/>
              <w:rPr>
                <w:rFonts w:ascii="宋体" w:hAnsi="宋体" w:cs="宋体" w:eastAsia="宋体" w:hint="default"/>
                <w:sz w:val="21"/>
                <w:szCs w:val="21"/>
              </w:rPr>
            </w:pPr>
            <w:r>
              <w:rPr>
                <w:rFonts w:ascii="宋体"/>
                <w:sz w:val="21"/>
              </w:rPr>
              <w:t>5.65%</w:t>
            </w:r>
          </w:p>
        </w:tc>
        <w:tc>
          <w:tcPr>
            <w:tcW w:w="1700"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sz w:val="21"/>
              </w:rPr>
              <w:t>0.00%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440" w:right="0"/>
              <w:jc w:val="left"/>
              <w:rPr>
                <w:rFonts w:ascii="宋体" w:hAnsi="宋体" w:cs="宋体" w:eastAsia="宋体" w:hint="default"/>
                <w:sz w:val="21"/>
                <w:szCs w:val="21"/>
              </w:rPr>
            </w:pPr>
            <w:r>
              <w:rPr>
                <w:rFonts w:ascii="宋体"/>
                <w:sz w:val="21"/>
              </w:rPr>
              <w:t>5.65%</w:t>
            </w:r>
          </w:p>
        </w:tc>
      </w:tr>
    </w:tbl>
    <w:p>
      <w:pPr>
        <w:spacing w:line="240" w:lineRule="auto" w:before="10"/>
        <w:rPr>
          <w:rFonts w:ascii="宋体" w:hAnsi="宋体" w:cs="宋体" w:eastAsia="宋体" w:hint="default"/>
          <w:sz w:val="4"/>
          <w:szCs w:val="4"/>
        </w:rPr>
      </w:pPr>
    </w:p>
    <w:p>
      <w:pPr>
        <w:pStyle w:val="Heading2"/>
        <w:spacing w:line="240" w:lineRule="auto"/>
        <w:ind w:left="876" w:right="1117"/>
        <w:jc w:val="left"/>
        <w:rPr>
          <w:b w:val="0"/>
          <w:bCs w:val="0"/>
        </w:rPr>
      </w:pPr>
      <w:r>
        <w:rPr>
          <w:rFonts w:ascii="宋体" w:hAnsi="宋体" w:cs="宋体" w:eastAsia="宋体" w:hint="default"/>
        </w:rPr>
        <w:t>2</w:t>
      </w:r>
      <w:r>
        <w:rPr/>
        <w:t>、以公允价值计量的资产和负债</w:t>
      </w:r>
      <w:r>
        <w:rPr>
          <w:b w:val="0"/>
          <w:bCs w:val="0"/>
        </w:rPr>
      </w:r>
    </w:p>
    <w:p>
      <w:pPr>
        <w:spacing w:line="350" w:lineRule="auto" w:before="147"/>
        <w:ind w:left="876" w:right="5755" w:hanging="3"/>
        <w:jc w:val="left"/>
        <w:rPr>
          <w:rFonts w:ascii="宋体" w:hAnsi="宋体" w:cs="宋体" w:eastAsia="宋体" w:hint="default"/>
          <w:sz w:val="24"/>
          <w:szCs w:val="24"/>
        </w:rPr>
      </w:pPr>
      <w:r>
        <w:rPr>
          <w:rFonts w:ascii="宋体" w:hAnsi="宋体" w:cs="宋体" w:eastAsia="宋体" w:hint="default"/>
          <w:sz w:val="24"/>
          <w:szCs w:val="24"/>
        </w:rPr>
        <w:t>□ 适用 √ 不适用 </w:t>
      </w:r>
      <w:r>
        <w:rPr>
          <w:rFonts w:ascii="宋体" w:hAnsi="宋体" w:cs="宋体" w:eastAsia="宋体" w:hint="default"/>
          <w:b/>
          <w:bCs/>
          <w:w w:val="95"/>
          <w:sz w:val="24"/>
          <w:szCs w:val="24"/>
        </w:rPr>
        <w:t>3</w:t>
      </w:r>
      <w:r>
        <w:rPr>
          <w:rFonts w:ascii="宋体" w:hAnsi="宋体" w:cs="宋体" w:eastAsia="宋体" w:hint="default"/>
          <w:b/>
          <w:bCs/>
          <w:w w:val="95"/>
          <w:sz w:val="24"/>
          <w:szCs w:val="24"/>
        </w:rPr>
        <w:t>、截至报告期末的资产权利受限情况</w:t>
      </w:r>
      <w:r>
        <w:rPr>
          <w:rFonts w:ascii="宋体" w:hAnsi="宋体" w:cs="宋体" w:eastAsia="宋体" w:hint="default"/>
          <w:sz w:val="24"/>
          <w:szCs w:val="24"/>
        </w:rPr>
      </w:r>
    </w:p>
    <w:p>
      <w:pPr>
        <w:pStyle w:val="BodyText"/>
        <w:spacing w:line="352" w:lineRule="auto" w:before="35"/>
        <w:ind w:left="393" w:right="1139" w:firstLine="480"/>
        <w:jc w:val="both"/>
      </w:pPr>
      <w:r>
        <w:rPr/>
        <w:t>截止到报告期末，公司不存在主要资产被查封、扣押、冻结或者被抵押、质押，必须具 备一定条件才能变现、无法变现、无法用于抵偿债务的情况，以及该等资产占有、使用、受 益和处分权利受到限制的情况和安排。</w:t>
      </w:r>
    </w:p>
    <w:p>
      <w:pPr>
        <w:pStyle w:val="Heading2"/>
        <w:spacing w:line="240" w:lineRule="auto" w:before="205"/>
        <w:ind w:left="394" w:right="1117"/>
        <w:jc w:val="left"/>
        <w:rPr>
          <w:b w:val="0"/>
          <w:bCs w:val="0"/>
        </w:rPr>
      </w:pPr>
      <w:bookmarkStart w:name="五、投资状况分析" w:id="47"/>
      <w:bookmarkEnd w:id="47"/>
      <w:r>
        <w:rPr>
          <w:b w:val="0"/>
          <w:bCs w:val="0"/>
        </w:rPr>
      </w:r>
      <w:r>
        <w:rPr/>
        <w:t>五、投资状况分析</w:t>
      </w:r>
      <w:r>
        <w:rPr>
          <w:b w:val="0"/>
          <w:bCs w:val="0"/>
        </w:rPr>
      </w:r>
    </w:p>
    <w:p>
      <w:pPr>
        <w:spacing w:line="240" w:lineRule="auto" w:before="6"/>
        <w:rPr>
          <w:rFonts w:ascii="宋体" w:hAnsi="宋体" w:cs="宋体" w:eastAsia="宋体" w:hint="default"/>
          <w:b/>
          <w:bCs/>
          <w:sz w:val="32"/>
          <w:szCs w:val="32"/>
        </w:rPr>
      </w:pPr>
    </w:p>
    <w:p>
      <w:pPr>
        <w:pStyle w:val="Heading2"/>
        <w:spacing w:line="240" w:lineRule="auto" w:before="0"/>
        <w:ind w:left="876" w:right="1117"/>
        <w:jc w:val="left"/>
        <w:rPr>
          <w:b w:val="0"/>
          <w:bCs w:val="0"/>
        </w:rPr>
      </w:pPr>
      <w:bookmarkStart w:name="1、总体情况" w:id="48"/>
      <w:bookmarkEnd w:id="48"/>
      <w:r>
        <w:rPr>
          <w:b w:val="0"/>
          <w:bCs w:val="0"/>
        </w:rPr>
      </w:r>
      <w:r>
        <w:rPr>
          <w:rFonts w:ascii="Times New Roman" w:hAnsi="Times New Roman" w:cs="Times New Roman" w:eastAsia="Times New Roman" w:hint="default"/>
        </w:rPr>
        <w:t>1</w:t>
      </w:r>
      <w:r>
        <w:rPr/>
        <w:t>、总体情况</w:t>
      </w:r>
      <w:r>
        <w:rPr>
          <w:b w:val="0"/>
          <w:bCs w:val="0"/>
        </w:rPr>
      </w:r>
    </w:p>
    <w:p>
      <w:pPr>
        <w:spacing w:line="240" w:lineRule="auto" w:before="1"/>
        <w:rPr>
          <w:rFonts w:ascii="宋体" w:hAnsi="宋体" w:cs="宋体" w:eastAsia="宋体" w:hint="default"/>
          <w:b/>
          <w:bCs/>
          <w:sz w:val="3"/>
          <w:szCs w:val="3"/>
        </w:rPr>
      </w:pPr>
    </w:p>
    <w:tbl>
      <w:tblPr>
        <w:tblW w:w="0" w:type="auto"/>
        <w:jc w:val="left"/>
        <w:tblInd w:w="389" w:type="dxa"/>
        <w:tblLayout w:type="fixed"/>
        <w:tblCellMar>
          <w:top w:w="0" w:type="dxa"/>
          <w:left w:w="0" w:type="dxa"/>
          <w:bottom w:w="0" w:type="dxa"/>
          <w:right w:w="0" w:type="dxa"/>
        </w:tblCellMar>
        <w:tblLook w:val="01E0"/>
      </w:tblPr>
      <w:tblGrid>
        <w:gridCol w:w="3189"/>
        <w:gridCol w:w="3190"/>
        <w:gridCol w:w="3191"/>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报告期投资额（元）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上年同期投资额（元）</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变动幅度</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宋体" w:hAnsi="宋体" w:cs="宋体" w:eastAsia="宋体" w:hint="default"/>
                <w:sz w:val="21"/>
                <w:szCs w:val="21"/>
              </w:rPr>
            </w:pPr>
            <w:r>
              <w:rPr>
                <w:rFonts w:ascii="宋体"/>
                <w:sz w:val="21"/>
              </w:rPr>
              <w:t>54,266,600.00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sz w:val="21"/>
              </w:rPr>
              <w:t>77,000,000.00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sz w:val="21"/>
              </w:rPr>
              <w:t>-29.52%</w:t>
            </w:r>
          </w:p>
        </w:tc>
      </w:tr>
    </w:tbl>
    <w:p>
      <w:pPr>
        <w:spacing w:line="240" w:lineRule="auto" w:before="10"/>
        <w:rPr>
          <w:rFonts w:ascii="宋体" w:hAnsi="宋体" w:cs="宋体" w:eastAsia="宋体" w:hint="default"/>
          <w:b/>
          <w:bCs/>
          <w:sz w:val="4"/>
          <w:szCs w:val="4"/>
        </w:rPr>
      </w:pPr>
    </w:p>
    <w:p>
      <w:pPr>
        <w:spacing w:after="0" w:line="240" w:lineRule="auto"/>
        <w:rPr>
          <w:rFonts w:ascii="宋体" w:hAnsi="宋体" w:cs="宋体" w:eastAsia="宋体" w:hint="default"/>
          <w:sz w:val="4"/>
          <w:szCs w:val="4"/>
        </w:rPr>
        <w:sectPr>
          <w:pgSz w:w="11910" w:h="16840"/>
          <w:pgMar w:header="747" w:footer="979" w:top="1060" w:bottom="1160" w:left="740" w:right="0"/>
        </w:sectPr>
      </w:pPr>
    </w:p>
    <w:p>
      <w:pPr>
        <w:pStyle w:val="Heading2"/>
        <w:spacing w:line="240" w:lineRule="auto"/>
        <w:ind w:left="876" w:right="0"/>
        <w:jc w:val="left"/>
        <w:rPr>
          <w:b w:val="0"/>
          <w:bCs w:val="0"/>
        </w:rPr>
      </w:pPr>
      <w:bookmarkStart w:name="2、报告期内获取的重大的股权投资情况" w:id="49"/>
      <w:bookmarkEnd w:id="49"/>
      <w:r>
        <w:rPr>
          <w:b w:val="0"/>
          <w:bCs w:val="0"/>
        </w:rPr>
      </w:r>
      <w:r>
        <w:rPr>
          <w:rFonts w:ascii="Times New Roman" w:hAnsi="Times New Roman" w:cs="Times New Roman" w:eastAsia="Times New Roman" w:hint="default"/>
          <w:w w:val="95"/>
        </w:rPr>
        <w:t>2</w:t>
      </w:r>
      <w:r>
        <w:rPr>
          <w:w w:val="95"/>
        </w:rPr>
        <w:t>、报告期内获取的重大的股权投资情况</w:t>
      </w:r>
      <w:r>
        <w:rPr>
          <w:b w:val="0"/>
          <w:bCs w:val="0"/>
        </w:rPr>
      </w:r>
    </w:p>
    <w:p>
      <w:pPr>
        <w:pStyle w:val="BodyText"/>
        <w:spacing w:line="240" w:lineRule="auto" w:before="127"/>
        <w:ind w:left="873" w:right="0"/>
        <w:jc w:val="left"/>
      </w:pPr>
      <w:r>
        <w:rPr/>
        <w:t>√ 适用 □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7"/>
          <w:szCs w:val="27"/>
        </w:rPr>
      </w:pPr>
    </w:p>
    <w:p>
      <w:pPr>
        <w:spacing w:before="0"/>
        <w:ind w:left="873" w:right="0" w:firstLine="0"/>
        <w:jc w:val="left"/>
        <w:rPr>
          <w:rFonts w:ascii="宋体" w:hAnsi="宋体" w:cs="宋体" w:eastAsia="宋体" w:hint="default"/>
          <w:sz w:val="21"/>
          <w:szCs w:val="21"/>
        </w:rPr>
      </w:pPr>
      <w:r>
        <w:rPr>
          <w:rFonts w:ascii="宋体" w:hAnsi="宋体" w:cs="宋体" w:eastAsia="宋体" w:hint="default"/>
          <w:sz w:val="21"/>
          <w:szCs w:val="21"/>
        </w:rPr>
        <w:t>单位：元</w:t>
      </w:r>
    </w:p>
    <w:p>
      <w:pPr>
        <w:spacing w:after="0"/>
        <w:jc w:val="left"/>
        <w:rPr>
          <w:rFonts w:ascii="宋体" w:hAnsi="宋体" w:cs="宋体" w:eastAsia="宋体" w:hint="default"/>
          <w:sz w:val="21"/>
          <w:szCs w:val="21"/>
        </w:rPr>
        <w:sectPr>
          <w:type w:val="continuous"/>
          <w:pgSz w:w="11910" w:h="16840"/>
          <w:pgMar w:top="1060" w:bottom="1160" w:left="740" w:right="0"/>
          <w:cols w:num="2" w:equalWidth="0">
            <w:col w:w="5090" w:space="3230"/>
            <w:col w:w="2850"/>
          </w:cols>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8"/>
          <w:szCs w:val="18"/>
        </w:rPr>
      </w:pPr>
    </w:p>
    <w:p>
      <w:pPr>
        <w:spacing w:before="36"/>
        <w:ind w:left="0" w:right="1054" w:firstLine="0"/>
        <w:jc w:val="right"/>
        <w:rPr>
          <w:rFonts w:ascii="宋体" w:hAnsi="宋体" w:cs="宋体" w:eastAsia="宋体" w:hint="default"/>
          <w:sz w:val="21"/>
          <w:szCs w:val="21"/>
        </w:rPr>
      </w:pPr>
      <w:r>
        <w:rPr/>
        <w:pict>
          <v:shape style="position:absolute;margin-left:184.639999pt;margin-top:67.403664pt;width:20.65pt;height:85.8pt;mso-position-horizontal-relative:page;mso-position-vertical-relative:paragraph;z-index:-916384" type="#_x0000_t202" filled="false" stroked="false">
            <v:textbox inset="0,0,0,0">
              <w:txbxContent>
                <w:p>
                  <w:pPr>
                    <w:spacing w:before="26"/>
                    <w:ind w:left="0" w:right="0" w:firstLine="0"/>
                    <w:jc w:val="left"/>
                    <w:rPr>
                      <w:rFonts w:ascii="宋体" w:hAnsi="宋体" w:cs="宋体" w:eastAsia="宋体" w:hint="default"/>
                      <w:sz w:val="21"/>
                      <w:szCs w:val="21"/>
                    </w:rPr>
                  </w:pPr>
                  <w:r>
                    <w:rPr>
                      <w:rFonts w:ascii="宋体" w:hAnsi="宋体" w:cs="宋体" w:eastAsia="宋体" w:hint="default"/>
                      <w:sz w:val="21"/>
                      <w:szCs w:val="21"/>
                    </w:rPr>
                    <w:t>、</w:t>
                  </w:r>
                </w:p>
              </w:txbxContent>
            </v:textbox>
            <w10:wrap type="none"/>
          </v:shape>
        </w:pict>
      </w:r>
      <w:r>
        <w:rPr/>
        <w:pict>
          <v:shape style="position:absolute;margin-left:56.400002pt;margin-top:-46.806335pt;width:482.8pt;height:341.6pt;mso-position-horizontal-relative:page;mso-position-vertical-relative:paragraph;z-index:131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852"/>
                    <w:gridCol w:w="1842"/>
                    <w:gridCol w:w="283"/>
                    <w:gridCol w:w="568"/>
                    <w:gridCol w:w="567"/>
                    <w:gridCol w:w="250"/>
                    <w:gridCol w:w="318"/>
                    <w:gridCol w:w="425"/>
                    <w:gridCol w:w="426"/>
                    <w:gridCol w:w="566"/>
                    <w:gridCol w:w="568"/>
                    <w:gridCol w:w="567"/>
                    <w:gridCol w:w="425"/>
                    <w:gridCol w:w="426"/>
                    <w:gridCol w:w="1559"/>
                  </w:tblGrid>
                  <w:tr>
                    <w:trPr>
                      <w:trHeight w:val="2273" w:hRule="exact"/>
                    </w:trPr>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9"/>
                            <w:szCs w:val="29"/>
                          </w:rPr>
                        </w:pPr>
                      </w:p>
                      <w:p>
                        <w:pPr>
                          <w:pStyle w:val="TableParagraph"/>
                          <w:spacing w:line="273" w:lineRule="auto"/>
                          <w:ind w:left="105" w:right="105"/>
                          <w:jc w:val="center"/>
                          <w:rPr>
                            <w:rFonts w:ascii="宋体" w:hAnsi="宋体" w:cs="宋体" w:eastAsia="宋体" w:hint="default"/>
                            <w:sz w:val="21"/>
                            <w:szCs w:val="21"/>
                          </w:rPr>
                        </w:pPr>
                        <w:r>
                          <w:rPr>
                            <w:rFonts w:ascii="宋体" w:hAnsi="宋体" w:cs="宋体" w:eastAsia="宋体" w:hint="default"/>
                            <w:sz w:val="21"/>
                            <w:szCs w:val="21"/>
                          </w:rPr>
                          <w:t>被投资 公司名 称</w:t>
                        </w:r>
                      </w:p>
                    </w:tc>
                    <w:tc>
                      <w:tcPr>
                        <w:tcW w:w="18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7"/>
                          <w:ind w:right="1"/>
                          <w:jc w:val="center"/>
                          <w:rPr>
                            <w:rFonts w:ascii="宋体" w:hAnsi="宋体" w:cs="宋体" w:eastAsia="宋体" w:hint="default"/>
                            <w:sz w:val="21"/>
                            <w:szCs w:val="21"/>
                          </w:rPr>
                        </w:pPr>
                        <w:r>
                          <w:rPr>
                            <w:rFonts w:ascii="宋体" w:hAnsi="宋体" w:cs="宋体" w:eastAsia="宋体" w:hint="default"/>
                            <w:sz w:val="21"/>
                            <w:szCs w:val="21"/>
                          </w:rPr>
                          <w:t>主要业务</w:t>
                        </w:r>
                      </w:p>
                    </w:tc>
                    <w:tc>
                      <w:tcPr>
                        <w:tcW w:w="2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273" w:lineRule="auto"/>
                          <w:ind w:left="31" w:right="30"/>
                          <w:jc w:val="both"/>
                          <w:rPr>
                            <w:rFonts w:ascii="宋体" w:hAnsi="宋体" w:cs="宋体" w:eastAsia="宋体" w:hint="default"/>
                            <w:sz w:val="21"/>
                            <w:szCs w:val="21"/>
                          </w:rPr>
                        </w:pPr>
                        <w:r>
                          <w:rPr>
                            <w:rFonts w:ascii="宋体" w:hAnsi="宋体" w:cs="宋体" w:eastAsia="宋体" w:hint="default"/>
                            <w:sz w:val="21"/>
                            <w:szCs w:val="21"/>
                          </w:rPr>
                          <w:t>投 资 方 式</w:t>
                        </w:r>
                      </w:p>
                    </w:tc>
                    <w:tc>
                      <w:tcPr>
                        <w:tcW w:w="5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73" w:lineRule="auto"/>
                          <w:ind w:left="68" w:right="67"/>
                          <w:jc w:val="left"/>
                          <w:rPr>
                            <w:rFonts w:ascii="宋体" w:hAnsi="宋体" w:cs="宋体" w:eastAsia="宋体" w:hint="default"/>
                            <w:sz w:val="21"/>
                            <w:szCs w:val="21"/>
                          </w:rPr>
                        </w:pPr>
                        <w:r>
                          <w:rPr>
                            <w:rFonts w:ascii="宋体" w:hAnsi="宋体" w:cs="宋体" w:eastAsia="宋体" w:hint="default"/>
                            <w:sz w:val="21"/>
                            <w:szCs w:val="21"/>
                          </w:rPr>
                          <w:t>投资 金额</w:t>
                        </w:r>
                      </w:p>
                    </w:tc>
                    <w:tc>
                      <w:tcPr>
                        <w:tcW w:w="5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73" w:lineRule="auto"/>
                          <w:ind w:left="68" w:right="66"/>
                          <w:jc w:val="left"/>
                          <w:rPr>
                            <w:rFonts w:ascii="宋体" w:hAnsi="宋体" w:cs="宋体" w:eastAsia="宋体" w:hint="default"/>
                            <w:sz w:val="21"/>
                            <w:szCs w:val="21"/>
                          </w:rPr>
                        </w:pPr>
                        <w:r>
                          <w:rPr>
                            <w:rFonts w:ascii="宋体" w:hAnsi="宋体" w:cs="宋体" w:eastAsia="宋体" w:hint="default"/>
                            <w:sz w:val="21"/>
                            <w:szCs w:val="21"/>
                          </w:rPr>
                          <w:t>持股 比例</w:t>
                        </w:r>
                      </w:p>
                    </w:tc>
                    <w:tc>
                      <w:tcPr>
                        <w:tcW w:w="2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273" w:lineRule="auto"/>
                          <w:ind w:left="22" w:right="5"/>
                          <w:jc w:val="both"/>
                          <w:rPr>
                            <w:rFonts w:ascii="宋体" w:hAnsi="宋体" w:cs="宋体" w:eastAsia="宋体" w:hint="default"/>
                            <w:sz w:val="21"/>
                            <w:szCs w:val="21"/>
                          </w:rPr>
                        </w:pPr>
                        <w:r>
                          <w:rPr>
                            <w:rFonts w:ascii="宋体" w:hAnsi="宋体" w:cs="宋体" w:eastAsia="宋体" w:hint="default"/>
                            <w:sz w:val="21"/>
                            <w:szCs w:val="21"/>
                          </w:rPr>
                          <w:t>资 金 来 源</w:t>
                        </w:r>
                      </w:p>
                    </w:tc>
                    <w:tc>
                      <w:tcPr>
                        <w:tcW w:w="3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9"/>
                            <w:szCs w:val="29"/>
                          </w:rPr>
                        </w:pPr>
                      </w:p>
                      <w:p>
                        <w:pPr>
                          <w:pStyle w:val="TableParagraph"/>
                          <w:spacing w:line="273" w:lineRule="auto"/>
                          <w:ind w:left="49" w:right="47"/>
                          <w:jc w:val="both"/>
                          <w:rPr>
                            <w:rFonts w:ascii="宋体" w:hAnsi="宋体" w:cs="宋体" w:eastAsia="宋体" w:hint="default"/>
                            <w:sz w:val="21"/>
                            <w:szCs w:val="21"/>
                          </w:rPr>
                        </w:pPr>
                        <w:r>
                          <w:rPr>
                            <w:rFonts w:ascii="宋体" w:hAnsi="宋体" w:cs="宋体" w:eastAsia="宋体" w:hint="default"/>
                            <w:sz w:val="21"/>
                            <w:szCs w:val="21"/>
                          </w:rPr>
                          <w:t>合 作 方</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273" w:lineRule="auto"/>
                          <w:ind w:left="101" w:right="101"/>
                          <w:jc w:val="both"/>
                          <w:rPr>
                            <w:rFonts w:ascii="宋体" w:hAnsi="宋体" w:cs="宋体" w:eastAsia="宋体" w:hint="default"/>
                            <w:sz w:val="21"/>
                            <w:szCs w:val="21"/>
                          </w:rPr>
                        </w:pPr>
                        <w:r>
                          <w:rPr>
                            <w:rFonts w:ascii="宋体" w:hAnsi="宋体" w:cs="宋体" w:eastAsia="宋体" w:hint="default"/>
                            <w:sz w:val="21"/>
                            <w:szCs w:val="21"/>
                          </w:rPr>
                          <w:t>投 资 期 限</w:t>
                        </w:r>
                      </w:p>
                    </w:tc>
                    <w:tc>
                      <w:tcPr>
                        <w:tcW w:w="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273" w:lineRule="auto"/>
                          <w:ind w:left="101" w:right="102"/>
                          <w:jc w:val="both"/>
                          <w:rPr>
                            <w:rFonts w:ascii="宋体" w:hAnsi="宋体" w:cs="宋体" w:eastAsia="宋体" w:hint="default"/>
                            <w:sz w:val="21"/>
                            <w:szCs w:val="21"/>
                          </w:rPr>
                        </w:pPr>
                        <w:r>
                          <w:rPr>
                            <w:rFonts w:ascii="宋体" w:hAnsi="宋体" w:cs="宋体" w:eastAsia="宋体" w:hint="default"/>
                            <w:sz w:val="21"/>
                            <w:szCs w:val="21"/>
                          </w:rPr>
                          <w:t>产 品 类 型</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68" w:right="66"/>
                          <w:jc w:val="both"/>
                          <w:rPr>
                            <w:rFonts w:ascii="宋体" w:hAnsi="宋体" w:cs="宋体" w:eastAsia="宋体" w:hint="default"/>
                            <w:sz w:val="21"/>
                            <w:szCs w:val="21"/>
                          </w:rPr>
                        </w:pPr>
                        <w:r>
                          <w:rPr>
                            <w:rFonts w:ascii="宋体" w:hAnsi="宋体" w:cs="宋体" w:eastAsia="宋体" w:hint="default"/>
                            <w:sz w:val="21"/>
                            <w:szCs w:val="21"/>
                          </w:rPr>
                          <w:t>截至 资产 负债 表日 的进 展情 况</w:t>
                        </w:r>
                      </w:p>
                    </w:tc>
                    <w:tc>
                      <w:tcPr>
                        <w:tcW w:w="5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73" w:lineRule="auto"/>
                          <w:ind w:left="68" w:right="67"/>
                          <w:jc w:val="left"/>
                          <w:rPr>
                            <w:rFonts w:ascii="宋体" w:hAnsi="宋体" w:cs="宋体" w:eastAsia="宋体" w:hint="default"/>
                            <w:sz w:val="21"/>
                            <w:szCs w:val="21"/>
                          </w:rPr>
                        </w:pPr>
                        <w:r>
                          <w:rPr>
                            <w:rFonts w:ascii="宋体" w:hAnsi="宋体" w:cs="宋体" w:eastAsia="宋体" w:hint="default"/>
                            <w:sz w:val="21"/>
                            <w:szCs w:val="21"/>
                          </w:rPr>
                          <w:t>预计 收益</w:t>
                        </w:r>
                      </w:p>
                    </w:tc>
                    <w:tc>
                      <w:tcPr>
                        <w:tcW w:w="5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9"/>
                            <w:szCs w:val="29"/>
                          </w:rPr>
                        </w:pPr>
                      </w:p>
                      <w:p>
                        <w:pPr>
                          <w:pStyle w:val="TableParagraph"/>
                          <w:spacing w:line="273" w:lineRule="auto"/>
                          <w:ind w:left="68" w:right="66"/>
                          <w:jc w:val="both"/>
                          <w:rPr>
                            <w:rFonts w:ascii="宋体" w:hAnsi="宋体" w:cs="宋体" w:eastAsia="宋体" w:hint="default"/>
                            <w:sz w:val="21"/>
                            <w:szCs w:val="21"/>
                          </w:rPr>
                        </w:pPr>
                        <w:r>
                          <w:rPr>
                            <w:rFonts w:ascii="宋体" w:hAnsi="宋体" w:cs="宋体" w:eastAsia="宋体" w:hint="default"/>
                            <w:sz w:val="21"/>
                            <w:szCs w:val="21"/>
                          </w:rPr>
                          <w:t>本期 投资 盈亏</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273" w:lineRule="auto"/>
                          <w:ind w:left="102" w:right="101"/>
                          <w:jc w:val="both"/>
                          <w:rPr>
                            <w:rFonts w:ascii="宋体" w:hAnsi="宋体" w:cs="宋体" w:eastAsia="宋体" w:hint="default"/>
                            <w:sz w:val="21"/>
                            <w:szCs w:val="21"/>
                          </w:rPr>
                        </w:pPr>
                        <w:r>
                          <w:rPr>
                            <w:rFonts w:ascii="宋体" w:hAnsi="宋体" w:cs="宋体" w:eastAsia="宋体" w:hint="default"/>
                            <w:sz w:val="21"/>
                            <w:szCs w:val="21"/>
                          </w:rPr>
                          <w:t>是 否 涉 诉</w:t>
                        </w:r>
                      </w:p>
                    </w:tc>
                    <w:tc>
                      <w:tcPr>
                        <w:tcW w:w="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auto" w:before="26"/>
                          <w:ind w:left="103" w:right="101"/>
                          <w:jc w:val="both"/>
                          <w:rPr>
                            <w:rFonts w:ascii="宋体" w:hAnsi="宋体" w:cs="宋体" w:eastAsia="宋体" w:hint="default"/>
                            <w:sz w:val="21"/>
                            <w:szCs w:val="21"/>
                          </w:rPr>
                        </w:pPr>
                        <w:r>
                          <w:rPr>
                            <w:rFonts w:ascii="宋体" w:hAnsi="宋体" w:cs="宋体" w:eastAsia="宋体" w:hint="default"/>
                            <w:sz w:val="21"/>
                            <w:szCs w:val="21"/>
                          </w:rPr>
                          <w:t>披 露 日 期</w:t>
                        </w:r>
                      </w:p>
                      <w:p>
                        <w:pPr>
                          <w:pStyle w:val="TableParagraph"/>
                          <w:spacing w:line="273" w:lineRule="auto" w:before="10"/>
                          <w:ind w:left="23" w:right="-28" w:firstLine="79"/>
                          <w:jc w:val="both"/>
                          <w:rPr>
                            <w:rFonts w:ascii="宋体" w:hAnsi="宋体" w:cs="宋体" w:eastAsia="宋体" w:hint="default"/>
                            <w:sz w:val="21"/>
                            <w:szCs w:val="21"/>
                          </w:rPr>
                        </w:pPr>
                        <w:r>
                          <w:rPr>
                            <w:rFonts w:ascii="宋体" w:hAnsi="宋体" w:cs="宋体" w:eastAsia="宋体" w:hint="default"/>
                            <w:sz w:val="21"/>
                            <w:szCs w:val="21"/>
                          </w:rPr>
                          <w:t>（ 如 有）</w:t>
                        </w:r>
                      </w:p>
                    </w:tc>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7"/>
                          <w:ind w:right="103"/>
                          <w:jc w:val="center"/>
                          <w:rPr>
                            <w:rFonts w:ascii="宋体" w:hAnsi="宋体" w:cs="宋体" w:eastAsia="宋体" w:hint="default"/>
                            <w:sz w:val="21"/>
                            <w:szCs w:val="21"/>
                          </w:rPr>
                        </w:pPr>
                        <w:r>
                          <w:rPr>
                            <w:rFonts w:ascii="宋体" w:hAnsi="宋体" w:cs="宋体" w:eastAsia="宋体" w:hint="default"/>
                            <w:spacing w:val="-11"/>
                            <w:sz w:val="21"/>
                            <w:szCs w:val="21"/>
                          </w:rPr>
                          <w:t>披露索引（如有</w:t>
                        </w:r>
                      </w:p>
                    </w:tc>
                  </w:tr>
                  <w:tr>
                    <w:trPr>
                      <w:trHeight w:val="4147"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5"/>
                            <w:szCs w:val="25"/>
                          </w:rPr>
                        </w:pPr>
                      </w:p>
                      <w:p>
                        <w:pPr>
                          <w:pStyle w:val="TableParagraph"/>
                          <w:spacing w:line="273" w:lineRule="auto"/>
                          <w:ind w:left="22" w:right="189"/>
                          <w:jc w:val="both"/>
                          <w:rPr>
                            <w:rFonts w:ascii="宋体" w:hAnsi="宋体" w:cs="宋体" w:eastAsia="宋体" w:hint="default"/>
                            <w:sz w:val="21"/>
                            <w:szCs w:val="21"/>
                          </w:rPr>
                        </w:pPr>
                        <w:r>
                          <w:rPr>
                            <w:rFonts w:ascii="宋体" w:hAnsi="宋体" w:cs="宋体" w:eastAsia="宋体" w:hint="default"/>
                            <w:sz w:val="21"/>
                            <w:szCs w:val="21"/>
                          </w:rPr>
                          <w:t>成都西 南交大 驱动技 术有限 责任公 司</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7"/>
                          <w:ind w:left="22" w:right="20"/>
                          <w:jc w:val="left"/>
                          <w:rPr>
                            <w:rFonts w:ascii="宋体" w:hAnsi="宋体" w:cs="宋体" w:eastAsia="宋体" w:hint="default"/>
                            <w:sz w:val="21"/>
                            <w:szCs w:val="21"/>
                          </w:rPr>
                        </w:pPr>
                        <w:r>
                          <w:rPr>
                            <w:rFonts w:ascii="宋体" w:hAnsi="宋体" w:cs="宋体" w:eastAsia="宋体" w:hint="default"/>
                            <w:sz w:val="21"/>
                            <w:szCs w:val="21"/>
                          </w:rPr>
                          <w:t>机电液一体化技术 </w:t>
                        </w:r>
                        <w:r>
                          <w:rPr>
                            <w:rFonts w:ascii="宋体" w:hAnsi="宋体" w:cs="宋体" w:eastAsia="宋体" w:hint="default"/>
                            <w:spacing w:val="-12"/>
                            <w:sz w:val="21"/>
                            <w:szCs w:val="21"/>
                          </w:rPr>
                          <w:t>计算机软件、电子控</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12"/>
                            <w:sz w:val="21"/>
                            <w:szCs w:val="21"/>
                          </w:rPr>
                          <w:t>制技术、铁路专用设</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备、电气设备的研 </w:t>
                        </w:r>
                        <w:r>
                          <w:rPr>
                            <w:rFonts w:ascii="宋体" w:hAnsi="宋体" w:cs="宋体" w:eastAsia="宋体" w:hint="default"/>
                            <w:spacing w:val="-12"/>
                            <w:sz w:val="21"/>
                            <w:szCs w:val="21"/>
                          </w:rPr>
                          <w:t>发、销售并提供技术</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12"/>
                            <w:sz w:val="21"/>
                            <w:szCs w:val="21"/>
                          </w:rPr>
                          <w:t>咨询、技术开发、技</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术转让、技术推广 生产机械设备及器 材、电气设备及器 </w:t>
                        </w:r>
                        <w:r>
                          <w:rPr>
                            <w:rFonts w:ascii="宋体" w:hAnsi="宋体" w:cs="宋体" w:eastAsia="宋体" w:hint="default"/>
                            <w:spacing w:val="-12"/>
                            <w:sz w:val="21"/>
                            <w:szCs w:val="21"/>
                          </w:rPr>
                          <w:t>材、铁路专用设备及</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配件、建筑工程机 </w:t>
                        </w:r>
                        <w:r>
                          <w:rPr>
                            <w:rFonts w:ascii="宋体" w:hAnsi="宋体" w:cs="宋体" w:eastAsia="宋体" w:hint="default"/>
                            <w:spacing w:val="-12"/>
                            <w:sz w:val="21"/>
                            <w:szCs w:val="21"/>
                          </w:rPr>
                          <w:t>械、石油钻采专用设</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备。</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15" w:lineRule="exact" w:before="173"/>
                          <w:ind w:left="22" w:right="0"/>
                          <w:jc w:val="left"/>
                          <w:rPr>
                            <w:rFonts w:ascii="宋体" w:hAnsi="宋体" w:cs="宋体" w:eastAsia="宋体" w:hint="default"/>
                            <w:sz w:val="21"/>
                            <w:szCs w:val="21"/>
                          </w:rPr>
                        </w:pPr>
                        <w:r>
                          <w:rPr>
                            <w:rFonts w:ascii="宋体" w:hAnsi="宋体" w:cs="宋体" w:eastAsia="宋体" w:hint="default"/>
                            <w:sz w:val="21"/>
                            <w:szCs w:val="21"/>
                          </w:rPr>
                          <w:t>增</w:t>
                        </w:r>
                      </w:p>
                      <w:p>
                        <w:pPr>
                          <w:pStyle w:val="TableParagraph"/>
                          <w:spacing w:line="156" w:lineRule="exact"/>
                          <w:ind w:left="-140" w:right="0"/>
                          <w:jc w:val="left"/>
                          <w:rPr>
                            <w:rFonts w:ascii="宋体" w:hAnsi="宋体" w:cs="宋体" w:eastAsia="宋体" w:hint="default"/>
                            <w:sz w:val="21"/>
                            <w:szCs w:val="21"/>
                          </w:rPr>
                        </w:pPr>
                        <w:r>
                          <w:rPr>
                            <w:rFonts w:ascii="宋体" w:hAnsi="宋体" w:cs="宋体" w:eastAsia="宋体" w:hint="default"/>
                            <w:sz w:val="21"/>
                            <w:szCs w:val="21"/>
                          </w:rPr>
                          <w:t>；</w:t>
                        </w:r>
                      </w:p>
                      <w:p>
                        <w:pPr>
                          <w:pStyle w:val="TableParagraph"/>
                          <w:spacing w:line="216" w:lineRule="exact"/>
                          <w:ind w:left="22" w:right="0"/>
                          <w:jc w:val="left"/>
                          <w:rPr>
                            <w:rFonts w:ascii="宋体" w:hAnsi="宋体" w:cs="宋体" w:eastAsia="宋体" w:hint="default"/>
                            <w:sz w:val="21"/>
                            <w:szCs w:val="21"/>
                          </w:rPr>
                        </w:pPr>
                        <w:r>
                          <w:rPr>
                            <w:rFonts w:ascii="宋体" w:hAnsi="宋体" w:cs="宋体" w:eastAsia="宋体" w:hint="default"/>
                            <w:sz w:val="21"/>
                            <w:szCs w:val="21"/>
                          </w:rPr>
                          <w:t>资</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left="114" w:right="0"/>
                          <w:jc w:val="left"/>
                          <w:rPr>
                            <w:rFonts w:ascii="宋体" w:hAnsi="宋体" w:cs="宋体" w:eastAsia="宋体" w:hint="default"/>
                            <w:sz w:val="21"/>
                            <w:szCs w:val="21"/>
                          </w:rPr>
                        </w:pPr>
                        <w:r>
                          <w:rPr>
                            <w:rFonts w:ascii="宋体"/>
                            <w:sz w:val="21"/>
                          </w:rPr>
                          <w:t>54,2</w:t>
                        </w:r>
                      </w:p>
                      <w:p>
                        <w:pPr>
                          <w:pStyle w:val="TableParagraph"/>
                          <w:spacing w:line="240" w:lineRule="auto" w:before="36"/>
                          <w:ind w:left="114" w:right="0"/>
                          <w:jc w:val="left"/>
                          <w:rPr>
                            <w:rFonts w:ascii="宋体" w:hAnsi="宋体" w:cs="宋体" w:eastAsia="宋体" w:hint="default"/>
                            <w:sz w:val="21"/>
                            <w:szCs w:val="21"/>
                          </w:rPr>
                        </w:pPr>
                        <w:r>
                          <w:rPr>
                            <w:rFonts w:ascii="宋体"/>
                            <w:sz w:val="21"/>
                          </w:rPr>
                          <w:t>66,6</w:t>
                        </w:r>
                      </w:p>
                      <w:p>
                        <w:pPr>
                          <w:pStyle w:val="TableParagraph"/>
                          <w:spacing w:line="240" w:lineRule="auto" w:before="37"/>
                          <w:ind w:left="114" w:right="0"/>
                          <w:jc w:val="left"/>
                          <w:rPr>
                            <w:rFonts w:ascii="宋体" w:hAnsi="宋体" w:cs="宋体" w:eastAsia="宋体" w:hint="default"/>
                            <w:sz w:val="21"/>
                            <w:szCs w:val="21"/>
                          </w:rPr>
                        </w:pPr>
                        <w:r>
                          <w:rPr>
                            <w:rFonts w:ascii="宋体"/>
                            <w:sz w:val="21"/>
                          </w:rPr>
                          <w:t>00.0</w:t>
                        </w:r>
                      </w:p>
                      <w:p>
                        <w:pPr>
                          <w:pStyle w:val="TableParagraph"/>
                          <w:spacing w:line="240" w:lineRule="auto" w:before="38"/>
                          <w:ind w:right="21"/>
                          <w:jc w:val="right"/>
                          <w:rPr>
                            <w:rFonts w:ascii="宋体" w:hAnsi="宋体" w:cs="宋体" w:eastAsia="宋体" w:hint="default"/>
                            <w:sz w:val="21"/>
                            <w:szCs w:val="21"/>
                          </w:rPr>
                        </w:pPr>
                        <w:r>
                          <w:rPr>
                            <w:rFonts w:ascii="宋体"/>
                            <w:sz w:val="21"/>
                          </w:rPr>
                          <w:t>0</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3"/>
                          <w:ind w:left="114" w:right="0"/>
                          <w:jc w:val="left"/>
                          <w:rPr>
                            <w:rFonts w:ascii="宋体" w:hAnsi="宋体" w:cs="宋体" w:eastAsia="宋体" w:hint="default"/>
                            <w:sz w:val="21"/>
                            <w:szCs w:val="21"/>
                          </w:rPr>
                        </w:pPr>
                        <w:r>
                          <w:rPr>
                            <w:rFonts w:ascii="宋体"/>
                            <w:sz w:val="21"/>
                          </w:rPr>
                          <w:t>51.0</w:t>
                        </w:r>
                      </w:p>
                      <w:p>
                        <w:pPr>
                          <w:pStyle w:val="TableParagraph"/>
                          <w:spacing w:line="240" w:lineRule="auto" w:before="37"/>
                          <w:ind w:left="324" w:right="0"/>
                          <w:jc w:val="left"/>
                          <w:rPr>
                            <w:rFonts w:ascii="宋体" w:hAnsi="宋体" w:cs="宋体" w:eastAsia="宋体" w:hint="default"/>
                            <w:sz w:val="21"/>
                            <w:szCs w:val="21"/>
                          </w:rPr>
                        </w:pPr>
                        <w:r>
                          <w:rPr>
                            <w:rFonts w:ascii="宋体"/>
                            <w:sz w:val="21"/>
                          </w:rPr>
                          <w:t>0%</w:t>
                        </w:r>
                      </w:p>
                    </w:tc>
                    <w:tc>
                      <w:tcPr>
                        <w:tcW w:w="250" w:type="dxa"/>
                        <w:tcBorders>
                          <w:top w:val="single" w:sz="4" w:space="0" w:color="000000"/>
                          <w:left w:val="single" w:sz="4" w:space="0" w:color="000000"/>
                          <w:bottom w:val="single" w:sz="12" w:space="0" w:color="D2D2D2"/>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9"/>
                            <w:szCs w:val="29"/>
                          </w:rPr>
                        </w:pPr>
                      </w:p>
                      <w:p>
                        <w:pPr>
                          <w:pStyle w:val="TableParagraph"/>
                          <w:spacing w:line="273" w:lineRule="auto"/>
                          <w:ind w:left="22" w:right="5"/>
                          <w:jc w:val="both"/>
                          <w:rPr>
                            <w:rFonts w:ascii="宋体" w:hAnsi="宋体" w:cs="宋体" w:eastAsia="宋体" w:hint="default"/>
                            <w:sz w:val="21"/>
                            <w:szCs w:val="21"/>
                          </w:rPr>
                        </w:pPr>
                        <w:r>
                          <w:rPr>
                            <w:rFonts w:ascii="宋体" w:hAnsi="宋体" w:cs="宋体" w:eastAsia="宋体" w:hint="default"/>
                            <w:sz w:val="21"/>
                            <w:szCs w:val="21"/>
                          </w:rPr>
                          <w:t>自 筹 资 金</w:t>
                        </w:r>
                      </w:p>
                    </w:tc>
                    <w:tc>
                      <w:tcPr>
                        <w:tcW w:w="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无</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3" w:lineRule="auto" w:before="173"/>
                          <w:ind w:left="22" w:right="180"/>
                          <w:jc w:val="left"/>
                          <w:rPr>
                            <w:rFonts w:ascii="宋体" w:hAnsi="宋体" w:cs="宋体" w:eastAsia="宋体" w:hint="default"/>
                            <w:sz w:val="21"/>
                            <w:szCs w:val="21"/>
                          </w:rPr>
                        </w:pPr>
                        <w:r>
                          <w:rPr>
                            <w:rFonts w:ascii="宋体" w:hAnsi="宋体" w:cs="宋体" w:eastAsia="宋体" w:hint="default"/>
                            <w:sz w:val="21"/>
                            <w:szCs w:val="21"/>
                          </w:rPr>
                          <w:t>长 期</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73" w:lineRule="auto"/>
                          <w:ind w:left="22" w:right="181"/>
                          <w:jc w:val="both"/>
                          <w:rPr>
                            <w:rFonts w:ascii="宋体" w:hAnsi="宋体" w:cs="宋体" w:eastAsia="宋体" w:hint="default"/>
                            <w:sz w:val="21"/>
                            <w:szCs w:val="21"/>
                          </w:rPr>
                        </w:pPr>
                        <w:r>
                          <w:rPr>
                            <w:rFonts w:ascii="宋体" w:hAnsi="宋体" w:cs="宋体" w:eastAsia="宋体" w:hint="default"/>
                            <w:sz w:val="21"/>
                            <w:szCs w:val="21"/>
                          </w:rPr>
                          <w:t>水 冲 洗 装 备 制 造 类</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7"/>
                            <w:szCs w:val="17"/>
                          </w:rPr>
                        </w:pPr>
                      </w:p>
                      <w:p>
                        <w:pPr>
                          <w:pStyle w:val="TableParagraph"/>
                          <w:spacing w:line="273" w:lineRule="auto"/>
                          <w:ind w:left="22" w:right="113"/>
                          <w:jc w:val="both"/>
                          <w:rPr>
                            <w:rFonts w:ascii="宋体" w:hAnsi="宋体" w:cs="宋体" w:eastAsia="宋体" w:hint="default"/>
                            <w:sz w:val="21"/>
                            <w:szCs w:val="21"/>
                          </w:rPr>
                        </w:pPr>
                        <w:r>
                          <w:rPr>
                            <w:rFonts w:ascii="宋体" w:hAnsi="宋体" w:cs="宋体" w:eastAsia="宋体" w:hint="default"/>
                            <w:sz w:val="21"/>
                            <w:szCs w:val="21"/>
                          </w:rPr>
                          <w:t>已完 成工 商登 记变 更</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113" w:right="0"/>
                          <w:jc w:val="left"/>
                          <w:rPr>
                            <w:rFonts w:ascii="宋体" w:hAnsi="宋体" w:cs="宋体" w:eastAsia="宋体" w:hint="default"/>
                            <w:sz w:val="21"/>
                            <w:szCs w:val="21"/>
                          </w:rPr>
                        </w:pPr>
                        <w:r>
                          <w:rPr>
                            <w:rFonts w:ascii="宋体"/>
                            <w:sz w:val="21"/>
                          </w:rPr>
                          <w:t>4,70</w:t>
                        </w:r>
                      </w:p>
                      <w:p>
                        <w:pPr>
                          <w:pStyle w:val="TableParagraph"/>
                          <w:spacing w:line="240" w:lineRule="auto" w:before="36"/>
                          <w:ind w:left="113" w:right="0"/>
                          <w:jc w:val="left"/>
                          <w:rPr>
                            <w:rFonts w:ascii="宋体" w:hAnsi="宋体" w:cs="宋体" w:eastAsia="宋体" w:hint="default"/>
                            <w:sz w:val="21"/>
                            <w:szCs w:val="21"/>
                          </w:rPr>
                        </w:pPr>
                        <w:r>
                          <w:rPr>
                            <w:rFonts w:ascii="宋体"/>
                            <w:sz w:val="21"/>
                          </w:rPr>
                          <w:t>4,80</w:t>
                        </w:r>
                      </w:p>
                      <w:p>
                        <w:pPr>
                          <w:pStyle w:val="TableParagraph"/>
                          <w:spacing w:line="240" w:lineRule="auto" w:before="38"/>
                          <w:ind w:left="113" w:right="0"/>
                          <w:jc w:val="left"/>
                          <w:rPr>
                            <w:rFonts w:ascii="宋体" w:hAnsi="宋体" w:cs="宋体" w:eastAsia="宋体" w:hint="default"/>
                            <w:sz w:val="21"/>
                            <w:szCs w:val="21"/>
                          </w:rPr>
                        </w:pPr>
                        <w:r>
                          <w:rPr>
                            <w:rFonts w:ascii="宋体"/>
                            <w:sz w:val="21"/>
                          </w:rPr>
                          <w:t>0.00</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113" w:right="0"/>
                          <w:jc w:val="left"/>
                          <w:rPr>
                            <w:rFonts w:ascii="宋体" w:hAnsi="宋体" w:cs="宋体" w:eastAsia="宋体" w:hint="default"/>
                            <w:sz w:val="21"/>
                            <w:szCs w:val="21"/>
                          </w:rPr>
                        </w:pPr>
                        <w:r>
                          <w:rPr>
                            <w:rFonts w:ascii="宋体"/>
                            <w:sz w:val="21"/>
                          </w:rPr>
                          <w:t>5,62</w:t>
                        </w:r>
                      </w:p>
                      <w:p>
                        <w:pPr>
                          <w:pStyle w:val="TableParagraph"/>
                          <w:spacing w:line="240" w:lineRule="auto" w:before="36"/>
                          <w:ind w:left="113" w:right="0"/>
                          <w:jc w:val="left"/>
                          <w:rPr>
                            <w:rFonts w:ascii="宋体" w:hAnsi="宋体" w:cs="宋体" w:eastAsia="宋体" w:hint="default"/>
                            <w:sz w:val="21"/>
                            <w:szCs w:val="21"/>
                          </w:rPr>
                        </w:pPr>
                        <w:r>
                          <w:rPr>
                            <w:rFonts w:ascii="宋体"/>
                            <w:sz w:val="21"/>
                          </w:rPr>
                          <w:t>3,86</w:t>
                        </w:r>
                      </w:p>
                      <w:p>
                        <w:pPr>
                          <w:pStyle w:val="TableParagraph"/>
                          <w:spacing w:line="240" w:lineRule="auto" w:before="38"/>
                          <w:ind w:left="113" w:right="0"/>
                          <w:jc w:val="left"/>
                          <w:rPr>
                            <w:rFonts w:ascii="宋体" w:hAnsi="宋体" w:cs="宋体" w:eastAsia="宋体" w:hint="default"/>
                            <w:sz w:val="21"/>
                            <w:szCs w:val="21"/>
                          </w:rPr>
                        </w:pPr>
                        <w:r>
                          <w:rPr>
                            <w:rFonts w:ascii="宋体"/>
                            <w:sz w:val="21"/>
                          </w:rPr>
                          <w:t>1.54</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否</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5"/>
                            <w:szCs w:val="25"/>
                          </w:rPr>
                        </w:pPr>
                      </w:p>
                      <w:p>
                        <w:pPr>
                          <w:pStyle w:val="TableParagraph"/>
                          <w:spacing w:line="240" w:lineRule="auto"/>
                          <w:ind w:left="23" w:right="0"/>
                          <w:jc w:val="left"/>
                          <w:rPr>
                            <w:rFonts w:ascii="宋体" w:hAnsi="宋体" w:cs="宋体" w:eastAsia="宋体" w:hint="default"/>
                            <w:sz w:val="21"/>
                            <w:szCs w:val="21"/>
                          </w:rPr>
                        </w:pPr>
                        <w:r>
                          <w:rPr>
                            <w:rFonts w:ascii="宋体"/>
                            <w:sz w:val="21"/>
                          </w:rPr>
                          <w:t>201</w:t>
                        </w:r>
                      </w:p>
                      <w:p>
                        <w:pPr>
                          <w:pStyle w:val="TableParagraph"/>
                          <w:spacing w:line="240" w:lineRule="auto" w:before="36"/>
                          <w:ind w:left="23" w:right="0"/>
                          <w:jc w:val="left"/>
                          <w:rPr>
                            <w:rFonts w:ascii="宋体" w:hAnsi="宋体" w:cs="宋体" w:eastAsia="宋体" w:hint="default"/>
                            <w:sz w:val="21"/>
                            <w:szCs w:val="21"/>
                          </w:rPr>
                        </w:pPr>
                        <w:r>
                          <w:rPr>
                            <w:rFonts w:ascii="宋体" w:hAnsi="宋体" w:cs="宋体" w:eastAsia="宋体" w:hint="default"/>
                            <w:sz w:val="21"/>
                            <w:szCs w:val="21"/>
                          </w:rPr>
                          <w:t>7</w:t>
                        </w:r>
                        <w:r>
                          <w:rPr>
                            <w:rFonts w:ascii="宋体" w:hAnsi="宋体" w:cs="宋体" w:eastAsia="宋体" w:hint="default"/>
                            <w:spacing w:val="-52"/>
                            <w:sz w:val="21"/>
                            <w:szCs w:val="21"/>
                          </w:rPr>
                          <w:t> </w:t>
                        </w:r>
                        <w:r>
                          <w:rPr>
                            <w:rFonts w:ascii="宋体" w:hAnsi="宋体" w:cs="宋体" w:eastAsia="宋体" w:hint="default"/>
                            <w:sz w:val="21"/>
                            <w:szCs w:val="21"/>
                          </w:rPr>
                          <w:t>年</w:t>
                        </w:r>
                      </w:p>
                      <w:p>
                        <w:pPr>
                          <w:pStyle w:val="TableParagraph"/>
                          <w:spacing w:line="240" w:lineRule="auto" w:before="37"/>
                          <w:ind w:left="23" w:right="0"/>
                          <w:jc w:val="left"/>
                          <w:rPr>
                            <w:rFonts w:ascii="宋体" w:hAnsi="宋体" w:cs="宋体" w:eastAsia="宋体" w:hint="default"/>
                            <w:sz w:val="21"/>
                            <w:szCs w:val="21"/>
                          </w:rPr>
                        </w:pPr>
                        <w:r>
                          <w:rPr>
                            <w:rFonts w:ascii="宋体"/>
                            <w:sz w:val="21"/>
                          </w:rPr>
                          <w:t>01</w:t>
                        </w:r>
                      </w:p>
                      <w:p>
                        <w:pPr>
                          <w:pStyle w:val="TableParagraph"/>
                          <w:spacing w:line="273" w:lineRule="auto" w:before="37"/>
                          <w:ind w:left="23" w:right="179"/>
                          <w:jc w:val="left"/>
                          <w:rPr>
                            <w:rFonts w:ascii="宋体" w:hAnsi="宋体" w:cs="宋体" w:eastAsia="宋体" w:hint="default"/>
                            <w:sz w:val="21"/>
                            <w:szCs w:val="21"/>
                          </w:rPr>
                        </w:pPr>
                        <w:r>
                          <w:rPr>
                            <w:rFonts w:ascii="宋体" w:hAnsi="宋体" w:cs="宋体" w:eastAsia="宋体" w:hint="default"/>
                            <w:sz w:val="21"/>
                            <w:szCs w:val="21"/>
                          </w:rPr>
                          <w:t>月 </w:t>
                        </w:r>
                        <w:r>
                          <w:rPr>
                            <w:rFonts w:ascii="宋体" w:hAnsi="宋体" w:cs="宋体" w:eastAsia="宋体" w:hint="default"/>
                            <w:sz w:val="21"/>
                            <w:szCs w:val="21"/>
                          </w:rPr>
                          <w:t>21</w:t>
                        </w:r>
                      </w:p>
                      <w:p>
                        <w:pPr>
                          <w:pStyle w:val="TableParagraph"/>
                          <w:spacing w:line="240" w:lineRule="auto" w:before="9"/>
                          <w:ind w:left="23" w:right="0"/>
                          <w:jc w:val="left"/>
                          <w:rPr>
                            <w:rFonts w:ascii="宋体" w:hAnsi="宋体" w:cs="宋体" w:eastAsia="宋体" w:hint="default"/>
                            <w:sz w:val="21"/>
                            <w:szCs w:val="21"/>
                          </w:rPr>
                        </w:pPr>
                        <w:r>
                          <w:rPr>
                            <w:rFonts w:ascii="宋体" w:hAnsi="宋体" w:cs="宋体" w:eastAsia="宋体" w:hint="default"/>
                            <w:sz w:val="21"/>
                            <w:szCs w:val="21"/>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详见</w:t>
                        </w:r>
                        <w:r>
                          <w:rPr>
                            <w:rFonts w:ascii="宋体" w:hAnsi="宋体" w:cs="宋体" w:eastAsia="宋体" w:hint="default"/>
                            <w:spacing w:val="-71"/>
                            <w:sz w:val="21"/>
                            <w:szCs w:val="21"/>
                          </w:rPr>
                          <w:t> </w:t>
                        </w:r>
                        <w:r>
                          <w:rPr>
                            <w:rFonts w:ascii="宋体" w:hAnsi="宋体" w:cs="宋体" w:eastAsia="宋体" w:hint="default"/>
                            <w:sz w:val="21"/>
                            <w:szCs w:val="21"/>
                          </w:rPr>
                          <w:t>2017</w:t>
                        </w:r>
                        <w:r>
                          <w:rPr>
                            <w:rFonts w:ascii="宋体" w:hAnsi="宋体" w:cs="宋体" w:eastAsia="宋体" w:hint="default"/>
                            <w:spacing w:val="-71"/>
                            <w:sz w:val="21"/>
                            <w:szCs w:val="21"/>
                          </w:rPr>
                          <w:t> </w:t>
                        </w:r>
                        <w:r>
                          <w:rPr>
                            <w:rFonts w:ascii="宋体" w:hAnsi="宋体" w:cs="宋体" w:eastAsia="宋体" w:hint="default"/>
                            <w:sz w:val="21"/>
                            <w:szCs w:val="21"/>
                          </w:rPr>
                          <w:t>年</w:t>
                        </w:r>
                        <w:r>
                          <w:rPr>
                            <w:rFonts w:ascii="宋体" w:hAnsi="宋体" w:cs="宋体" w:eastAsia="宋体" w:hint="default"/>
                            <w:spacing w:val="-72"/>
                            <w:sz w:val="21"/>
                            <w:szCs w:val="21"/>
                          </w:rPr>
                          <w:t> </w:t>
                        </w:r>
                        <w:r>
                          <w:rPr>
                            <w:rFonts w:ascii="宋体" w:hAnsi="宋体" w:cs="宋体" w:eastAsia="宋体" w:hint="default"/>
                            <w:sz w:val="21"/>
                            <w:szCs w:val="21"/>
                          </w:rPr>
                          <w:t>1</w:t>
                        </w:r>
                        <w:r>
                          <w:rPr>
                            <w:rFonts w:ascii="宋体" w:hAnsi="宋体" w:cs="宋体" w:eastAsia="宋体" w:hint="default"/>
                            <w:spacing w:val="-70"/>
                            <w:sz w:val="21"/>
                            <w:szCs w:val="21"/>
                          </w:rPr>
                          <w:t> </w:t>
                        </w:r>
                        <w:r>
                          <w:rPr>
                            <w:rFonts w:ascii="宋体" w:hAnsi="宋体" w:cs="宋体" w:eastAsia="宋体" w:hint="default"/>
                            <w:sz w:val="21"/>
                            <w:szCs w:val="21"/>
                          </w:rPr>
                          <w:t>月</w:t>
                        </w:r>
                      </w:p>
                      <w:p>
                        <w:pPr>
                          <w:pStyle w:val="TableParagraph"/>
                          <w:spacing w:line="273" w:lineRule="auto" w:before="36"/>
                          <w:ind w:left="22" w:right="20"/>
                          <w:jc w:val="left"/>
                          <w:rPr>
                            <w:rFonts w:ascii="宋体" w:hAnsi="宋体" w:cs="宋体" w:eastAsia="宋体" w:hint="default"/>
                            <w:sz w:val="21"/>
                            <w:szCs w:val="21"/>
                          </w:rPr>
                        </w:pPr>
                        <w:r>
                          <w:rPr>
                            <w:rFonts w:ascii="宋体" w:hAnsi="宋体" w:cs="宋体" w:eastAsia="宋体" w:hint="default"/>
                            <w:sz w:val="21"/>
                            <w:szCs w:val="21"/>
                          </w:rPr>
                          <w:t>21</w:t>
                        </w:r>
                        <w:r>
                          <w:rPr>
                            <w:rFonts w:ascii="宋体" w:hAnsi="宋体" w:cs="宋体" w:eastAsia="宋体" w:hint="default"/>
                            <w:spacing w:val="-50"/>
                            <w:sz w:val="21"/>
                            <w:szCs w:val="21"/>
                          </w:rPr>
                          <w:t> </w:t>
                        </w:r>
                        <w:r>
                          <w:rPr>
                            <w:rFonts w:ascii="宋体" w:hAnsi="宋体" w:cs="宋体" w:eastAsia="宋体" w:hint="default"/>
                            <w:spacing w:val="-4"/>
                            <w:sz w:val="21"/>
                            <w:szCs w:val="21"/>
                          </w:rPr>
                          <w:t>日刊登于《证</w:t>
                        </w:r>
                        <w:r>
                          <w:rPr>
                            <w:rFonts w:ascii="宋体" w:hAnsi="宋体" w:cs="宋体" w:eastAsia="宋体" w:hint="default"/>
                            <w:sz w:val="21"/>
                            <w:szCs w:val="21"/>
                          </w:rPr>
                          <w:t> </w:t>
                        </w:r>
                        <w:r>
                          <w:rPr>
                            <w:rFonts w:ascii="宋体" w:hAnsi="宋体" w:cs="宋体" w:eastAsia="宋体" w:hint="default"/>
                            <w:spacing w:val="-27"/>
                            <w:sz w:val="21"/>
                            <w:szCs w:val="21"/>
                          </w:rPr>
                          <w:t>券时报》、《中国</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证券报》及巨潮 资讯网的《关于 收购成都西南交 大驱动技术有限 责任公司</w:t>
                        </w:r>
                        <w:r>
                          <w:rPr>
                            <w:rFonts w:ascii="宋体" w:hAnsi="宋体" w:cs="宋体" w:eastAsia="宋体" w:hint="default"/>
                            <w:spacing w:val="-54"/>
                            <w:sz w:val="21"/>
                            <w:szCs w:val="21"/>
                          </w:rPr>
                          <w:t> </w:t>
                        </w:r>
                        <w:r>
                          <w:rPr>
                            <w:rFonts w:ascii="宋体" w:hAnsi="宋体" w:cs="宋体" w:eastAsia="宋体" w:hint="default"/>
                            <w:sz w:val="21"/>
                            <w:szCs w:val="21"/>
                          </w:rPr>
                          <w:t>51%</w:t>
                        </w:r>
                        <w:r>
                          <w:rPr>
                            <w:rFonts w:ascii="宋体" w:hAnsi="宋体" w:cs="宋体" w:eastAsia="宋体" w:hint="default"/>
                            <w:sz w:val="21"/>
                            <w:szCs w:val="21"/>
                          </w:rPr>
                          <w:t>股 权的公告》</w:t>
                        </w:r>
                      </w:p>
                      <w:p>
                        <w:pPr>
                          <w:pStyle w:val="TableParagraph"/>
                          <w:spacing w:line="240" w:lineRule="auto" w:before="9"/>
                          <w:ind w:left="22"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201</w:t>
                        </w:r>
                        <w:r>
                          <w:rPr>
                            <w:rFonts w:ascii="宋体" w:hAnsi="宋体" w:cs="宋体" w:eastAsia="宋体" w:hint="default"/>
                            <w:spacing w:val="-1"/>
                            <w:sz w:val="21"/>
                            <w:szCs w:val="21"/>
                          </w:rPr>
                          <w:t>7</w:t>
                        </w:r>
                        <w:r>
                          <w:rPr>
                            <w:rFonts w:ascii="宋体" w:hAnsi="宋体" w:cs="宋体" w:eastAsia="宋体" w:hint="default"/>
                            <w:sz w:val="21"/>
                            <w:szCs w:val="21"/>
                          </w:rPr>
                          <w:t>-00</w:t>
                        </w:r>
                        <w:r>
                          <w:rPr>
                            <w:rFonts w:ascii="宋体" w:hAnsi="宋体" w:cs="宋体" w:eastAsia="宋体" w:hint="default"/>
                            <w:spacing w:val="-1"/>
                            <w:sz w:val="21"/>
                            <w:szCs w:val="21"/>
                          </w:rPr>
                          <w:t>4</w:t>
                        </w:r>
                        <w:r>
                          <w:rPr>
                            <w:rFonts w:ascii="宋体" w:hAnsi="宋体" w:cs="宋体" w:eastAsia="宋体" w:hint="default"/>
                            <w:spacing w:val="-106"/>
                            <w:sz w:val="21"/>
                            <w:szCs w:val="21"/>
                          </w:rPr>
                          <w:t>）。</w:t>
                        </w:r>
                        <w:r>
                          <w:rPr>
                            <w:rFonts w:ascii="宋体" w:hAnsi="宋体" w:cs="宋体" w:eastAsia="宋体" w:hint="default"/>
                            <w:sz w:val="21"/>
                            <w:szCs w:val="21"/>
                          </w:rPr>
                        </w:r>
                      </w:p>
                    </w:tc>
                  </w:tr>
                  <w:tr>
                    <w:trPr>
                      <w:trHeight w:val="402" w:hRule="exact"/>
                    </w:trPr>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8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1"/>
                          <w:jc w:val="center"/>
                          <w:rPr>
                            <w:rFonts w:ascii="宋体" w:hAnsi="宋体" w:cs="宋体" w:eastAsia="宋体" w:hint="default"/>
                            <w:sz w:val="21"/>
                            <w:szCs w:val="21"/>
                          </w:rPr>
                        </w:pPr>
                        <w:r>
                          <w:rPr>
                            <w:rFonts w:ascii="宋体"/>
                            <w:sz w:val="21"/>
                          </w:rPr>
                          <w:t>--</w:t>
                        </w:r>
                      </w:p>
                    </w:tc>
                    <w:tc>
                      <w:tcPr>
                        <w:tcW w:w="2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31" w:right="0"/>
                          <w:jc w:val="left"/>
                          <w:rPr>
                            <w:rFonts w:ascii="宋体" w:hAnsi="宋体" w:cs="宋体" w:eastAsia="宋体" w:hint="default"/>
                            <w:sz w:val="21"/>
                            <w:szCs w:val="21"/>
                          </w:rPr>
                        </w:pPr>
                        <w:r>
                          <w:rPr>
                            <w:rFonts w:ascii="宋体"/>
                            <w:sz w:val="21"/>
                          </w:rPr>
                          <w:t>--</w:t>
                        </w:r>
                      </w:p>
                    </w:tc>
                    <w:tc>
                      <w:tcPr>
                        <w:tcW w:w="568"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5"/>
                          <w:ind w:left="114" w:right="0"/>
                          <w:jc w:val="left"/>
                          <w:rPr>
                            <w:rFonts w:ascii="宋体" w:hAnsi="宋体" w:cs="宋体" w:eastAsia="宋体" w:hint="default"/>
                            <w:sz w:val="21"/>
                            <w:szCs w:val="21"/>
                          </w:rPr>
                        </w:pPr>
                        <w:r>
                          <w:rPr>
                            <w:rFonts w:ascii="宋体"/>
                            <w:sz w:val="21"/>
                          </w:rPr>
                          <w:t>54,2</w:t>
                        </w:r>
                      </w:p>
                    </w:tc>
                    <w:tc>
                      <w:tcPr>
                        <w:tcW w:w="5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72" w:right="0"/>
                          <w:jc w:val="left"/>
                          <w:rPr>
                            <w:rFonts w:ascii="宋体" w:hAnsi="宋体" w:cs="宋体" w:eastAsia="宋体" w:hint="default"/>
                            <w:sz w:val="21"/>
                            <w:szCs w:val="21"/>
                          </w:rPr>
                        </w:pPr>
                        <w:r>
                          <w:rPr>
                            <w:rFonts w:ascii="宋体"/>
                            <w:sz w:val="21"/>
                          </w:rPr>
                          <w:t>--</w:t>
                        </w:r>
                      </w:p>
                    </w:tc>
                    <w:tc>
                      <w:tcPr>
                        <w:tcW w:w="2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5"/>
                          <w:ind w:left="67" w:right="0"/>
                          <w:jc w:val="left"/>
                          <w:rPr>
                            <w:rFonts w:ascii="宋体" w:hAnsi="宋体" w:cs="宋体" w:eastAsia="宋体" w:hint="default"/>
                            <w:sz w:val="21"/>
                            <w:szCs w:val="21"/>
                          </w:rPr>
                        </w:pPr>
                        <w:r>
                          <w:rPr>
                            <w:rFonts w:ascii="宋体"/>
                            <w:sz w:val="21"/>
                          </w:rPr>
                          <w:t>-</w:t>
                        </w:r>
                      </w:p>
                    </w:tc>
                    <w:tc>
                      <w:tcPr>
                        <w:tcW w:w="3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9" w:right="0"/>
                          <w:jc w:val="left"/>
                          <w:rPr>
                            <w:rFonts w:ascii="宋体" w:hAnsi="宋体" w:cs="宋体" w:eastAsia="宋体" w:hint="default"/>
                            <w:sz w:val="21"/>
                            <w:szCs w:val="21"/>
                          </w:rPr>
                        </w:pPr>
                        <w:r>
                          <w:rPr>
                            <w:rFonts w:ascii="宋体"/>
                            <w:sz w:val="21"/>
                          </w:rPr>
                          <w:t>--</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01" w:right="0"/>
                          <w:jc w:val="left"/>
                          <w:rPr>
                            <w:rFonts w:ascii="宋体" w:hAnsi="宋体" w:cs="宋体" w:eastAsia="宋体" w:hint="default"/>
                            <w:sz w:val="21"/>
                            <w:szCs w:val="21"/>
                          </w:rPr>
                        </w:pPr>
                        <w:r>
                          <w:rPr>
                            <w:rFonts w:ascii="宋体"/>
                            <w:sz w:val="21"/>
                          </w:rPr>
                          <w:t>--</w:t>
                        </w:r>
                      </w:p>
                    </w:tc>
                    <w:tc>
                      <w:tcPr>
                        <w:tcW w:w="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01" w:right="0"/>
                          <w:jc w:val="left"/>
                          <w:rPr>
                            <w:rFonts w:ascii="宋体" w:hAnsi="宋体" w:cs="宋体" w:eastAsia="宋体" w:hint="default"/>
                            <w:sz w:val="21"/>
                            <w:szCs w:val="21"/>
                          </w:rPr>
                        </w:pPr>
                        <w:r>
                          <w:rPr>
                            <w:rFonts w:ascii="宋体"/>
                            <w:sz w:val="21"/>
                          </w:rPr>
                          <w:t>--</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72" w:right="0"/>
                          <w:jc w:val="left"/>
                          <w:rPr>
                            <w:rFonts w:ascii="宋体" w:hAnsi="宋体" w:cs="宋体" w:eastAsia="宋体" w:hint="default"/>
                            <w:sz w:val="21"/>
                            <w:szCs w:val="21"/>
                          </w:rPr>
                        </w:pPr>
                        <w:r>
                          <w:rPr>
                            <w:rFonts w:ascii="宋体"/>
                            <w:sz w:val="21"/>
                          </w:rPr>
                          <w:t>--</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13" w:right="0"/>
                          <w:jc w:val="left"/>
                          <w:rPr>
                            <w:rFonts w:ascii="宋体" w:hAnsi="宋体" w:cs="宋体" w:eastAsia="宋体" w:hint="default"/>
                            <w:sz w:val="21"/>
                            <w:szCs w:val="21"/>
                          </w:rPr>
                        </w:pPr>
                        <w:r>
                          <w:rPr>
                            <w:rFonts w:ascii="宋体"/>
                            <w:sz w:val="21"/>
                          </w:rPr>
                          <w:t>4,70</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13" w:right="0"/>
                          <w:jc w:val="left"/>
                          <w:rPr>
                            <w:rFonts w:ascii="宋体" w:hAnsi="宋体" w:cs="宋体" w:eastAsia="宋体" w:hint="default"/>
                            <w:sz w:val="21"/>
                            <w:szCs w:val="21"/>
                          </w:rPr>
                        </w:pPr>
                        <w:r>
                          <w:rPr>
                            <w:rFonts w:ascii="宋体"/>
                            <w:sz w:val="21"/>
                          </w:rPr>
                          <w:t>5,62</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02" w:right="0"/>
                          <w:jc w:val="left"/>
                          <w:rPr>
                            <w:rFonts w:ascii="宋体" w:hAnsi="宋体" w:cs="宋体" w:eastAsia="宋体" w:hint="default"/>
                            <w:sz w:val="21"/>
                            <w:szCs w:val="21"/>
                          </w:rPr>
                        </w:pPr>
                        <w:r>
                          <w:rPr>
                            <w:rFonts w:ascii="宋体"/>
                            <w:sz w:val="21"/>
                          </w:rPr>
                          <w:t>--</w:t>
                        </w:r>
                      </w:p>
                    </w:tc>
                    <w:tc>
                      <w:tcPr>
                        <w:tcW w:w="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03" w:right="0"/>
                          <w:jc w:val="left"/>
                          <w:rPr>
                            <w:rFonts w:ascii="宋体" w:hAnsi="宋体" w:cs="宋体" w:eastAsia="宋体" w:hint="default"/>
                            <w:sz w:val="21"/>
                            <w:szCs w:val="21"/>
                          </w:rPr>
                        </w:pPr>
                        <w:r>
                          <w:rPr>
                            <w:rFonts w:ascii="宋体"/>
                            <w:sz w:val="21"/>
                          </w:rPr>
                          <w:t>--</w:t>
                        </w:r>
                      </w:p>
                    </w:tc>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1"/>
                          <w:jc w:val="center"/>
                          <w:rPr>
                            <w:rFonts w:ascii="宋体" w:hAnsi="宋体" w:cs="宋体" w:eastAsia="宋体" w:hint="default"/>
                            <w:sz w:val="21"/>
                            <w:szCs w:val="21"/>
                          </w:rPr>
                        </w:pPr>
                        <w:r>
                          <w:rPr>
                            <w:rFonts w:ascii="宋体"/>
                            <w:sz w:val="21"/>
                          </w:rPr>
                          <w:t>--</w:t>
                        </w:r>
                      </w:p>
                    </w:tc>
                  </w:tr>
                </w:tbl>
                <w:p>
                  <w:pPr/>
                </w:p>
              </w:txbxContent>
            </v:textbox>
            <w10:wrap type="none"/>
          </v:shape>
        </w:pict>
      </w:r>
      <w:r>
        <w:rPr>
          <w:rFonts w:ascii="宋体" w:hAnsi="宋体" w:cs="宋体" w:eastAsia="宋体" w:hint="default"/>
          <w:sz w:val="21"/>
          <w:szCs w:val="21"/>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9"/>
          <w:szCs w:val="19"/>
        </w:rPr>
      </w:pPr>
    </w:p>
    <w:p>
      <w:pPr>
        <w:spacing w:line="2430" w:lineRule="exact"/>
        <w:ind w:left="3092" w:right="0" w:firstLine="0"/>
        <w:rPr>
          <w:rFonts w:ascii="宋体" w:hAnsi="宋体" w:cs="宋体" w:eastAsia="宋体" w:hint="default"/>
          <w:sz w:val="20"/>
          <w:szCs w:val="20"/>
        </w:rPr>
      </w:pPr>
      <w:r>
        <w:rPr>
          <w:rFonts w:ascii="宋体" w:hAnsi="宋体" w:cs="宋体" w:eastAsia="宋体" w:hint="default"/>
          <w:position w:val="-48"/>
          <w:sz w:val="20"/>
          <w:szCs w:val="20"/>
        </w:rPr>
        <w:pict>
          <v:group style="width:13.7pt;height:121.55pt;mso-position-horizontal-relative:char;mso-position-vertical-relative:line" coordorigin="0,0" coordsize="274,2431">
            <v:group style="position:absolute;left:0;top:0;width:274;height:1716" coordorigin="0,0" coordsize="274,1716">
              <v:shape style="position:absolute;left:0;top:0;width:274;height:1716" coordorigin="0,0" coordsize="274,1716" path="m0,1716l274,1716,274,0,0,0,0,1716xe" filled="true" fillcolor="#ffffff" stroked="false">
                <v:path arrowok="t"/>
                <v:fill type="solid"/>
              </v:shape>
            </v:group>
            <v:group style="position:absolute;left:11;top:1716;width:2;height:704" coordorigin="11,1716" coordsize="2,704">
              <v:shape style="position:absolute;left:11;top:1716;width:2;height:704" coordorigin="11,1716" coordsize="0,704" path="m11,1716l11,2419e" filled="false" stroked="true" strokeweight="1.140pt" strokecolor="#ffffff">
                <v:path arrowok="t"/>
              </v:shape>
            </v:group>
            <v:group style="position:absolute;left:23;top:1716;width:228;height:352" coordorigin="23,1716" coordsize="228,352">
              <v:shape style="position:absolute;left:23;top:1716;width:228;height:352" coordorigin="23,1716" coordsize="228,352" path="m23,2068l251,2068,251,1716,23,1716,23,2068xe" filled="true" fillcolor="#ffffff" stroked="false">
                <v:path arrowok="t"/>
                <v:fill type="solid"/>
              </v:shape>
            </v:group>
            <v:group style="position:absolute;left:23;top:2068;width:228;height:352" coordorigin="23,2068" coordsize="228,352">
              <v:shape style="position:absolute;left:23;top:2068;width:228;height:352" coordorigin="23,2068" coordsize="228,352" path="m23,2419l251,2419,251,2068,23,2068,23,2419xe" filled="true" fillcolor="#ffffff" stroked="false">
                <v:path arrowok="t"/>
                <v:fill type="solid"/>
              </v:shape>
            </v:group>
          </v:group>
        </w:pict>
      </w:r>
      <w:r>
        <w:rPr>
          <w:rFonts w:ascii="宋体" w:hAnsi="宋体" w:cs="宋体" w:eastAsia="宋体" w:hint="default"/>
          <w:position w:val="-48"/>
          <w:sz w:val="20"/>
          <w:szCs w:val="20"/>
        </w:rPr>
      </w:r>
    </w:p>
    <w:p>
      <w:pPr>
        <w:spacing w:after="0" w:line="2430" w:lineRule="exact"/>
        <w:rPr>
          <w:rFonts w:ascii="宋体" w:hAnsi="宋体" w:cs="宋体" w:eastAsia="宋体" w:hint="default"/>
          <w:sz w:val="20"/>
          <w:szCs w:val="20"/>
        </w:rPr>
        <w:sectPr>
          <w:type w:val="continuous"/>
          <w:pgSz w:w="11910" w:h="16840"/>
          <w:pgMar w:top="1060" w:bottom="1160" w:left="74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852"/>
        <w:gridCol w:w="1842"/>
        <w:gridCol w:w="283"/>
        <w:gridCol w:w="568"/>
        <w:gridCol w:w="567"/>
        <w:gridCol w:w="250"/>
        <w:gridCol w:w="318"/>
        <w:gridCol w:w="425"/>
        <w:gridCol w:w="426"/>
        <w:gridCol w:w="566"/>
        <w:gridCol w:w="568"/>
        <w:gridCol w:w="567"/>
        <w:gridCol w:w="425"/>
        <w:gridCol w:w="426"/>
        <w:gridCol w:w="1558"/>
      </w:tblGrid>
      <w:tr>
        <w:trPr>
          <w:trHeight w:val="986" w:hRule="exact"/>
        </w:trPr>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84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8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3"/>
              <w:jc w:val="right"/>
              <w:rPr>
                <w:rFonts w:ascii="宋体" w:hAnsi="宋体" w:cs="宋体" w:eastAsia="宋体" w:hint="default"/>
                <w:sz w:val="21"/>
                <w:szCs w:val="21"/>
              </w:rPr>
            </w:pPr>
            <w:r>
              <w:rPr>
                <w:rFonts w:ascii="宋体"/>
                <w:sz w:val="21"/>
              </w:rPr>
              <w:t>66,6</w:t>
            </w:r>
          </w:p>
          <w:p>
            <w:pPr>
              <w:pStyle w:val="TableParagraph"/>
              <w:spacing w:line="240" w:lineRule="auto" w:before="37"/>
              <w:ind w:right="23"/>
              <w:jc w:val="right"/>
              <w:rPr>
                <w:rFonts w:ascii="宋体" w:hAnsi="宋体" w:cs="宋体" w:eastAsia="宋体" w:hint="default"/>
                <w:sz w:val="21"/>
                <w:szCs w:val="21"/>
              </w:rPr>
            </w:pPr>
            <w:r>
              <w:rPr>
                <w:rFonts w:ascii="宋体"/>
                <w:sz w:val="21"/>
              </w:rPr>
              <w:t>00.0</w:t>
            </w:r>
          </w:p>
          <w:p>
            <w:pPr>
              <w:pStyle w:val="TableParagraph"/>
              <w:spacing w:line="240" w:lineRule="auto" w:before="38"/>
              <w:ind w:right="21"/>
              <w:jc w:val="right"/>
              <w:rPr>
                <w:rFonts w:ascii="宋体" w:hAnsi="宋体" w:cs="宋体" w:eastAsia="宋体" w:hint="default"/>
                <w:sz w:val="21"/>
                <w:szCs w:val="21"/>
              </w:rPr>
            </w:pPr>
            <w:r>
              <w:rPr>
                <w:rFonts w:ascii="宋体"/>
                <w:sz w:val="21"/>
              </w:rPr>
              <w:t>0</w:t>
            </w:r>
          </w:p>
        </w:tc>
        <w:tc>
          <w:tcPr>
            <w:tcW w:w="5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1" w:lineRule="exact"/>
              <w:ind w:left="67" w:right="0"/>
              <w:jc w:val="left"/>
              <w:rPr>
                <w:rFonts w:ascii="宋体" w:hAnsi="宋体" w:cs="宋体" w:eastAsia="宋体" w:hint="default"/>
                <w:sz w:val="21"/>
                <w:szCs w:val="21"/>
              </w:rPr>
            </w:pPr>
            <w:r>
              <w:rPr>
                <w:rFonts w:ascii="宋体"/>
                <w:sz w:val="21"/>
              </w:rPr>
              <w:t>-</w:t>
            </w:r>
          </w:p>
        </w:tc>
        <w:tc>
          <w:tcPr>
            <w:tcW w:w="31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2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13" w:right="0"/>
              <w:jc w:val="left"/>
              <w:rPr>
                <w:rFonts w:ascii="宋体" w:hAnsi="宋体" w:cs="宋体" w:eastAsia="宋体" w:hint="default"/>
                <w:sz w:val="21"/>
                <w:szCs w:val="21"/>
              </w:rPr>
            </w:pPr>
            <w:r>
              <w:rPr>
                <w:rFonts w:ascii="宋体"/>
                <w:sz w:val="21"/>
              </w:rPr>
              <w:t>4,80</w:t>
            </w:r>
          </w:p>
          <w:p>
            <w:pPr>
              <w:pStyle w:val="TableParagraph"/>
              <w:spacing w:line="240" w:lineRule="auto" w:before="38"/>
              <w:ind w:left="113" w:right="0"/>
              <w:jc w:val="left"/>
              <w:rPr>
                <w:rFonts w:ascii="宋体" w:hAnsi="宋体" w:cs="宋体" w:eastAsia="宋体" w:hint="default"/>
                <w:sz w:val="21"/>
                <w:szCs w:val="21"/>
              </w:rPr>
            </w:pPr>
            <w:r>
              <w:rPr>
                <w:rFonts w:ascii="宋体"/>
                <w:sz w:val="21"/>
              </w:rPr>
              <w:t>0.00</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13" w:right="0"/>
              <w:jc w:val="left"/>
              <w:rPr>
                <w:rFonts w:ascii="宋体" w:hAnsi="宋体" w:cs="宋体" w:eastAsia="宋体" w:hint="default"/>
                <w:sz w:val="21"/>
                <w:szCs w:val="21"/>
              </w:rPr>
            </w:pPr>
            <w:r>
              <w:rPr>
                <w:rFonts w:ascii="宋体"/>
                <w:sz w:val="21"/>
              </w:rPr>
              <w:t>3,86</w:t>
            </w:r>
          </w:p>
          <w:p>
            <w:pPr>
              <w:pStyle w:val="TableParagraph"/>
              <w:spacing w:line="240" w:lineRule="auto" w:before="38"/>
              <w:ind w:left="113" w:right="0"/>
              <w:jc w:val="left"/>
              <w:rPr>
                <w:rFonts w:ascii="宋体" w:hAnsi="宋体" w:cs="宋体" w:eastAsia="宋体" w:hint="default"/>
                <w:sz w:val="21"/>
                <w:szCs w:val="21"/>
              </w:rPr>
            </w:pPr>
            <w:r>
              <w:rPr>
                <w:rFonts w:ascii="宋体"/>
                <w:sz w:val="21"/>
              </w:rPr>
              <w:t>1.54</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2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58"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line="240" w:lineRule="auto" w:before="10"/>
        <w:rPr>
          <w:rFonts w:ascii="宋体" w:hAnsi="宋体" w:cs="宋体" w:eastAsia="宋体" w:hint="default"/>
          <w:sz w:val="4"/>
          <w:szCs w:val="4"/>
        </w:rPr>
      </w:pPr>
    </w:p>
    <w:p>
      <w:pPr>
        <w:spacing w:after="0" w:line="240" w:lineRule="auto"/>
        <w:rPr>
          <w:rFonts w:ascii="宋体" w:hAnsi="宋体" w:cs="宋体" w:eastAsia="宋体" w:hint="default"/>
          <w:sz w:val="4"/>
          <w:szCs w:val="4"/>
        </w:rPr>
        <w:sectPr>
          <w:pgSz w:w="11910" w:h="16840"/>
          <w:pgMar w:header="747" w:footer="979" w:top="1060" w:bottom="1160" w:left="980" w:right="0"/>
        </w:sectPr>
      </w:pPr>
    </w:p>
    <w:p>
      <w:pPr>
        <w:pStyle w:val="Heading2"/>
        <w:spacing w:line="240" w:lineRule="auto"/>
        <w:ind w:right="0"/>
        <w:jc w:val="left"/>
        <w:rPr>
          <w:b w:val="0"/>
          <w:bCs w:val="0"/>
        </w:rPr>
      </w:pPr>
      <w:bookmarkStart w:name="3、报告期内正在进行的重大的非股权投资情况" w:id="50"/>
      <w:bookmarkEnd w:id="50"/>
      <w:r>
        <w:rPr>
          <w:b w:val="0"/>
          <w:bCs w:val="0"/>
        </w:rPr>
      </w:r>
      <w:r>
        <w:rPr>
          <w:rFonts w:ascii="Times New Roman" w:hAnsi="Times New Roman" w:cs="Times New Roman" w:eastAsia="Times New Roman" w:hint="default"/>
          <w:w w:val="95"/>
        </w:rPr>
        <w:t>3</w:t>
      </w:r>
      <w:r>
        <w:rPr>
          <w:w w:val="95"/>
        </w:rPr>
        <w:t>、报告期内正在进行的重大的非股权投资情况</w:t>
      </w:r>
      <w:r>
        <w:rPr>
          <w:b w:val="0"/>
          <w:bCs w:val="0"/>
        </w:rPr>
      </w:r>
    </w:p>
    <w:p>
      <w:pPr>
        <w:pStyle w:val="BodyText"/>
        <w:spacing w:line="240" w:lineRule="auto" w:before="127"/>
        <w:ind w:left="633" w:right="0"/>
        <w:jc w:val="left"/>
      </w:pPr>
      <w:r>
        <w:rPr/>
        <w:t>√ 适用 □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7"/>
          <w:szCs w:val="27"/>
        </w:rPr>
      </w:pPr>
    </w:p>
    <w:p>
      <w:pPr>
        <w:spacing w:before="0"/>
        <w:ind w:left="633" w:right="0" w:firstLine="0"/>
        <w:jc w:val="left"/>
        <w:rPr>
          <w:rFonts w:ascii="宋体" w:hAnsi="宋体" w:cs="宋体" w:eastAsia="宋体" w:hint="default"/>
          <w:sz w:val="21"/>
          <w:szCs w:val="21"/>
        </w:rPr>
      </w:pPr>
      <w:r>
        <w:rPr>
          <w:rFonts w:ascii="宋体" w:hAnsi="宋体" w:cs="宋体" w:eastAsia="宋体" w:hint="default"/>
          <w:sz w:val="21"/>
          <w:szCs w:val="21"/>
        </w:rPr>
        <w:t>单位：元</w:t>
      </w:r>
    </w:p>
    <w:p>
      <w:pPr>
        <w:spacing w:after="0"/>
        <w:jc w:val="left"/>
        <w:rPr>
          <w:rFonts w:ascii="宋体" w:hAnsi="宋体" w:cs="宋体" w:eastAsia="宋体" w:hint="default"/>
          <w:sz w:val="21"/>
          <w:szCs w:val="21"/>
        </w:rPr>
        <w:sectPr>
          <w:type w:val="continuous"/>
          <w:pgSz w:w="11910" w:h="16840"/>
          <w:pgMar w:top="1060" w:bottom="1160" w:left="980" w:right="0"/>
          <w:cols w:num="2" w:equalWidth="0">
            <w:col w:w="5572" w:space="2748"/>
            <w:col w:w="2610"/>
          </w:cols>
        </w:sectPr>
      </w:pP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732"/>
        <w:gridCol w:w="736"/>
        <w:gridCol w:w="737"/>
        <w:gridCol w:w="736"/>
        <w:gridCol w:w="1172"/>
        <w:gridCol w:w="1559"/>
        <w:gridCol w:w="851"/>
        <w:gridCol w:w="710"/>
        <w:gridCol w:w="568"/>
        <w:gridCol w:w="850"/>
        <w:gridCol w:w="992"/>
      </w:tblGrid>
      <w:tr>
        <w:trPr>
          <w:trHeight w:val="1649"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273" w:lineRule="auto"/>
              <w:ind w:left="255" w:right="45" w:hanging="210"/>
              <w:jc w:val="left"/>
              <w:rPr>
                <w:rFonts w:ascii="宋体" w:hAnsi="宋体" w:cs="宋体" w:eastAsia="宋体" w:hint="default"/>
                <w:sz w:val="21"/>
                <w:szCs w:val="21"/>
              </w:rPr>
            </w:pPr>
            <w:r>
              <w:rPr>
                <w:rFonts w:ascii="宋体" w:hAnsi="宋体" w:cs="宋体" w:eastAsia="宋体" w:hint="default"/>
                <w:sz w:val="21"/>
                <w:szCs w:val="21"/>
              </w:rPr>
              <w:t>项目名 称</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273" w:lineRule="auto"/>
              <w:ind w:left="257" w:right="47" w:hanging="210"/>
              <w:jc w:val="left"/>
              <w:rPr>
                <w:rFonts w:ascii="宋体" w:hAnsi="宋体" w:cs="宋体" w:eastAsia="宋体" w:hint="default"/>
                <w:sz w:val="21"/>
                <w:szCs w:val="21"/>
              </w:rPr>
            </w:pPr>
            <w:r>
              <w:rPr>
                <w:rFonts w:ascii="宋体" w:hAnsi="宋体" w:cs="宋体" w:eastAsia="宋体" w:hint="default"/>
                <w:sz w:val="21"/>
                <w:szCs w:val="21"/>
              </w:rPr>
              <w:t>投资方 式</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25"/>
                <w:szCs w:val="25"/>
              </w:rPr>
            </w:pPr>
          </w:p>
          <w:p>
            <w:pPr>
              <w:pStyle w:val="TableParagraph"/>
              <w:spacing w:line="273" w:lineRule="auto"/>
              <w:ind w:left="49" w:right="47"/>
              <w:jc w:val="both"/>
              <w:rPr>
                <w:rFonts w:ascii="宋体" w:hAnsi="宋体" w:cs="宋体" w:eastAsia="宋体" w:hint="default"/>
                <w:sz w:val="21"/>
                <w:szCs w:val="21"/>
              </w:rPr>
            </w:pPr>
            <w:r>
              <w:rPr>
                <w:rFonts w:ascii="宋体" w:hAnsi="宋体" w:cs="宋体" w:eastAsia="宋体" w:hint="default"/>
                <w:sz w:val="21"/>
                <w:szCs w:val="21"/>
              </w:rPr>
              <w:t>是否为 固定资 产投资</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25"/>
                <w:szCs w:val="25"/>
              </w:rPr>
            </w:pPr>
          </w:p>
          <w:p>
            <w:pPr>
              <w:pStyle w:val="TableParagraph"/>
              <w:spacing w:line="273" w:lineRule="auto"/>
              <w:ind w:left="48" w:right="47"/>
              <w:jc w:val="both"/>
              <w:rPr>
                <w:rFonts w:ascii="宋体" w:hAnsi="宋体" w:cs="宋体" w:eastAsia="宋体" w:hint="default"/>
                <w:sz w:val="21"/>
                <w:szCs w:val="21"/>
              </w:rPr>
            </w:pPr>
            <w:r>
              <w:rPr>
                <w:rFonts w:ascii="宋体" w:hAnsi="宋体" w:cs="宋体" w:eastAsia="宋体" w:hint="default"/>
                <w:sz w:val="21"/>
                <w:szCs w:val="21"/>
              </w:rPr>
              <w:t>投资项 目涉及 行业</w:t>
            </w:r>
          </w:p>
        </w:tc>
        <w:tc>
          <w:tcPr>
            <w:tcW w:w="11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273" w:lineRule="auto"/>
              <w:ind w:left="265" w:right="54" w:hanging="210"/>
              <w:jc w:val="left"/>
              <w:rPr>
                <w:rFonts w:ascii="宋体" w:hAnsi="宋体" w:cs="宋体" w:eastAsia="宋体" w:hint="default"/>
                <w:sz w:val="21"/>
                <w:szCs w:val="21"/>
              </w:rPr>
            </w:pPr>
            <w:r>
              <w:rPr>
                <w:rFonts w:ascii="宋体" w:hAnsi="宋体" w:cs="宋体" w:eastAsia="宋体" w:hint="default"/>
                <w:sz w:val="21"/>
                <w:szCs w:val="21"/>
              </w:rPr>
              <w:t>本报告期投 入金额</w:t>
            </w:r>
          </w:p>
        </w:tc>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273" w:lineRule="auto"/>
              <w:ind w:left="38" w:right="38"/>
              <w:jc w:val="left"/>
              <w:rPr>
                <w:rFonts w:ascii="宋体" w:hAnsi="宋体" w:cs="宋体" w:eastAsia="宋体" w:hint="default"/>
                <w:sz w:val="21"/>
                <w:szCs w:val="21"/>
              </w:rPr>
            </w:pPr>
            <w:r>
              <w:rPr>
                <w:rFonts w:ascii="宋体" w:hAnsi="宋体" w:cs="宋体" w:eastAsia="宋体" w:hint="default"/>
                <w:sz w:val="21"/>
                <w:szCs w:val="21"/>
              </w:rPr>
              <w:t>截至报告期末累 计实际投入金额</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273" w:lineRule="auto"/>
              <w:ind w:left="315" w:right="103" w:hanging="210"/>
              <w:jc w:val="left"/>
              <w:rPr>
                <w:rFonts w:ascii="宋体" w:hAnsi="宋体" w:cs="宋体" w:eastAsia="宋体" w:hint="default"/>
                <w:sz w:val="21"/>
                <w:szCs w:val="21"/>
              </w:rPr>
            </w:pPr>
            <w:r>
              <w:rPr>
                <w:rFonts w:ascii="宋体" w:hAnsi="宋体" w:cs="宋体" w:eastAsia="宋体" w:hint="default"/>
                <w:sz w:val="21"/>
                <w:szCs w:val="21"/>
              </w:rPr>
              <w:t>资金来 源</w:t>
            </w: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273" w:lineRule="auto"/>
              <w:ind w:left="243" w:right="34" w:hanging="210"/>
              <w:jc w:val="left"/>
              <w:rPr>
                <w:rFonts w:ascii="宋体" w:hAnsi="宋体" w:cs="宋体" w:eastAsia="宋体" w:hint="default"/>
                <w:sz w:val="21"/>
                <w:szCs w:val="21"/>
              </w:rPr>
            </w:pPr>
            <w:r>
              <w:rPr>
                <w:rFonts w:ascii="宋体" w:hAnsi="宋体" w:cs="宋体" w:eastAsia="宋体" w:hint="default"/>
                <w:sz w:val="21"/>
                <w:szCs w:val="21"/>
              </w:rPr>
              <w:t>项目进 度</w:t>
            </w:r>
          </w:p>
        </w:tc>
        <w:tc>
          <w:tcPr>
            <w:tcW w:w="5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273" w:lineRule="auto"/>
              <w:ind w:left="68" w:right="67"/>
              <w:jc w:val="left"/>
              <w:rPr>
                <w:rFonts w:ascii="宋体" w:hAnsi="宋体" w:cs="宋体" w:eastAsia="宋体" w:hint="default"/>
                <w:sz w:val="21"/>
                <w:szCs w:val="21"/>
              </w:rPr>
            </w:pPr>
            <w:r>
              <w:rPr>
                <w:rFonts w:ascii="宋体" w:hAnsi="宋体" w:cs="宋体" w:eastAsia="宋体" w:hint="default"/>
                <w:sz w:val="21"/>
                <w:szCs w:val="21"/>
              </w:rPr>
              <w:t>预计 收益</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104" w:right="103"/>
              <w:jc w:val="center"/>
              <w:rPr>
                <w:rFonts w:ascii="宋体" w:hAnsi="宋体" w:cs="宋体" w:eastAsia="宋体" w:hint="default"/>
                <w:sz w:val="21"/>
                <w:szCs w:val="21"/>
              </w:rPr>
            </w:pPr>
            <w:r>
              <w:rPr>
                <w:rFonts w:ascii="宋体" w:hAnsi="宋体" w:cs="宋体" w:eastAsia="宋体" w:hint="default"/>
                <w:sz w:val="21"/>
                <w:szCs w:val="21"/>
              </w:rPr>
              <w:t>截止报 告期末 累计实 现的收 益</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73" w:lineRule="auto"/>
              <w:ind w:left="70" w:right="71"/>
              <w:jc w:val="both"/>
              <w:rPr>
                <w:rFonts w:ascii="宋体" w:hAnsi="宋体" w:cs="宋体" w:eastAsia="宋体" w:hint="default"/>
                <w:sz w:val="21"/>
                <w:szCs w:val="21"/>
              </w:rPr>
            </w:pPr>
            <w:r>
              <w:rPr>
                <w:rFonts w:ascii="宋体" w:hAnsi="宋体" w:cs="宋体" w:eastAsia="宋体" w:hint="default"/>
                <w:sz w:val="21"/>
                <w:szCs w:val="21"/>
              </w:rPr>
              <w:t>未达到计 划进度和 预计收益 的原因</w:t>
            </w:r>
          </w:p>
        </w:tc>
      </w:tr>
      <w:tr>
        <w:trPr>
          <w:trHeight w:val="1026"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7"/>
              <w:ind w:left="22" w:right="66"/>
              <w:jc w:val="both"/>
              <w:rPr>
                <w:rFonts w:ascii="宋体" w:hAnsi="宋体" w:cs="宋体" w:eastAsia="宋体" w:hint="default"/>
                <w:sz w:val="21"/>
                <w:szCs w:val="21"/>
              </w:rPr>
            </w:pPr>
            <w:r>
              <w:rPr>
                <w:rFonts w:ascii="宋体" w:hAnsi="宋体" w:cs="宋体" w:eastAsia="宋体" w:hint="default"/>
                <w:sz w:val="21"/>
                <w:szCs w:val="21"/>
              </w:rPr>
              <w:t>工程主 体</w:t>
            </w:r>
            <w:r>
              <w:rPr>
                <w:rFonts w:ascii="宋体" w:hAnsi="宋体" w:cs="宋体" w:eastAsia="宋体" w:hint="default"/>
                <w:sz w:val="21"/>
                <w:szCs w:val="21"/>
              </w:rPr>
              <w:t>--</w:t>
            </w:r>
            <w:r>
              <w:rPr>
                <w:rFonts w:ascii="宋体" w:hAnsi="宋体" w:cs="宋体" w:eastAsia="宋体" w:hint="default"/>
                <w:sz w:val="21"/>
                <w:szCs w:val="21"/>
              </w:rPr>
              <w:t>新 厂区</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right="281"/>
              <w:jc w:val="right"/>
              <w:rPr>
                <w:rFonts w:ascii="宋体" w:hAnsi="宋体" w:cs="宋体" w:eastAsia="宋体" w:hint="default"/>
                <w:sz w:val="21"/>
                <w:szCs w:val="21"/>
              </w:rPr>
            </w:pPr>
            <w:r>
              <w:rPr>
                <w:rFonts w:ascii="宋体" w:hAnsi="宋体" w:cs="宋体" w:eastAsia="宋体" w:hint="default"/>
                <w:sz w:val="21"/>
                <w:szCs w:val="21"/>
              </w:rPr>
              <w:t>自建</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是</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73" w:lineRule="auto"/>
              <w:ind w:left="22" w:right="71"/>
              <w:jc w:val="left"/>
              <w:rPr>
                <w:rFonts w:ascii="宋体" w:hAnsi="宋体" w:cs="宋体" w:eastAsia="宋体" w:hint="default"/>
                <w:sz w:val="21"/>
                <w:szCs w:val="21"/>
              </w:rPr>
            </w:pPr>
            <w:r>
              <w:rPr>
                <w:rFonts w:ascii="宋体" w:hAnsi="宋体" w:cs="宋体" w:eastAsia="宋体" w:hint="default"/>
                <w:sz w:val="21"/>
                <w:szCs w:val="21"/>
              </w:rPr>
              <w:t>铁路通 信信号</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left="63" w:right="0"/>
              <w:jc w:val="center"/>
              <w:rPr>
                <w:rFonts w:ascii="宋体" w:hAnsi="宋体" w:cs="宋体" w:eastAsia="宋体" w:hint="default"/>
                <w:sz w:val="21"/>
                <w:szCs w:val="21"/>
              </w:rPr>
            </w:pPr>
            <w:r>
              <w:rPr>
                <w:rFonts w:ascii="宋体"/>
                <w:sz w:val="21"/>
              </w:rPr>
              <w:t>440,072.52</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right="21"/>
              <w:jc w:val="right"/>
              <w:rPr>
                <w:rFonts w:ascii="宋体" w:hAnsi="宋体" w:cs="宋体" w:eastAsia="宋体" w:hint="default"/>
                <w:sz w:val="21"/>
                <w:szCs w:val="21"/>
              </w:rPr>
            </w:pPr>
            <w:r>
              <w:rPr>
                <w:rFonts w:ascii="宋体"/>
                <w:sz w:val="21"/>
              </w:rPr>
              <w:t>24,667,348.76</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73" w:lineRule="auto"/>
              <w:ind w:left="22" w:right="80"/>
              <w:jc w:val="left"/>
              <w:rPr>
                <w:rFonts w:ascii="宋体" w:hAnsi="宋体" w:cs="宋体" w:eastAsia="宋体" w:hint="default"/>
                <w:sz w:val="21"/>
                <w:szCs w:val="21"/>
              </w:rPr>
            </w:pPr>
            <w:r>
              <w:rPr>
                <w:rFonts w:ascii="宋体" w:hAnsi="宋体" w:cs="宋体" w:eastAsia="宋体" w:hint="default"/>
                <w:sz w:val="21"/>
                <w:szCs w:val="21"/>
              </w:rPr>
              <w:t>自筹</w:t>
            </w:r>
            <w:r>
              <w:rPr>
                <w:rFonts w:ascii="宋体" w:hAnsi="宋体" w:cs="宋体" w:eastAsia="宋体" w:hint="default"/>
                <w:sz w:val="21"/>
                <w:szCs w:val="21"/>
              </w:rPr>
              <w:t>+</w:t>
            </w:r>
            <w:r>
              <w:rPr>
                <w:rFonts w:ascii="宋体" w:hAnsi="宋体" w:cs="宋体" w:eastAsia="宋体" w:hint="default"/>
                <w:sz w:val="21"/>
                <w:szCs w:val="21"/>
              </w:rPr>
              <w:t>募 集资金</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left="21" w:right="0"/>
              <w:jc w:val="center"/>
              <w:rPr>
                <w:rFonts w:ascii="宋体" w:hAnsi="宋体" w:cs="宋体" w:eastAsia="宋体" w:hint="default"/>
                <w:sz w:val="21"/>
                <w:szCs w:val="21"/>
              </w:rPr>
            </w:pPr>
            <w:r>
              <w:rPr>
                <w:rFonts w:ascii="宋体"/>
                <w:sz w:val="21"/>
              </w:rPr>
              <w:t>12.81%</w:t>
            </w:r>
          </w:p>
        </w:tc>
        <w:tc>
          <w:tcPr>
            <w:tcW w:w="56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不适用</w:t>
            </w:r>
          </w:p>
        </w:tc>
      </w:tr>
      <w:tr>
        <w:trPr>
          <w:trHeight w:val="403"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right="254"/>
              <w:jc w:val="right"/>
              <w:rPr>
                <w:rFonts w:ascii="宋体" w:hAnsi="宋体" w:cs="宋体" w:eastAsia="宋体" w:hint="default"/>
                <w:sz w:val="21"/>
                <w:szCs w:val="21"/>
              </w:rPr>
            </w:pPr>
            <w:r>
              <w:rPr>
                <w:rFonts w:ascii="宋体"/>
                <w:sz w:val="21"/>
              </w:rPr>
              <w:t>--</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2" w:right="0"/>
              <w:jc w:val="center"/>
              <w:rPr>
                <w:rFonts w:ascii="宋体" w:hAnsi="宋体" w:cs="宋体" w:eastAsia="宋体" w:hint="default"/>
                <w:sz w:val="21"/>
                <w:szCs w:val="21"/>
              </w:rPr>
            </w:pPr>
            <w:r>
              <w:rPr>
                <w:rFonts w:ascii="宋体"/>
                <w:sz w:val="21"/>
              </w:rPr>
              <w:t>--</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1" w:right="0"/>
              <w:jc w:val="center"/>
              <w:rPr>
                <w:rFonts w:ascii="宋体" w:hAnsi="宋体" w:cs="宋体" w:eastAsia="宋体" w:hint="default"/>
                <w:sz w:val="21"/>
                <w:szCs w:val="21"/>
              </w:rPr>
            </w:pPr>
            <w:r>
              <w:rPr>
                <w:rFonts w:ascii="宋体"/>
                <w:sz w:val="21"/>
              </w:rPr>
              <w:t>--</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63" w:right="0"/>
              <w:jc w:val="center"/>
              <w:rPr>
                <w:rFonts w:ascii="宋体" w:hAnsi="宋体" w:cs="宋体" w:eastAsia="宋体" w:hint="default"/>
                <w:sz w:val="21"/>
                <w:szCs w:val="21"/>
              </w:rPr>
            </w:pPr>
            <w:r>
              <w:rPr>
                <w:rFonts w:ascii="宋体"/>
                <w:sz w:val="21"/>
              </w:rPr>
              <w:t>440,072.52</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1"/>
              <w:jc w:val="right"/>
              <w:rPr>
                <w:rFonts w:ascii="宋体" w:hAnsi="宋体" w:cs="宋体" w:eastAsia="宋体" w:hint="default"/>
                <w:sz w:val="21"/>
                <w:szCs w:val="21"/>
              </w:rPr>
            </w:pPr>
            <w:r>
              <w:rPr>
                <w:rFonts w:ascii="宋体"/>
                <w:sz w:val="21"/>
              </w:rPr>
              <w:t>24,667,348.76</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1" w:right="0"/>
              <w:jc w:val="center"/>
              <w:rPr>
                <w:rFonts w:ascii="宋体" w:hAnsi="宋体" w:cs="宋体" w:eastAsia="宋体" w:hint="default"/>
                <w:sz w:val="21"/>
                <w:szCs w:val="21"/>
              </w:rPr>
            </w:pPr>
            <w:r>
              <w:rPr>
                <w:rFonts w:ascii="宋体"/>
                <w:sz w:val="21"/>
              </w:rPr>
              <w:t>--</w:t>
            </w: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right="1"/>
              <w:jc w:val="center"/>
              <w:rPr>
                <w:rFonts w:ascii="宋体" w:hAnsi="宋体" w:cs="宋体" w:eastAsia="宋体" w:hint="default"/>
                <w:sz w:val="21"/>
                <w:szCs w:val="21"/>
              </w:rPr>
            </w:pPr>
            <w:r>
              <w:rPr>
                <w:rFonts w:ascii="宋体"/>
                <w:sz w:val="21"/>
              </w:rPr>
              <w:t>--</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13" w:right="0"/>
              <w:jc w:val="left"/>
              <w:rPr>
                <w:rFonts w:ascii="宋体" w:hAnsi="宋体" w:cs="宋体" w:eastAsia="宋体" w:hint="default"/>
                <w:sz w:val="21"/>
                <w:szCs w:val="21"/>
              </w:rPr>
            </w:pPr>
            <w:r>
              <w:rPr>
                <w:rFonts w:ascii="宋体"/>
                <w:sz w:val="21"/>
              </w:rPr>
              <w:t>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397" w:right="0"/>
              <w:jc w:val="left"/>
              <w:rPr>
                <w:rFonts w:ascii="宋体" w:hAnsi="宋体" w:cs="宋体" w:eastAsia="宋体" w:hint="default"/>
                <w:sz w:val="21"/>
                <w:szCs w:val="21"/>
              </w:rPr>
            </w:pPr>
            <w:r>
              <w:rPr>
                <w:rFonts w:ascii="宋体"/>
                <w:sz w:val="21"/>
              </w:rPr>
              <w:t>0.00</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right="1"/>
              <w:jc w:val="center"/>
              <w:rPr>
                <w:rFonts w:ascii="宋体" w:hAnsi="宋体" w:cs="宋体" w:eastAsia="宋体" w:hint="default"/>
                <w:sz w:val="21"/>
                <w:szCs w:val="21"/>
              </w:rPr>
            </w:pPr>
            <w:r>
              <w:rPr>
                <w:rFonts w:ascii="宋体"/>
                <w:sz w:val="21"/>
              </w:rPr>
              <w:t>--</w:t>
            </w:r>
          </w:p>
        </w:tc>
      </w:tr>
    </w:tbl>
    <w:p>
      <w:pPr>
        <w:spacing w:line="240" w:lineRule="auto" w:before="10"/>
        <w:rPr>
          <w:rFonts w:ascii="宋体" w:hAnsi="宋体" w:cs="宋体" w:eastAsia="宋体" w:hint="default"/>
          <w:sz w:val="4"/>
          <w:szCs w:val="4"/>
        </w:rPr>
      </w:pPr>
    </w:p>
    <w:p>
      <w:pPr>
        <w:spacing w:after="0" w:line="240" w:lineRule="auto"/>
        <w:rPr>
          <w:rFonts w:ascii="宋体" w:hAnsi="宋体" w:cs="宋体" w:eastAsia="宋体" w:hint="default"/>
          <w:sz w:val="4"/>
          <w:szCs w:val="4"/>
        </w:rPr>
        <w:sectPr>
          <w:type w:val="continuous"/>
          <w:pgSz w:w="11910" w:h="16840"/>
          <w:pgMar w:top="1060" w:bottom="1160" w:left="980" w:right="0"/>
        </w:sectPr>
      </w:pPr>
    </w:p>
    <w:p>
      <w:pPr>
        <w:pStyle w:val="Heading2"/>
        <w:spacing w:line="240" w:lineRule="auto"/>
        <w:ind w:right="0"/>
        <w:jc w:val="left"/>
        <w:rPr>
          <w:b w:val="0"/>
          <w:bCs w:val="0"/>
        </w:rPr>
      </w:pPr>
      <w:bookmarkStart w:name="4、以公允价值计量的金融资产" w:id="51"/>
      <w:bookmarkEnd w:id="51"/>
      <w:r>
        <w:rPr>
          <w:b w:val="0"/>
          <w:bCs w:val="0"/>
        </w:rPr>
      </w:r>
      <w:r>
        <w:rPr>
          <w:rFonts w:ascii="Times New Roman" w:hAnsi="Times New Roman" w:cs="Times New Roman" w:eastAsia="Times New Roman" w:hint="default"/>
          <w:w w:val="95"/>
        </w:rPr>
        <w:t>4</w:t>
      </w:r>
      <w:r>
        <w:rPr>
          <w:w w:val="95"/>
        </w:rPr>
        <w:t>、以公允价值计量的金融资产</w:t>
      </w:r>
      <w:r>
        <w:rPr>
          <w:b w:val="0"/>
          <w:bCs w:val="0"/>
        </w:rPr>
      </w:r>
    </w:p>
    <w:p>
      <w:pPr>
        <w:spacing w:line="331" w:lineRule="auto" w:before="127"/>
        <w:ind w:left="636" w:right="0" w:hanging="3"/>
        <w:jc w:val="left"/>
        <w:rPr>
          <w:rFonts w:ascii="宋体" w:hAnsi="宋体" w:cs="宋体" w:eastAsia="宋体" w:hint="default"/>
          <w:sz w:val="24"/>
          <w:szCs w:val="24"/>
        </w:rPr>
      </w:pPr>
      <w:r>
        <w:rPr>
          <w:rFonts w:ascii="Times New Roman" w:hAnsi="Times New Roman" w:cs="Times New Roman" w:eastAsia="Times New Roman" w:hint="default"/>
          <w:sz w:val="24"/>
          <w:szCs w:val="24"/>
        </w:rPr>
        <w:t>□ </w:t>
      </w:r>
      <w:r>
        <w:rPr>
          <w:rFonts w:ascii="宋体" w:hAnsi="宋体" w:cs="宋体" w:eastAsia="宋体" w:hint="default"/>
          <w:sz w:val="24"/>
          <w:szCs w:val="24"/>
        </w:rPr>
        <w:t>适用 </w:t>
      </w:r>
      <w:r>
        <w:rPr>
          <w:rFonts w:ascii="Times New Roman" w:hAnsi="Times New Roman" w:cs="Times New Roman" w:eastAsia="Times New Roman" w:hint="default"/>
          <w:sz w:val="24"/>
          <w:szCs w:val="24"/>
        </w:rPr>
        <w:t>√ </w:t>
      </w:r>
      <w:r>
        <w:rPr>
          <w:rFonts w:ascii="宋体" w:hAnsi="宋体" w:cs="宋体" w:eastAsia="宋体" w:hint="default"/>
          <w:sz w:val="24"/>
          <w:szCs w:val="24"/>
        </w:rPr>
        <w:t>不适用 </w:t>
      </w:r>
      <w:bookmarkStart w:name="5、募集资金使用情况" w:id="52"/>
      <w:bookmarkEnd w:id="52"/>
      <w:r>
        <w:rPr>
          <w:rFonts w:ascii="宋体" w:hAnsi="宋体" w:cs="宋体" w:eastAsia="宋体" w:hint="default"/>
          <w:sz w:val="24"/>
          <w:szCs w:val="24"/>
        </w:rPr>
      </w:r>
      <w:r>
        <w:rPr>
          <w:rFonts w:ascii="宋体" w:hAnsi="宋体" w:cs="宋体" w:eastAsia="宋体" w:hint="default"/>
          <w:b/>
          <w:bCs/>
          <w:w w:val="95"/>
          <w:sz w:val="24"/>
          <w:szCs w:val="24"/>
        </w:rPr>
        <w:t>5</w:t>
      </w:r>
      <w:r>
        <w:rPr>
          <w:rFonts w:ascii="宋体" w:hAnsi="宋体" w:cs="宋体" w:eastAsia="宋体" w:hint="default"/>
          <w:b/>
          <w:bCs/>
          <w:w w:val="95"/>
          <w:sz w:val="24"/>
          <w:szCs w:val="24"/>
        </w:rPr>
        <w:t>、募集资金使用情况</w:t>
      </w:r>
      <w:r>
        <w:rPr>
          <w:rFonts w:ascii="宋体" w:hAnsi="宋体" w:cs="宋体" w:eastAsia="宋体" w:hint="default"/>
          <w:sz w:val="24"/>
          <w:szCs w:val="24"/>
        </w:rPr>
      </w:r>
    </w:p>
    <w:p>
      <w:pPr>
        <w:pStyle w:val="BodyText"/>
        <w:spacing w:line="240" w:lineRule="auto" w:before="56"/>
        <w:ind w:left="63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p>
    <w:p>
      <w:pPr>
        <w:pStyle w:val="Heading2"/>
        <w:spacing w:line="240" w:lineRule="auto" w:before="127"/>
        <w:ind w:right="0"/>
        <w:jc w:val="left"/>
        <w:rPr>
          <w:b w:val="0"/>
          <w:bCs w:val="0"/>
        </w:rPr>
      </w:pPr>
      <w:bookmarkStart w:name="（1）募集资金总体使用情况" w:id="53"/>
      <w:bookmarkEnd w:id="53"/>
      <w:r>
        <w:rPr>
          <w:b w:val="0"/>
          <w:bCs w:val="0"/>
        </w:rPr>
      </w:r>
      <w:r>
        <w:rPr/>
        <w:t>（</w:t>
      </w:r>
      <w:r>
        <w:rPr>
          <w:rFonts w:ascii="宋体" w:hAnsi="宋体" w:cs="宋体" w:eastAsia="宋体" w:hint="default"/>
        </w:rPr>
        <w:t>1</w:t>
      </w:r>
      <w:r>
        <w:rPr/>
        <w:t>）募集资金总体使用情况</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before="169"/>
        <w:ind w:left="633" w:right="0" w:firstLine="0"/>
        <w:jc w:val="left"/>
        <w:rPr>
          <w:rFonts w:ascii="宋体" w:hAnsi="宋体" w:cs="宋体" w:eastAsia="宋体" w:hint="default"/>
          <w:sz w:val="21"/>
          <w:szCs w:val="21"/>
        </w:rPr>
      </w:pPr>
      <w:r>
        <w:rPr>
          <w:rFonts w:ascii="宋体" w:hAnsi="宋体" w:cs="宋体" w:eastAsia="宋体" w:hint="default"/>
          <w:sz w:val="21"/>
          <w:szCs w:val="21"/>
        </w:rPr>
        <w:t>单位：万元</w:t>
      </w:r>
    </w:p>
    <w:p>
      <w:pPr>
        <w:spacing w:after="0"/>
        <w:jc w:val="left"/>
        <w:rPr>
          <w:rFonts w:ascii="宋体" w:hAnsi="宋体" w:cs="宋体" w:eastAsia="宋体" w:hint="default"/>
          <w:sz w:val="21"/>
          <w:szCs w:val="21"/>
        </w:rPr>
        <w:sectPr>
          <w:type w:val="continuous"/>
          <w:pgSz w:w="11910" w:h="16840"/>
          <w:pgMar w:top="1060" w:bottom="1160" w:left="980" w:right="0"/>
          <w:cols w:num="2" w:equalWidth="0">
            <w:col w:w="3887" w:space="4223"/>
            <w:col w:w="2820"/>
          </w:cols>
        </w:sectPr>
      </w:pP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867"/>
        <w:gridCol w:w="863"/>
        <w:gridCol w:w="877"/>
        <w:gridCol w:w="870"/>
        <w:gridCol w:w="870"/>
        <w:gridCol w:w="869"/>
        <w:gridCol w:w="870"/>
        <w:gridCol w:w="870"/>
        <w:gridCol w:w="870"/>
        <w:gridCol w:w="870"/>
        <w:gridCol w:w="869"/>
      </w:tblGrid>
      <w:tr>
        <w:trPr>
          <w:trHeight w:val="1650" w:hRule="exact"/>
        </w:trPr>
        <w:tc>
          <w:tcPr>
            <w:tcW w:w="8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273" w:lineRule="auto"/>
              <w:ind w:left="322" w:right="112" w:hanging="210"/>
              <w:jc w:val="left"/>
              <w:rPr>
                <w:rFonts w:ascii="宋体" w:hAnsi="宋体" w:cs="宋体" w:eastAsia="宋体" w:hint="default"/>
                <w:sz w:val="21"/>
                <w:szCs w:val="21"/>
              </w:rPr>
            </w:pPr>
            <w:r>
              <w:rPr>
                <w:rFonts w:ascii="宋体" w:hAnsi="宋体" w:cs="宋体" w:eastAsia="宋体" w:hint="default"/>
                <w:sz w:val="21"/>
                <w:szCs w:val="21"/>
              </w:rPr>
              <w:t>募集年 份</w:t>
            </w:r>
          </w:p>
        </w:tc>
        <w:tc>
          <w:tcPr>
            <w:tcW w:w="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273" w:lineRule="auto"/>
              <w:ind w:left="321" w:right="109" w:hanging="210"/>
              <w:jc w:val="left"/>
              <w:rPr>
                <w:rFonts w:ascii="宋体" w:hAnsi="宋体" w:cs="宋体" w:eastAsia="宋体" w:hint="default"/>
                <w:sz w:val="21"/>
                <w:szCs w:val="21"/>
              </w:rPr>
            </w:pPr>
            <w:r>
              <w:rPr>
                <w:rFonts w:ascii="宋体" w:hAnsi="宋体" w:cs="宋体" w:eastAsia="宋体" w:hint="default"/>
                <w:sz w:val="21"/>
                <w:szCs w:val="21"/>
              </w:rPr>
              <w:t>募集方 式</w:t>
            </w:r>
          </w:p>
        </w:tc>
        <w:tc>
          <w:tcPr>
            <w:tcW w:w="8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273" w:lineRule="auto"/>
              <w:ind w:left="117" w:right="119"/>
              <w:jc w:val="left"/>
              <w:rPr>
                <w:rFonts w:ascii="宋体" w:hAnsi="宋体" w:cs="宋体" w:eastAsia="宋体" w:hint="default"/>
                <w:sz w:val="21"/>
                <w:szCs w:val="21"/>
              </w:rPr>
            </w:pPr>
            <w:r>
              <w:rPr>
                <w:rFonts w:ascii="宋体" w:hAnsi="宋体" w:cs="宋体" w:eastAsia="宋体" w:hint="default"/>
                <w:sz w:val="21"/>
                <w:szCs w:val="21"/>
              </w:rPr>
              <w:t>募集资 金总额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73" w:lineRule="auto"/>
              <w:ind w:left="113" w:right="114"/>
              <w:jc w:val="both"/>
              <w:rPr>
                <w:rFonts w:ascii="宋体" w:hAnsi="宋体" w:cs="宋体" w:eastAsia="宋体" w:hint="default"/>
                <w:sz w:val="21"/>
                <w:szCs w:val="21"/>
              </w:rPr>
            </w:pPr>
            <w:r>
              <w:rPr>
                <w:rFonts w:ascii="宋体" w:hAnsi="宋体" w:cs="宋体" w:eastAsia="宋体" w:hint="default"/>
                <w:sz w:val="21"/>
                <w:szCs w:val="21"/>
              </w:rPr>
              <w:t>本期已 使用募 集资金 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73" w:lineRule="auto"/>
              <w:ind w:left="113" w:right="114"/>
              <w:jc w:val="both"/>
              <w:rPr>
                <w:rFonts w:ascii="宋体" w:hAnsi="宋体" w:cs="宋体" w:eastAsia="宋体" w:hint="default"/>
                <w:sz w:val="21"/>
                <w:szCs w:val="21"/>
              </w:rPr>
            </w:pPr>
            <w:r>
              <w:rPr>
                <w:rFonts w:ascii="宋体" w:hAnsi="宋体" w:cs="宋体" w:eastAsia="宋体" w:hint="default"/>
                <w:sz w:val="21"/>
                <w:szCs w:val="21"/>
              </w:rPr>
              <w:t>已累计 使用募 集资金 总额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113" w:right="113"/>
              <w:jc w:val="both"/>
              <w:rPr>
                <w:rFonts w:ascii="宋体" w:hAnsi="宋体" w:cs="宋体" w:eastAsia="宋体" w:hint="default"/>
                <w:sz w:val="21"/>
                <w:szCs w:val="21"/>
              </w:rPr>
            </w:pPr>
            <w:r>
              <w:rPr>
                <w:rFonts w:ascii="宋体" w:hAnsi="宋体" w:cs="宋体" w:eastAsia="宋体" w:hint="default"/>
                <w:sz w:val="21"/>
                <w:szCs w:val="21"/>
              </w:rPr>
              <w:t>报告期 内变更 用途的 募集资 金总额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113" w:right="114"/>
              <w:jc w:val="center"/>
              <w:rPr>
                <w:rFonts w:ascii="宋体" w:hAnsi="宋体" w:cs="宋体" w:eastAsia="宋体" w:hint="default"/>
                <w:sz w:val="21"/>
                <w:szCs w:val="21"/>
              </w:rPr>
            </w:pPr>
            <w:r>
              <w:rPr>
                <w:rFonts w:ascii="宋体" w:hAnsi="宋体" w:cs="宋体" w:eastAsia="宋体" w:hint="default"/>
                <w:sz w:val="21"/>
                <w:szCs w:val="21"/>
              </w:rPr>
              <w:t>累计变 更用途 的募集 资金总 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113" w:right="114"/>
              <w:jc w:val="both"/>
              <w:rPr>
                <w:rFonts w:ascii="宋体" w:hAnsi="宋体" w:cs="宋体" w:eastAsia="宋体" w:hint="default"/>
                <w:sz w:val="21"/>
                <w:szCs w:val="21"/>
              </w:rPr>
            </w:pPr>
            <w:r>
              <w:rPr>
                <w:rFonts w:ascii="宋体" w:hAnsi="宋体" w:cs="宋体" w:eastAsia="宋体" w:hint="default"/>
                <w:sz w:val="21"/>
                <w:szCs w:val="21"/>
              </w:rPr>
              <w:t>累计变 更用途 的募集 资金总 额比例</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73" w:lineRule="auto"/>
              <w:ind w:left="114" w:right="114"/>
              <w:jc w:val="center"/>
              <w:rPr>
                <w:rFonts w:ascii="宋体" w:hAnsi="宋体" w:cs="宋体" w:eastAsia="宋体" w:hint="default"/>
                <w:sz w:val="21"/>
                <w:szCs w:val="21"/>
              </w:rPr>
            </w:pPr>
            <w:r>
              <w:rPr>
                <w:rFonts w:ascii="宋体" w:hAnsi="宋体" w:cs="宋体" w:eastAsia="宋体" w:hint="default"/>
                <w:sz w:val="21"/>
                <w:szCs w:val="21"/>
              </w:rPr>
              <w:t>尚未使 用募集 资金总 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113" w:right="114"/>
              <w:jc w:val="center"/>
              <w:rPr>
                <w:rFonts w:ascii="宋体" w:hAnsi="宋体" w:cs="宋体" w:eastAsia="宋体" w:hint="default"/>
                <w:sz w:val="21"/>
                <w:szCs w:val="21"/>
              </w:rPr>
            </w:pPr>
            <w:r>
              <w:rPr>
                <w:rFonts w:ascii="宋体" w:hAnsi="宋体" w:cs="宋体" w:eastAsia="宋体" w:hint="default"/>
                <w:sz w:val="21"/>
                <w:szCs w:val="21"/>
              </w:rPr>
              <w:t>尚未使 用募集 资金用 途及去 向</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73" w:lineRule="auto"/>
              <w:ind w:left="113" w:right="113"/>
              <w:jc w:val="both"/>
              <w:rPr>
                <w:rFonts w:ascii="宋体" w:hAnsi="宋体" w:cs="宋体" w:eastAsia="宋体" w:hint="default"/>
                <w:sz w:val="21"/>
                <w:szCs w:val="21"/>
              </w:rPr>
            </w:pPr>
            <w:r>
              <w:rPr>
                <w:rFonts w:ascii="宋体" w:hAnsi="宋体" w:cs="宋体" w:eastAsia="宋体" w:hint="default"/>
                <w:sz w:val="21"/>
                <w:szCs w:val="21"/>
              </w:rPr>
              <w:t>闲置两 年以上 募集资 金金额</w:t>
            </w:r>
          </w:p>
        </w:tc>
      </w:tr>
      <w:tr>
        <w:trPr>
          <w:trHeight w:val="1338" w:hRule="exact"/>
        </w:trPr>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2" w:right="0"/>
              <w:jc w:val="left"/>
              <w:rPr>
                <w:rFonts w:ascii="宋体" w:hAnsi="宋体" w:cs="宋体" w:eastAsia="宋体" w:hint="default"/>
                <w:sz w:val="21"/>
                <w:szCs w:val="21"/>
              </w:rPr>
            </w:pPr>
            <w:r>
              <w:rPr>
                <w:rFonts w:ascii="宋体"/>
                <w:sz w:val="21"/>
              </w:rPr>
              <w:t>2013</w:t>
            </w:r>
          </w:p>
        </w:tc>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2" w:right="198"/>
              <w:jc w:val="both"/>
              <w:rPr>
                <w:rFonts w:ascii="宋体" w:hAnsi="宋体" w:cs="宋体" w:eastAsia="宋体" w:hint="default"/>
                <w:sz w:val="21"/>
                <w:szCs w:val="21"/>
              </w:rPr>
            </w:pPr>
            <w:r>
              <w:rPr>
                <w:rFonts w:ascii="宋体" w:hAnsi="宋体" w:cs="宋体" w:eastAsia="宋体" w:hint="default"/>
                <w:sz w:val="21"/>
                <w:szCs w:val="21"/>
              </w:rPr>
              <w:t>非公开 发行人 民币普 通股</w:t>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21"/>
              <w:jc w:val="right"/>
              <w:rPr>
                <w:rFonts w:ascii="宋体" w:hAnsi="宋体" w:cs="宋体" w:eastAsia="宋体" w:hint="default"/>
                <w:sz w:val="21"/>
                <w:szCs w:val="21"/>
              </w:rPr>
            </w:pPr>
            <w:r>
              <w:rPr>
                <w:rFonts w:ascii="宋体"/>
                <w:sz w:val="21"/>
              </w:rPr>
              <w:t>69,292.</w:t>
            </w:r>
          </w:p>
          <w:p>
            <w:pPr>
              <w:pStyle w:val="TableParagraph"/>
              <w:spacing w:line="240" w:lineRule="auto" w:before="38"/>
              <w:ind w:right="21"/>
              <w:jc w:val="right"/>
              <w:rPr>
                <w:rFonts w:ascii="宋体" w:hAnsi="宋体" w:cs="宋体" w:eastAsia="宋体" w:hint="default"/>
                <w:sz w:val="21"/>
                <w:szCs w:val="21"/>
              </w:rPr>
            </w:pPr>
            <w:r>
              <w:rPr>
                <w:rFonts w:ascii="宋体"/>
                <w:sz w:val="21"/>
              </w:rPr>
              <w:t>30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21"/>
              <w:jc w:val="right"/>
              <w:rPr>
                <w:rFonts w:ascii="宋体" w:hAnsi="宋体" w:cs="宋体" w:eastAsia="宋体" w:hint="default"/>
                <w:sz w:val="21"/>
                <w:szCs w:val="21"/>
              </w:rPr>
            </w:pPr>
            <w:r>
              <w:rPr>
                <w:rFonts w:ascii="宋体"/>
                <w:sz w:val="21"/>
              </w:rPr>
              <w:t>1,875.1</w:t>
            </w:r>
          </w:p>
          <w:p>
            <w:pPr>
              <w:pStyle w:val="TableParagraph"/>
              <w:spacing w:line="240" w:lineRule="auto" w:before="38"/>
              <w:ind w:right="21"/>
              <w:jc w:val="right"/>
              <w:rPr>
                <w:rFonts w:ascii="宋体" w:hAnsi="宋体" w:cs="宋体" w:eastAsia="宋体" w:hint="default"/>
                <w:sz w:val="21"/>
                <w:szCs w:val="21"/>
              </w:rPr>
            </w:pPr>
            <w:r>
              <w:rPr>
                <w:rFonts w:ascii="宋体"/>
                <w:sz w:val="21"/>
              </w:rPr>
              <w:t>7</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21"/>
              <w:jc w:val="right"/>
              <w:rPr>
                <w:rFonts w:ascii="宋体" w:hAnsi="宋体" w:cs="宋体" w:eastAsia="宋体" w:hint="default"/>
                <w:sz w:val="21"/>
                <w:szCs w:val="21"/>
              </w:rPr>
            </w:pPr>
            <w:r>
              <w:rPr>
                <w:rFonts w:ascii="宋体"/>
                <w:sz w:val="21"/>
              </w:rPr>
              <w:t>10,566.</w:t>
            </w:r>
          </w:p>
          <w:p>
            <w:pPr>
              <w:pStyle w:val="TableParagraph"/>
              <w:spacing w:line="240" w:lineRule="auto" w:before="38"/>
              <w:ind w:right="21"/>
              <w:jc w:val="right"/>
              <w:rPr>
                <w:rFonts w:ascii="宋体" w:hAnsi="宋体" w:cs="宋体" w:eastAsia="宋体" w:hint="default"/>
                <w:sz w:val="21"/>
                <w:szCs w:val="21"/>
              </w:rPr>
            </w:pPr>
            <w:r>
              <w:rPr>
                <w:rFonts w:ascii="宋体"/>
                <w:sz w:val="21"/>
              </w:rPr>
              <w:t>10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1"/>
              <w:jc w:val="right"/>
              <w:rPr>
                <w:rFonts w:ascii="宋体" w:hAnsi="宋体" w:cs="宋体" w:eastAsia="宋体" w:hint="default"/>
                <w:sz w:val="21"/>
                <w:szCs w:val="21"/>
              </w:rPr>
            </w:pPr>
            <w:r>
              <w:rPr>
                <w:rFonts w:ascii="宋体"/>
                <w:sz w:val="21"/>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1"/>
              <w:jc w:val="right"/>
              <w:rPr>
                <w:rFonts w:ascii="宋体" w:hAnsi="宋体" w:cs="宋体" w:eastAsia="宋体" w:hint="default"/>
                <w:sz w:val="21"/>
                <w:szCs w:val="21"/>
              </w:rPr>
            </w:pPr>
            <w:r>
              <w:rPr>
                <w:rFonts w:ascii="宋体"/>
                <w:sz w:val="21"/>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1"/>
              <w:jc w:val="right"/>
              <w:rPr>
                <w:rFonts w:ascii="宋体" w:hAnsi="宋体" w:cs="宋体" w:eastAsia="宋体" w:hint="default"/>
                <w:sz w:val="21"/>
                <w:szCs w:val="21"/>
              </w:rPr>
            </w:pPr>
            <w:r>
              <w:rPr>
                <w:rFonts w:ascii="宋体"/>
                <w:sz w:val="21"/>
              </w:rPr>
              <w:t>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21"/>
              <w:jc w:val="right"/>
              <w:rPr>
                <w:rFonts w:ascii="宋体" w:hAnsi="宋体" w:cs="宋体" w:eastAsia="宋体" w:hint="default"/>
                <w:sz w:val="21"/>
                <w:szCs w:val="21"/>
              </w:rPr>
            </w:pPr>
            <w:r>
              <w:rPr>
                <w:rFonts w:ascii="宋体"/>
                <w:sz w:val="21"/>
              </w:rPr>
              <w:t>64,645.</w:t>
            </w:r>
          </w:p>
          <w:p>
            <w:pPr>
              <w:pStyle w:val="TableParagraph"/>
              <w:spacing w:line="240" w:lineRule="auto" w:before="38"/>
              <w:ind w:right="20"/>
              <w:jc w:val="right"/>
              <w:rPr>
                <w:rFonts w:ascii="宋体" w:hAnsi="宋体" w:cs="宋体" w:eastAsia="宋体" w:hint="default"/>
                <w:sz w:val="21"/>
                <w:szCs w:val="21"/>
              </w:rPr>
            </w:pPr>
            <w:r>
              <w:rPr>
                <w:rFonts w:ascii="宋体"/>
                <w:sz w:val="21"/>
              </w:rPr>
              <w:t>12</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2" w:right="205"/>
              <w:jc w:val="both"/>
              <w:rPr>
                <w:rFonts w:ascii="宋体" w:hAnsi="宋体" w:cs="宋体" w:eastAsia="宋体" w:hint="default"/>
                <w:sz w:val="21"/>
                <w:szCs w:val="21"/>
              </w:rPr>
            </w:pPr>
            <w:r>
              <w:rPr>
                <w:rFonts w:ascii="宋体" w:hAnsi="宋体" w:cs="宋体" w:eastAsia="宋体" w:hint="default"/>
                <w:sz w:val="21"/>
                <w:szCs w:val="21"/>
              </w:rPr>
              <w:t>存储于 募集资 金专户 及理财</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21"/>
              <w:jc w:val="right"/>
              <w:rPr>
                <w:rFonts w:ascii="宋体" w:hAnsi="宋体" w:cs="宋体" w:eastAsia="宋体" w:hint="default"/>
                <w:sz w:val="21"/>
                <w:szCs w:val="21"/>
              </w:rPr>
            </w:pPr>
            <w:r>
              <w:rPr>
                <w:rFonts w:ascii="宋体"/>
                <w:sz w:val="21"/>
              </w:rPr>
              <w:t>61,357.</w:t>
            </w:r>
          </w:p>
          <w:p>
            <w:pPr>
              <w:pStyle w:val="TableParagraph"/>
              <w:spacing w:line="240" w:lineRule="auto" w:before="38"/>
              <w:ind w:right="20"/>
              <w:jc w:val="right"/>
              <w:rPr>
                <w:rFonts w:ascii="宋体" w:hAnsi="宋体" w:cs="宋体" w:eastAsia="宋体" w:hint="default"/>
                <w:sz w:val="21"/>
                <w:szCs w:val="21"/>
              </w:rPr>
            </w:pPr>
            <w:r>
              <w:rPr>
                <w:rFonts w:ascii="宋体"/>
                <w:sz w:val="21"/>
              </w:rPr>
              <w:t>72</w:t>
            </w:r>
          </w:p>
        </w:tc>
      </w:tr>
      <w:tr>
        <w:trPr>
          <w:trHeight w:val="1026" w:hRule="exact"/>
        </w:trPr>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left="22" w:right="0"/>
              <w:jc w:val="left"/>
              <w:rPr>
                <w:rFonts w:ascii="宋体" w:hAnsi="宋体" w:cs="宋体" w:eastAsia="宋体" w:hint="default"/>
                <w:sz w:val="21"/>
                <w:szCs w:val="21"/>
              </w:rPr>
            </w:pPr>
            <w:r>
              <w:rPr>
                <w:rFonts w:ascii="宋体"/>
                <w:sz w:val="21"/>
              </w:rPr>
              <w:t>2015</w:t>
            </w:r>
          </w:p>
        </w:tc>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2" w:right="198"/>
              <w:jc w:val="both"/>
              <w:rPr>
                <w:rFonts w:ascii="宋体" w:hAnsi="宋体" w:cs="宋体" w:eastAsia="宋体" w:hint="default"/>
                <w:sz w:val="21"/>
                <w:szCs w:val="21"/>
              </w:rPr>
            </w:pPr>
            <w:r>
              <w:rPr>
                <w:rFonts w:ascii="宋体" w:hAnsi="宋体" w:cs="宋体" w:eastAsia="宋体" w:hint="default"/>
                <w:sz w:val="21"/>
                <w:szCs w:val="21"/>
              </w:rPr>
              <w:t>公开发 行公司 债券</w:t>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1"/>
              <w:jc w:val="right"/>
              <w:rPr>
                <w:rFonts w:ascii="宋体" w:hAnsi="宋体" w:cs="宋体" w:eastAsia="宋体" w:hint="default"/>
                <w:sz w:val="21"/>
                <w:szCs w:val="21"/>
              </w:rPr>
            </w:pPr>
            <w:r>
              <w:rPr>
                <w:rFonts w:ascii="宋体"/>
                <w:sz w:val="21"/>
              </w:rPr>
              <w:t>24,770.</w:t>
            </w:r>
          </w:p>
          <w:p>
            <w:pPr>
              <w:pStyle w:val="TableParagraph"/>
              <w:spacing w:line="240" w:lineRule="auto" w:before="38"/>
              <w:ind w:right="20"/>
              <w:jc w:val="right"/>
              <w:rPr>
                <w:rFonts w:ascii="宋体" w:hAnsi="宋体" w:cs="宋体" w:eastAsia="宋体" w:hint="default"/>
                <w:sz w:val="21"/>
                <w:szCs w:val="21"/>
              </w:rPr>
            </w:pPr>
            <w:r>
              <w:rPr>
                <w:rFonts w:ascii="宋体"/>
                <w:sz w:val="21"/>
              </w:rPr>
              <w:t>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21"/>
              <w:jc w:val="right"/>
              <w:rPr>
                <w:rFonts w:ascii="宋体" w:hAnsi="宋体" w:cs="宋体" w:eastAsia="宋体" w:hint="default"/>
                <w:sz w:val="21"/>
                <w:szCs w:val="21"/>
              </w:rPr>
            </w:pPr>
            <w:r>
              <w:rPr>
                <w:rFonts w:ascii="宋体"/>
                <w:sz w:val="21"/>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1"/>
              <w:jc w:val="right"/>
              <w:rPr>
                <w:rFonts w:ascii="宋体" w:hAnsi="宋体" w:cs="宋体" w:eastAsia="宋体" w:hint="default"/>
                <w:sz w:val="21"/>
                <w:szCs w:val="21"/>
              </w:rPr>
            </w:pPr>
            <w:r>
              <w:rPr>
                <w:rFonts w:ascii="宋体"/>
                <w:sz w:val="21"/>
              </w:rPr>
              <w:t>24,873.</w:t>
            </w:r>
          </w:p>
          <w:p>
            <w:pPr>
              <w:pStyle w:val="TableParagraph"/>
              <w:spacing w:line="240" w:lineRule="auto" w:before="38"/>
              <w:ind w:right="21"/>
              <w:jc w:val="right"/>
              <w:rPr>
                <w:rFonts w:ascii="宋体" w:hAnsi="宋体" w:cs="宋体" w:eastAsia="宋体" w:hint="default"/>
                <w:sz w:val="21"/>
                <w:szCs w:val="21"/>
              </w:rPr>
            </w:pPr>
            <w:r>
              <w:rPr>
                <w:rFonts w:ascii="宋体"/>
                <w:sz w:val="21"/>
              </w:rPr>
              <w:t>90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21"/>
              <w:jc w:val="right"/>
              <w:rPr>
                <w:rFonts w:ascii="宋体" w:hAnsi="宋体" w:cs="宋体" w:eastAsia="宋体" w:hint="default"/>
                <w:sz w:val="21"/>
                <w:szCs w:val="21"/>
              </w:rPr>
            </w:pPr>
            <w:r>
              <w:rPr>
                <w:rFonts w:ascii="宋体"/>
                <w:sz w:val="21"/>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21"/>
              <w:jc w:val="right"/>
              <w:rPr>
                <w:rFonts w:ascii="宋体" w:hAnsi="宋体" w:cs="宋体" w:eastAsia="宋体" w:hint="default"/>
                <w:sz w:val="21"/>
                <w:szCs w:val="21"/>
              </w:rPr>
            </w:pPr>
            <w:r>
              <w:rPr>
                <w:rFonts w:ascii="宋体"/>
                <w:sz w:val="21"/>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21"/>
              <w:jc w:val="right"/>
              <w:rPr>
                <w:rFonts w:ascii="宋体" w:hAnsi="宋体" w:cs="宋体" w:eastAsia="宋体" w:hint="default"/>
                <w:sz w:val="21"/>
                <w:szCs w:val="21"/>
              </w:rPr>
            </w:pPr>
            <w:r>
              <w:rPr>
                <w:rFonts w:ascii="宋体"/>
                <w:sz w:val="21"/>
              </w:rPr>
              <w:t>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21"/>
              <w:jc w:val="right"/>
              <w:rPr>
                <w:rFonts w:ascii="宋体" w:hAnsi="宋体" w:cs="宋体" w:eastAsia="宋体" w:hint="default"/>
                <w:sz w:val="21"/>
                <w:szCs w:val="21"/>
              </w:rPr>
            </w:pPr>
            <w:r>
              <w:rPr>
                <w:rFonts w:ascii="宋体"/>
                <w:sz w:val="21"/>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不适用</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21"/>
              <w:jc w:val="right"/>
              <w:rPr>
                <w:rFonts w:ascii="宋体" w:hAnsi="宋体" w:cs="宋体" w:eastAsia="宋体" w:hint="default"/>
                <w:sz w:val="21"/>
                <w:szCs w:val="21"/>
              </w:rPr>
            </w:pPr>
            <w:r>
              <w:rPr>
                <w:rFonts w:ascii="宋体"/>
                <w:sz w:val="21"/>
              </w:rPr>
              <w:t>0</w:t>
            </w:r>
          </w:p>
        </w:tc>
      </w:tr>
      <w:tr>
        <w:trPr>
          <w:trHeight w:val="161" w:hRule="exact"/>
        </w:trPr>
        <w:tc>
          <w:tcPr>
            <w:tcW w:w="867" w:type="dxa"/>
            <w:tcBorders>
              <w:top w:val="single" w:sz="4" w:space="0" w:color="000000"/>
              <w:left w:val="single" w:sz="4" w:space="0" w:color="000000"/>
              <w:bottom w:val="nil" w:sz="6" w:space="0" w:color="auto"/>
              <w:right w:val="single" w:sz="4" w:space="0" w:color="000000"/>
            </w:tcBorders>
            <w:shd w:val="clear" w:color="auto" w:fill="D2D2D2"/>
          </w:tcPr>
          <w:p>
            <w:pPr/>
          </w:p>
        </w:tc>
        <w:tc>
          <w:tcPr>
            <w:tcW w:w="863" w:type="dxa"/>
            <w:tcBorders>
              <w:top w:val="single" w:sz="4" w:space="0" w:color="000000"/>
              <w:left w:val="single" w:sz="4" w:space="0" w:color="000000"/>
              <w:bottom w:val="nil" w:sz="6" w:space="0" w:color="auto"/>
              <w:right w:val="single" w:sz="4" w:space="0" w:color="000000"/>
            </w:tcBorders>
            <w:shd w:val="clear" w:color="auto" w:fill="D2D2D2"/>
          </w:tcPr>
          <w:p>
            <w:pPr/>
          </w:p>
        </w:tc>
        <w:tc>
          <w:tcPr>
            <w:tcW w:w="877" w:type="dxa"/>
            <w:vMerge w:val="restart"/>
            <w:tcBorders>
              <w:top w:val="single" w:sz="4" w:space="0" w:color="000000"/>
              <w:left w:val="single" w:sz="9" w:space="0" w:color="D2D2D2"/>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94,062.</w:t>
            </w:r>
          </w:p>
          <w:p>
            <w:pPr>
              <w:pStyle w:val="TableParagraph"/>
              <w:spacing w:line="240" w:lineRule="auto" w:before="38"/>
              <w:ind w:right="21"/>
              <w:jc w:val="right"/>
              <w:rPr>
                <w:rFonts w:ascii="宋体" w:hAnsi="宋体" w:cs="宋体" w:eastAsia="宋体" w:hint="default"/>
                <w:sz w:val="21"/>
                <w:szCs w:val="21"/>
              </w:rPr>
            </w:pPr>
            <w:r>
              <w:rPr>
                <w:rFonts w:ascii="宋体"/>
                <w:sz w:val="21"/>
              </w:rPr>
              <w:t>30</w:t>
            </w:r>
          </w:p>
        </w:tc>
        <w:tc>
          <w:tcPr>
            <w:tcW w:w="870" w:type="dxa"/>
            <w:vMerge w:val="restart"/>
            <w:tcBorders>
              <w:top w:val="single" w:sz="4" w:space="0" w:color="000000"/>
              <w:left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1,875.1</w:t>
            </w:r>
          </w:p>
          <w:p>
            <w:pPr>
              <w:pStyle w:val="TableParagraph"/>
              <w:spacing w:line="240" w:lineRule="auto" w:before="38"/>
              <w:ind w:right="21"/>
              <w:jc w:val="right"/>
              <w:rPr>
                <w:rFonts w:ascii="宋体" w:hAnsi="宋体" w:cs="宋体" w:eastAsia="宋体" w:hint="default"/>
                <w:sz w:val="21"/>
                <w:szCs w:val="21"/>
              </w:rPr>
            </w:pPr>
            <w:r>
              <w:rPr>
                <w:rFonts w:ascii="宋体"/>
                <w:sz w:val="21"/>
              </w:rPr>
              <w:t>7</w:t>
            </w:r>
          </w:p>
        </w:tc>
        <w:tc>
          <w:tcPr>
            <w:tcW w:w="870" w:type="dxa"/>
            <w:vMerge w:val="restart"/>
            <w:tcBorders>
              <w:top w:val="single" w:sz="4" w:space="0" w:color="000000"/>
              <w:left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35,440.</w:t>
            </w:r>
          </w:p>
          <w:p>
            <w:pPr>
              <w:pStyle w:val="TableParagraph"/>
              <w:spacing w:line="240" w:lineRule="auto" w:before="38"/>
              <w:ind w:right="20"/>
              <w:jc w:val="right"/>
              <w:rPr>
                <w:rFonts w:ascii="宋体" w:hAnsi="宋体" w:cs="宋体" w:eastAsia="宋体" w:hint="default"/>
                <w:sz w:val="21"/>
                <w:szCs w:val="21"/>
              </w:rPr>
            </w:pPr>
            <w:r>
              <w:rPr>
                <w:rFonts w:ascii="宋体"/>
                <w:sz w:val="21"/>
              </w:rPr>
              <w:t>00</w:t>
            </w:r>
          </w:p>
        </w:tc>
        <w:tc>
          <w:tcPr>
            <w:tcW w:w="869"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1"/>
              <w:jc w:val="right"/>
              <w:rPr>
                <w:rFonts w:ascii="宋体" w:hAnsi="宋体" w:cs="宋体" w:eastAsia="宋体" w:hint="default"/>
                <w:sz w:val="21"/>
                <w:szCs w:val="21"/>
              </w:rPr>
            </w:pPr>
            <w:r>
              <w:rPr>
                <w:rFonts w:ascii="宋体"/>
                <w:sz w:val="21"/>
              </w:rPr>
              <w:t>0</w:t>
            </w:r>
          </w:p>
        </w:tc>
        <w:tc>
          <w:tcPr>
            <w:tcW w:w="87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1"/>
              <w:jc w:val="right"/>
              <w:rPr>
                <w:rFonts w:ascii="宋体" w:hAnsi="宋体" w:cs="宋体" w:eastAsia="宋体" w:hint="default"/>
                <w:sz w:val="21"/>
                <w:szCs w:val="21"/>
              </w:rPr>
            </w:pPr>
            <w:r>
              <w:rPr>
                <w:rFonts w:ascii="宋体"/>
                <w:sz w:val="21"/>
              </w:rPr>
              <w:t>0</w:t>
            </w:r>
          </w:p>
        </w:tc>
        <w:tc>
          <w:tcPr>
            <w:tcW w:w="87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311" w:right="0"/>
              <w:jc w:val="left"/>
              <w:rPr>
                <w:rFonts w:ascii="宋体" w:hAnsi="宋体" w:cs="宋体" w:eastAsia="宋体" w:hint="default"/>
                <w:sz w:val="21"/>
                <w:szCs w:val="21"/>
              </w:rPr>
            </w:pPr>
            <w:r>
              <w:rPr>
                <w:rFonts w:ascii="宋体"/>
                <w:sz w:val="21"/>
              </w:rPr>
              <w:t>0.00%</w:t>
            </w:r>
          </w:p>
        </w:tc>
        <w:tc>
          <w:tcPr>
            <w:tcW w:w="870" w:type="dxa"/>
            <w:vMerge w:val="restart"/>
            <w:tcBorders>
              <w:top w:val="single" w:sz="4" w:space="0" w:color="000000"/>
              <w:left w:val="single" w:sz="4" w:space="0" w:color="000000"/>
              <w:right w:val="single" w:sz="9" w:space="0" w:color="D2D2D2"/>
            </w:tcBorders>
          </w:tcPr>
          <w:p>
            <w:pPr>
              <w:pStyle w:val="TableParagraph"/>
              <w:spacing w:line="240" w:lineRule="auto" w:before="26"/>
              <w:ind w:right="14"/>
              <w:jc w:val="right"/>
              <w:rPr>
                <w:rFonts w:ascii="宋体" w:hAnsi="宋体" w:cs="宋体" w:eastAsia="宋体" w:hint="default"/>
                <w:sz w:val="21"/>
                <w:szCs w:val="21"/>
              </w:rPr>
            </w:pPr>
            <w:r>
              <w:rPr>
                <w:rFonts w:ascii="宋体"/>
                <w:sz w:val="21"/>
              </w:rPr>
              <w:t>64,645.</w:t>
            </w:r>
          </w:p>
          <w:p>
            <w:pPr>
              <w:pStyle w:val="TableParagraph"/>
              <w:spacing w:line="240" w:lineRule="auto" w:before="38"/>
              <w:ind w:right="14"/>
              <w:jc w:val="right"/>
              <w:rPr>
                <w:rFonts w:ascii="宋体" w:hAnsi="宋体" w:cs="宋体" w:eastAsia="宋体" w:hint="default"/>
                <w:sz w:val="21"/>
                <w:szCs w:val="21"/>
              </w:rPr>
            </w:pPr>
            <w:r>
              <w:rPr>
                <w:rFonts w:ascii="宋体"/>
                <w:sz w:val="21"/>
              </w:rPr>
              <w:t>12</w:t>
            </w:r>
          </w:p>
        </w:tc>
        <w:tc>
          <w:tcPr>
            <w:tcW w:w="870" w:type="dxa"/>
            <w:tcBorders>
              <w:top w:val="single" w:sz="4" w:space="0" w:color="000000"/>
              <w:left w:val="single" w:sz="4" w:space="0" w:color="000000"/>
              <w:bottom w:val="nil" w:sz="6" w:space="0" w:color="auto"/>
              <w:right w:val="single" w:sz="4" w:space="0" w:color="000000"/>
            </w:tcBorders>
            <w:shd w:val="clear" w:color="auto" w:fill="D2D2D2"/>
          </w:tcPr>
          <w:p>
            <w:pPr/>
          </w:p>
        </w:tc>
        <w:tc>
          <w:tcPr>
            <w:tcW w:w="869" w:type="dxa"/>
            <w:vMerge w:val="restart"/>
            <w:tcBorders>
              <w:top w:val="single" w:sz="4" w:space="0" w:color="000000"/>
              <w:left w:val="single" w:sz="10" w:space="0" w:color="D2D2D2"/>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61357.7</w:t>
            </w:r>
          </w:p>
          <w:p>
            <w:pPr>
              <w:pStyle w:val="TableParagraph"/>
              <w:spacing w:line="240" w:lineRule="auto" w:before="38"/>
              <w:ind w:right="21"/>
              <w:jc w:val="right"/>
              <w:rPr>
                <w:rFonts w:ascii="宋体" w:hAnsi="宋体" w:cs="宋体" w:eastAsia="宋体" w:hint="default"/>
                <w:sz w:val="21"/>
                <w:szCs w:val="21"/>
              </w:rPr>
            </w:pPr>
            <w:r>
              <w:rPr>
                <w:rFonts w:ascii="宋体"/>
                <w:sz w:val="21"/>
              </w:rPr>
              <w:t>2</w:t>
            </w:r>
          </w:p>
        </w:tc>
      </w:tr>
      <w:tr>
        <w:trPr>
          <w:trHeight w:val="393" w:hRule="exact"/>
        </w:trPr>
        <w:tc>
          <w:tcPr>
            <w:tcW w:w="86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86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6"/>
              <w:ind w:left="1" w:right="0"/>
              <w:jc w:val="center"/>
              <w:rPr>
                <w:rFonts w:ascii="宋体" w:hAnsi="宋体" w:cs="宋体" w:eastAsia="宋体" w:hint="default"/>
                <w:sz w:val="21"/>
                <w:szCs w:val="21"/>
              </w:rPr>
            </w:pPr>
            <w:r>
              <w:rPr>
                <w:rFonts w:ascii="宋体"/>
                <w:sz w:val="21"/>
              </w:rPr>
              <w:t>--</w:t>
            </w:r>
          </w:p>
        </w:tc>
        <w:tc>
          <w:tcPr>
            <w:tcW w:w="877" w:type="dxa"/>
            <w:vMerge/>
            <w:tcBorders>
              <w:left w:val="single" w:sz="9" w:space="0" w:color="D2D2D2"/>
              <w:right w:val="single" w:sz="4" w:space="0" w:color="000000"/>
            </w:tcBorders>
          </w:tcPr>
          <w:p>
            <w:pP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9" w:space="0" w:color="D2D2D2"/>
            </w:tcBorders>
          </w:tcPr>
          <w:p>
            <w:pPr/>
          </w:p>
        </w:tc>
        <w:tc>
          <w:tcPr>
            <w:tcW w:w="87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6"/>
              <w:ind w:right="1"/>
              <w:jc w:val="center"/>
              <w:rPr>
                <w:rFonts w:ascii="宋体" w:hAnsi="宋体" w:cs="宋体" w:eastAsia="宋体" w:hint="default"/>
                <w:sz w:val="21"/>
                <w:szCs w:val="21"/>
              </w:rPr>
            </w:pPr>
            <w:r>
              <w:rPr>
                <w:rFonts w:ascii="宋体"/>
                <w:sz w:val="21"/>
              </w:rPr>
              <w:t>--</w:t>
            </w:r>
          </w:p>
        </w:tc>
        <w:tc>
          <w:tcPr>
            <w:tcW w:w="869" w:type="dxa"/>
            <w:vMerge/>
            <w:tcBorders>
              <w:left w:val="single" w:sz="10" w:space="0" w:color="D2D2D2"/>
              <w:right w:val="single" w:sz="4" w:space="0" w:color="000000"/>
            </w:tcBorders>
          </w:tcPr>
          <w:p>
            <w:pPr/>
          </w:p>
        </w:tc>
      </w:tr>
      <w:tr>
        <w:trPr>
          <w:trHeight w:val="161" w:hRule="exact"/>
        </w:trPr>
        <w:tc>
          <w:tcPr>
            <w:tcW w:w="867" w:type="dxa"/>
            <w:tcBorders>
              <w:top w:val="nil" w:sz="6" w:space="0" w:color="auto"/>
              <w:left w:val="single" w:sz="4" w:space="0" w:color="000000"/>
              <w:bottom w:val="single" w:sz="4" w:space="0" w:color="000000"/>
              <w:right w:val="single" w:sz="4" w:space="0" w:color="000000"/>
            </w:tcBorders>
            <w:shd w:val="clear" w:color="auto" w:fill="D2D2D2"/>
          </w:tcPr>
          <w:p>
            <w:pPr/>
          </w:p>
        </w:tc>
        <w:tc>
          <w:tcPr>
            <w:tcW w:w="863" w:type="dxa"/>
            <w:tcBorders>
              <w:top w:val="nil" w:sz="6" w:space="0" w:color="auto"/>
              <w:left w:val="single" w:sz="4" w:space="0" w:color="000000"/>
              <w:bottom w:val="single" w:sz="4" w:space="0" w:color="000000"/>
              <w:right w:val="single" w:sz="4" w:space="0" w:color="000000"/>
            </w:tcBorders>
            <w:shd w:val="clear" w:color="auto" w:fill="D2D2D2"/>
          </w:tcPr>
          <w:p>
            <w:pPr/>
          </w:p>
        </w:tc>
        <w:tc>
          <w:tcPr>
            <w:tcW w:w="877" w:type="dxa"/>
            <w:vMerge/>
            <w:tcBorders>
              <w:left w:val="single" w:sz="9" w:space="0" w:color="D2D2D2"/>
              <w:bottom w:val="single" w:sz="4" w:space="0" w:color="000000"/>
              <w:right w:val="single" w:sz="4" w:space="0" w:color="000000"/>
            </w:tcBorders>
          </w:tcPr>
          <w:p>
            <w:pPr/>
          </w:p>
        </w:tc>
        <w:tc>
          <w:tcPr>
            <w:tcW w:w="870" w:type="dxa"/>
            <w:vMerge/>
            <w:tcBorders>
              <w:left w:val="single" w:sz="4" w:space="0" w:color="000000"/>
              <w:bottom w:val="single" w:sz="4" w:space="0" w:color="000000"/>
              <w:right w:val="single" w:sz="4" w:space="0" w:color="000000"/>
            </w:tcBorders>
          </w:tcPr>
          <w:p>
            <w:pPr/>
          </w:p>
        </w:tc>
        <w:tc>
          <w:tcPr>
            <w:tcW w:w="870" w:type="dxa"/>
            <w:vMerge/>
            <w:tcBorders>
              <w:left w:val="single" w:sz="4" w:space="0" w:color="000000"/>
              <w:bottom w:val="single" w:sz="4" w:space="0" w:color="000000"/>
              <w:right w:val="single" w:sz="4" w:space="0" w:color="000000"/>
            </w:tcBorders>
          </w:tcPr>
          <w:p>
            <w:pPr/>
          </w:p>
        </w:tc>
        <w:tc>
          <w:tcPr>
            <w:tcW w:w="869" w:type="dxa"/>
            <w:vMerge/>
            <w:tcBorders>
              <w:left w:val="single" w:sz="4" w:space="0" w:color="000000"/>
              <w:bottom w:val="single" w:sz="4" w:space="0" w:color="000000"/>
              <w:right w:val="single" w:sz="4" w:space="0" w:color="000000"/>
            </w:tcBorders>
          </w:tcPr>
          <w:p>
            <w:pPr/>
          </w:p>
        </w:tc>
        <w:tc>
          <w:tcPr>
            <w:tcW w:w="870" w:type="dxa"/>
            <w:vMerge/>
            <w:tcBorders>
              <w:left w:val="single" w:sz="4" w:space="0" w:color="000000"/>
              <w:bottom w:val="single" w:sz="4" w:space="0" w:color="000000"/>
              <w:right w:val="single" w:sz="4" w:space="0" w:color="000000"/>
            </w:tcBorders>
          </w:tcPr>
          <w:p>
            <w:pPr/>
          </w:p>
        </w:tc>
        <w:tc>
          <w:tcPr>
            <w:tcW w:w="870" w:type="dxa"/>
            <w:vMerge/>
            <w:tcBorders>
              <w:left w:val="single" w:sz="4" w:space="0" w:color="000000"/>
              <w:bottom w:val="single" w:sz="4" w:space="0" w:color="000000"/>
              <w:right w:val="single" w:sz="4" w:space="0" w:color="000000"/>
            </w:tcBorders>
          </w:tcPr>
          <w:p>
            <w:pPr/>
          </w:p>
        </w:tc>
        <w:tc>
          <w:tcPr>
            <w:tcW w:w="870" w:type="dxa"/>
            <w:vMerge/>
            <w:tcBorders>
              <w:left w:val="single" w:sz="4" w:space="0" w:color="000000"/>
              <w:bottom w:val="single" w:sz="4" w:space="0" w:color="000000"/>
              <w:right w:val="single" w:sz="9" w:space="0" w:color="D2D2D2"/>
            </w:tcBorders>
          </w:tcPr>
          <w:p>
            <w:pPr/>
          </w:p>
        </w:tc>
        <w:tc>
          <w:tcPr>
            <w:tcW w:w="870" w:type="dxa"/>
            <w:tcBorders>
              <w:top w:val="nil" w:sz="6" w:space="0" w:color="auto"/>
              <w:left w:val="single" w:sz="4" w:space="0" w:color="000000"/>
              <w:bottom w:val="single" w:sz="4" w:space="0" w:color="000000"/>
              <w:right w:val="single" w:sz="4" w:space="0" w:color="000000"/>
            </w:tcBorders>
            <w:shd w:val="clear" w:color="auto" w:fill="D2D2D2"/>
          </w:tcPr>
          <w:p>
            <w:pPr/>
          </w:p>
        </w:tc>
        <w:tc>
          <w:tcPr>
            <w:tcW w:w="869" w:type="dxa"/>
            <w:vMerge/>
            <w:tcBorders>
              <w:left w:val="single" w:sz="10" w:space="0" w:color="D2D2D2"/>
              <w:bottom w:val="single" w:sz="4" w:space="0" w:color="000000"/>
              <w:right w:val="single" w:sz="4" w:space="0" w:color="000000"/>
            </w:tcBorders>
          </w:tcPr>
          <w:p>
            <w:pPr/>
          </w:p>
        </w:tc>
      </w:tr>
      <w:tr>
        <w:trPr>
          <w:trHeight w:val="402" w:hRule="exact"/>
        </w:trPr>
        <w:tc>
          <w:tcPr>
            <w:tcW w:w="9565"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募集资金总体使用情况说明</w:t>
            </w:r>
          </w:p>
        </w:tc>
      </w:tr>
      <w:tr>
        <w:trPr>
          <w:trHeight w:val="674" w:hRule="exact"/>
        </w:trPr>
        <w:tc>
          <w:tcPr>
            <w:tcW w:w="9565" w:type="dxa"/>
            <w:gridSpan w:val="11"/>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2" w:right="22"/>
              <w:jc w:val="left"/>
              <w:rPr>
                <w:rFonts w:ascii="宋体" w:hAnsi="宋体" w:cs="宋体" w:eastAsia="宋体" w:hint="default"/>
                <w:sz w:val="21"/>
                <w:szCs w:val="21"/>
              </w:rPr>
            </w:pPr>
            <w:r>
              <w:rPr>
                <w:rFonts w:ascii="宋体" w:hAnsi="宋体" w:cs="宋体" w:eastAsia="宋体" w:hint="default"/>
                <w:spacing w:val="-3"/>
                <w:sz w:val="21"/>
                <w:szCs w:val="21"/>
              </w:rPr>
              <w:t>1</w:t>
            </w:r>
            <w:r>
              <w:rPr>
                <w:rFonts w:ascii="宋体" w:hAnsi="宋体" w:cs="宋体" w:eastAsia="宋体" w:hint="default"/>
                <w:spacing w:val="-3"/>
                <w:sz w:val="21"/>
                <w:szCs w:val="21"/>
              </w:rPr>
              <w:t>、经中国证券监督管理委员会《关于核准河南辉煌科技股份有限公司非公开发行股票的批复》（证监发</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行许可</w:t>
            </w:r>
            <w:r>
              <w:rPr>
                <w:rFonts w:ascii="宋体" w:hAnsi="宋体" w:cs="宋体" w:eastAsia="宋体" w:hint="default"/>
                <w:sz w:val="21"/>
                <w:szCs w:val="21"/>
              </w:rPr>
              <w:t>[2013</w:t>
            </w:r>
            <w:r>
              <w:rPr>
                <w:rFonts w:ascii="宋体" w:hAnsi="宋体" w:cs="宋体" w:eastAsia="宋体" w:hint="default"/>
                <w:spacing w:val="-78"/>
                <w:sz w:val="21"/>
                <w:szCs w:val="21"/>
              </w:rPr>
              <w:t> </w:t>
            </w:r>
            <w:r>
              <w:rPr>
                <w:rFonts w:ascii="宋体" w:hAnsi="宋体" w:cs="宋体" w:eastAsia="宋体" w:hint="default"/>
                <w:sz w:val="21"/>
                <w:szCs w:val="21"/>
              </w:rPr>
              <w:t>]1179</w:t>
            </w:r>
            <w:r>
              <w:rPr>
                <w:rFonts w:ascii="宋体" w:hAnsi="宋体" w:cs="宋体" w:eastAsia="宋体" w:hint="default"/>
                <w:spacing w:val="-78"/>
                <w:sz w:val="21"/>
                <w:szCs w:val="21"/>
              </w:rPr>
              <w:t> </w:t>
            </w:r>
            <w:r>
              <w:rPr>
                <w:rFonts w:ascii="宋体" w:hAnsi="宋体" w:cs="宋体" w:eastAsia="宋体" w:hint="default"/>
                <w:sz w:val="21"/>
                <w:szCs w:val="21"/>
              </w:rPr>
              <w:t>号）核准，并经深圳证券交易所同意，辉煌科技由主承销商中原证券股份有限公司于</w:t>
            </w:r>
          </w:p>
        </w:tc>
      </w:tr>
    </w:tbl>
    <w:p>
      <w:pPr>
        <w:spacing w:after="0" w:line="273" w:lineRule="auto"/>
        <w:jc w:val="left"/>
        <w:rPr>
          <w:rFonts w:ascii="宋体" w:hAnsi="宋体" w:cs="宋体" w:eastAsia="宋体" w:hint="default"/>
          <w:sz w:val="21"/>
          <w:szCs w:val="21"/>
        </w:rPr>
        <w:sectPr>
          <w:type w:val="continuous"/>
          <w:pgSz w:w="11910" w:h="16840"/>
          <w:pgMar w:top="1060" w:bottom="1160" w:left="980" w:right="0"/>
        </w:sectPr>
      </w:pPr>
    </w:p>
    <w:p>
      <w:pPr>
        <w:spacing w:line="240" w:lineRule="auto" w:before="11"/>
        <w:rPr>
          <w:rFonts w:ascii="宋体" w:hAnsi="宋体" w:cs="宋体" w:eastAsia="宋体" w:hint="default"/>
          <w:sz w:val="28"/>
          <w:szCs w:val="28"/>
        </w:rPr>
      </w:pPr>
    </w:p>
    <w:p>
      <w:pPr>
        <w:spacing w:line="5082" w:lineRule="exact"/>
        <w:ind w:left="154" w:right="0" w:firstLine="0"/>
        <w:rPr>
          <w:rFonts w:ascii="宋体" w:hAnsi="宋体" w:cs="宋体" w:eastAsia="宋体" w:hint="default"/>
          <w:sz w:val="20"/>
          <w:szCs w:val="20"/>
        </w:rPr>
      </w:pPr>
      <w:r>
        <w:rPr>
          <w:rFonts w:ascii="宋体" w:hAnsi="宋体" w:cs="宋体" w:eastAsia="宋体" w:hint="default"/>
          <w:position w:val="-101"/>
          <w:sz w:val="20"/>
          <w:szCs w:val="20"/>
        </w:rPr>
        <w:pict>
          <v:shape style="width:478.3pt;height:254.15pt;mso-position-horizontal-relative:char;mso-position-vertical-relative:line" type="#_x0000_t202" filled="false" stroked="true" strokeweight=".48pt" strokecolor="#000000">
            <w10:anchorlock/>
            <v:textbox inset="0,0,0,0">
              <w:txbxContent>
                <w:p>
                  <w:pPr>
                    <w:spacing w:line="260" w:lineRule="exact" w:before="0"/>
                    <w:ind w:left="22" w:right="0" w:firstLine="0"/>
                    <w:jc w:val="both"/>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宋体" w:hAnsi="宋体" w:cs="宋体" w:eastAsia="宋体" w:hint="default"/>
                      <w:sz w:val="21"/>
                      <w:szCs w:val="21"/>
                    </w:rPr>
                    <w:t>11</w:t>
                  </w:r>
                  <w:r>
                    <w:rPr>
                      <w:rFonts w:ascii="宋体" w:hAnsi="宋体" w:cs="宋体" w:eastAsia="宋体" w:hint="default"/>
                      <w:spacing w:val="-57"/>
                      <w:sz w:val="21"/>
                      <w:szCs w:val="21"/>
                    </w:rPr>
                    <w:t> </w:t>
                  </w:r>
                  <w:r>
                    <w:rPr>
                      <w:rFonts w:ascii="宋体" w:hAnsi="宋体" w:cs="宋体" w:eastAsia="宋体" w:hint="default"/>
                      <w:sz w:val="21"/>
                      <w:szCs w:val="21"/>
                    </w:rPr>
                    <w:t>月</w:t>
                  </w:r>
                  <w:r>
                    <w:rPr>
                      <w:rFonts w:ascii="宋体" w:hAnsi="宋体" w:cs="宋体" w:eastAsia="宋体" w:hint="default"/>
                      <w:spacing w:val="-57"/>
                      <w:sz w:val="21"/>
                      <w:szCs w:val="21"/>
                    </w:rPr>
                    <w:t> </w:t>
                  </w:r>
                  <w:r>
                    <w:rPr>
                      <w:rFonts w:ascii="宋体" w:hAnsi="宋体" w:cs="宋体" w:eastAsia="宋体" w:hint="default"/>
                      <w:sz w:val="21"/>
                      <w:szCs w:val="21"/>
                    </w:rPr>
                    <w:t>13</w:t>
                  </w:r>
                  <w:r>
                    <w:rPr>
                      <w:rFonts w:ascii="宋体" w:hAnsi="宋体" w:cs="宋体" w:eastAsia="宋体" w:hint="default"/>
                      <w:spacing w:val="-56"/>
                      <w:sz w:val="21"/>
                      <w:szCs w:val="21"/>
                    </w:rPr>
                    <w:t> </w:t>
                  </w:r>
                  <w:r>
                    <w:rPr>
                      <w:rFonts w:ascii="宋体" w:hAnsi="宋体" w:cs="宋体" w:eastAsia="宋体" w:hint="default"/>
                      <w:sz w:val="21"/>
                      <w:szCs w:val="21"/>
                    </w:rPr>
                    <w:t>日以非公开发行股票的方式向特定投资者发行普通股（</w:t>
                  </w:r>
                  <w:r>
                    <w:rPr>
                      <w:rFonts w:ascii="宋体" w:hAnsi="宋体" w:cs="宋体" w:eastAsia="宋体" w:hint="default"/>
                      <w:sz w:val="21"/>
                      <w:szCs w:val="21"/>
                    </w:rPr>
                    <w:t>A</w:t>
                  </w:r>
                  <w:r>
                    <w:rPr>
                      <w:rFonts w:ascii="宋体" w:hAnsi="宋体" w:cs="宋体" w:eastAsia="宋体" w:hint="default"/>
                      <w:spacing w:val="-7"/>
                      <w:sz w:val="21"/>
                      <w:szCs w:val="21"/>
                    </w:rPr>
                    <w:t> </w:t>
                  </w:r>
                  <w:r>
                    <w:rPr>
                      <w:rFonts w:ascii="宋体" w:hAnsi="宋体" w:cs="宋体" w:eastAsia="宋体" w:hint="default"/>
                      <w:spacing w:val="-9"/>
                      <w:sz w:val="21"/>
                      <w:szCs w:val="21"/>
                    </w:rPr>
                    <w:t>股）股票</w:t>
                  </w:r>
                  <w:r>
                    <w:rPr>
                      <w:rFonts w:ascii="宋体" w:hAnsi="宋体" w:cs="宋体" w:eastAsia="宋体" w:hint="default"/>
                      <w:spacing w:val="-56"/>
                      <w:sz w:val="21"/>
                      <w:szCs w:val="21"/>
                    </w:rPr>
                    <w:t> </w:t>
                  </w:r>
                  <w:r>
                    <w:rPr>
                      <w:rFonts w:ascii="宋体" w:hAnsi="宋体" w:cs="宋体" w:eastAsia="宋体" w:hint="default"/>
                      <w:sz w:val="21"/>
                      <w:szCs w:val="21"/>
                    </w:rPr>
                    <w:t>4,382.76</w:t>
                  </w:r>
                  <w:r>
                    <w:rPr>
                      <w:rFonts w:ascii="宋体" w:hAnsi="宋体" w:cs="宋体" w:eastAsia="宋体" w:hint="default"/>
                      <w:spacing w:val="-57"/>
                      <w:sz w:val="21"/>
                      <w:szCs w:val="21"/>
                    </w:rPr>
                    <w:t> </w:t>
                  </w:r>
                  <w:r>
                    <w:rPr>
                      <w:rFonts w:ascii="宋体" w:hAnsi="宋体" w:cs="宋体" w:eastAsia="宋体" w:hint="default"/>
                      <w:spacing w:val="-8"/>
                      <w:sz w:val="21"/>
                      <w:szCs w:val="21"/>
                    </w:rPr>
                    <w:t>万股，每股</w:t>
                  </w:r>
                </w:p>
                <w:p>
                  <w:pPr>
                    <w:spacing w:before="37"/>
                    <w:ind w:left="22" w:right="0" w:firstLine="0"/>
                    <w:jc w:val="both"/>
                    <w:rPr>
                      <w:rFonts w:ascii="宋体" w:hAnsi="宋体" w:cs="宋体" w:eastAsia="宋体" w:hint="default"/>
                      <w:sz w:val="21"/>
                      <w:szCs w:val="21"/>
                    </w:rPr>
                  </w:pPr>
                  <w:r>
                    <w:rPr>
                      <w:rFonts w:ascii="宋体" w:hAnsi="宋体" w:cs="宋体" w:eastAsia="宋体" w:hint="default"/>
                      <w:sz w:val="21"/>
                      <w:szCs w:val="21"/>
                    </w:rPr>
                    <w:t>面值</w:t>
                  </w:r>
                  <w:r>
                    <w:rPr>
                      <w:rFonts w:ascii="宋体" w:hAnsi="宋体" w:cs="宋体" w:eastAsia="宋体" w:hint="default"/>
                      <w:spacing w:val="-3"/>
                      <w:sz w:val="21"/>
                      <w:szCs w:val="21"/>
                    </w:rPr>
                    <w:t> </w:t>
                  </w:r>
                  <w:r>
                    <w:rPr>
                      <w:rFonts w:ascii="宋体" w:hAnsi="宋体" w:cs="宋体" w:eastAsia="宋体" w:hint="default"/>
                      <w:sz w:val="21"/>
                      <w:szCs w:val="21"/>
                    </w:rPr>
                    <w:t>1</w:t>
                  </w:r>
                  <w:r>
                    <w:rPr>
                      <w:rFonts w:ascii="宋体" w:hAnsi="宋体" w:cs="宋体" w:eastAsia="宋体" w:hint="default"/>
                      <w:spacing w:val="-4"/>
                      <w:sz w:val="21"/>
                      <w:szCs w:val="21"/>
                    </w:rPr>
                    <w:t> </w:t>
                  </w:r>
                  <w:r>
                    <w:rPr>
                      <w:rFonts w:ascii="宋体" w:hAnsi="宋体" w:cs="宋体" w:eastAsia="宋体" w:hint="default"/>
                      <w:sz w:val="21"/>
                      <w:szCs w:val="21"/>
                    </w:rPr>
                    <w:t>元，每股发行价</w:t>
                  </w:r>
                  <w:r>
                    <w:rPr>
                      <w:rFonts w:ascii="宋体" w:hAnsi="宋体" w:cs="宋体" w:eastAsia="宋体" w:hint="default"/>
                      <w:spacing w:val="-55"/>
                      <w:sz w:val="21"/>
                      <w:szCs w:val="21"/>
                    </w:rPr>
                    <w:t> </w:t>
                  </w:r>
                  <w:r>
                    <w:rPr>
                      <w:rFonts w:ascii="宋体" w:hAnsi="宋体" w:cs="宋体" w:eastAsia="宋体" w:hint="default"/>
                      <w:sz w:val="21"/>
                      <w:szCs w:val="21"/>
                    </w:rPr>
                    <w:t>16.28</w:t>
                  </w:r>
                  <w:r>
                    <w:rPr>
                      <w:rFonts w:ascii="宋体" w:hAnsi="宋体" w:cs="宋体" w:eastAsia="宋体" w:hint="default"/>
                      <w:spacing w:val="-54"/>
                      <w:sz w:val="21"/>
                      <w:szCs w:val="21"/>
                    </w:rPr>
                    <w:t> </w:t>
                  </w:r>
                  <w:r>
                    <w:rPr>
                      <w:rFonts w:ascii="宋体" w:hAnsi="宋体" w:cs="宋体" w:eastAsia="宋体" w:hint="default"/>
                      <w:spacing w:val="-4"/>
                      <w:sz w:val="21"/>
                      <w:szCs w:val="21"/>
                    </w:rPr>
                    <w:t>元。截至</w:t>
                  </w:r>
                  <w:r>
                    <w:rPr>
                      <w:rFonts w:ascii="宋体" w:hAnsi="宋体" w:cs="宋体" w:eastAsia="宋体" w:hint="default"/>
                      <w:spacing w:val="-55"/>
                      <w:sz w:val="21"/>
                      <w:szCs w:val="21"/>
                    </w:rPr>
                    <w:t> </w:t>
                  </w:r>
                  <w:r>
                    <w:rPr>
                      <w:rFonts w:ascii="宋体" w:hAnsi="宋体" w:cs="宋体" w:eastAsia="宋体" w:hint="default"/>
                      <w:sz w:val="21"/>
                      <w:szCs w:val="21"/>
                    </w:rPr>
                    <w:t>2013</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宋体" w:hAnsi="宋体" w:cs="宋体" w:eastAsia="宋体" w:hint="default"/>
                      <w:sz w:val="21"/>
                      <w:szCs w:val="21"/>
                    </w:rPr>
                    <w:t>14</w:t>
                  </w:r>
                  <w:r>
                    <w:rPr>
                      <w:rFonts w:ascii="宋体" w:hAnsi="宋体" w:cs="宋体" w:eastAsia="宋体" w:hint="default"/>
                      <w:spacing w:val="-54"/>
                      <w:sz w:val="21"/>
                      <w:szCs w:val="21"/>
                    </w:rPr>
                    <w:t> </w:t>
                  </w:r>
                  <w:r>
                    <w:rPr>
                      <w:rFonts w:ascii="宋体" w:hAnsi="宋体" w:cs="宋体" w:eastAsia="宋体" w:hint="default"/>
                      <w:sz w:val="21"/>
                      <w:szCs w:val="21"/>
                    </w:rPr>
                    <w:t>日止，公司共募集资金</w:t>
                  </w:r>
                  <w:r>
                    <w:rPr>
                      <w:rFonts w:ascii="宋体" w:hAnsi="宋体" w:cs="宋体" w:eastAsia="宋体" w:hint="default"/>
                      <w:spacing w:val="-54"/>
                      <w:sz w:val="21"/>
                      <w:szCs w:val="21"/>
                    </w:rPr>
                    <w:t> </w:t>
                  </w:r>
                  <w:r>
                    <w:rPr>
                      <w:rFonts w:ascii="宋体" w:hAnsi="宋体" w:cs="宋体" w:eastAsia="宋体" w:hint="default"/>
                      <w:sz w:val="21"/>
                      <w:szCs w:val="21"/>
                    </w:rPr>
                    <w:t>713,513,328.00</w:t>
                  </w:r>
                  <w:r>
                    <w:rPr>
                      <w:rFonts w:ascii="宋体" w:hAnsi="宋体" w:cs="宋体" w:eastAsia="宋体" w:hint="default"/>
                      <w:spacing w:val="-55"/>
                      <w:sz w:val="21"/>
                      <w:szCs w:val="21"/>
                    </w:rPr>
                    <w:t> </w:t>
                  </w:r>
                  <w:r>
                    <w:rPr>
                      <w:rFonts w:ascii="宋体" w:hAnsi="宋体" w:cs="宋体" w:eastAsia="宋体" w:hint="default"/>
                      <w:spacing w:val="-5"/>
                      <w:sz w:val="21"/>
                      <w:szCs w:val="21"/>
                    </w:rPr>
                    <w:t>元，扣</w:t>
                  </w:r>
                </w:p>
                <w:p>
                  <w:pPr>
                    <w:spacing w:line="273" w:lineRule="auto" w:before="37"/>
                    <w:ind w:left="22" w:right="20" w:firstLine="0"/>
                    <w:jc w:val="both"/>
                    <w:rPr>
                      <w:rFonts w:ascii="宋体" w:hAnsi="宋体" w:cs="宋体" w:eastAsia="宋体" w:hint="default"/>
                      <w:sz w:val="21"/>
                      <w:szCs w:val="21"/>
                    </w:rPr>
                  </w:pPr>
                  <w:r>
                    <w:rPr>
                      <w:rFonts w:ascii="宋体" w:hAnsi="宋体" w:cs="宋体" w:eastAsia="宋体" w:hint="default"/>
                      <w:sz w:val="21"/>
                      <w:szCs w:val="21"/>
                    </w:rPr>
                    <w:t>除发行费用</w:t>
                  </w:r>
                  <w:r>
                    <w:rPr>
                      <w:rFonts w:ascii="宋体" w:hAnsi="宋体" w:cs="宋体" w:eastAsia="宋体" w:hint="default"/>
                      <w:spacing w:val="-52"/>
                      <w:sz w:val="21"/>
                      <w:szCs w:val="21"/>
                    </w:rPr>
                    <w:t> </w:t>
                  </w:r>
                  <w:r>
                    <w:rPr>
                      <w:rFonts w:ascii="宋体" w:hAnsi="宋体" w:cs="宋体" w:eastAsia="宋体" w:hint="default"/>
                      <w:sz w:val="21"/>
                      <w:szCs w:val="21"/>
                    </w:rPr>
                    <w:t>20,590,289.12</w:t>
                  </w:r>
                  <w:r>
                    <w:rPr>
                      <w:rFonts w:ascii="宋体" w:hAnsi="宋体" w:cs="宋体" w:eastAsia="宋体" w:hint="default"/>
                      <w:spacing w:val="-52"/>
                      <w:sz w:val="21"/>
                      <w:szCs w:val="21"/>
                    </w:rPr>
                    <w:t> </w:t>
                  </w:r>
                  <w:r>
                    <w:rPr>
                      <w:rFonts w:ascii="宋体" w:hAnsi="宋体" w:cs="宋体" w:eastAsia="宋体" w:hint="default"/>
                      <w:spacing w:val="-5"/>
                      <w:sz w:val="21"/>
                      <w:szCs w:val="21"/>
                    </w:rPr>
                    <w:t>元，募集资金净额</w:t>
                  </w:r>
                  <w:r>
                    <w:rPr>
                      <w:rFonts w:ascii="宋体" w:hAnsi="宋体" w:cs="宋体" w:eastAsia="宋体" w:hint="default"/>
                      <w:spacing w:val="-52"/>
                      <w:sz w:val="21"/>
                      <w:szCs w:val="21"/>
                    </w:rPr>
                    <w:t> </w:t>
                  </w:r>
                  <w:r>
                    <w:rPr>
                      <w:rFonts w:ascii="宋体" w:hAnsi="宋体" w:cs="宋体" w:eastAsia="宋体" w:hint="default"/>
                      <w:sz w:val="21"/>
                      <w:szCs w:val="21"/>
                    </w:rPr>
                    <w:t>692,923,038.88</w:t>
                  </w:r>
                  <w:r>
                    <w:rPr>
                      <w:rFonts w:ascii="宋体" w:hAnsi="宋体" w:cs="宋体" w:eastAsia="宋体" w:hint="default"/>
                      <w:spacing w:val="-1"/>
                      <w:sz w:val="21"/>
                      <w:szCs w:val="21"/>
                    </w:rPr>
                    <w:t> </w:t>
                  </w:r>
                  <w:r>
                    <w:rPr>
                      <w:rFonts w:ascii="宋体" w:hAnsi="宋体" w:cs="宋体" w:eastAsia="宋体" w:hint="default"/>
                      <w:sz w:val="21"/>
                      <w:szCs w:val="21"/>
                    </w:rPr>
                    <w:t>元。</w:t>
                  </w:r>
                  <w:r>
                    <w:rPr>
                      <w:rFonts w:ascii="宋体" w:hAnsi="宋体" w:cs="宋体" w:eastAsia="宋体" w:hint="default"/>
                      <w:spacing w:val="-33"/>
                      <w:sz w:val="21"/>
                      <w:szCs w:val="21"/>
                    </w:rPr>
                    <w:t> </w:t>
                  </w:r>
                  <w:r>
                    <w:rPr>
                      <w:rFonts w:ascii="宋体" w:hAnsi="宋体" w:cs="宋体" w:eastAsia="宋体" w:hint="default"/>
                      <w:sz w:val="21"/>
                      <w:szCs w:val="21"/>
                    </w:rPr>
                    <w:t>截止</w:t>
                  </w:r>
                  <w:r>
                    <w:rPr>
                      <w:rFonts w:ascii="宋体" w:hAnsi="宋体" w:cs="宋体" w:eastAsia="宋体" w:hint="default"/>
                      <w:spacing w:val="-53"/>
                      <w:sz w:val="21"/>
                      <w:szCs w:val="21"/>
                    </w:rPr>
                    <w:t> </w:t>
                  </w:r>
                  <w:r>
                    <w:rPr>
                      <w:rFonts w:ascii="宋体" w:hAnsi="宋体" w:cs="宋体" w:eastAsia="宋体" w:hint="default"/>
                      <w:sz w:val="21"/>
                      <w:szCs w:val="21"/>
                    </w:rPr>
                    <w:t>2013</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11</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14</w:t>
                  </w:r>
                  <w:r>
                    <w:rPr>
                      <w:rFonts w:ascii="宋体" w:hAnsi="宋体" w:cs="宋体" w:eastAsia="宋体" w:hint="default"/>
                      <w:spacing w:val="-52"/>
                      <w:sz w:val="21"/>
                      <w:szCs w:val="21"/>
                    </w:rPr>
                    <w:t> </w:t>
                  </w:r>
                  <w:r>
                    <w:rPr>
                      <w:rFonts w:ascii="宋体" w:hAnsi="宋体" w:cs="宋体" w:eastAsia="宋体" w:hint="default"/>
                      <w:spacing w:val="-6"/>
                      <w:sz w:val="21"/>
                      <w:szCs w:val="21"/>
                    </w:rPr>
                    <w:t>日，公司上述</w:t>
                  </w:r>
                  <w:r>
                    <w:rPr>
                      <w:rFonts w:ascii="宋体" w:hAnsi="宋体" w:cs="宋体" w:eastAsia="宋体" w:hint="default"/>
                      <w:sz w:val="21"/>
                      <w:szCs w:val="21"/>
                    </w:rPr>
                    <w:t> 发行募集的资金已全部到位，业经大华会计师事务所（特殊普通合伙）以“大华验字</w:t>
                  </w:r>
                  <w:r>
                    <w:rPr>
                      <w:rFonts w:ascii="宋体" w:hAnsi="宋体" w:cs="宋体" w:eastAsia="宋体" w:hint="default"/>
                      <w:sz w:val="21"/>
                      <w:szCs w:val="21"/>
                    </w:rPr>
                    <w:t>[2013]000325</w:t>
                  </w:r>
                  <w:r>
                    <w:rPr>
                      <w:rFonts w:ascii="宋体" w:hAnsi="宋体" w:cs="宋体" w:eastAsia="宋体" w:hint="default"/>
                      <w:spacing w:val="-53"/>
                      <w:sz w:val="21"/>
                      <w:szCs w:val="21"/>
                    </w:rPr>
                    <w:t> </w:t>
                  </w:r>
                  <w:r>
                    <w:rPr>
                      <w:rFonts w:ascii="宋体" w:hAnsi="宋体" w:cs="宋体" w:eastAsia="宋体" w:hint="default"/>
                      <w:sz w:val="21"/>
                      <w:szCs w:val="21"/>
                    </w:rPr>
                    <w:t>号” 验资报告验证确认。截止</w:t>
                  </w:r>
                  <w:r>
                    <w:rPr>
                      <w:rFonts w:ascii="宋体" w:hAnsi="宋体" w:cs="宋体" w:eastAsia="宋体" w:hint="default"/>
                      <w:spacing w:val="-57"/>
                      <w:sz w:val="21"/>
                      <w:szCs w:val="21"/>
                    </w:rPr>
                    <w:t> </w:t>
                  </w:r>
                  <w:r>
                    <w:rPr>
                      <w:rFonts w:ascii="宋体" w:hAnsi="宋体" w:cs="宋体" w:eastAsia="宋体" w:hint="default"/>
                      <w:sz w:val="21"/>
                      <w:szCs w:val="21"/>
                    </w:rPr>
                    <w:t>2017</w:t>
                  </w:r>
                  <w:r>
                    <w:rPr>
                      <w:rFonts w:ascii="宋体" w:hAnsi="宋体" w:cs="宋体" w:eastAsia="宋体" w:hint="default"/>
                      <w:spacing w:val="-57"/>
                      <w:sz w:val="21"/>
                      <w:szCs w:val="21"/>
                    </w:rPr>
                    <w:t> </w:t>
                  </w: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宋体" w:hAnsi="宋体" w:cs="宋体" w:eastAsia="宋体" w:hint="default"/>
                      <w:sz w:val="21"/>
                      <w:szCs w:val="21"/>
                    </w:rPr>
                    <w:t>12</w:t>
                  </w:r>
                  <w:r>
                    <w:rPr>
                      <w:rFonts w:ascii="宋体" w:hAnsi="宋体" w:cs="宋体" w:eastAsia="宋体" w:hint="default"/>
                      <w:spacing w:val="-57"/>
                      <w:sz w:val="21"/>
                      <w:szCs w:val="21"/>
                    </w:rPr>
                    <w:t> </w:t>
                  </w:r>
                  <w:r>
                    <w:rPr>
                      <w:rFonts w:ascii="宋体" w:hAnsi="宋体" w:cs="宋体" w:eastAsia="宋体" w:hint="default"/>
                      <w:sz w:val="21"/>
                      <w:szCs w:val="21"/>
                    </w:rPr>
                    <w:t>月</w:t>
                  </w:r>
                  <w:r>
                    <w:rPr>
                      <w:rFonts w:ascii="宋体" w:hAnsi="宋体" w:cs="宋体" w:eastAsia="宋体" w:hint="default"/>
                      <w:spacing w:val="-58"/>
                      <w:sz w:val="21"/>
                      <w:szCs w:val="21"/>
                    </w:rPr>
                    <w:t> </w:t>
                  </w:r>
                  <w:r>
                    <w:rPr>
                      <w:rFonts w:ascii="宋体" w:hAnsi="宋体" w:cs="宋体" w:eastAsia="宋体" w:hint="default"/>
                      <w:sz w:val="21"/>
                      <w:szCs w:val="21"/>
                    </w:rPr>
                    <w:t>31</w:t>
                  </w:r>
                  <w:r>
                    <w:rPr>
                      <w:rFonts w:ascii="宋体" w:hAnsi="宋体" w:cs="宋体" w:eastAsia="宋体" w:hint="default"/>
                      <w:spacing w:val="-57"/>
                      <w:sz w:val="21"/>
                      <w:szCs w:val="21"/>
                    </w:rPr>
                    <w:t> </w:t>
                  </w:r>
                  <w:r>
                    <w:rPr>
                      <w:rFonts w:ascii="宋体" w:hAnsi="宋体" w:cs="宋体" w:eastAsia="宋体" w:hint="default"/>
                      <w:sz w:val="21"/>
                      <w:szCs w:val="21"/>
                    </w:rPr>
                    <w:t>日，公司募集资金本年度投入使用</w:t>
                  </w:r>
                  <w:r>
                    <w:rPr>
                      <w:rFonts w:ascii="宋体" w:hAnsi="宋体" w:cs="宋体" w:eastAsia="宋体" w:hint="default"/>
                      <w:spacing w:val="-57"/>
                      <w:sz w:val="21"/>
                      <w:szCs w:val="21"/>
                    </w:rPr>
                    <w:t> </w:t>
                  </w:r>
                  <w:r>
                    <w:rPr>
                      <w:rFonts w:ascii="宋体" w:hAnsi="宋体" w:cs="宋体" w:eastAsia="宋体" w:hint="default"/>
                      <w:sz w:val="21"/>
                      <w:szCs w:val="21"/>
                    </w:rPr>
                    <w:t>18,751,697.97</w:t>
                  </w:r>
                  <w:r>
                    <w:rPr>
                      <w:rFonts w:ascii="宋体" w:hAnsi="宋体" w:cs="宋体" w:eastAsia="宋体" w:hint="default"/>
                      <w:spacing w:val="-57"/>
                      <w:sz w:val="21"/>
                      <w:szCs w:val="21"/>
                    </w:rPr>
                    <w:t> </w:t>
                  </w:r>
                  <w:r>
                    <w:rPr>
                      <w:rFonts w:ascii="宋体" w:hAnsi="宋体" w:cs="宋体" w:eastAsia="宋体" w:hint="default"/>
                      <w:spacing w:val="-4"/>
                      <w:sz w:val="21"/>
                      <w:szCs w:val="21"/>
                    </w:rPr>
                    <w:t>元，以前年</w:t>
                  </w:r>
                </w:p>
                <w:p>
                  <w:pPr>
                    <w:spacing w:before="7"/>
                    <w:ind w:left="22" w:right="0" w:firstLine="0"/>
                    <w:jc w:val="both"/>
                    <w:rPr>
                      <w:rFonts w:ascii="宋体" w:hAnsi="宋体" w:cs="宋体" w:eastAsia="宋体" w:hint="default"/>
                      <w:sz w:val="21"/>
                      <w:szCs w:val="21"/>
                    </w:rPr>
                  </w:pPr>
                  <w:r>
                    <w:rPr>
                      <w:rFonts w:ascii="宋体" w:hAnsi="宋体" w:cs="宋体" w:eastAsia="宋体" w:hint="default"/>
                      <w:sz w:val="21"/>
                      <w:szCs w:val="21"/>
                    </w:rPr>
                    <w:t>度投入使用</w:t>
                  </w:r>
                  <w:r>
                    <w:rPr>
                      <w:rFonts w:ascii="宋体" w:hAnsi="宋体" w:cs="宋体" w:eastAsia="宋体" w:hint="default"/>
                      <w:spacing w:val="-59"/>
                      <w:sz w:val="21"/>
                      <w:szCs w:val="21"/>
                    </w:rPr>
                    <w:t> </w:t>
                  </w:r>
                  <w:r>
                    <w:rPr>
                      <w:rFonts w:ascii="宋体" w:hAnsi="宋体" w:cs="宋体" w:eastAsia="宋体" w:hint="default"/>
                      <w:sz w:val="21"/>
                      <w:szCs w:val="21"/>
                    </w:rPr>
                    <w:t>86,909,296.36</w:t>
                  </w:r>
                  <w:r>
                    <w:rPr>
                      <w:rFonts w:ascii="宋体" w:hAnsi="宋体" w:cs="宋体" w:eastAsia="宋体" w:hint="default"/>
                      <w:spacing w:val="-59"/>
                      <w:sz w:val="21"/>
                      <w:szCs w:val="21"/>
                    </w:rPr>
                    <w:t> </w:t>
                  </w:r>
                  <w:r>
                    <w:rPr>
                      <w:rFonts w:ascii="宋体" w:hAnsi="宋体" w:cs="宋体" w:eastAsia="宋体" w:hint="default"/>
                      <w:spacing w:val="-3"/>
                      <w:sz w:val="21"/>
                      <w:szCs w:val="21"/>
                    </w:rPr>
                    <w:t>元，累计投入使用</w:t>
                  </w:r>
                  <w:r>
                    <w:rPr>
                      <w:rFonts w:ascii="宋体" w:hAnsi="宋体" w:cs="宋体" w:eastAsia="宋体" w:hint="default"/>
                      <w:spacing w:val="-59"/>
                      <w:sz w:val="21"/>
                      <w:szCs w:val="21"/>
                    </w:rPr>
                    <w:t> </w:t>
                  </w:r>
                  <w:r>
                    <w:rPr>
                      <w:rFonts w:ascii="宋体" w:hAnsi="宋体" w:cs="宋体" w:eastAsia="宋体" w:hint="default"/>
                      <w:sz w:val="21"/>
                      <w:szCs w:val="21"/>
                    </w:rPr>
                    <w:t>105,660,994.33</w:t>
                  </w:r>
                  <w:r>
                    <w:rPr>
                      <w:rFonts w:ascii="宋体" w:hAnsi="宋体" w:cs="宋体" w:eastAsia="宋体" w:hint="default"/>
                      <w:spacing w:val="-60"/>
                      <w:sz w:val="21"/>
                      <w:szCs w:val="21"/>
                    </w:rPr>
                    <w:t> </w:t>
                  </w:r>
                  <w:r>
                    <w:rPr>
                      <w:rFonts w:ascii="宋体" w:hAnsi="宋体" w:cs="宋体" w:eastAsia="宋体" w:hint="default"/>
                      <w:sz w:val="21"/>
                      <w:szCs w:val="21"/>
                    </w:rPr>
                    <w:t>元；本年度使用募集资金暂时补充流动资</w:t>
                  </w:r>
                </w:p>
                <w:p>
                  <w:pPr>
                    <w:spacing w:before="38"/>
                    <w:ind w:left="22" w:right="0" w:firstLine="0"/>
                    <w:jc w:val="both"/>
                    <w:rPr>
                      <w:rFonts w:ascii="宋体" w:hAnsi="宋体" w:cs="宋体" w:eastAsia="宋体" w:hint="default"/>
                      <w:sz w:val="21"/>
                      <w:szCs w:val="21"/>
                    </w:rPr>
                  </w:pPr>
                  <w:r>
                    <w:rPr>
                      <w:rFonts w:ascii="宋体" w:hAnsi="宋体" w:cs="宋体" w:eastAsia="宋体" w:hint="default"/>
                      <w:sz w:val="21"/>
                      <w:szCs w:val="21"/>
                    </w:rPr>
                    <w:t>金</w:t>
                  </w:r>
                  <w:r>
                    <w:rPr>
                      <w:rFonts w:ascii="宋体" w:hAnsi="宋体" w:cs="宋体" w:eastAsia="宋体" w:hint="default"/>
                      <w:spacing w:val="-54"/>
                      <w:sz w:val="21"/>
                      <w:szCs w:val="21"/>
                    </w:rPr>
                    <w:t> </w:t>
                  </w:r>
                  <w:r>
                    <w:rPr>
                      <w:rFonts w:ascii="宋体" w:hAnsi="宋体" w:cs="宋体" w:eastAsia="宋体" w:hint="default"/>
                      <w:sz w:val="21"/>
                      <w:szCs w:val="21"/>
                    </w:rPr>
                    <w:t>180,000,000.00</w:t>
                  </w:r>
                  <w:r>
                    <w:rPr>
                      <w:rFonts w:ascii="宋体" w:hAnsi="宋体" w:cs="宋体" w:eastAsia="宋体" w:hint="default"/>
                      <w:spacing w:val="-53"/>
                      <w:sz w:val="21"/>
                      <w:szCs w:val="21"/>
                    </w:rPr>
                    <w:t> </w:t>
                  </w:r>
                  <w:r>
                    <w:rPr>
                      <w:rFonts w:ascii="宋体" w:hAnsi="宋体" w:cs="宋体" w:eastAsia="宋体" w:hint="default"/>
                      <w:sz w:val="21"/>
                      <w:szCs w:val="21"/>
                    </w:rPr>
                    <w:t>元，募集资金余额（包含募集资金利息收入）为人民币</w:t>
                  </w:r>
                  <w:r>
                    <w:rPr>
                      <w:rFonts w:ascii="宋体" w:hAnsi="宋体" w:cs="宋体" w:eastAsia="宋体" w:hint="default"/>
                      <w:spacing w:val="-53"/>
                      <w:sz w:val="21"/>
                      <w:szCs w:val="21"/>
                    </w:rPr>
                    <w:t> </w:t>
                  </w:r>
                  <w:r>
                    <w:rPr>
                      <w:rFonts w:ascii="宋体" w:hAnsi="宋体" w:cs="宋体" w:eastAsia="宋体" w:hint="default"/>
                      <w:sz w:val="21"/>
                      <w:szCs w:val="21"/>
                    </w:rPr>
                    <w:t>466,451,237.06</w:t>
                  </w:r>
                  <w:r>
                    <w:rPr>
                      <w:rFonts w:ascii="宋体" w:hAnsi="宋体" w:cs="宋体" w:eastAsia="宋体" w:hint="default"/>
                      <w:spacing w:val="-53"/>
                      <w:sz w:val="21"/>
                      <w:szCs w:val="21"/>
                    </w:rPr>
                    <w:t> </w:t>
                  </w:r>
                  <w:r>
                    <w:rPr>
                      <w:rFonts w:ascii="宋体" w:hAnsi="宋体" w:cs="宋体" w:eastAsia="宋体" w:hint="default"/>
                      <w:sz w:val="21"/>
                      <w:szCs w:val="21"/>
                    </w:rPr>
                    <w:t>元。</w:t>
                  </w:r>
                </w:p>
                <w:p>
                  <w:pPr>
                    <w:spacing w:before="76"/>
                    <w:ind w:left="22" w:right="0" w:firstLine="0"/>
                    <w:jc w:val="both"/>
                    <w:rPr>
                      <w:rFonts w:ascii="宋体" w:hAnsi="宋体" w:cs="宋体" w:eastAsia="宋体" w:hint="default"/>
                      <w:sz w:val="21"/>
                      <w:szCs w:val="21"/>
                    </w:rPr>
                  </w:pPr>
                  <w:r>
                    <w:rPr>
                      <w:rFonts w:ascii="宋体" w:hAnsi="宋体" w:cs="宋体" w:eastAsia="宋体" w:hint="default"/>
                      <w:spacing w:val="-6"/>
                      <w:sz w:val="21"/>
                      <w:szCs w:val="21"/>
                    </w:rPr>
                    <w:t>2</w:t>
                  </w:r>
                  <w:r>
                    <w:rPr>
                      <w:rFonts w:ascii="宋体" w:hAnsi="宋体" w:cs="宋体" w:eastAsia="宋体" w:hint="default"/>
                      <w:spacing w:val="-6"/>
                      <w:sz w:val="21"/>
                      <w:szCs w:val="21"/>
                    </w:rPr>
                    <w:t>、</w:t>
                  </w:r>
                  <w:r>
                    <w:rPr>
                      <w:rFonts w:ascii="宋体" w:hAnsi="宋体" w:cs="宋体" w:eastAsia="宋体" w:hint="default"/>
                      <w:spacing w:val="-6"/>
                      <w:sz w:val="21"/>
                      <w:szCs w:val="21"/>
                    </w:rPr>
                    <w:t>2014</w:t>
                  </w:r>
                  <w:r>
                    <w:rPr>
                      <w:rFonts w:ascii="宋体" w:hAnsi="宋体" w:cs="宋体" w:eastAsia="宋体" w:hint="default"/>
                      <w:spacing w:val="-66"/>
                      <w:sz w:val="21"/>
                      <w:szCs w:val="21"/>
                    </w:rPr>
                    <w:t> </w:t>
                  </w:r>
                  <w:r>
                    <w:rPr>
                      <w:rFonts w:ascii="宋体" w:hAnsi="宋体" w:cs="宋体" w:eastAsia="宋体" w:hint="default"/>
                      <w:sz w:val="21"/>
                      <w:szCs w:val="21"/>
                    </w:rPr>
                    <w:t>年</w:t>
                  </w:r>
                  <w:r>
                    <w:rPr>
                      <w:rFonts w:ascii="宋体" w:hAnsi="宋体" w:cs="宋体" w:eastAsia="宋体" w:hint="default"/>
                      <w:spacing w:val="-67"/>
                      <w:sz w:val="21"/>
                      <w:szCs w:val="21"/>
                    </w:rPr>
                    <w:t> </w:t>
                  </w:r>
                  <w:r>
                    <w:rPr>
                      <w:rFonts w:ascii="宋体" w:hAnsi="宋体" w:cs="宋体" w:eastAsia="宋体" w:hint="default"/>
                      <w:sz w:val="21"/>
                      <w:szCs w:val="21"/>
                    </w:rPr>
                    <w:t>9</w:t>
                  </w:r>
                  <w:r>
                    <w:rPr>
                      <w:rFonts w:ascii="宋体" w:hAnsi="宋体" w:cs="宋体" w:eastAsia="宋体" w:hint="default"/>
                      <w:spacing w:val="-67"/>
                      <w:sz w:val="21"/>
                      <w:szCs w:val="21"/>
                    </w:rPr>
                    <w:t> </w:t>
                  </w:r>
                  <w:r>
                    <w:rPr>
                      <w:rFonts w:ascii="宋体" w:hAnsi="宋体" w:cs="宋体" w:eastAsia="宋体" w:hint="default"/>
                      <w:sz w:val="21"/>
                      <w:szCs w:val="21"/>
                    </w:rPr>
                    <w:t>月</w:t>
                  </w:r>
                  <w:r>
                    <w:rPr>
                      <w:rFonts w:ascii="宋体" w:hAnsi="宋体" w:cs="宋体" w:eastAsia="宋体" w:hint="default"/>
                      <w:spacing w:val="-67"/>
                      <w:sz w:val="21"/>
                      <w:szCs w:val="21"/>
                    </w:rPr>
                    <w:t> </w:t>
                  </w:r>
                  <w:r>
                    <w:rPr>
                      <w:rFonts w:ascii="宋体" w:hAnsi="宋体" w:cs="宋体" w:eastAsia="宋体" w:hint="default"/>
                      <w:sz w:val="21"/>
                      <w:szCs w:val="21"/>
                    </w:rPr>
                    <w:t>5</w:t>
                  </w:r>
                  <w:r>
                    <w:rPr>
                      <w:rFonts w:ascii="宋体" w:hAnsi="宋体" w:cs="宋体" w:eastAsia="宋体" w:hint="default"/>
                      <w:spacing w:val="-66"/>
                      <w:sz w:val="21"/>
                      <w:szCs w:val="21"/>
                    </w:rPr>
                    <w:t> </w:t>
                  </w:r>
                  <w:r>
                    <w:rPr>
                      <w:rFonts w:ascii="宋体" w:hAnsi="宋体" w:cs="宋体" w:eastAsia="宋体" w:hint="default"/>
                      <w:sz w:val="21"/>
                      <w:szCs w:val="21"/>
                    </w:rPr>
                    <w:t>日，经中国证券监督管理委员会《关于核准河南辉煌科技股份有限公司公开发行公司债</w:t>
                  </w:r>
                </w:p>
                <w:p>
                  <w:pPr>
                    <w:spacing w:before="37"/>
                    <w:ind w:left="22" w:right="0" w:firstLine="0"/>
                    <w:jc w:val="both"/>
                    <w:rPr>
                      <w:rFonts w:ascii="宋体" w:hAnsi="宋体" w:cs="宋体" w:eastAsia="宋体" w:hint="default"/>
                      <w:sz w:val="21"/>
                      <w:szCs w:val="21"/>
                    </w:rPr>
                  </w:pPr>
                  <w:r>
                    <w:rPr>
                      <w:rFonts w:ascii="宋体" w:hAnsi="宋体" w:cs="宋体" w:eastAsia="宋体" w:hint="default"/>
                      <w:sz w:val="21"/>
                      <w:szCs w:val="21"/>
                    </w:rPr>
                    <w:t>券的批复</w:t>
                  </w:r>
                  <w:r>
                    <w:rPr>
                      <w:rFonts w:ascii="宋体" w:hAnsi="宋体" w:cs="宋体" w:eastAsia="宋体" w:hint="default"/>
                      <w:spacing w:val="-122"/>
                      <w:sz w:val="21"/>
                      <w:szCs w:val="21"/>
                    </w:rPr>
                    <w:t>》</w:t>
                  </w:r>
                  <w:r>
                    <w:rPr>
                      <w:rFonts w:ascii="宋体" w:hAnsi="宋体" w:cs="宋体" w:eastAsia="宋体" w:hint="default"/>
                      <w:sz w:val="21"/>
                      <w:szCs w:val="21"/>
                    </w:rPr>
                    <w:t>（证监许</w:t>
                  </w:r>
                  <w:r>
                    <w:rPr>
                      <w:rFonts w:ascii="宋体" w:hAnsi="宋体" w:cs="宋体" w:eastAsia="宋体" w:hint="default"/>
                      <w:spacing w:val="-17"/>
                      <w:sz w:val="21"/>
                      <w:szCs w:val="21"/>
                    </w:rPr>
                    <w:t>可</w:t>
                  </w: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pacing w:val="1"/>
                      <w:sz w:val="21"/>
                      <w:szCs w:val="21"/>
                    </w:rPr>
                    <w:t>0</w:t>
                  </w:r>
                  <w:r>
                    <w:rPr>
                      <w:rFonts w:ascii="宋体" w:hAnsi="宋体" w:cs="宋体" w:eastAsia="宋体" w:hint="default"/>
                      <w:sz w:val="21"/>
                      <w:szCs w:val="21"/>
                    </w:rPr>
                    <w:t>14</w:t>
                  </w:r>
                  <w:r>
                    <w:rPr>
                      <w:rFonts w:ascii="宋体" w:hAnsi="宋体" w:cs="宋体" w:eastAsia="宋体" w:hint="default"/>
                      <w:spacing w:val="-17"/>
                      <w:sz w:val="21"/>
                      <w:szCs w:val="21"/>
                    </w:rPr>
                    <w:t>）</w:t>
                  </w:r>
                  <w:r>
                    <w:rPr>
                      <w:rFonts w:ascii="宋体" w:hAnsi="宋体" w:cs="宋体" w:eastAsia="宋体" w:hint="default"/>
                      <w:sz w:val="21"/>
                      <w:szCs w:val="21"/>
                    </w:rPr>
                    <w:t>926</w:t>
                  </w:r>
                  <w:r>
                    <w:rPr>
                      <w:rFonts w:ascii="宋体" w:hAnsi="宋体" w:cs="宋体" w:eastAsia="宋体" w:hint="default"/>
                      <w:spacing w:val="-52"/>
                      <w:sz w:val="21"/>
                      <w:szCs w:val="21"/>
                    </w:rPr>
                    <w:t> </w:t>
                  </w:r>
                  <w:r>
                    <w:rPr>
                      <w:rFonts w:ascii="宋体" w:hAnsi="宋体" w:cs="宋体" w:eastAsia="宋体" w:hint="default"/>
                      <w:spacing w:val="-2"/>
                      <w:sz w:val="21"/>
                      <w:szCs w:val="21"/>
                    </w:rPr>
                    <w:t>号</w:t>
                  </w:r>
                  <w:r>
                    <w:rPr>
                      <w:rFonts w:ascii="宋体" w:hAnsi="宋体" w:cs="宋体" w:eastAsia="宋体" w:hint="default"/>
                      <w:spacing w:val="-17"/>
                      <w:sz w:val="21"/>
                      <w:szCs w:val="21"/>
                    </w:rPr>
                    <w:t>）</w:t>
                  </w:r>
                  <w:r>
                    <w:rPr>
                      <w:rFonts w:ascii="宋体" w:hAnsi="宋体" w:cs="宋体" w:eastAsia="宋体" w:hint="default"/>
                      <w:sz w:val="21"/>
                      <w:szCs w:val="21"/>
                    </w:rPr>
                    <w:t>核准</w:t>
                  </w:r>
                  <w:r>
                    <w:rPr>
                      <w:rFonts w:ascii="宋体" w:hAnsi="宋体" w:cs="宋体" w:eastAsia="宋体" w:hint="default"/>
                      <w:spacing w:val="-17"/>
                      <w:sz w:val="21"/>
                      <w:szCs w:val="21"/>
                    </w:rPr>
                    <w:t>，</w:t>
                  </w:r>
                  <w:r>
                    <w:rPr>
                      <w:rFonts w:ascii="宋体" w:hAnsi="宋体" w:cs="宋体" w:eastAsia="宋体" w:hint="default"/>
                      <w:sz w:val="21"/>
                      <w:szCs w:val="21"/>
                    </w:rPr>
                    <w:t>公司发行面值不超过</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1"/>
                      <w:sz w:val="21"/>
                      <w:szCs w:val="21"/>
                    </w:rPr>
                    <w:t> </w:t>
                  </w:r>
                  <w:r>
                    <w:rPr>
                      <w:rFonts w:ascii="宋体" w:hAnsi="宋体" w:cs="宋体" w:eastAsia="宋体" w:hint="default"/>
                      <w:sz w:val="21"/>
                      <w:szCs w:val="21"/>
                    </w:rPr>
                    <w:t>亿</w:t>
                  </w:r>
                  <w:r>
                    <w:rPr>
                      <w:rFonts w:ascii="宋体" w:hAnsi="宋体" w:cs="宋体" w:eastAsia="宋体" w:hint="default"/>
                      <w:spacing w:val="-2"/>
                      <w:sz w:val="21"/>
                      <w:szCs w:val="21"/>
                    </w:rPr>
                    <w:t>元</w:t>
                  </w:r>
                  <w:r>
                    <w:rPr>
                      <w:rFonts w:ascii="宋体" w:hAnsi="宋体" w:cs="宋体" w:eastAsia="宋体" w:hint="default"/>
                      <w:sz w:val="21"/>
                      <w:szCs w:val="21"/>
                    </w:rPr>
                    <w:t>公司债券</w:t>
                  </w:r>
                  <w:r>
                    <w:rPr>
                      <w:rFonts w:ascii="宋体" w:hAnsi="宋体" w:cs="宋体" w:eastAsia="宋体" w:hint="default"/>
                      <w:spacing w:val="-17"/>
                      <w:sz w:val="21"/>
                      <w:szCs w:val="21"/>
                    </w:rPr>
                    <w:t>。</w:t>
                  </w:r>
                  <w:r>
                    <w:rPr>
                      <w:rFonts w:ascii="宋体" w:hAnsi="宋体" w:cs="宋体" w:eastAsia="宋体" w:hint="default"/>
                      <w:sz w:val="21"/>
                      <w:szCs w:val="21"/>
                    </w:rPr>
                    <w:t>2</w:t>
                  </w:r>
                  <w:r>
                    <w:rPr>
                      <w:rFonts w:ascii="宋体" w:hAnsi="宋体" w:cs="宋体" w:eastAsia="宋体" w:hint="default"/>
                      <w:spacing w:val="1"/>
                      <w:sz w:val="21"/>
                      <w:szCs w:val="21"/>
                    </w:rPr>
                    <w:t>0</w:t>
                  </w:r>
                  <w:r>
                    <w:rPr>
                      <w:rFonts w:ascii="宋体" w:hAnsi="宋体" w:cs="宋体" w:eastAsia="宋体" w:hint="default"/>
                      <w:sz w:val="21"/>
                      <w:szCs w:val="21"/>
                    </w:rPr>
                    <w:t>15</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6</w:t>
                  </w:r>
                  <w:r>
                    <w:rPr>
                      <w:rFonts w:ascii="宋体" w:hAnsi="宋体" w:cs="宋体" w:eastAsia="宋体" w:hint="default"/>
                      <w:spacing w:val="-53"/>
                      <w:sz w:val="21"/>
                      <w:szCs w:val="21"/>
                    </w:rPr>
                    <w:t> </w:t>
                  </w:r>
                  <w:r>
                    <w:rPr>
                      <w:rFonts w:ascii="宋体" w:hAnsi="宋体" w:cs="宋体" w:eastAsia="宋体" w:hint="default"/>
                      <w:sz w:val="21"/>
                      <w:szCs w:val="21"/>
                    </w:rPr>
                    <w:t>日公</w:t>
                  </w:r>
                </w:p>
                <w:p>
                  <w:pPr>
                    <w:spacing w:before="37"/>
                    <w:ind w:left="22" w:right="0" w:firstLine="0"/>
                    <w:jc w:val="both"/>
                    <w:rPr>
                      <w:rFonts w:ascii="宋体" w:hAnsi="宋体" w:cs="宋体" w:eastAsia="宋体" w:hint="default"/>
                      <w:sz w:val="21"/>
                      <w:szCs w:val="21"/>
                    </w:rPr>
                  </w:pPr>
                  <w:r>
                    <w:rPr>
                      <w:rFonts w:ascii="宋体" w:hAnsi="宋体" w:cs="宋体" w:eastAsia="宋体" w:hint="default"/>
                      <w:sz w:val="21"/>
                      <w:szCs w:val="21"/>
                    </w:rPr>
                    <w:t>司发行了第一期债券，规模人民币 </w:t>
                  </w:r>
                  <w:r>
                    <w:rPr>
                      <w:rFonts w:ascii="宋体" w:hAnsi="宋体" w:cs="宋体" w:eastAsia="宋体" w:hint="default"/>
                      <w:sz w:val="21"/>
                      <w:szCs w:val="21"/>
                    </w:rPr>
                    <w:t>2.5 </w:t>
                  </w:r>
                  <w:r>
                    <w:rPr>
                      <w:rFonts w:ascii="宋体" w:hAnsi="宋体" w:cs="宋体" w:eastAsia="宋体" w:hint="default"/>
                      <w:sz w:val="21"/>
                      <w:szCs w:val="21"/>
                    </w:rPr>
                    <w:t>亿元，发行价格为每张 </w:t>
                  </w:r>
                  <w:r>
                    <w:rPr>
                      <w:rFonts w:ascii="宋体" w:hAnsi="宋体" w:cs="宋体" w:eastAsia="宋体" w:hint="default"/>
                      <w:sz w:val="21"/>
                      <w:szCs w:val="21"/>
                    </w:rPr>
                    <w:t>100 </w:t>
                  </w:r>
                  <w:r>
                    <w:rPr>
                      <w:rFonts w:ascii="宋体" w:hAnsi="宋体" w:cs="宋体" w:eastAsia="宋体" w:hint="default"/>
                      <w:sz w:val="21"/>
                      <w:szCs w:val="21"/>
                    </w:rPr>
                    <w:t>元，期限为 </w:t>
                  </w:r>
                  <w:r>
                    <w:rPr>
                      <w:rFonts w:ascii="宋体" w:hAnsi="宋体" w:cs="宋体" w:eastAsia="宋体" w:hint="default"/>
                      <w:sz w:val="21"/>
                      <w:szCs w:val="21"/>
                    </w:rPr>
                    <w:t>3 </w:t>
                  </w:r>
                  <w:r>
                    <w:rPr>
                      <w:rFonts w:ascii="宋体" w:hAnsi="宋体" w:cs="宋体" w:eastAsia="宋体" w:hint="default"/>
                      <w:sz w:val="21"/>
                      <w:szCs w:val="21"/>
                    </w:rPr>
                    <w:t>年，起息日为</w:t>
                  </w:r>
                  <w:r>
                    <w:rPr>
                      <w:rFonts w:ascii="宋体" w:hAnsi="宋体" w:cs="宋体" w:eastAsia="宋体" w:hint="default"/>
                      <w:spacing w:val="-57"/>
                      <w:sz w:val="21"/>
                      <w:szCs w:val="21"/>
                    </w:rPr>
                    <w:t> </w:t>
                  </w:r>
                  <w:r>
                    <w:rPr>
                      <w:rFonts w:ascii="宋体" w:hAnsi="宋体" w:cs="宋体" w:eastAsia="宋体" w:hint="default"/>
                      <w:sz w:val="21"/>
                      <w:szCs w:val="21"/>
                    </w:rPr>
                    <w:t>2015</w:t>
                  </w:r>
                </w:p>
                <w:p>
                  <w:pPr>
                    <w:spacing w:before="37"/>
                    <w:ind w:left="22" w:right="0" w:firstLine="0"/>
                    <w:jc w:val="both"/>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pacing w:val="-5"/>
                      <w:sz w:val="21"/>
                      <w:szCs w:val="21"/>
                    </w:rPr>
                    <w:t>日，附第</w:t>
                  </w:r>
                  <w:r>
                    <w:rPr>
                      <w:rFonts w:ascii="宋体" w:hAnsi="宋体" w:cs="宋体" w:eastAsia="宋体" w:hint="default"/>
                      <w:spacing w:val="-3"/>
                      <w:sz w:val="21"/>
                      <w:szCs w:val="21"/>
                    </w:rPr>
                    <w:t> </w:t>
                  </w:r>
                  <w:r>
                    <w:rPr>
                      <w:rFonts w:ascii="宋体" w:hAnsi="宋体" w:cs="宋体" w:eastAsia="宋体" w:hint="default"/>
                      <w:sz w:val="21"/>
                      <w:szCs w:val="21"/>
                    </w:rPr>
                    <w:t>2</w:t>
                  </w:r>
                  <w:r>
                    <w:rPr>
                      <w:rFonts w:ascii="宋体" w:hAnsi="宋体" w:cs="宋体" w:eastAsia="宋体" w:hint="default"/>
                      <w:spacing w:val="-3"/>
                      <w:sz w:val="21"/>
                      <w:szCs w:val="21"/>
                    </w:rPr>
                    <w:t> </w:t>
                  </w:r>
                  <w:r>
                    <w:rPr>
                      <w:rFonts w:ascii="宋体" w:hAnsi="宋体" w:cs="宋体" w:eastAsia="宋体" w:hint="default"/>
                      <w:sz w:val="21"/>
                      <w:szCs w:val="21"/>
                    </w:rPr>
                    <w:t>年末发行人上调票面利率选择权和投资者回售选择权。截止</w:t>
                  </w:r>
                  <w:r>
                    <w:rPr>
                      <w:rFonts w:ascii="宋体" w:hAnsi="宋体" w:cs="宋体" w:eastAsia="宋体" w:hint="default"/>
                      <w:spacing w:val="-54"/>
                      <w:sz w:val="21"/>
                      <w:szCs w:val="21"/>
                    </w:rPr>
                    <w:t> </w:t>
                  </w:r>
                  <w:r>
                    <w:rPr>
                      <w:rFonts w:ascii="宋体" w:hAnsi="宋体" w:cs="宋体" w:eastAsia="宋体" w:hint="default"/>
                      <w:sz w:val="21"/>
                      <w:szCs w:val="21"/>
                    </w:rPr>
                    <w:t>2015</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pacing w:val="-6"/>
                      <w:sz w:val="21"/>
                      <w:szCs w:val="21"/>
                    </w:rPr>
                    <w:t>日，公</w:t>
                  </w:r>
                </w:p>
                <w:p>
                  <w:pPr>
                    <w:spacing w:before="37"/>
                    <w:ind w:left="22" w:right="0" w:firstLine="0"/>
                    <w:jc w:val="both"/>
                    <w:rPr>
                      <w:rFonts w:ascii="宋体" w:hAnsi="宋体" w:cs="宋体" w:eastAsia="宋体" w:hint="default"/>
                      <w:sz w:val="21"/>
                      <w:szCs w:val="21"/>
                    </w:rPr>
                  </w:pPr>
                  <w:r>
                    <w:rPr>
                      <w:rFonts w:ascii="宋体" w:hAnsi="宋体" w:cs="宋体" w:eastAsia="宋体" w:hint="default"/>
                      <w:sz w:val="21"/>
                      <w:szCs w:val="21"/>
                    </w:rPr>
                    <w:t>司共募集资金</w:t>
                  </w:r>
                  <w:r>
                    <w:rPr>
                      <w:rFonts w:ascii="宋体" w:hAnsi="宋体" w:cs="宋体" w:eastAsia="宋体" w:hint="default"/>
                      <w:spacing w:val="-52"/>
                      <w:sz w:val="21"/>
                      <w:szCs w:val="21"/>
                    </w:rPr>
                    <w:t> </w:t>
                  </w:r>
                  <w:r>
                    <w:rPr>
                      <w:rFonts w:ascii="宋体" w:hAnsi="宋体" w:cs="宋体" w:eastAsia="宋体" w:hint="default"/>
                      <w:sz w:val="21"/>
                      <w:szCs w:val="21"/>
                    </w:rPr>
                    <w:t>250,000,000.00</w:t>
                  </w:r>
                  <w:r>
                    <w:rPr>
                      <w:rFonts w:ascii="宋体" w:hAnsi="宋体" w:cs="宋体" w:eastAsia="宋体" w:hint="default"/>
                      <w:spacing w:val="-53"/>
                      <w:sz w:val="21"/>
                      <w:szCs w:val="21"/>
                    </w:rPr>
                    <w:t> </w:t>
                  </w:r>
                  <w:r>
                    <w:rPr>
                      <w:rFonts w:ascii="宋体" w:hAnsi="宋体" w:cs="宋体" w:eastAsia="宋体" w:hint="default"/>
                      <w:sz w:val="21"/>
                      <w:szCs w:val="21"/>
                    </w:rPr>
                    <w:t>元</w:t>
                  </w:r>
                  <w:r>
                    <w:rPr>
                      <w:rFonts w:ascii="宋体" w:hAnsi="宋体" w:cs="宋体" w:eastAsia="宋体" w:hint="default"/>
                      <w:spacing w:val="-103"/>
                      <w:sz w:val="21"/>
                      <w:szCs w:val="21"/>
                    </w:rPr>
                    <w:t>，</w:t>
                  </w:r>
                  <w:r>
                    <w:rPr>
                      <w:rFonts w:ascii="宋体" w:hAnsi="宋体" w:cs="宋体" w:eastAsia="宋体" w:hint="default"/>
                      <w:spacing w:val="-2"/>
                      <w:sz w:val="21"/>
                      <w:szCs w:val="21"/>
                    </w:rPr>
                    <w:t>扣</w:t>
                  </w:r>
                  <w:r>
                    <w:rPr>
                      <w:rFonts w:ascii="宋体" w:hAnsi="宋体" w:cs="宋体" w:eastAsia="宋体" w:hint="default"/>
                      <w:sz w:val="21"/>
                      <w:szCs w:val="21"/>
                    </w:rPr>
                    <w:t>除发行费用</w:t>
                  </w:r>
                  <w:r>
                    <w:rPr>
                      <w:rFonts w:ascii="宋体" w:hAnsi="宋体" w:cs="宋体" w:eastAsia="宋体" w:hint="default"/>
                      <w:spacing w:val="-52"/>
                      <w:sz w:val="21"/>
                      <w:szCs w:val="21"/>
                    </w:rPr>
                    <w:t> </w:t>
                  </w:r>
                  <w:r>
                    <w:rPr>
                      <w:rFonts w:ascii="宋体" w:hAnsi="宋体" w:cs="宋体" w:eastAsia="宋体" w:hint="default"/>
                      <w:sz w:val="21"/>
                      <w:szCs w:val="21"/>
                    </w:rPr>
                    <w:t>2,300,000.00</w:t>
                  </w:r>
                  <w:r>
                    <w:rPr>
                      <w:rFonts w:ascii="宋体" w:hAnsi="宋体" w:cs="宋体" w:eastAsia="宋体" w:hint="default"/>
                      <w:spacing w:val="-54"/>
                      <w:sz w:val="21"/>
                      <w:szCs w:val="21"/>
                    </w:rPr>
                    <w:t> </w:t>
                  </w:r>
                  <w:r>
                    <w:rPr>
                      <w:rFonts w:ascii="宋体" w:hAnsi="宋体" w:cs="宋体" w:eastAsia="宋体" w:hint="default"/>
                      <w:sz w:val="21"/>
                      <w:szCs w:val="21"/>
                    </w:rPr>
                    <w:t>元</w:t>
                  </w:r>
                  <w:r>
                    <w:rPr>
                      <w:rFonts w:ascii="宋体" w:hAnsi="宋体" w:cs="宋体" w:eastAsia="宋体" w:hint="default"/>
                      <w:spacing w:val="-103"/>
                      <w:sz w:val="21"/>
                      <w:szCs w:val="21"/>
                    </w:rPr>
                    <w:t>，</w:t>
                  </w:r>
                  <w:r>
                    <w:rPr>
                      <w:rFonts w:ascii="宋体" w:hAnsi="宋体" w:cs="宋体" w:eastAsia="宋体" w:hint="default"/>
                      <w:sz w:val="21"/>
                      <w:szCs w:val="21"/>
                    </w:rPr>
                    <w:t>公司债募集资金净额</w:t>
                  </w:r>
                  <w:r>
                    <w:rPr>
                      <w:rFonts w:ascii="宋体" w:hAnsi="宋体" w:cs="宋体" w:eastAsia="宋体" w:hint="default"/>
                      <w:spacing w:val="-52"/>
                      <w:sz w:val="21"/>
                      <w:szCs w:val="21"/>
                    </w:rPr>
                    <w:t> </w:t>
                  </w:r>
                  <w:r>
                    <w:rPr>
                      <w:rFonts w:ascii="宋体" w:hAnsi="宋体" w:cs="宋体" w:eastAsia="宋体" w:hint="default"/>
                      <w:sz w:val="21"/>
                      <w:szCs w:val="21"/>
                    </w:rPr>
                    <w:t>247,700,000</w:t>
                  </w:r>
                  <w:r>
                    <w:rPr>
                      <w:rFonts w:ascii="宋体" w:hAnsi="宋体" w:cs="宋体" w:eastAsia="宋体" w:hint="default"/>
                      <w:spacing w:val="-2"/>
                      <w:sz w:val="21"/>
                      <w:szCs w:val="21"/>
                    </w:rPr>
                    <w:t>.</w:t>
                  </w:r>
                  <w:r>
                    <w:rPr>
                      <w:rFonts w:ascii="宋体" w:hAnsi="宋体" w:cs="宋体" w:eastAsia="宋体" w:hint="default"/>
                      <w:sz w:val="21"/>
                      <w:szCs w:val="21"/>
                    </w:rPr>
                    <w:t>00</w:t>
                  </w:r>
                </w:p>
                <w:p>
                  <w:pPr>
                    <w:spacing w:line="273" w:lineRule="auto" w:before="37"/>
                    <w:ind w:left="22" w:right="22" w:firstLine="0"/>
                    <w:jc w:val="both"/>
                    <w:rPr>
                      <w:rFonts w:ascii="宋体" w:hAnsi="宋体" w:cs="宋体" w:eastAsia="宋体" w:hint="default"/>
                      <w:sz w:val="21"/>
                      <w:szCs w:val="21"/>
                    </w:rPr>
                  </w:pPr>
                  <w:r>
                    <w:rPr>
                      <w:rFonts w:ascii="宋体" w:hAnsi="宋体" w:cs="宋体" w:eastAsia="宋体" w:hint="default"/>
                      <w:sz w:val="21"/>
                      <w:szCs w:val="21"/>
                    </w:rPr>
                    <w:t>元。截止</w:t>
                  </w:r>
                  <w:r>
                    <w:rPr>
                      <w:rFonts w:ascii="宋体" w:hAnsi="宋体" w:cs="宋体" w:eastAsia="宋体" w:hint="default"/>
                      <w:spacing w:val="-53"/>
                      <w:sz w:val="21"/>
                      <w:szCs w:val="21"/>
                    </w:rPr>
                    <w:t> </w:t>
                  </w:r>
                  <w:r>
                    <w:rPr>
                      <w:rFonts w:ascii="宋体" w:hAnsi="宋体" w:cs="宋体" w:eastAsia="宋体" w:hint="default"/>
                      <w:sz w:val="21"/>
                      <w:szCs w:val="21"/>
                    </w:rPr>
                    <w:t>2015</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3</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日，公司发行公司债募集第一期资金</w:t>
                  </w:r>
                  <w:r>
                    <w:rPr>
                      <w:rFonts w:ascii="宋体" w:hAnsi="宋体" w:cs="宋体" w:eastAsia="宋体" w:hint="default"/>
                      <w:spacing w:val="-53"/>
                      <w:sz w:val="21"/>
                      <w:szCs w:val="21"/>
                    </w:rPr>
                    <w:t> </w:t>
                  </w:r>
                  <w:r>
                    <w:rPr>
                      <w:rFonts w:ascii="宋体" w:hAnsi="宋体" w:cs="宋体" w:eastAsia="宋体" w:hint="default"/>
                      <w:sz w:val="21"/>
                      <w:szCs w:val="21"/>
                    </w:rPr>
                    <w:t>2.5</w:t>
                  </w:r>
                  <w:r>
                    <w:rPr>
                      <w:rFonts w:ascii="宋体" w:hAnsi="宋体" w:cs="宋体" w:eastAsia="宋体" w:hint="default"/>
                      <w:spacing w:val="-53"/>
                      <w:sz w:val="21"/>
                      <w:szCs w:val="21"/>
                    </w:rPr>
                    <w:t> </w:t>
                  </w:r>
                  <w:r>
                    <w:rPr>
                      <w:rFonts w:ascii="宋体" w:hAnsi="宋体" w:cs="宋体" w:eastAsia="宋体" w:hint="default"/>
                      <w:sz w:val="21"/>
                      <w:szCs w:val="21"/>
                    </w:rPr>
                    <w:t>亿元已全部到位，业经大华会计师事 务所（特殊普通合伙）以“大华验字</w:t>
                  </w:r>
                  <w:r>
                    <w:rPr>
                      <w:rFonts w:ascii="宋体" w:hAnsi="宋体" w:cs="宋体" w:eastAsia="宋体" w:hint="default"/>
                      <w:sz w:val="21"/>
                      <w:szCs w:val="21"/>
                    </w:rPr>
                    <w:t>[2015]000105</w:t>
                  </w:r>
                  <w:r>
                    <w:rPr>
                      <w:rFonts w:ascii="宋体" w:hAnsi="宋体" w:cs="宋体" w:eastAsia="宋体" w:hint="default"/>
                      <w:spacing w:val="-54"/>
                      <w:sz w:val="21"/>
                      <w:szCs w:val="21"/>
                    </w:rPr>
                    <w:t> </w:t>
                  </w:r>
                  <w:r>
                    <w:rPr>
                      <w:rFonts w:ascii="宋体" w:hAnsi="宋体" w:cs="宋体" w:eastAsia="宋体" w:hint="default"/>
                      <w:sz w:val="21"/>
                      <w:szCs w:val="21"/>
                    </w:rPr>
                    <w:t>号”验资报告验证确认。截止本报告期初前，公司债 募集资金中的</w:t>
                  </w:r>
                  <w:r>
                    <w:rPr>
                      <w:rFonts w:ascii="宋体" w:hAnsi="宋体" w:cs="宋体" w:eastAsia="宋体" w:hint="default"/>
                      <w:spacing w:val="-74"/>
                      <w:sz w:val="21"/>
                      <w:szCs w:val="21"/>
                    </w:rPr>
                    <w:t> </w:t>
                  </w:r>
                  <w:r>
                    <w:rPr>
                      <w:rFonts w:ascii="宋体" w:hAnsi="宋体" w:cs="宋体" w:eastAsia="宋体" w:hint="default"/>
                      <w:sz w:val="21"/>
                      <w:szCs w:val="21"/>
                    </w:rPr>
                    <w:t>248,738,995.46</w:t>
                  </w:r>
                  <w:r>
                    <w:rPr>
                      <w:rFonts w:ascii="宋体" w:hAnsi="宋体" w:cs="宋体" w:eastAsia="宋体" w:hint="default"/>
                      <w:spacing w:val="-75"/>
                      <w:sz w:val="21"/>
                      <w:szCs w:val="21"/>
                    </w:rPr>
                    <w:t> </w:t>
                  </w:r>
                  <w:r>
                    <w:rPr>
                      <w:rFonts w:ascii="宋体" w:hAnsi="宋体" w:cs="宋体" w:eastAsia="宋体" w:hint="default"/>
                      <w:sz w:val="21"/>
                      <w:szCs w:val="21"/>
                    </w:rPr>
                    <w:t>元（含利息收入）已全部用于补充流动资金，本报告期无发生使用公司债 募集资金情况。</w:t>
                  </w:r>
                </w:p>
              </w:txbxContent>
            </v:textbox>
          </v:shape>
        </w:pict>
      </w:r>
      <w:r>
        <w:rPr>
          <w:rFonts w:ascii="宋体" w:hAnsi="宋体" w:cs="宋体" w:eastAsia="宋体" w:hint="default"/>
          <w:position w:val="-101"/>
          <w:sz w:val="20"/>
          <w:szCs w:val="20"/>
        </w:rPr>
      </w:r>
    </w:p>
    <w:p>
      <w:pPr>
        <w:spacing w:line="240" w:lineRule="auto" w:before="2"/>
        <w:rPr>
          <w:rFonts w:ascii="宋体" w:hAnsi="宋体" w:cs="宋体" w:eastAsia="宋体" w:hint="default"/>
          <w:sz w:val="5"/>
          <w:szCs w:val="5"/>
        </w:rPr>
      </w:pPr>
    </w:p>
    <w:p>
      <w:pPr>
        <w:spacing w:after="0" w:line="240" w:lineRule="auto"/>
        <w:rPr>
          <w:rFonts w:ascii="宋体" w:hAnsi="宋体" w:cs="宋体" w:eastAsia="宋体" w:hint="default"/>
          <w:sz w:val="5"/>
          <w:szCs w:val="5"/>
        </w:rPr>
        <w:sectPr>
          <w:pgSz w:w="11910" w:h="16840"/>
          <w:pgMar w:header="747" w:footer="979" w:top="1060" w:bottom="1160" w:left="980" w:right="0"/>
        </w:sectPr>
      </w:pPr>
    </w:p>
    <w:p>
      <w:pPr>
        <w:pStyle w:val="Heading2"/>
        <w:spacing w:line="240" w:lineRule="auto"/>
        <w:ind w:right="0"/>
        <w:jc w:val="left"/>
        <w:rPr>
          <w:b w:val="0"/>
          <w:bCs w:val="0"/>
        </w:rPr>
      </w:pPr>
      <w:bookmarkStart w:name="（2）募集资金承诺项目情况" w:id="54"/>
      <w:bookmarkEnd w:id="54"/>
      <w:r>
        <w:rPr>
          <w:b w:val="0"/>
          <w:bCs w:val="0"/>
        </w:rPr>
      </w:r>
      <w:r>
        <w:rPr>
          <w:w w:val="95"/>
        </w:rPr>
        <w:t>（</w:t>
      </w:r>
      <w:r>
        <w:rPr>
          <w:rFonts w:ascii="宋体" w:hAnsi="宋体" w:cs="宋体" w:eastAsia="宋体" w:hint="default"/>
          <w:w w:val="95"/>
        </w:rPr>
        <w:t>2</w:t>
      </w:r>
      <w:r>
        <w:rPr>
          <w:w w:val="95"/>
        </w:rPr>
        <w:t>）募集资金承诺项目情况</w:t>
      </w:r>
      <w:r>
        <w:rPr>
          <w:b w:val="0"/>
          <w:bCs w:val="0"/>
        </w:rPr>
      </w:r>
    </w:p>
    <w:p>
      <w:pPr>
        <w:pStyle w:val="BodyText"/>
        <w:spacing w:line="240" w:lineRule="auto" w:before="146"/>
        <w:ind w:left="63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15"/>
          <w:szCs w:val="15"/>
        </w:rPr>
      </w:pPr>
    </w:p>
    <w:p>
      <w:pPr>
        <w:spacing w:before="0"/>
        <w:ind w:left="633" w:right="0" w:firstLine="0"/>
        <w:jc w:val="left"/>
        <w:rPr>
          <w:rFonts w:ascii="宋体" w:hAnsi="宋体" w:cs="宋体" w:eastAsia="宋体" w:hint="default"/>
          <w:sz w:val="18"/>
          <w:szCs w:val="18"/>
        </w:rPr>
      </w:pPr>
      <w:r>
        <w:rPr>
          <w:rFonts w:ascii="宋体" w:hAnsi="宋体" w:cs="宋体" w:eastAsia="宋体" w:hint="default"/>
          <w:sz w:val="18"/>
          <w:szCs w:val="18"/>
        </w:rPr>
        <w:t>单位：万元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3647" w:space="4612"/>
            <w:col w:w="2671"/>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770"/>
        <w:gridCol w:w="779"/>
        <w:gridCol w:w="780"/>
        <w:gridCol w:w="780"/>
        <w:gridCol w:w="779"/>
        <w:gridCol w:w="780"/>
        <w:gridCol w:w="780"/>
        <w:gridCol w:w="780"/>
        <w:gridCol w:w="780"/>
        <w:gridCol w:w="780"/>
        <w:gridCol w:w="780"/>
      </w:tblGrid>
      <w:tr>
        <w:trPr>
          <w:trHeight w:val="1962"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9"/>
                <w:szCs w:val="29"/>
              </w:rPr>
            </w:pPr>
          </w:p>
          <w:p>
            <w:pPr>
              <w:pStyle w:val="TableParagraph"/>
              <w:spacing w:line="273" w:lineRule="auto"/>
              <w:ind w:left="354" w:right="39" w:hanging="315"/>
              <w:jc w:val="left"/>
              <w:rPr>
                <w:rFonts w:ascii="宋体" w:hAnsi="宋体" w:cs="宋体" w:eastAsia="宋体" w:hint="default"/>
                <w:sz w:val="21"/>
                <w:szCs w:val="21"/>
              </w:rPr>
            </w:pPr>
            <w:r>
              <w:rPr>
                <w:rFonts w:ascii="宋体" w:hAnsi="宋体" w:cs="宋体" w:eastAsia="宋体" w:hint="default"/>
                <w:sz w:val="21"/>
                <w:szCs w:val="21"/>
              </w:rPr>
              <w:t>承诺投资项目和超 募资金投向</w:t>
            </w:r>
          </w:p>
        </w:tc>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73" w:lineRule="auto"/>
              <w:ind w:left="68" w:right="68"/>
              <w:jc w:val="center"/>
              <w:rPr>
                <w:rFonts w:ascii="宋体" w:hAnsi="宋体" w:cs="宋体" w:eastAsia="宋体" w:hint="default"/>
                <w:sz w:val="21"/>
                <w:szCs w:val="21"/>
              </w:rPr>
            </w:pPr>
            <w:r>
              <w:rPr>
                <w:rFonts w:ascii="宋体" w:hAnsi="宋体" w:cs="宋体" w:eastAsia="宋体" w:hint="default"/>
                <w:sz w:val="21"/>
                <w:szCs w:val="21"/>
              </w:rPr>
              <w:t>是否已 变更项 目</w:t>
            </w:r>
            <w:r>
              <w:rPr>
                <w:rFonts w:ascii="宋体" w:hAnsi="宋体" w:cs="宋体" w:eastAsia="宋体" w:hint="default"/>
                <w:sz w:val="21"/>
                <w:szCs w:val="21"/>
              </w:rPr>
              <w:t>(</w:t>
            </w:r>
            <w:r>
              <w:rPr>
                <w:rFonts w:ascii="宋体" w:hAnsi="宋体" w:cs="宋体" w:eastAsia="宋体" w:hint="default"/>
                <w:sz w:val="21"/>
                <w:szCs w:val="21"/>
              </w:rPr>
              <w:t>含 部分变 更</w:t>
            </w:r>
            <w:r>
              <w:rPr>
                <w:rFonts w:ascii="宋体" w:hAnsi="宋体" w:cs="宋体" w:eastAsia="宋体" w:hint="default"/>
                <w:sz w:val="21"/>
                <w:szCs w:val="21"/>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25"/>
                <w:szCs w:val="25"/>
              </w:rPr>
            </w:pPr>
          </w:p>
          <w:p>
            <w:pPr>
              <w:pStyle w:val="TableParagraph"/>
              <w:spacing w:line="273" w:lineRule="auto"/>
              <w:ind w:left="69" w:right="68"/>
              <w:jc w:val="center"/>
              <w:rPr>
                <w:rFonts w:ascii="宋体" w:hAnsi="宋体" w:cs="宋体" w:eastAsia="宋体" w:hint="default"/>
                <w:sz w:val="21"/>
                <w:szCs w:val="21"/>
              </w:rPr>
            </w:pPr>
            <w:r>
              <w:rPr>
                <w:rFonts w:ascii="宋体" w:hAnsi="宋体" w:cs="宋体" w:eastAsia="宋体" w:hint="default"/>
                <w:sz w:val="21"/>
                <w:szCs w:val="21"/>
              </w:rPr>
              <w:t>募集资 金承诺 投资总 额</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273" w:lineRule="auto"/>
              <w:ind w:left="69" w:right="69"/>
              <w:jc w:val="both"/>
              <w:rPr>
                <w:rFonts w:ascii="宋体" w:hAnsi="宋体" w:cs="宋体" w:eastAsia="宋体" w:hint="default"/>
                <w:sz w:val="21"/>
                <w:szCs w:val="21"/>
              </w:rPr>
            </w:pPr>
            <w:r>
              <w:rPr>
                <w:rFonts w:ascii="宋体" w:hAnsi="宋体" w:cs="宋体" w:eastAsia="宋体" w:hint="default"/>
                <w:sz w:val="21"/>
                <w:szCs w:val="21"/>
              </w:rPr>
              <w:t>调整后 投资总 额</w:t>
            </w:r>
            <w:r>
              <w:rPr>
                <w:rFonts w:ascii="宋体" w:hAnsi="宋体" w:cs="宋体" w:eastAsia="宋体" w:hint="default"/>
                <w:sz w:val="21"/>
                <w:szCs w:val="21"/>
              </w:rPr>
              <w:t>(1)</w:t>
            </w:r>
          </w:p>
        </w:tc>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273" w:lineRule="auto"/>
              <w:ind w:left="68" w:right="68"/>
              <w:jc w:val="both"/>
              <w:rPr>
                <w:rFonts w:ascii="宋体" w:hAnsi="宋体" w:cs="宋体" w:eastAsia="宋体" w:hint="default"/>
                <w:sz w:val="21"/>
                <w:szCs w:val="21"/>
              </w:rPr>
            </w:pPr>
            <w:r>
              <w:rPr>
                <w:rFonts w:ascii="宋体" w:hAnsi="宋体" w:cs="宋体" w:eastAsia="宋体" w:hint="default"/>
                <w:sz w:val="21"/>
                <w:szCs w:val="21"/>
              </w:rPr>
              <w:t>本报告 期投入 金额</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25"/>
                <w:szCs w:val="25"/>
              </w:rPr>
            </w:pPr>
          </w:p>
          <w:p>
            <w:pPr>
              <w:pStyle w:val="TableParagraph"/>
              <w:spacing w:line="273" w:lineRule="auto"/>
              <w:ind w:left="70" w:right="67"/>
              <w:jc w:val="both"/>
              <w:rPr>
                <w:rFonts w:ascii="宋体" w:hAnsi="宋体" w:cs="宋体" w:eastAsia="宋体" w:hint="default"/>
                <w:sz w:val="21"/>
                <w:szCs w:val="21"/>
              </w:rPr>
            </w:pPr>
            <w:r>
              <w:rPr>
                <w:rFonts w:ascii="宋体" w:hAnsi="宋体" w:cs="宋体" w:eastAsia="宋体" w:hint="default"/>
                <w:sz w:val="21"/>
                <w:szCs w:val="21"/>
              </w:rPr>
              <w:t>截至期 末累计 投入金 额</w:t>
            </w:r>
            <w:r>
              <w:rPr>
                <w:rFonts w:ascii="宋体" w:hAnsi="宋体" w:cs="宋体" w:eastAsia="宋体" w:hint="default"/>
                <w:sz w:val="21"/>
                <w:szCs w:val="21"/>
              </w:rPr>
              <w:t>(2)</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auto" w:before="26"/>
              <w:ind w:left="70" w:right="67"/>
              <w:jc w:val="center"/>
              <w:rPr>
                <w:rFonts w:ascii="宋体" w:hAnsi="宋体" w:cs="宋体" w:eastAsia="宋体" w:hint="default"/>
                <w:sz w:val="21"/>
                <w:szCs w:val="21"/>
              </w:rPr>
            </w:pPr>
            <w:r>
              <w:rPr>
                <w:rFonts w:ascii="宋体" w:hAnsi="宋体" w:cs="宋体" w:eastAsia="宋体" w:hint="default"/>
                <w:sz w:val="21"/>
                <w:szCs w:val="21"/>
              </w:rPr>
              <w:t>截至期 末投资 进度 </w:t>
            </w:r>
            <w:r>
              <w:rPr>
                <w:rFonts w:ascii="宋体" w:hAnsi="宋体" w:cs="宋体" w:eastAsia="宋体" w:hint="default"/>
                <w:sz w:val="21"/>
                <w:szCs w:val="21"/>
              </w:rPr>
              <w:t>(3)</w:t>
            </w:r>
            <w:r>
              <w:rPr>
                <w:rFonts w:ascii="宋体" w:hAnsi="宋体" w:cs="宋体" w:eastAsia="宋体" w:hint="default"/>
                <w:sz w:val="21"/>
                <w:szCs w:val="21"/>
              </w:rPr>
              <w:t>＝ </w:t>
            </w:r>
            <w:r>
              <w:rPr>
                <w:rFonts w:ascii="宋体" w:hAnsi="宋体" w:cs="宋体" w:eastAsia="宋体" w:hint="default"/>
                <w:sz w:val="21"/>
                <w:szCs w:val="21"/>
              </w:rPr>
              <w:t>(2)/(1</w:t>
            </w:r>
          </w:p>
          <w:p>
            <w:pPr>
              <w:pStyle w:val="TableParagraph"/>
              <w:spacing w:line="240" w:lineRule="auto" w:before="11"/>
              <w:ind w:left="1" w:right="0"/>
              <w:jc w:val="center"/>
              <w:rPr>
                <w:rFonts w:ascii="宋体" w:hAnsi="宋体" w:cs="宋体" w:eastAsia="宋体" w:hint="default"/>
                <w:sz w:val="21"/>
                <w:szCs w:val="21"/>
              </w:rPr>
            </w:pPr>
            <w:r>
              <w:rPr>
                <w:rFonts w:ascii="宋体"/>
                <w:sz w:val="21"/>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73" w:lineRule="auto"/>
              <w:ind w:left="70" w:right="69"/>
              <w:jc w:val="center"/>
              <w:rPr>
                <w:rFonts w:ascii="宋体" w:hAnsi="宋体" w:cs="宋体" w:eastAsia="宋体" w:hint="default"/>
                <w:sz w:val="21"/>
                <w:szCs w:val="21"/>
              </w:rPr>
            </w:pPr>
            <w:r>
              <w:rPr>
                <w:rFonts w:ascii="宋体" w:hAnsi="宋体" w:cs="宋体" w:eastAsia="宋体" w:hint="default"/>
                <w:sz w:val="21"/>
                <w:szCs w:val="21"/>
              </w:rPr>
              <w:t>项目达 到预定 可使用 状态日 期</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273" w:lineRule="auto"/>
              <w:ind w:left="70" w:right="67"/>
              <w:jc w:val="both"/>
              <w:rPr>
                <w:rFonts w:ascii="宋体" w:hAnsi="宋体" w:cs="宋体" w:eastAsia="宋体" w:hint="default"/>
                <w:sz w:val="21"/>
                <w:szCs w:val="21"/>
              </w:rPr>
            </w:pPr>
            <w:r>
              <w:rPr>
                <w:rFonts w:ascii="宋体" w:hAnsi="宋体" w:cs="宋体" w:eastAsia="宋体" w:hint="default"/>
                <w:sz w:val="21"/>
                <w:szCs w:val="21"/>
              </w:rPr>
              <w:t>本报告 期实现 的效益</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273" w:lineRule="auto"/>
              <w:ind w:left="70" w:right="67"/>
              <w:jc w:val="both"/>
              <w:rPr>
                <w:rFonts w:ascii="宋体" w:hAnsi="宋体" w:cs="宋体" w:eastAsia="宋体" w:hint="default"/>
                <w:sz w:val="21"/>
                <w:szCs w:val="21"/>
              </w:rPr>
            </w:pPr>
            <w:r>
              <w:rPr>
                <w:rFonts w:ascii="宋体" w:hAnsi="宋体" w:cs="宋体" w:eastAsia="宋体" w:hint="default"/>
                <w:sz w:val="21"/>
                <w:szCs w:val="21"/>
              </w:rPr>
              <w:t>是否达 到预计 效益</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73" w:lineRule="auto"/>
              <w:ind w:left="70" w:right="67"/>
              <w:jc w:val="center"/>
              <w:rPr>
                <w:rFonts w:ascii="宋体" w:hAnsi="宋体" w:cs="宋体" w:eastAsia="宋体" w:hint="default"/>
                <w:sz w:val="21"/>
                <w:szCs w:val="21"/>
              </w:rPr>
            </w:pPr>
            <w:r>
              <w:rPr>
                <w:rFonts w:ascii="宋体" w:hAnsi="宋体" w:cs="宋体" w:eastAsia="宋体" w:hint="default"/>
                <w:sz w:val="21"/>
                <w:szCs w:val="21"/>
              </w:rPr>
              <w:t>项目可 行性是 否发生 重大变 化</w:t>
            </w:r>
          </w:p>
        </w:tc>
      </w:tr>
      <w:tr>
        <w:trPr>
          <w:trHeight w:val="402" w:hRule="exact"/>
        </w:trPr>
        <w:tc>
          <w:tcPr>
            <w:tcW w:w="9569"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承诺投资项目</w:t>
            </w: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73" w:lineRule="auto"/>
              <w:ind w:left="22" w:right="22"/>
              <w:jc w:val="left"/>
              <w:rPr>
                <w:rFonts w:ascii="宋体" w:hAnsi="宋体" w:cs="宋体" w:eastAsia="宋体" w:hint="default"/>
                <w:sz w:val="21"/>
                <w:szCs w:val="21"/>
              </w:rPr>
            </w:pPr>
            <w:r>
              <w:rPr>
                <w:rFonts w:ascii="宋体" w:hAnsi="宋体" w:cs="宋体" w:eastAsia="宋体" w:hint="default"/>
                <w:spacing w:val="-9"/>
                <w:sz w:val="21"/>
                <w:szCs w:val="21"/>
              </w:rPr>
              <w:t>1</w:t>
            </w:r>
            <w:r>
              <w:rPr>
                <w:rFonts w:ascii="宋体" w:hAnsi="宋体" w:cs="宋体" w:eastAsia="宋体" w:hint="default"/>
                <w:spacing w:val="-9"/>
                <w:sz w:val="21"/>
                <w:szCs w:val="21"/>
              </w:rPr>
              <w:t>、铁路灾害监测及</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预警系统</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116" w:right="0"/>
              <w:jc w:val="left"/>
              <w:rPr>
                <w:rFonts w:ascii="宋体" w:hAnsi="宋体" w:cs="宋体" w:eastAsia="宋体" w:hint="default"/>
                <w:sz w:val="21"/>
                <w:szCs w:val="21"/>
              </w:rPr>
            </w:pPr>
            <w:r>
              <w:rPr>
                <w:rFonts w:ascii="宋体"/>
                <w:sz w:val="21"/>
              </w:rPr>
              <w:t>21,889</w:t>
            </w:r>
          </w:p>
          <w:p>
            <w:pPr>
              <w:pStyle w:val="TableParagraph"/>
              <w:spacing w:line="240" w:lineRule="auto" w:before="37"/>
              <w:ind w:left="432" w:right="0"/>
              <w:jc w:val="left"/>
              <w:rPr>
                <w:rFonts w:ascii="宋体" w:hAnsi="宋体" w:cs="宋体" w:eastAsia="宋体" w:hint="default"/>
                <w:sz w:val="21"/>
                <w:szCs w:val="21"/>
              </w:rPr>
            </w:pPr>
            <w:r>
              <w:rPr>
                <w:rFonts w:ascii="宋体"/>
                <w:sz w:val="21"/>
              </w:rPr>
              <w:t>.50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116" w:right="0"/>
              <w:jc w:val="left"/>
              <w:rPr>
                <w:rFonts w:ascii="宋体" w:hAnsi="宋体" w:cs="宋体" w:eastAsia="宋体" w:hint="default"/>
                <w:sz w:val="21"/>
                <w:szCs w:val="21"/>
              </w:rPr>
            </w:pPr>
            <w:r>
              <w:rPr>
                <w:rFonts w:ascii="宋体"/>
                <w:sz w:val="21"/>
              </w:rPr>
              <w:t>21,889</w:t>
            </w:r>
          </w:p>
          <w:p>
            <w:pPr>
              <w:pStyle w:val="TableParagraph"/>
              <w:spacing w:line="240" w:lineRule="auto" w:before="37"/>
              <w:ind w:left="432" w:right="0"/>
              <w:jc w:val="left"/>
              <w:rPr>
                <w:rFonts w:ascii="宋体" w:hAnsi="宋体" w:cs="宋体" w:eastAsia="宋体" w:hint="default"/>
                <w:sz w:val="21"/>
                <w:szCs w:val="21"/>
              </w:rPr>
            </w:pPr>
            <w:r>
              <w:rPr>
                <w:rFonts w:ascii="宋体"/>
                <w:sz w:val="21"/>
              </w:rPr>
              <w:t>.50</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21"/>
              <w:jc w:val="right"/>
              <w:rPr>
                <w:rFonts w:ascii="宋体" w:hAnsi="宋体" w:cs="宋体" w:eastAsia="宋体" w:hint="default"/>
                <w:sz w:val="21"/>
                <w:szCs w:val="21"/>
              </w:rPr>
            </w:pPr>
            <w:r>
              <w:rPr>
                <w:rFonts w:ascii="宋体"/>
                <w:sz w:val="21"/>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20"/>
              <w:jc w:val="right"/>
              <w:rPr>
                <w:rFonts w:ascii="宋体" w:hAnsi="宋体" w:cs="宋体" w:eastAsia="宋体" w:hint="default"/>
                <w:sz w:val="21"/>
                <w:szCs w:val="21"/>
              </w:rPr>
            </w:pPr>
            <w:r>
              <w:rPr>
                <w:rFonts w:ascii="宋体"/>
                <w:sz w:val="21"/>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20"/>
              <w:jc w:val="right"/>
              <w:rPr>
                <w:rFonts w:ascii="宋体" w:hAnsi="宋体" w:cs="宋体" w:eastAsia="宋体" w:hint="default"/>
                <w:sz w:val="21"/>
                <w:szCs w:val="21"/>
              </w:rPr>
            </w:pPr>
            <w:r>
              <w:rPr>
                <w:rFonts w:ascii="宋体"/>
                <w:sz w:val="21"/>
              </w:rPr>
              <w:t>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3"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1"/>
                <w:sz w:val="21"/>
                <w:szCs w:val="21"/>
              </w:rPr>
              <w:t> </w:t>
            </w:r>
            <w:r>
              <w:rPr>
                <w:rFonts w:ascii="宋体" w:hAnsi="宋体" w:cs="宋体" w:eastAsia="宋体" w:hint="default"/>
                <w:sz w:val="21"/>
                <w:szCs w:val="21"/>
              </w:rPr>
              <w:t>年</w:t>
            </w:r>
          </w:p>
          <w:p>
            <w:pPr>
              <w:pStyle w:val="TableParagraph"/>
              <w:spacing w:line="240" w:lineRule="auto" w:before="36"/>
              <w:ind w:left="23" w:right="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9"/>
                <w:sz w:val="21"/>
                <w:szCs w:val="21"/>
              </w:rPr>
              <w:t> </w:t>
            </w:r>
            <w:r>
              <w:rPr>
                <w:rFonts w:ascii="宋体" w:hAnsi="宋体" w:cs="宋体" w:eastAsia="宋体" w:hint="default"/>
                <w:sz w:val="21"/>
                <w:szCs w:val="21"/>
              </w:rPr>
              <w:t>月</w:t>
            </w:r>
            <w:r>
              <w:rPr>
                <w:rFonts w:ascii="宋体" w:hAnsi="宋体" w:cs="宋体" w:eastAsia="宋体" w:hint="default"/>
                <w:spacing w:val="-59"/>
                <w:sz w:val="21"/>
                <w:szCs w:val="21"/>
              </w:rPr>
              <w:t> </w:t>
            </w:r>
            <w:r>
              <w:rPr>
                <w:rFonts w:ascii="宋体" w:hAnsi="宋体" w:cs="宋体" w:eastAsia="宋体" w:hint="default"/>
                <w:sz w:val="21"/>
                <w:szCs w:val="21"/>
              </w:rPr>
              <w:t>31</w:t>
            </w:r>
          </w:p>
          <w:p>
            <w:pPr>
              <w:pStyle w:val="TableParagraph"/>
              <w:spacing w:line="240" w:lineRule="auto" w:before="38"/>
              <w:ind w:left="23" w:right="0"/>
              <w:jc w:val="left"/>
              <w:rPr>
                <w:rFonts w:ascii="宋体" w:hAnsi="宋体" w:cs="宋体" w:eastAsia="宋体" w:hint="default"/>
                <w:sz w:val="21"/>
                <w:szCs w:val="21"/>
              </w:rPr>
            </w:pPr>
            <w:r>
              <w:rPr>
                <w:rFonts w:ascii="宋体" w:hAnsi="宋体" w:cs="宋体" w:eastAsia="宋体" w:hint="default"/>
                <w:sz w:val="21"/>
                <w:szCs w:val="21"/>
              </w:rPr>
              <w:t>日</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20"/>
              <w:jc w:val="right"/>
              <w:rPr>
                <w:rFonts w:ascii="宋体" w:hAnsi="宋体" w:cs="宋体" w:eastAsia="宋体" w:hint="default"/>
                <w:sz w:val="21"/>
                <w:szCs w:val="21"/>
              </w:rPr>
            </w:pPr>
            <w:r>
              <w:rPr>
                <w:rFonts w:ascii="宋体"/>
                <w:sz w:val="21"/>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73" w:lineRule="auto"/>
              <w:ind w:left="22" w:right="22"/>
              <w:jc w:val="left"/>
              <w:rPr>
                <w:rFonts w:ascii="宋体" w:hAnsi="宋体" w:cs="宋体" w:eastAsia="宋体" w:hint="default"/>
                <w:sz w:val="21"/>
                <w:szCs w:val="21"/>
              </w:rPr>
            </w:pPr>
            <w:r>
              <w:rPr>
                <w:rFonts w:ascii="宋体" w:hAnsi="宋体" w:cs="宋体" w:eastAsia="宋体" w:hint="default"/>
                <w:spacing w:val="-9"/>
                <w:sz w:val="21"/>
                <w:szCs w:val="21"/>
              </w:rPr>
              <w:t>2</w:t>
            </w:r>
            <w:r>
              <w:rPr>
                <w:rFonts w:ascii="宋体" w:hAnsi="宋体" w:cs="宋体" w:eastAsia="宋体" w:hint="default"/>
                <w:spacing w:val="-9"/>
                <w:sz w:val="21"/>
                <w:szCs w:val="21"/>
              </w:rPr>
              <w:t>、铁路综合视频监</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控系统</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116" w:right="0"/>
              <w:jc w:val="left"/>
              <w:rPr>
                <w:rFonts w:ascii="宋体" w:hAnsi="宋体" w:cs="宋体" w:eastAsia="宋体" w:hint="default"/>
                <w:sz w:val="21"/>
                <w:szCs w:val="21"/>
              </w:rPr>
            </w:pPr>
            <w:r>
              <w:rPr>
                <w:rFonts w:ascii="宋体"/>
                <w:sz w:val="21"/>
              </w:rPr>
              <w:t>13,895</w:t>
            </w:r>
          </w:p>
          <w:p>
            <w:pPr>
              <w:pStyle w:val="TableParagraph"/>
              <w:spacing w:line="240" w:lineRule="auto" w:before="37"/>
              <w:ind w:left="432" w:right="0"/>
              <w:jc w:val="left"/>
              <w:rPr>
                <w:rFonts w:ascii="宋体" w:hAnsi="宋体" w:cs="宋体" w:eastAsia="宋体" w:hint="default"/>
                <w:sz w:val="21"/>
                <w:szCs w:val="21"/>
              </w:rPr>
            </w:pPr>
            <w:r>
              <w:rPr>
                <w:rFonts w:ascii="宋体"/>
                <w:sz w:val="21"/>
              </w:rPr>
              <w:t>.50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116" w:right="0"/>
              <w:jc w:val="left"/>
              <w:rPr>
                <w:rFonts w:ascii="宋体" w:hAnsi="宋体" w:cs="宋体" w:eastAsia="宋体" w:hint="default"/>
                <w:sz w:val="21"/>
                <w:szCs w:val="21"/>
              </w:rPr>
            </w:pPr>
            <w:r>
              <w:rPr>
                <w:rFonts w:ascii="宋体"/>
                <w:sz w:val="21"/>
              </w:rPr>
              <w:t>13,895</w:t>
            </w:r>
          </w:p>
          <w:p>
            <w:pPr>
              <w:pStyle w:val="TableParagraph"/>
              <w:spacing w:line="240" w:lineRule="auto" w:before="37"/>
              <w:ind w:left="432" w:right="0"/>
              <w:jc w:val="left"/>
              <w:rPr>
                <w:rFonts w:ascii="宋体" w:hAnsi="宋体" w:cs="宋体" w:eastAsia="宋体" w:hint="default"/>
                <w:sz w:val="21"/>
                <w:szCs w:val="21"/>
              </w:rPr>
            </w:pPr>
            <w:r>
              <w:rPr>
                <w:rFonts w:ascii="宋体"/>
                <w:sz w:val="21"/>
              </w:rPr>
              <w:t>.50</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21"/>
              <w:jc w:val="right"/>
              <w:rPr>
                <w:rFonts w:ascii="宋体" w:hAnsi="宋体" w:cs="宋体" w:eastAsia="宋体" w:hint="default"/>
                <w:sz w:val="21"/>
                <w:szCs w:val="21"/>
              </w:rPr>
            </w:pPr>
            <w:r>
              <w:rPr>
                <w:rFonts w:ascii="宋体"/>
                <w:sz w:val="21"/>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20"/>
              <w:jc w:val="right"/>
              <w:rPr>
                <w:rFonts w:ascii="宋体" w:hAnsi="宋体" w:cs="宋体" w:eastAsia="宋体" w:hint="default"/>
                <w:sz w:val="21"/>
                <w:szCs w:val="21"/>
              </w:rPr>
            </w:pPr>
            <w:r>
              <w:rPr>
                <w:rFonts w:ascii="宋体"/>
                <w:sz w:val="21"/>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20"/>
              <w:jc w:val="right"/>
              <w:rPr>
                <w:rFonts w:ascii="宋体" w:hAnsi="宋体" w:cs="宋体" w:eastAsia="宋体" w:hint="default"/>
                <w:sz w:val="21"/>
                <w:szCs w:val="21"/>
              </w:rPr>
            </w:pPr>
            <w:r>
              <w:rPr>
                <w:rFonts w:ascii="宋体"/>
                <w:sz w:val="21"/>
              </w:rPr>
              <w:t>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3"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1"/>
                <w:sz w:val="21"/>
                <w:szCs w:val="21"/>
              </w:rPr>
              <w:t> </w:t>
            </w:r>
            <w:r>
              <w:rPr>
                <w:rFonts w:ascii="宋体" w:hAnsi="宋体" w:cs="宋体" w:eastAsia="宋体" w:hint="default"/>
                <w:sz w:val="21"/>
                <w:szCs w:val="21"/>
              </w:rPr>
              <w:t>年</w:t>
            </w:r>
          </w:p>
          <w:p>
            <w:pPr>
              <w:pStyle w:val="TableParagraph"/>
              <w:spacing w:line="240" w:lineRule="auto" w:before="36"/>
              <w:ind w:left="23" w:right="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9"/>
                <w:sz w:val="21"/>
                <w:szCs w:val="21"/>
              </w:rPr>
              <w:t> </w:t>
            </w:r>
            <w:r>
              <w:rPr>
                <w:rFonts w:ascii="宋体" w:hAnsi="宋体" w:cs="宋体" w:eastAsia="宋体" w:hint="default"/>
                <w:sz w:val="21"/>
                <w:szCs w:val="21"/>
              </w:rPr>
              <w:t>月</w:t>
            </w:r>
            <w:r>
              <w:rPr>
                <w:rFonts w:ascii="宋体" w:hAnsi="宋体" w:cs="宋体" w:eastAsia="宋体" w:hint="default"/>
                <w:spacing w:val="-59"/>
                <w:sz w:val="21"/>
                <w:szCs w:val="21"/>
              </w:rPr>
              <w:t> </w:t>
            </w:r>
            <w:r>
              <w:rPr>
                <w:rFonts w:ascii="宋体" w:hAnsi="宋体" w:cs="宋体" w:eastAsia="宋体" w:hint="default"/>
                <w:sz w:val="21"/>
                <w:szCs w:val="21"/>
              </w:rPr>
              <w:t>31</w:t>
            </w:r>
          </w:p>
          <w:p>
            <w:pPr>
              <w:pStyle w:val="TableParagraph"/>
              <w:spacing w:line="240" w:lineRule="auto" w:before="38"/>
              <w:ind w:left="23" w:right="0"/>
              <w:jc w:val="left"/>
              <w:rPr>
                <w:rFonts w:ascii="宋体" w:hAnsi="宋体" w:cs="宋体" w:eastAsia="宋体" w:hint="default"/>
                <w:sz w:val="21"/>
                <w:szCs w:val="21"/>
              </w:rPr>
            </w:pPr>
            <w:r>
              <w:rPr>
                <w:rFonts w:ascii="宋体" w:hAnsi="宋体" w:cs="宋体" w:eastAsia="宋体" w:hint="default"/>
                <w:sz w:val="21"/>
                <w:szCs w:val="21"/>
              </w:rPr>
              <w:t>日</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20"/>
              <w:jc w:val="right"/>
              <w:rPr>
                <w:rFonts w:ascii="宋体" w:hAnsi="宋体" w:cs="宋体" w:eastAsia="宋体" w:hint="default"/>
                <w:sz w:val="21"/>
                <w:szCs w:val="21"/>
              </w:rPr>
            </w:pPr>
            <w:r>
              <w:rPr>
                <w:rFonts w:ascii="宋体"/>
                <w:sz w:val="21"/>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73" w:lineRule="auto"/>
              <w:ind w:left="22" w:right="22"/>
              <w:jc w:val="left"/>
              <w:rPr>
                <w:rFonts w:ascii="宋体" w:hAnsi="宋体" w:cs="宋体" w:eastAsia="宋体" w:hint="default"/>
                <w:sz w:val="21"/>
                <w:szCs w:val="21"/>
              </w:rPr>
            </w:pPr>
            <w:r>
              <w:rPr>
                <w:rFonts w:ascii="宋体" w:hAnsi="宋体" w:cs="宋体" w:eastAsia="宋体" w:hint="default"/>
                <w:spacing w:val="-9"/>
                <w:sz w:val="21"/>
                <w:szCs w:val="21"/>
              </w:rPr>
              <w:t>3</w:t>
            </w:r>
            <w:r>
              <w:rPr>
                <w:rFonts w:ascii="宋体" w:hAnsi="宋体" w:cs="宋体" w:eastAsia="宋体" w:hint="default"/>
                <w:spacing w:val="-9"/>
                <w:sz w:val="21"/>
                <w:szCs w:val="21"/>
              </w:rPr>
              <w:t>、智能综合监控系</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统</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116" w:right="0"/>
              <w:jc w:val="left"/>
              <w:rPr>
                <w:rFonts w:ascii="宋体" w:hAnsi="宋体" w:cs="宋体" w:eastAsia="宋体" w:hint="default"/>
                <w:sz w:val="21"/>
                <w:szCs w:val="21"/>
              </w:rPr>
            </w:pPr>
            <w:r>
              <w:rPr>
                <w:rFonts w:ascii="宋体"/>
                <w:sz w:val="21"/>
              </w:rPr>
              <w:t>16,445</w:t>
            </w:r>
          </w:p>
          <w:p>
            <w:pPr>
              <w:pStyle w:val="TableParagraph"/>
              <w:spacing w:line="240" w:lineRule="auto" w:before="37"/>
              <w:ind w:left="432" w:right="0"/>
              <w:jc w:val="left"/>
              <w:rPr>
                <w:rFonts w:ascii="宋体" w:hAnsi="宋体" w:cs="宋体" w:eastAsia="宋体" w:hint="default"/>
                <w:sz w:val="21"/>
                <w:szCs w:val="21"/>
              </w:rPr>
            </w:pPr>
            <w:r>
              <w:rPr>
                <w:rFonts w:ascii="宋体"/>
                <w:sz w:val="21"/>
              </w:rPr>
              <w:t>.30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116" w:right="0"/>
              <w:jc w:val="left"/>
              <w:rPr>
                <w:rFonts w:ascii="宋体" w:hAnsi="宋体" w:cs="宋体" w:eastAsia="宋体" w:hint="default"/>
                <w:sz w:val="21"/>
                <w:szCs w:val="21"/>
              </w:rPr>
            </w:pPr>
            <w:r>
              <w:rPr>
                <w:rFonts w:ascii="宋体"/>
                <w:sz w:val="21"/>
              </w:rPr>
              <w:t>16,445</w:t>
            </w:r>
          </w:p>
          <w:p>
            <w:pPr>
              <w:pStyle w:val="TableParagraph"/>
              <w:spacing w:line="240" w:lineRule="auto" w:before="37"/>
              <w:ind w:left="432" w:right="0"/>
              <w:jc w:val="left"/>
              <w:rPr>
                <w:rFonts w:ascii="宋体" w:hAnsi="宋体" w:cs="宋体" w:eastAsia="宋体" w:hint="default"/>
                <w:sz w:val="21"/>
                <w:szCs w:val="21"/>
              </w:rPr>
            </w:pPr>
            <w:r>
              <w:rPr>
                <w:rFonts w:ascii="宋体"/>
                <w:sz w:val="21"/>
              </w:rPr>
              <w:t>.30</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21"/>
              <w:jc w:val="right"/>
              <w:rPr>
                <w:rFonts w:ascii="宋体" w:hAnsi="宋体" w:cs="宋体" w:eastAsia="宋体" w:hint="default"/>
                <w:sz w:val="21"/>
                <w:szCs w:val="21"/>
              </w:rPr>
            </w:pPr>
            <w:r>
              <w:rPr>
                <w:rFonts w:ascii="宋体"/>
                <w:sz w:val="21"/>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20"/>
              <w:jc w:val="right"/>
              <w:rPr>
                <w:rFonts w:ascii="宋体" w:hAnsi="宋体" w:cs="宋体" w:eastAsia="宋体" w:hint="default"/>
                <w:sz w:val="21"/>
                <w:szCs w:val="21"/>
              </w:rPr>
            </w:pPr>
            <w:r>
              <w:rPr>
                <w:rFonts w:ascii="宋体"/>
                <w:sz w:val="21"/>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20"/>
              <w:jc w:val="right"/>
              <w:rPr>
                <w:rFonts w:ascii="宋体" w:hAnsi="宋体" w:cs="宋体" w:eastAsia="宋体" w:hint="default"/>
                <w:sz w:val="21"/>
                <w:szCs w:val="21"/>
              </w:rPr>
            </w:pPr>
            <w:r>
              <w:rPr>
                <w:rFonts w:ascii="宋体"/>
                <w:sz w:val="21"/>
              </w:rPr>
              <w:t>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3"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1"/>
                <w:sz w:val="21"/>
                <w:szCs w:val="21"/>
              </w:rPr>
              <w:t> </w:t>
            </w:r>
            <w:r>
              <w:rPr>
                <w:rFonts w:ascii="宋体" w:hAnsi="宋体" w:cs="宋体" w:eastAsia="宋体" w:hint="default"/>
                <w:sz w:val="21"/>
                <w:szCs w:val="21"/>
              </w:rPr>
              <w:t>年</w:t>
            </w:r>
          </w:p>
          <w:p>
            <w:pPr>
              <w:pStyle w:val="TableParagraph"/>
              <w:spacing w:line="240" w:lineRule="auto" w:before="36"/>
              <w:ind w:left="23" w:right="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9"/>
                <w:sz w:val="21"/>
                <w:szCs w:val="21"/>
              </w:rPr>
              <w:t> </w:t>
            </w:r>
            <w:r>
              <w:rPr>
                <w:rFonts w:ascii="宋体" w:hAnsi="宋体" w:cs="宋体" w:eastAsia="宋体" w:hint="default"/>
                <w:sz w:val="21"/>
                <w:szCs w:val="21"/>
              </w:rPr>
              <w:t>月</w:t>
            </w:r>
            <w:r>
              <w:rPr>
                <w:rFonts w:ascii="宋体" w:hAnsi="宋体" w:cs="宋体" w:eastAsia="宋体" w:hint="default"/>
                <w:spacing w:val="-59"/>
                <w:sz w:val="21"/>
                <w:szCs w:val="21"/>
              </w:rPr>
              <w:t> </w:t>
            </w:r>
            <w:r>
              <w:rPr>
                <w:rFonts w:ascii="宋体" w:hAnsi="宋体" w:cs="宋体" w:eastAsia="宋体" w:hint="default"/>
                <w:sz w:val="21"/>
                <w:szCs w:val="21"/>
              </w:rPr>
              <w:t>31</w:t>
            </w:r>
          </w:p>
          <w:p>
            <w:pPr>
              <w:pStyle w:val="TableParagraph"/>
              <w:spacing w:line="240" w:lineRule="auto" w:before="38"/>
              <w:ind w:left="23" w:right="0"/>
              <w:jc w:val="left"/>
              <w:rPr>
                <w:rFonts w:ascii="宋体" w:hAnsi="宋体" w:cs="宋体" w:eastAsia="宋体" w:hint="default"/>
                <w:sz w:val="21"/>
                <w:szCs w:val="21"/>
              </w:rPr>
            </w:pPr>
            <w:r>
              <w:rPr>
                <w:rFonts w:ascii="宋体" w:hAnsi="宋体" w:cs="宋体" w:eastAsia="宋体" w:hint="default"/>
                <w:sz w:val="21"/>
                <w:szCs w:val="21"/>
              </w:rPr>
              <w:t>日</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20"/>
              <w:jc w:val="right"/>
              <w:rPr>
                <w:rFonts w:ascii="宋体" w:hAnsi="宋体" w:cs="宋体" w:eastAsia="宋体" w:hint="default"/>
                <w:sz w:val="21"/>
                <w:szCs w:val="21"/>
              </w:rPr>
            </w:pPr>
            <w:r>
              <w:rPr>
                <w:rFonts w:ascii="宋体"/>
                <w:sz w:val="21"/>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73" w:lineRule="auto"/>
              <w:ind w:left="22" w:right="22"/>
              <w:jc w:val="left"/>
              <w:rPr>
                <w:rFonts w:ascii="宋体" w:hAnsi="宋体" w:cs="宋体" w:eastAsia="宋体" w:hint="default"/>
                <w:sz w:val="21"/>
                <w:szCs w:val="21"/>
              </w:rPr>
            </w:pPr>
            <w:r>
              <w:rPr>
                <w:rFonts w:ascii="宋体" w:hAnsi="宋体" w:cs="宋体" w:eastAsia="宋体" w:hint="default"/>
                <w:spacing w:val="-9"/>
                <w:sz w:val="21"/>
                <w:szCs w:val="21"/>
              </w:rPr>
              <w:t>4</w:t>
            </w:r>
            <w:r>
              <w:rPr>
                <w:rFonts w:ascii="宋体" w:hAnsi="宋体" w:cs="宋体" w:eastAsia="宋体" w:hint="default"/>
                <w:spacing w:val="-9"/>
                <w:sz w:val="21"/>
                <w:szCs w:val="21"/>
              </w:rPr>
              <w:t>、轨道交通运营安</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全服务系统</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116" w:right="0"/>
              <w:jc w:val="left"/>
              <w:rPr>
                <w:rFonts w:ascii="宋体" w:hAnsi="宋体" w:cs="宋体" w:eastAsia="宋体" w:hint="default"/>
                <w:sz w:val="21"/>
                <w:szCs w:val="21"/>
              </w:rPr>
            </w:pPr>
            <w:r>
              <w:rPr>
                <w:rFonts w:ascii="宋体"/>
                <w:sz w:val="21"/>
              </w:rPr>
              <w:t>17,062</w:t>
            </w:r>
          </w:p>
          <w:p>
            <w:pPr>
              <w:pStyle w:val="TableParagraph"/>
              <w:spacing w:line="240" w:lineRule="auto" w:before="37"/>
              <w:ind w:left="432" w:right="0"/>
              <w:jc w:val="left"/>
              <w:rPr>
                <w:rFonts w:ascii="宋体" w:hAnsi="宋体" w:cs="宋体" w:eastAsia="宋体" w:hint="default"/>
                <w:sz w:val="21"/>
                <w:szCs w:val="21"/>
              </w:rPr>
            </w:pPr>
            <w:r>
              <w:rPr>
                <w:rFonts w:ascii="宋体"/>
                <w:sz w:val="21"/>
              </w:rPr>
              <w:t>.00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116" w:right="0"/>
              <w:jc w:val="left"/>
              <w:rPr>
                <w:rFonts w:ascii="宋体" w:hAnsi="宋体" w:cs="宋体" w:eastAsia="宋体" w:hint="default"/>
                <w:sz w:val="21"/>
                <w:szCs w:val="21"/>
              </w:rPr>
            </w:pPr>
            <w:r>
              <w:rPr>
                <w:rFonts w:ascii="宋体"/>
                <w:sz w:val="21"/>
              </w:rPr>
              <w:t>17,062</w:t>
            </w:r>
          </w:p>
          <w:p>
            <w:pPr>
              <w:pStyle w:val="TableParagraph"/>
              <w:spacing w:line="240" w:lineRule="auto" w:before="37"/>
              <w:ind w:left="432" w:right="0"/>
              <w:jc w:val="left"/>
              <w:rPr>
                <w:rFonts w:ascii="宋体" w:hAnsi="宋体" w:cs="宋体" w:eastAsia="宋体" w:hint="default"/>
                <w:sz w:val="21"/>
                <w:szCs w:val="21"/>
              </w:rPr>
            </w:pPr>
            <w:r>
              <w:rPr>
                <w:rFonts w:ascii="宋体"/>
                <w:sz w:val="21"/>
              </w:rPr>
              <w:t>.00</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3"/>
              <w:jc w:val="right"/>
              <w:rPr>
                <w:rFonts w:ascii="宋体" w:hAnsi="宋体" w:cs="宋体" w:eastAsia="宋体" w:hint="default"/>
                <w:sz w:val="21"/>
                <w:szCs w:val="21"/>
              </w:rPr>
            </w:pPr>
            <w:r>
              <w:rPr>
                <w:rFonts w:ascii="宋体"/>
                <w:sz w:val="21"/>
              </w:rPr>
              <w:t>1,875.</w:t>
            </w:r>
          </w:p>
          <w:p>
            <w:pPr>
              <w:pStyle w:val="TableParagraph"/>
              <w:spacing w:line="240" w:lineRule="auto" w:before="37"/>
              <w:ind w:right="20"/>
              <w:jc w:val="right"/>
              <w:rPr>
                <w:rFonts w:ascii="宋体" w:hAnsi="宋体" w:cs="宋体" w:eastAsia="宋体" w:hint="default"/>
                <w:sz w:val="21"/>
                <w:szCs w:val="21"/>
              </w:rPr>
            </w:pPr>
            <w:r>
              <w:rPr>
                <w:rFonts w:ascii="宋体"/>
                <w:sz w:val="21"/>
              </w:rPr>
              <w:t>17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117" w:right="0"/>
              <w:jc w:val="left"/>
              <w:rPr>
                <w:rFonts w:ascii="宋体" w:hAnsi="宋体" w:cs="宋体" w:eastAsia="宋体" w:hint="default"/>
                <w:sz w:val="21"/>
                <w:szCs w:val="21"/>
              </w:rPr>
            </w:pPr>
            <w:r>
              <w:rPr>
                <w:rFonts w:ascii="宋体"/>
                <w:sz w:val="21"/>
              </w:rPr>
              <w:t>10,566</w:t>
            </w:r>
          </w:p>
          <w:p>
            <w:pPr>
              <w:pStyle w:val="TableParagraph"/>
              <w:spacing w:line="240" w:lineRule="auto" w:before="37"/>
              <w:ind w:left="433" w:right="0"/>
              <w:jc w:val="left"/>
              <w:rPr>
                <w:rFonts w:ascii="宋体" w:hAnsi="宋体" w:cs="宋体" w:eastAsia="宋体" w:hint="default"/>
                <w:sz w:val="21"/>
                <w:szCs w:val="21"/>
              </w:rPr>
            </w:pPr>
            <w:r>
              <w:rPr>
                <w:rFonts w:ascii="宋体"/>
                <w:sz w:val="21"/>
              </w:rPr>
              <w:t>.10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20"/>
              <w:jc w:val="right"/>
              <w:rPr>
                <w:rFonts w:ascii="宋体" w:hAnsi="宋体" w:cs="宋体" w:eastAsia="宋体" w:hint="default"/>
                <w:sz w:val="21"/>
                <w:szCs w:val="21"/>
              </w:rPr>
            </w:pPr>
            <w:r>
              <w:rPr>
                <w:rFonts w:ascii="宋体"/>
                <w:sz w:val="21"/>
              </w:rPr>
              <w:t>61.93%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3"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1"/>
                <w:sz w:val="21"/>
                <w:szCs w:val="21"/>
              </w:rPr>
              <w:t> </w:t>
            </w:r>
            <w:r>
              <w:rPr>
                <w:rFonts w:ascii="宋体" w:hAnsi="宋体" w:cs="宋体" w:eastAsia="宋体" w:hint="default"/>
                <w:sz w:val="21"/>
                <w:szCs w:val="21"/>
              </w:rPr>
              <w:t>年</w:t>
            </w:r>
          </w:p>
          <w:p>
            <w:pPr>
              <w:pStyle w:val="TableParagraph"/>
              <w:spacing w:line="240" w:lineRule="auto" w:before="36"/>
              <w:ind w:left="23" w:right="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9"/>
                <w:sz w:val="21"/>
                <w:szCs w:val="21"/>
              </w:rPr>
              <w:t> </w:t>
            </w:r>
            <w:r>
              <w:rPr>
                <w:rFonts w:ascii="宋体" w:hAnsi="宋体" w:cs="宋体" w:eastAsia="宋体" w:hint="default"/>
                <w:sz w:val="21"/>
                <w:szCs w:val="21"/>
              </w:rPr>
              <w:t>月</w:t>
            </w:r>
            <w:r>
              <w:rPr>
                <w:rFonts w:ascii="宋体" w:hAnsi="宋体" w:cs="宋体" w:eastAsia="宋体" w:hint="default"/>
                <w:spacing w:val="-59"/>
                <w:sz w:val="21"/>
                <w:szCs w:val="21"/>
              </w:rPr>
              <w:t> </w:t>
            </w:r>
            <w:r>
              <w:rPr>
                <w:rFonts w:ascii="宋体" w:hAnsi="宋体" w:cs="宋体" w:eastAsia="宋体" w:hint="default"/>
                <w:sz w:val="21"/>
                <w:szCs w:val="21"/>
              </w:rPr>
              <w:t>31</w:t>
            </w:r>
          </w:p>
          <w:p>
            <w:pPr>
              <w:pStyle w:val="TableParagraph"/>
              <w:spacing w:line="240" w:lineRule="auto" w:before="38"/>
              <w:ind w:left="23" w:right="0"/>
              <w:jc w:val="left"/>
              <w:rPr>
                <w:rFonts w:ascii="宋体" w:hAnsi="宋体" w:cs="宋体" w:eastAsia="宋体" w:hint="default"/>
                <w:sz w:val="21"/>
                <w:szCs w:val="21"/>
              </w:rPr>
            </w:pPr>
            <w:r>
              <w:rPr>
                <w:rFonts w:ascii="宋体" w:hAnsi="宋体" w:cs="宋体" w:eastAsia="宋体" w:hint="default"/>
                <w:sz w:val="21"/>
                <w:szCs w:val="21"/>
              </w:rPr>
              <w:t>日</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20"/>
              <w:jc w:val="right"/>
              <w:rPr>
                <w:rFonts w:ascii="宋体" w:hAnsi="宋体" w:cs="宋体" w:eastAsia="宋体" w:hint="default"/>
                <w:sz w:val="21"/>
                <w:szCs w:val="21"/>
              </w:rPr>
            </w:pPr>
            <w:r>
              <w:rPr>
                <w:rFonts w:ascii="宋体"/>
                <w:sz w:val="21"/>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714"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承诺投资项目小计</w:t>
            </w:r>
          </w:p>
        </w:tc>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21"/>
                <w:szCs w:val="21"/>
              </w:rPr>
            </w:pPr>
            <w:r>
              <w:rPr>
                <w:rFonts w:ascii="宋体"/>
                <w:sz w:val="21"/>
              </w:rPr>
              <w:t>--</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16" w:right="0"/>
              <w:jc w:val="left"/>
              <w:rPr>
                <w:rFonts w:ascii="宋体" w:hAnsi="宋体" w:cs="宋体" w:eastAsia="宋体" w:hint="default"/>
                <w:sz w:val="21"/>
                <w:szCs w:val="21"/>
              </w:rPr>
            </w:pPr>
            <w:r>
              <w:rPr>
                <w:rFonts w:ascii="宋体"/>
                <w:sz w:val="21"/>
              </w:rPr>
              <w:t>69,292</w:t>
            </w:r>
          </w:p>
          <w:p>
            <w:pPr>
              <w:pStyle w:val="TableParagraph"/>
              <w:spacing w:line="240" w:lineRule="auto" w:before="37"/>
              <w:ind w:left="432" w:right="0"/>
              <w:jc w:val="left"/>
              <w:rPr>
                <w:rFonts w:ascii="宋体" w:hAnsi="宋体" w:cs="宋体" w:eastAsia="宋体" w:hint="default"/>
                <w:sz w:val="21"/>
                <w:szCs w:val="21"/>
              </w:rPr>
            </w:pPr>
            <w:r>
              <w:rPr>
                <w:rFonts w:ascii="宋体"/>
                <w:sz w:val="21"/>
              </w:rPr>
              <w:t>.30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16" w:right="0"/>
              <w:jc w:val="left"/>
              <w:rPr>
                <w:rFonts w:ascii="宋体" w:hAnsi="宋体" w:cs="宋体" w:eastAsia="宋体" w:hint="default"/>
                <w:sz w:val="21"/>
                <w:szCs w:val="21"/>
              </w:rPr>
            </w:pPr>
            <w:r>
              <w:rPr>
                <w:rFonts w:ascii="宋体"/>
                <w:sz w:val="21"/>
              </w:rPr>
              <w:t>69,292</w:t>
            </w:r>
          </w:p>
          <w:p>
            <w:pPr>
              <w:pStyle w:val="TableParagraph"/>
              <w:spacing w:line="240" w:lineRule="auto" w:before="37"/>
              <w:ind w:left="432" w:right="0"/>
              <w:jc w:val="left"/>
              <w:rPr>
                <w:rFonts w:ascii="宋体" w:hAnsi="宋体" w:cs="宋体" w:eastAsia="宋体" w:hint="default"/>
                <w:sz w:val="21"/>
                <w:szCs w:val="21"/>
              </w:rPr>
            </w:pPr>
            <w:r>
              <w:rPr>
                <w:rFonts w:ascii="宋体"/>
                <w:sz w:val="21"/>
              </w:rPr>
              <w:t>.30</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3"/>
              <w:jc w:val="right"/>
              <w:rPr>
                <w:rFonts w:ascii="宋体" w:hAnsi="宋体" w:cs="宋体" w:eastAsia="宋体" w:hint="default"/>
                <w:sz w:val="21"/>
                <w:szCs w:val="21"/>
              </w:rPr>
            </w:pPr>
            <w:r>
              <w:rPr>
                <w:rFonts w:ascii="宋体"/>
                <w:sz w:val="21"/>
              </w:rPr>
              <w:t>1,875.</w:t>
            </w:r>
          </w:p>
          <w:p>
            <w:pPr>
              <w:pStyle w:val="TableParagraph"/>
              <w:spacing w:line="240" w:lineRule="auto" w:before="37"/>
              <w:ind w:right="20"/>
              <w:jc w:val="right"/>
              <w:rPr>
                <w:rFonts w:ascii="宋体" w:hAnsi="宋体" w:cs="宋体" w:eastAsia="宋体" w:hint="default"/>
                <w:sz w:val="21"/>
                <w:szCs w:val="21"/>
              </w:rPr>
            </w:pPr>
            <w:r>
              <w:rPr>
                <w:rFonts w:ascii="宋体"/>
                <w:sz w:val="21"/>
              </w:rPr>
              <w:t>17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17" w:right="0"/>
              <w:jc w:val="left"/>
              <w:rPr>
                <w:rFonts w:ascii="宋体" w:hAnsi="宋体" w:cs="宋体" w:eastAsia="宋体" w:hint="default"/>
                <w:sz w:val="21"/>
                <w:szCs w:val="21"/>
              </w:rPr>
            </w:pPr>
            <w:r>
              <w:rPr>
                <w:rFonts w:ascii="宋体"/>
                <w:sz w:val="21"/>
              </w:rPr>
              <w:t>10,566</w:t>
            </w:r>
          </w:p>
          <w:p>
            <w:pPr>
              <w:pStyle w:val="TableParagraph"/>
              <w:spacing w:line="240" w:lineRule="auto" w:before="37"/>
              <w:ind w:left="433" w:right="0"/>
              <w:jc w:val="left"/>
              <w:rPr>
                <w:rFonts w:ascii="宋体" w:hAnsi="宋体" w:cs="宋体" w:eastAsia="宋体" w:hint="default"/>
                <w:sz w:val="21"/>
                <w:szCs w:val="21"/>
              </w:rPr>
            </w:pPr>
            <w:r>
              <w:rPr>
                <w:rFonts w:ascii="宋体"/>
                <w:sz w:val="21"/>
              </w:rPr>
              <w:t>.10</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67"/>
              <w:jc w:val="right"/>
              <w:rPr>
                <w:rFonts w:ascii="宋体" w:hAnsi="宋体" w:cs="宋体" w:eastAsia="宋体" w:hint="default"/>
                <w:sz w:val="21"/>
                <w:szCs w:val="21"/>
              </w:rPr>
            </w:pPr>
            <w:r>
              <w:rPr>
                <w:rFonts w:ascii="宋体"/>
                <w:sz w:val="21"/>
              </w:rPr>
              <w:t>15.25%</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 w:right="0"/>
              <w:jc w:val="center"/>
              <w:rPr>
                <w:rFonts w:ascii="宋体" w:hAnsi="宋体" w:cs="宋体" w:eastAsia="宋体" w:hint="default"/>
                <w:sz w:val="21"/>
                <w:szCs w:val="21"/>
              </w:rPr>
            </w:pPr>
            <w:r>
              <w:rPr>
                <w:rFonts w:ascii="宋体"/>
                <w:sz w:val="21"/>
              </w:rPr>
              <w:t>--</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0"/>
              <w:jc w:val="right"/>
              <w:rPr>
                <w:rFonts w:ascii="宋体" w:hAnsi="宋体" w:cs="宋体" w:eastAsia="宋体" w:hint="default"/>
                <w:sz w:val="21"/>
                <w:szCs w:val="21"/>
              </w:rPr>
            </w:pPr>
            <w:r>
              <w:rPr>
                <w:rFonts w:ascii="宋体"/>
                <w:sz w:val="21"/>
              </w:rPr>
              <w:t>0</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 w:right="0"/>
              <w:jc w:val="center"/>
              <w:rPr>
                <w:rFonts w:ascii="宋体" w:hAnsi="宋体" w:cs="宋体" w:eastAsia="宋体" w:hint="default"/>
                <w:sz w:val="21"/>
                <w:szCs w:val="21"/>
              </w:rPr>
            </w:pPr>
            <w:r>
              <w:rPr>
                <w:rFonts w:ascii="宋体"/>
                <w:sz w:val="21"/>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 w:right="0"/>
              <w:jc w:val="center"/>
              <w:rPr>
                <w:rFonts w:ascii="宋体" w:hAnsi="宋体" w:cs="宋体" w:eastAsia="宋体" w:hint="default"/>
                <w:sz w:val="21"/>
                <w:szCs w:val="21"/>
              </w:rPr>
            </w:pPr>
            <w:r>
              <w:rPr>
                <w:rFonts w:ascii="宋体"/>
                <w:sz w:val="21"/>
              </w:rPr>
              <w:t>--</w:t>
            </w:r>
          </w:p>
        </w:tc>
      </w:tr>
    </w:tbl>
    <w:p>
      <w:pPr>
        <w:spacing w:after="0" w:line="240" w:lineRule="auto"/>
        <w:jc w:val="center"/>
        <w:rPr>
          <w:rFonts w:ascii="宋体" w:hAnsi="宋体" w:cs="宋体" w:eastAsia="宋体" w:hint="default"/>
          <w:sz w:val="21"/>
          <w:szCs w:val="21"/>
        </w:rPr>
        <w:sectPr>
          <w:type w:val="continuous"/>
          <w:pgSz w:w="11910" w:h="16840"/>
          <w:pgMar w:top="1060" w:bottom="1160" w:left="980" w:right="0"/>
        </w:sectPr>
      </w:pPr>
    </w:p>
    <w:p>
      <w:pPr>
        <w:spacing w:line="240" w:lineRule="auto" w:before="0"/>
        <w:rPr>
          <w:rFonts w:ascii="宋体" w:hAnsi="宋体" w:cs="宋体" w:eastAsia="宋体" w:hint="default"/>
          <w:sz w:val="20"/>
          <w:szCs w:val="20"/>
        </w:rPr>
      </w:pPr>
      <w:r>
        <w:rPr/>
        <w:pict>
          <v:shape style="position:absolute;margin-left:57.029999pt;margin-top:71.999985pt;width:478.6pt;height:689.95pt;mso-position-horizontal-relative:page;mso-position-vertical-relative:page;z-index:138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759"/>
                    <w:gridCol w:w="767"/>
                    <w:gridCol w:w="791"/>
                    <w:gridCol w:w="780"/>
                    <w:gridCol w:w="779"/>
                    <w:gridCol w:w="780"/>
                    <w:gridCol w:w="780"/>
                    <w:gridCol w:w="780"/>
                    <w:gridCol w:w="780"/>
                    <w:gridCol w:w="780"/>
                    <w:gridCol w:w="780"/>
                  </w:tblGrid>
                  <w:tr>
                    <w:trPr>
                      <w:trHeight w:val="402" w:hRule="exact"/>
                    </w:trPr>
                    <w:tc>
                      <w:tcPr>
                        <w:tcW w:w="9557" w:type="dxa"/>
                        <w:gridSpan w:val="11"/>
                        <w:tcBorders>
                          <w:top w:val="nil" w:sz="6" w:space="0" w:color="auto"/>
                          <w:left w:val="nil" w:sz="6" w:space="0" w:color="auto"/>
                          <w:bottom w:val="nil" w:sz="6" w:space="0" w:color="auto"/>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超募资金投向</w:t>
                        </w:r>
                      </w:p>
                    </w:tc>
                  </w:tr>
                  <w:tr>
                    <w:trPr>
                      <w:trHeight w:val="402" w:hRule="exact"/>
                    </w:trPr>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1" w:right="0"/>
                          <w:jc w:val="left"/>
                          <w:rPr>
                            <w:rFonts w:ascii="宋体" w:hAnsi="宋体" w:cs="宋体" w:eastAsia="宋体" w:hint="default"/>
                            <w:sz w:val="21"/>
                            <w:szCs w:val="21"/>
                          </w:rPr>
                        </w:pPr>
                        <w:r>
                          <w:rPr>
                            <w:rFonts w:ascii="宋体"/>
                            <w:sz w:val="21"/>
                          </w:rPr>
                          <w:t>-</w:t>
                        </w:r>
                      </w:p>
                    </w:tc>
                    <w:tc>
                      <w:tcPr>
                        <w:tcW w:w="767" w:type="dxa"/>
                        <w:tcBorders>
                          <w:top w:val="single" w:sz="4" w:space="0" w:color="000000"/>
                          <w:left w:val="single" w:sz="4" w:space="0" w:color="000000"/>
                          <w:bottom w:val="single" w:sz="4" w:space="0" w:color="000000"/>
                          <w:right w:val="single" w:sz="4" w:space="0" w:color="000000"/>
                        </w:tcBorders>
                      </w:tcPr>
                      <w:p>
                        <w:pPr/>
                      </w:p>
                    </w:tc>
                    <w:tc>
                      <w:tcPr>
                        <w:tcW w:w="79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超募资金投向小计</w:t>
                        </w:r>
                      </w:p>
                    </w:tc>
                    <w:tc>
                      <w:tcPr>
                        <w:tcW w:w="7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266"/>
                          <w:jc w:val="right"/>
                          <w:rPr>
                            <w:rFonts w:ascii="宋体" w:hAnsi="宋体" w:cs="宋体" w:eastAsia="宋体" w:hint="default"/>
                            <w:sz w:val="21"/>
                            <w:szCs w:val="21"/>
                          </w:rPr>
                        </w:pPr>
                        <w:r>
                          <w:rPr>
                            <w:rFonts w:ascii="宋体"/>
                            <w:sz w:val="21"/>
                          </w:rPr>
                          <w:t>--</w:t>
                        </w:r>
                      </w:p>
                    </w:tc>
                    <w:tc>
                      <w:tcPr>
                        <w:tcW w:w="79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0</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0</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 w:right="0"/>
                          <w:jc w:val="center"/>
                          <w:rPr>
                            <w:rFonts w:ascii="宋体" w:hAnsi="宋体" w:cs="宋体" w:eastAsia="宋体" w:hint="default"/>
                            <w:sz w:val="21"/>
                            <w:szCs w:val="21"/>
                          </w:rPr>
                        </w:pPr>
                        <w:r>
                          <w:rPr>
                            <w:rFonts w:ascii="宋体"/>
                            <w:sz w:val="21"/>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 w:right="0"/>
                          <w:jc w:val="center"/>
                          <w:rPr>
                            <w:rFonts w:ascii="宋体" w:hAnsi="宋体" w:cs="宋体" w:eastAsia="宋体" w:hint="default"/>
                            <w:sz w:val="21"/>
                            <w:szCs w:val="21"/>
                          </w:rPr>
                        </w:pPr>
                        <w:r>
                          <w:rPr>
                            <w:rFonts w:ascii="宋体"/>
                            <w:sz w:val="21"/>
                          </w:rPr>
                          <w:t>--</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0</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 w:right="0"/>
                          <w:jc w:val="center"/>
                          <w:rPr>
                            <w:rFonts w:ascii="宋体" w:hAnsi="宋体" w:cs="宋体" w:eastAsia="宋体" w:hint="default"/>
                            <w:sz w:val="21"/>
                            <w:szCs w:val="21"/>
                          </w:rPr>
                        </w:pPr>
                        <w:r>
                          <w:rPr>
                            <w:rFonts w:ascii="宋体"/>
                            <w:sz w:val="21"/>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 w:right="0"/>
                          <w:jc w:val="center"/>
                          <w:rPr>
                            <w:rFonts w:ascii="宋体" w:hAnsi="宋体" w:cs="宋体" w:eastAsia="宋体" w:hint="default"/>
                            <w:sz w:val="21"/>
                            <w:szCs w:val="21"/>
                          </w:rPr>
                        </w:pPr>
                        <w:r>
                          <w:rPr>
                            <w:rFonts w:ascii="宋体"/>
                            <w:sz w:val="21"/>
                          </w:rPr>
                          <w:t>--</w:t>
                        </w:r>
                      </w:p>
                    </w:tc>
                  </w:tr>
                  <w:tr>
                    <w:trPr>
                      <w:trHeight w:val="161" w:hRule="exact"/>
                    </w:trPr>
                    <w:tc>
                      <w:tcPr>
                        <w:tcW w:w="1759" w:type="dxa"/>
                        <w:tcBorders>
                          <w:top w:val="single" w:sz="4" w:space="0" w:color="000000"/>
                          <w:left w:val="single" w:sz="4" w:space="0" w:color="000000"/>
                          <w:bottom w:val="nil" w:sz="6" w:space="0" w:color="auto"/>
                          <w:right w:val="single" w:sz="4" w:space="0" w:color="000000"/>
                        </w:tcBorders>
                        <w:shd w:val="clear" w:color="auto" w:fill="D2D2D2"/>
                      </w:tcPr>
                      <w:p>
                        <w:pPr/>
                      </w:p>
                    </w:tc>
                    <w:tc>
                      <w:tcPr>
                        <w:tcW w:w="76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1" w:type="dxa"/>
                        <w:vMerge w:val="restart"/>
                        <w:tcBorders>
                          <w:top w:val="single" w:sz="4" w:space="0" w:color="000000"/>
                          <w:left w:val="single" w:sz="9" w:space="0" w:color="D2D2D2"/>
                          <w:right w:val="single" w:sz="4" w:space="0" w:color="000000"/>
                        </w:tcBorders>
                      </w:tcPr>
                      <w:p>
                        <w:pPr>
                          <w:pStyle w:val="TableParagraph"/>
                          <w:spacing w:line="240" w:lineRule="auto" w:before="26"/>
                          <w:ind w:left="121" w:right="0"/>
                          <w:jc w:val="left"/>
                          <w:rPr>
                            <w:rFonts w:ascii="宋体" w:hAnsi="宋体" w:cs="宋体" w:eastAsia="宋体" w:hint="default"/>
                            <w:sz w:val="21"/>
                            <w:szCs w:val="21"/>
                          </w:rPr>
                        </w:pPr>
                        <w:r>
                          <w:rPr>
                            <w:rFonts w:ascii="宋体"/>
                            <w:sz w:val="21"/>
                          </w:rPr>
                          <w:t>69,292</w:t>
                        </w:r>
                      </w:p>
                      <w:p>
                        <w:pPr>
                          <w:pStyle w:val="TableParagraph"/>
                          <w:spacing w:line="240" w:lineRule="auto" w:before="38"/>
                          <w:ind w:left="436" w:right="0"/>
                          <w:jc w:val="left"/>
                          <w:rPr>
                            <w:rFonts w:ascii="宋体" w:hAnsi="宋体" w:cs="宋体" w:eastAsia="宋体" w:hint="default"/>
                            <w:sz w:val="21"/>
                            <w:szCs w:val="21"/>
                          </w:rPr>
                        </w:pPr>
                        <w:r>
                          <w:rPr>
                            <w:rFonts w:ascii="宋体"/>
                            <w:sz w:val="21"/>
                          </w:rPr>
                          <w:t>.30</w:t>
                        </w: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26"/>
                          <w:ind w:left="116" w:right="0"/>
                          <w:jc w:val="left"/>
                          <w:rPr>
                            <w:rFonts w:ascii="宋体" w:hAnsi="宋体" w:cs="宋体" w:eastAsia="宋体" w:hint="default"/>
                            <w:sz w:val="21"/>
                            <w:szCs w:val="21"/>
                          </w:rPr>
                        </w:pPr>
                        <w:r>
                          <w:rPr>
                            <w:rFonts w:ascii="宋体"/>
                            <w:sz w:val="21"/>
                          </w:rPr>
                          <w:t>69,292</w:t>
                        </w:r>
                      </w:p>
                      <w:p>
                        <w:pPr>
                          <w:pStyle w:val="TableParagraph"/>
                          <w:spacing w:line="240" w:lineRule="auto" w:before="38"/>
                          <w:ind w:left="432" w:right="0"/>
                          <w:jc w:val="left"/>
                          <w:rPr>
                            <w:rFonts w:ascii="宋体" w:hAnsi="宋体" w:cs="宋体" w:eastAsia="宋体" w:hint="default"/>
                            <w:sz w:val="21"/>
                            <w:szCs w:val="21"/>
                          </w:rPr>
                        </w:pPr>
                        <w:r>
                          <w:rPr>
                            <w:rFonts w:ascii="宋体"/>
                            <w:sz w:val="21"/>
                          </w:rPr>
                          <w:t>.30</w:t>
                        </w:r>
                      </w:p>
                    </w:tc>
                    <w:tc>
                      <w:tcPr>
                        <w:tcW w:w="779" w:type="dxa"/>
                        <w:vMerge w:val="restart"/>
                        <w:tcBorders>
                          <w:top w:val="single" w:sz="4" w:space="0" w:color="000000"/>
                          <w:left w:val="single" w:sz="4" w:space="0" w:color="000000"/>
                          <w:right w:val="single" w:sz="4" w:space="0" w:color="000000"/>
                        </w:tcBorders>
                      </w:tcPr>
                      <w:p>
                        <w:pPr>
                          <w:pStyle w:val="TableParagraph"/>
                          <w:spacing w:line="240" w:lineRule="auto" w:before="26"/>
                          <w:ind w:right="23"/>
                          <w:jc w:val="right"/>
                          <w:rPr>
                            <w:rFonts w:ascii="宋体" w:hAnsi="宋体" w:cs="宋体" w:eastAsia="宋体" w:hint="default"/>
                            <w:sz w:val="21"/>
                            <w:szCs w:val="21"/>
                          </w:rPr>
                        </w:pPr>
                        <w:r>
                          <w:rPr>
                            <w:rFonts w:ascii="宋体"/>
                            <w:sz w:val="21"/>
                          </w:rPr>
                          <w:t>1,875.</w:t>
                        </w:r>
                      </w:p>
                      <w:p>
                        <w:pPr>
                          <w:pStyle w:val="TableParagraph"/>
                          <w:spacing w:line="240" w:lineRule="auto" w:before="38"/>
                          <w:ind w:right="21"/>
                          <w:jc w:val="right"/>
                          <w:rPr>
                            <w:rFonts w:ascii="宋体" w:hAnsi="宋体" w:cs="宋体" w:eastAsia="宋体" w:hint="default"/>
                            <w:sz w:val="21"/>
                            <w:szCs w:val="21"/>
                          </w:rPr>
                        </w:pPr>
                        <w:r>
                          <w:rPr>
                            <w:rFonts w:ascii="宋体"/>
                            <w:sz w:val="21"/>
                          </w:rPr>
                          <w:t>17</w:t>
                        </w: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26"/>
                          <w:ind w:left="117" w:right="0"/>
                          <w:jc w:val="left"/>
                          <w:rPr>
                            <w:rFonts w:ascii="宋体" w:hAnsi="宋体" w:cs="宋体" w:eastAsia="宋体" w:hint="default"/>
                            <w:sz w:val="21"/>
                            <w:szCs w:val="21"/>
                          </w:rPr>
                        </w:pPr>
                        <w:r>
                          <w:rPr>
                            <w:rFonts w:ascii="宋体"/>
                            <w:sz w:val="21"/>
                          </w:rPr>
                          <w:t>10,566</w:t>
                        </w:r>
                      </w:p>
                      <w:p>
                        <w:pPr>
                          <w:pStyle w:val="TableParagraph"/>
                          <w:spacing w:line="240" w:lineRule="auto" w:before="38"/>
                          <w:ind w:left="433" w:right="0"/>
                          <w:jc w:val="left"/>
                          <w:rPr>
                            <w:rFonts w:ascii="宋体" w:hAnsi="宋体" w:cs="宋体" w:eastAsia="宋体" w:hint="default"/>
                            <w:sz w:val="21"/>
                            <w:szCs w:val="21"/>
                          </w:rPr>
                        </w:pPr>
                        <w:r>
                          <w:rPr>
                            <w:rFonts w:ascii="宋体"/>
                            <w:sz w:val="21"/>
                          </w:rPr>
                          <w:t>.10</w:t>
                        </w:r>
                      </w:p>
                    </w:tc>
                    <w:tc>
                      <w:tcPr>
                        <w:tcW w:w="78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 w:right="0"/>
                          <w:jc w:val="center"/>
                          <w:rPr>
                            <w:rFonts w:ascii="宋体" w:hAnsi="宋体" w:cs="宋体" w:eastAsia="宋体" w:hint="default"/>
                            <w:sz w:val="21"/>
                            <w:szCs w:val="21"/>
                          </w:rPr>
                        </w:pPr>
                        <w:r>
                          <w:rPr>
                            <w:rFonts w:ascii="宋体"/>
                            <w:sz w:val="21"/>
                          </w:rPr>
                          <w:t>--</w:t>
                        </w:r>
                      </w:p>
                    </w:tc>
                    <w:tc>
                      <w:tcPr>
                        <w:tcW w:w="78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 w:right="0"/>
                          <w:jc w:val="center"/>
                          <w:rPr>
                            <w:rFonts w:ascii="宋体" w:hAnsi="宋体" w:cs="宋体" w:eastAsia="宋体" w:hint="default"/>
                            <w:sz w:val="21"/>
                            <w:szCs w:val="21"/>
                          </w:rPr>
                        </w:pPr>
                        <w:r>
                          <w:rPr>
                            <w:rFonts w:ascii="宋体"/>
                            <w:sz w:val="21"/>
                          </w:rPr>
                          <w:t>--</w:t>
                        </w: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0"/>
                          <w:jc w:val="right"/>
                          <w:rPr>
                            <w:rFonts w:ascii="宋体" w:hAnsi="宋体" w:cs="宋体" w:eastAsia="宋体" w:hint="default"/>
                            <w:sz w:val="21"/>
                            <w:szCs w:val="21"/>
                          </w:rPr>
                        </w:pPr>
                        <w:r>
                          <w:rPr>
                            <w:rFonts w:ascii="宋体"/>
                            <w:sz w:val="21"/>
                          </w:rPr>
                          <w:t>0</w:t>
                        </w:r>
                      </w:p>
                    </w:tc>
                    <w:tc>
                      <w:tcPr>
                        <w:tcW w:w="78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 w:right="0"/>
                          <w:jc w:val="center"/>
                          <w:rPr>
                            <w:rFonts w:ascii="宋体" w:hAnsi="宋体" w:cs="宋体" w:eastAsia="宋体" w:hint="default"/>
                            <w:sz w:val="21"/>
                            <w:szCs w:val="21"/>
                          </w:rPr>
                        </w:pPr>
                        <w:r>
                          <w:rPr>
                            <w:rFonts w:ascii="宋体"/>
                            <w:sz w:val="21"/>
                          </w:rPr>
                          <w:t>--</w:t>
                        </w:r>
                      </w:p>
                    </w:tc>
                    <w:tc>
                      <w:tcPr>
                        <w:tcW w:w="78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 w:right="0"/>
                          <w:jc w:val="center"/>
                          <w:rPr>
                            <w:rFonts w:ascii="宋体" w:hAnsi="宋体" w:cs="宋体" w:eastAsia="宋体" w:hint="default"/>
                            <w:sz w:val="21"/>
                            <w:szCs w:val="21"/>
                          </w:rPr>
                        </w:pPr>
                        <w:r>
                          <w:rPr>
                            <w:rFonts w:ascii="宋体"/>
                            <w:sz w:val="21"/>
                          </w:rPr>
                          <w:t>--</w:t>
                        </w:r>
                      </w:p>
                    </w:tc>
                  </w:tr>
                  <w:tr>
                    <w:trPr>
                      <w:trHeight w:val="392" w:hRule="exact"/>
                    </w:trPr>
                    <w:tc>
                      <w:tcPr>
                        <w:tcW w:w="175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76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6"/>
                          <w:ind w:right="266"/>
                          <w:jc w:val="right"/>
                          <w:rPr>
                            <w:rFonts w:ascii="宋体" w:hAnsi="宋体" w:cs="宋体" w:eastAsia="宋体" w:hint="default"/>
                            <w:sz w:val="21"/>
                            <w:szCs w:val="21"/>
                          </w:rPr>
                        </w:pPr>
                        <w:r>
                          <w:rPr>
                            <w:rFonts w:ascii="宋体"/>
                            <w:sz w:val="21"/>
                          </w:rPr>
                          <w:t>--</w:t>
                        </w:r>
                      </w:p>
                    </w:tc>
                    <w:tc>
                      <w:tcPr>
                        <w:tcW w:w="791" w:type="dxa"/>
                        <w:vMerge/>
                        <w:tcBorders>
                          <w:left w:val="single" w:sz="9" w:space="0" w:color="D2D2D2"/>
                          <w:right w:val="single" w:sz="4" w:space="0" w:color="000000"/>
                        </w:tcBorders>
                      </w:tcPr>
                      <w:p>
                        <w:pPr/>
                      </w:p>
                    </w:tc>
                    <w:tc>
                      <w:tcPr>
                        <w:tcW w:w="780"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shd w:val="clear" w:color="auto" w:fill="D2D2D2"/>
                      </w:tcPr>
                      <w:p>
                        <w:pPr/>
                      </w:p>
                    </w:tc>
                    <w:tc>
                      <w:tcPr>
                        <w:tcW w:w="780" w:type="dxa"/>
                        <w:vMerge/>
                        <w:tcBorders>
                          <w:left w:val="single" w:sz="4" w:space="0" w:color="000000"/>
                          <w:right w:val="single" w:sz="4" w:space="0" w:color="000000"/>
                        </w:tcBorders>
                        <w:shd w:val="clear" w:color="auto" w:fill="D2D2D2"/>
                      </w:tcPr>
                      <w:p>
                        <w:pPr/>
                      </w:p>
                    </w:tc>
                    <w:tc>
                      <w:tcPr>
                        <w:tcW w:w="78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shd w:val="clear" w:color="auto" w:fill="D2D2D2"/>
                      </w:tcPr>
                      <w:p>
                        <w:pPr/>
                      </w:p>
                    </w:tc>
                    <w:tc>
                      <w:tcPr>
                        <w:tcW w:w="780" w:type="dxa"/>
                        <w:vMerge/>
                        <w:tcBorders>
                          <w:left w:val="single" w:sz="4" w:space="0" w:color="000000"/>
                          <w:right w:val="single" w:sz="4" w:space="0" w:color="000000"/>
                        </w:tcBorders>
                        <w:shd w:val="clear" w:color="auto" w:fill="D2D2D2"/>
                      </w:tcPr>
                      <w:p>
                        <w:pPr/>
                      </w:p>
                    </w:tc>
                  </w:tr>
                  <w:tr>
                    <w:trPr>
                      <w:trHeight w:val="161" w:hRule="exact"/>
                    </w:trPr>
                    <w:tc>
                      <w:tcPr>
                        <w:tcW w:w="1759" w:type="dxa"/>
                        <w:tcBorders>
                          <w:top w:val="nil" w:sz="6" w:space="0" w:color="auto"/>
                          <w:left w:val="single" w:sz="4" w:space="0" w:color="000000"/>
                          <w:bottom w:val="single" w:sz="4" w:space="0" w:color="000000"/>
                          <w:right w:val="single" w:sz="4" w:space="0" w:color="000000"/>
                        </w:tcBorders>
                        <w:shd w:val="clear" w:color="auto" w:fill="D2D2D2"/>
                      </w:tcPr>
                      <w:p>
                        <w:pPr/>
                      </w:p>
                    </w:tc>
                    <w:tc>
                      <w:tcPr>
                        <w:tcW w:w="76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1" w:type="dxa"/>
                        <w:vMerge/>
                        <w:tcBorders>
                          <w:left w:val="single" w:sz="9" w:space="0" w:color="D2D2D2"/>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79"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shd w:val="clear" w:color="auto" w:fill="D2D2D2"/>
                      </w:tcPr>
                      <w:p>
                        <w:pPr/>
                      </w:p>
                    </w:tc>
                    <w:tc>
                      <w:tcPr>
                        <w:tcW w:w="780" w:type="dxa"/>
                        <w:vMerge/>
                        <w:tcBorders>
                          <w:left w:val="single" w:sz="4" w:space="0" w:color="000000"/>
                          <w:bottom w:val="single" w:sz="4" w:space="0" w:color="000000"/>
                          <w:right w:val="single" w:sz="4" w:space="0" w:color="000000"/>
                        </w:tcBorders>
                        <w:shd w:val="clear" w:color="auto" w:fill="D2D2D2"/>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shd w:val="clear" w:color="auto" w:fill="D2D2D2"/>
                      </w:tcPr>
                      <w:p>
                        <w:pPr/>
                      </w:p>
                    </w:tc>
                    <w:tc>
                      <w:tcPr>
                        <w:tcW w:w="780" w:type="dxa"/>
                        <w:vMerge/>
                        <w:tcBorders>
                          <w:left w:val="single" w:sz="4" w:space="0" w:color="000000"/>
                          <w:bottom w:val="single" w:sz="4" w:space="0" w:color="000000"/>
                          <w:right w:val="single" w:sz="4" w:space="0" w:color="000000"/>
                        </w:tcBorders>
                        <w:shd w:val="clear" w:color="auto" w:fill="D2D2D2"/>
                      </w:tcPr>
                      <w:p>
                        <w:pPr/>
                      </w:p>
                    </w:tc>
                  </w:tr>
                  <w:tr>
                    <w:trPr>
                      <w:trHeight w:val="629" w:hRule="exact"/>
                    </w:trPr>
                    <w:tc>
                      <w:tcPr>
                        <w:tcW w:w="1759" w:type="dxa"/>
                        <w:tcBorders>
                          <w:top w:val="single" w:sz="4" w:space="0" w:color="000000"/>
                          <w:left w:val="single" w:sz="4" w:space="0" w:color="000000"/>
                          <w:bottom w:val="nil" w:sz="6" w:space="0" w:color="auto"/>
                          <w:right w:val="single" w:sz="13" w:space="0" w:color="FFFFFF"/>
                        </w:tcBorders>
                        <w:shd w:val="clear" w:color="auto" w:fill="D2D2D2"/>
                      </w:tcPr>
                      <w:p>
                        <w:pPr/>
                      </w:p>
                    </w:tc>
                    <w:tc>
                      <w:tcPr>
                        <w:tcW w:w="7798" w:type="dxa"/>
                        <w:gridSpan w:val="10"/>
                        <w:vMerge w:val="restart"/>
                        <w:tcBorders>
                          <w:top w:val="single" w:sz="4" w:space="0" w:color="000000"/>
                          <w:left w:val="single" w:sz="22" w:space="0" w:color="FFFFFF"/>
                          <w:right w:val="single" w:sz="4" w:space="0" w:color="000000"/>
                        </w:tcBorders>
                      </w:tcPr>
                      <w:p>
                        <w:pPr>
                          <w:pStyle w:val="TableParagraph"/>
                          <w:spacing w:line="273" w:lineRule="auto" w:before="26"/>
                          <w:ind w:right="21"/>
                          <w:jc w:val="left"/>
                          <w:rPr>
                            <w:rFonts w:ascii="宋体" w:hAnsi="宋体" w:cs="宋体" w:eastAsia="宋体" w:hint="default"/>
                            <w:sz w:val="21"/>
                            <w:szCs w:val="21"/>
                          </w:rPr>
                        </w:pPr>
                        <w:r>
                          <w:rPr>
                            <w:rFonts w:ascii="宋体" w:hAnsi="宋体" w:cs="宋体" w:eastAsia="宋体" w:hint="default"/>
                            <w:spacing w:val="-1"/>
                            <w:sz w:val="21"/>
                            <w:szCs w:val="21"/>
                          </w:rPr>
                          <w:t>由于募集资金投资项目的建设地址均在新厂区（地址：郑州市高新技术产业开发区科</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pacing w:val="-4"/>
                            <w:sz w:val="21"/>
                            <w:szCs w:val="21"/>
                          </w:rPr>
                          <w:t>学大道北、黄栌路东地块），且新厂区的基建工程前期相关建设手续办理缓慢等原因</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pacing w:val="-1"/>
                            <w:sz w:val="21"/>
                            <w:szCs w:val="21"/>
                          </w:rPr>
                          <w:t>致使目前新厂区的工程建设进度滞后于原募投项目计划，经公司重新审慎论证，此非</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pacing w:val="-1"/>
                            <w:sz w:val="21"/>
                            <w:szCs w:val="21"/>
                          </w:rPr>
                          <w:t>公开发行的四个募集资金投资项目的市场环境、建设可行性及预期收益均未发生重大</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变化，故公司决定将募投项目达到预定可使用状态的日期由</w:t>
                        </w:r>
                        <w:r>
                          <w:rPr>
                            <w:rFonts w:ascii="宋体" w:hAnsi="宋体" w:cs="宋体" w:eastAsia="宋体" w:hint="default"/>
                            <w:spacing w:val="-53"/>
                            <w:sz w:val="21"/>
                            <w:szCs w:val="21"/>
                          </w:rPr>
                          <w:t> </w:t>
                        </w: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31</w:t>
                        </w:r>
                        <w:r>
                          <w:rPr>
                            <w:rFonts w:ascii="宋体" w:hAnsi="宋体" w:cs="宋体" w:eastAsia="宋体" w:hint="default"/>
                            <w:spacing w:val="-53"/>
                            <w:sz w:val="21"/>
                            <w:szCs w:val="21"/>
                          </w:rPr>
                          <w:t> </w:t>
                        </w:r>
                        <w:r>
                          <w:rPr>
                            <w:rFonts w:ascii="宋体" w:hAnsi="宋体" w:cs="宋体" w:eastAsia="宋体" w:hint="default"/>
                            <w:sz w:val="21"/>
                            <w:szCs w:val="21"/>
                          </w:rPr>
                          <w:t>日调整</w:t>
                        </w:r>
                      </w:p>
                      <w:p>
                        <w:pPr>
                          <w:pStyle w:val="TableParagraph"/>
                          <w:spacing w:line="273" w:lineRule="auto" w:before="7"/>
                          <w:ind w:right="20"/>
                          <w:jc w:val="left"/>
                          <w:rPr>
                            <w:rFonts w:ascii="宋体" w:hAnsi="宋体" w:cs="宋体" w:eastAsia="宋体" w:hint="default"/>
                            <w:sz w:val="21"/>
                            <w:szCs w:val="21"/>
                          </w:rPr>
                        </w:pPr>
                        <w:r>
                          <w:rPr>
                            <w:rFonts w:ascii="宋体" w:hAnsi="宋体" w:cs="宋体" w:eastAsia="宋体" w:hint="default"/>
                            <w:sz w:val="21"/>
                            <w:szCs w:val="21"/>
                          </w:rPr>
                          <w:t>到</w:t>
                        </w:r>
                        <w:r>
                          <w:rPr>
                            <w:rFonts w:ascii="宋体" w:hAnsi="宋体" w:cs="宋体" w:eastAsia="宋体" w:hint="default"/>
                            <w:spacing w:val="-53"/>
                            <w:sz w:val="21"/>
                            <w:szCs w:val="21"/>
                          </w:rPr>
                          <w:t> </w:t>
                        </w:r>
                        <w:r>
                          <w:rPr>
                            <w:rFonts w:ascii="宋体" w:hAnsi="宋体" w:cs="宋体" w:eastAsia="宋体" w:hint="default"/>
                            <w:sz w:val="21"/>
                            <w:szCs w:val="21"/>
                          </w:rPr>
                          <w:t>2019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31</w:t>
                        </w:r>
                        <w:r>
                          <w:rPr>
                            <w:rFonts w:ascii="宋体" w:hAnsi="宋体" w:cs="宋体" w:eastAsia="宋体" w:hint="default"/>
                            <w:spacing w:val="-52"/>
                            <w:sz w:val="21"/>
                            <w:szCs w:val="21"/>
                          </w:rPr>
                          <w:t> </w:t>
                        </w:r>
                        <w:r>
                          <w:rPr>
                            <w:rFonts w:ascii="宋体" w:hAnsi="宋体" w:cs="宋体" w:eastAsia="宋体" w:hint="default"/>
                            <w:spacing w:val="-5"/>
                            <w:sz w:val="21"/>
                            <w:szCs w:val="21"/>
                          </w:rPr>
                          <w:t>日，项目的其他内容均保持不变。详见</w:t>
                        </w:r>
                        <w:r>
                          <w:rPr>
                            <w:rFonts w:ascii="宋体" w:hAnsi="宋体" w:cs="宋体" w:eastAsia="宋体" w:hint="default"/>
                            <w:spacing w:val="-52"/>
                            <w:sz w:val="21"/>
                            <w:szCs w:val="21"/>
                          </w:rPr>
                          <w:t> </w:t>
                        </w:r>
                        <w:r>
                          <w:rPr>
                            <w:rFonts w:ascii="宋体" w:hAnsi="宋体" w:cs="宋体" w:eastAsia="宋体" w:hint="default"/>
                            <w:sz w:val="21"/>
                            <w:szCs w:val="21"/>
                          </w:rPr>
                          <w:t>2017</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30</w:t>
                        </w:r>
                        <w:r>
                          <w:rPr>
                            <w:rFonts w:ascii="宋体" w:hAnsi="宋体" w:cs="宋体" w:eastAsia="宋体" w:hint="default"/>
                            <w:spacing w:val="-52"/>
                            <w:sz w:val="21"/>
                            <w:szCs w:val="21"/>
                          </w:rPr>
                          <w:t> </w:t>
                        </w:r>
                        <w:r>
                          <w:rPr>
                            <w:rFonts w:ascii="宋体" w:hAnsi="宋体" w:cs="宋体" w:eastAsia="宋体" w:hint="default"/>
                            <w:sz w:val="21"/>
                            <w:szCs w:val="21"/>
                          </w:rPr>
                          <w:t>日巨潮资 </w:t>
                        </w:r>
                        <w:r>
                          <w:rPr>
                            <w:rFonts w:ascii="宋体" w:hAnsi="宋体" w:cs="宋体" w:eastAsia="宋体" w:hint="default"/>
                            <w:spacing w:val="-10"/>
                            <w:sz w:val="21"/>
                            <w:szCs w:val="21"/>
                          </w:rPr>
                          <w:t>讯网《关于调整募集资金投资项目实施进度的公告》（</w:t>
                        </w:r>
                        <w:r>
                          <w:rPr>
                            <w:rFonts w:ascii="宋体" w:hAnsi="宋体" w:cs="宋体" w:eastAsia="宋体" w:hint="default"/>
                            <w:spacing w:val="-10"/>
                            <w:sz w:val="21"/>
                            <w:szCs w:val="21"/>
                          </w:rPr>
                          <w:t>2017-090</w:t>
                        </w:r>
                        <w:r>
                          <w:rPr>
                            <w:rFonts w:ascii="宋体" w:hAnsi="宋体" w:cs="宋体" w:eastAsia="宋体" w:hint="default"/>
                            <w:spacing w:val="-10"/>
                            <w:sz w:val="21"/>
                            <w:szCs w:val="21"/>
                          </w:rPr>
                          <w:t>）。</w:t>
                        </w:r>
                        <w:r>
                          <w:rPr>
                            <w:rFonts w:ascii="宋体" w:hAnsi="宋体" w:cs="宋体" w:eastAsia="宋体" w:hint="default"/>
                            <w:sz w:val="21"/>
                            <w:szCs w:val="21"/>
                          </w:rPr>
                        </w:r>
                      </w:p>
                    </w:tc>
                  </w:tr>
                  <w:tr>
                    <w:trPr>
                      <w:trHeight w:val="1016" w:hRule="exact"/>
                    </w:trPr>
                    <w:tc>
                      <w:tcPr>
                        <w:tcW w:w="1759" w:type="dxa"/>
                        <w:tcBorders>
                          <w:top w:val="nil" w:sz="6" w:space="0" w:color="auto"/>
                          <w:left w:val="single" w:sz="4" w:space="0" w:color="000000"/>
                          <w:bottom w:val="nil" w:sz="6" w:space="0" w:color="auto"/>
                          <w:right w:val="single" w:sz="13" w:space="0" w:color="FFFFFF"/>
                        </w:tcBorders>
                        <w:shd w:val="clear" w:color="auto" w:fill="D2D2D2"/>
                      </w:tcPr>
                      <w:p>
                        <w:pPr>
                          <w:pStyle w:val="TableParagraph"/>
                          <w:spacing w:line="273" w:lineRule="auto" w:before="26"/>
                          <w:ind w:left="11" w:right="-44"/>
                          <w:jc w:val="both"/>
                          <w:rPr>
                            <w:rFonts w:ascii="宋体" w:hAnsi="宋体" w:cs="宋体" w:eastAsia="宋体" w:hint="default"/>
                            <w:sz w:val="21"/>
                            <w:szCs w:val="21"/>
                          </w:rPr>
                        </w:pPr>
                        <w:r>
                          <w:rPr>
                            <w:rFonts w:ascii="宋体" w:hAnsi="宋体" w:cs="宋体" w:eastAsia="宋体" w:hint="default"/>
                            <w:sz w:val="21"/>
                            <w:szCs w:val="21"/>
                          </w:rPr>
                          <w:t>未达到计划进度或 预计收益的情况和 </w:t>
                        </w:r>
                        <w:r>
                          <w:rPr>
                            <w:rFonts w:ascii="宋体" w:hAnsi="宋体" w:cs="宋体" w:eastAsia="宋体" w:hint="default"/>
                            <w:spacing w:val="-14"/>
                            <w:sz w:val="21"/>
                            <w:szCs w:val="21"/>
                          </w:rPr>
                          <w:t>原因（分具体项目）</w:t>
                        </w:r>
                        <w:r>
                          <w:rPr>
                            <w:rFonts w:ascii="宋体" w:hAnsi="宋体" w:cs="宋体" w:eastAsia="宋体" w:hint="default"/>
                            <w:sz w:val="21"/>
                            <w:szCs w:val="21"/>
                          </w:rPr>
                        </w:r>
                      </w:p>
                    </w:tc>
                    <w:tc>
                      <w:tcPr>
                        <w:tcW w:w="7798" w:type="dxa"/>
                        <w:gridSpan w:val="10"/>
                        <w:vMerge/>
                        <w:tcBorders>
                          <w:left w:val="single" w:sz="22" w:space="0" w:color="FFFFFF"/>
                          <w:right w:val="single" w:sz="4" w:space="0" w:color="000000"/>
                        </w:tcBorders>
                      </w:tcPr>
                      <w:p>
                        <w:pPr/>
                      </w:p>
                    </w:tc>
                  </w:tr>
                  <w:tr>
                    <w:trPr>
                      <w:trHeight w:val="629" w:hRule="exact"/>
                    </w:trPr>
                    <w:tc>
                      <w:tcPr>
                        <w:tcW w:w="1759" w:type="dxa"/>
                        <w:tcBorders>
                          <w:top w:val="nil" w:sz="6" w:space="0" w:color="auto"/>
                          <w:left w:val="single" w:sz="4" w:space="0" w:color="000000"/>
                          <w:bottom w:val="single" w:sz="4" w:space="0" w:color="000000"/>
                          <w:right w:val="single" w:sz="13" w:space="0" w:color="FFFFFF"/>
                        </w:tcBorders>
                        <w:shd w:val="clear" w:color="auto" w:fill="D2D2D2"/>
                      </w:tcPr>
                      <w:p>
                        <w:pPr/>
                      </w:p>
                    </w:tc>
                    <w:tc>
                      <w:tcPr>
                        <w:tcW w:w="7798" w:type="dxa"/>
                        <w:gridSpan w:val="10"/>
                        <w:vMerge/>
                        <w:tcBorders>
                          <w:left w:val="single" w:sz="22" w:space="0" w:color="FFFFFF"/>
                          <w:bottom w:val="nil" w:sz="6" w:space="0" w:color="auto"/>
                          <w:right w:val="single" w:sz="4" w:space="0" w:color="000000"/>
                        </w:tcBorders>
                      </w:tcPr>
                      <w:p>
                        <w:pPr/>
                      </w:p>
                    </w:tc>
                  </w:tr>
                  <w:tr>
                    <w:trPr>
                      <w:trHeight w:val="714" w:hRule="exact"/>
                    </w:trPr>
                    <w:tc>
                      <w:tcPr>
                        <w:tcW w:w="17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11" w:right="57"/>
                          <w:jc w:val="left"/>
                          <w:rPr>
                            <w:rFonts w:ascii="宋体" w:hAnsi="宋体" w:cs="宋体" w:eastAsia="宋体" w:hint="default"/>
                            <w:sz w:val="21"/>
                            <w:szCs w:val="21"/>
                          </w:rPr>
                        </w:pPr>
                        <w:r>
                          <w:rPr>
                            <w:rFonts w:ascii="宋体" w:hAnsi="宋体" w:cs="宋体" w:eastAsia="宋体" w:hint="default"/>
                            <w:sz w:val="21"/>
                            <w:szCs w:val="21"/>
                          </w:rPr>
                          <w:t>项目可行性发生重 大变化的情况说明</w:t>
                        </w:r>
                      </w:p>
                    </w:tc>
                    <w:tc>
                      <w:tcPr>
                        <w:tcW w:w="7798" w:type="dxa"/>
                        <w:gridSpan w:val="10"/>
                        <w:tcBorders>
                          <w:top w:val="single" w:sz="4" w:space="0" w:color="000000"/>
                          <w:left w:val="single" w:sz="9" w:space="0" w:color="D2D2D2"/>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16" w:right="0"/>
                          <w:jc w:val="left"/>
                          <w:rPr>
                            <w:rFonts w:ascii="宋体" w:hAnsi="宋体" w:cs="宋体" w:eastAsia="宋体" w:hint="default"/>
                            <w:sz w:val="21"/>
                            <w:szCs w:val="21"/>
                          </w:rPr>
                        </w:pPr>
                        <w:r>
                          <w:rPr>
                            <w:rFonts w:ascii="宋体" w:hAnsi="宋体" w:cs="宋体" w:eastAsia="宋体" w:hint="default"/>
                            <w:sz w:val="21"/>
                            <w:szCs w:val="21"/>
                          </w:rPr>
                          <w:t>无</w:t>
                        </w:r>
                      </w:p>
                    </w:tc>
                  </w:tr>
                  <w:tr>
                    <w:trPr>
                      <w:trHeight w:val="402" w:hRule="exact"/>
                    </w:trPr>
                    <w:tc>
                      <w:tcPr>
                        <w:tcW w:w="1759"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26"/>
                          <w:ind w:left="11" w:right="57"/>
                          <w:jc w:val="both"/>
                          <w:rPr>
                            <w:rFonts w:ascii="宋体" w:hAnsi="宋体" w:cs="宋体" w:eastAsia="宋体" w:hint="default"/>
                            <w:sz w:val="21"/>
                            <w:szCs w:val="21"/>
                          </w:rPr>
                        </w:pPr>
                        <w:r>
                          <w:rPr>
                            <w:rFonts w:ascii="宋体" w:hAnsi="宋体" w:cs="宋体" w:eastAsia="宋体" w:hint="default"/>
                            <w:sz w:val="21"/>
                            <w:szCs w:val="21"/>
                          </w:rPr>
                          <w:t>超募资金的金额、 用途及使用进展情 况</w:t>
                        </w:r>
                      </w:p>
                    </w:tc>
                    <w:tc>
                      <w:tcPr>
                        <w:tcW w:w="7798" w:type="dxa"/>
                        <w:gridSpan w:val="10"/>
                        <w:tcBorders>
                          <w:top w:val="single" w:sz="4" w:space="0" w:color="000000"/>
                          <w:left w:val="single" w:sz="9" w:space="0" w:color="D2D2D2"/>
                          <w:bottom w:val="single" w:sz="4" w:space="0" w:color="000000"/>
                          <w:right w:val="single" w:sz="4" w:space="0" w:color="000000"/>
                        </w:tcBorders>
                      </w:tcPr>
                      <w:p>
                        <w:pPr>
                          <w:pStyle w:val="TableParagraph"/>
                          <w:spacing w:line="240" w:lineRule="auto" w:before="26"/>
                          <w:ind w:left="16" w:right="0"/>
                          <w:jc w:val="left"/>
                          <w:rPr>
                            <w:rFonts w:ascii="宋体" w:hAnsi="宋体" w:cs="宋体" w:eastAsia="宋体" w:hint="default"/>
                            <w:sz w:val="21"/>
                            <w:szCs w:val="21"/>
                          </w:rPr>
                        </w:pPr>
                        <w:r>
                          <w:rPr>
                            <w:rFonts w:ascii="宋体" w:hAnsi="宋体" w:cs="宋体" w:eastAsia="宋体" w:hint="default"/>
                            <w:sz w:val="21"/>
                            <w:szCs w:val="21"/>
                          </w:rPr>
                          <w:t>不适用</w:t>
                        </w:r>
                      </w:p>
                    </w:tc>
                  </w:tr>
                  <w:tr>
                    <w:trPr>
                      <w:trHeight w:val="624" w:hRule="exact"/>
                    </w:trPr>
                    <w:tc>
                      <w:tcPr>
                        <w:tcW w:w="1759" w:type="dxa"/>
                        <w:vMerge/>
                        <w:tcBorders>
                          <w:left w:val="single" w:sz="4" w:space="0" w:color="000000"/>
                          <w:bottom w:val="single" w:sz="4" w:space="0" w:color="000000"/>
                          <w:right w:val="single" w:sz="4" w:space="0" w:color="000000"/>
                        </w:tcBorders>
                        <w:shd w:val="clear" w:color="auto" w:fill="D2D2D2"/>
                      </w:tcPr>
                      <w:p>
                        <w:pPr/>
                      </w:p>
                    </w:tc>
                    <w:tc>
                      <w:tcPr>
                        <w:tcW w:w="7798" w:type="dxa"/>
                        <w:gridSpan w:val="10"/>
                        <w:tcBorders>
                          <w:top w:val="single" w:sz="4" w:space="0" w:color="000000"/>
                          <w:left w:val="single" w:sz="9" w:space="0" w:color="D2D2D2"/>
                          <w:bottom w:val="single" w:sz="4" w:space="0" w:color="000000"/>
                          <w:right w:val="single" w:sz="4" w:space="0" w:color="000000"/>
                        </w:tcBorders>
                      </w:tcPr>
                      <w:p>
                        <w:pPr/>
                      </w:p>
                    </w:tc>
                  </w:tr>
                  <w:tr>
                    <w:trPr>
                      <w:trHeight w:val="251" w:hRule="exact"/>
                    </w:trPr>
                    <w:tc>
                      <w:tcPr>
                        <w:tcW w:w="1759" w:type="dxa"/>
                        <w:tcBorders>
                          <w:top w:val="single" w:sz="4" w:space="0" w:color="000000"/>
                          <w:left w:val="single" w:sz="4" w:space="0" w:color="000000"/>
                          <w:bottom w:val="nil" w:sz="6" w:space="0" w:color="auto"/>
                          <w:right w:val="single" w:sz="4" w:space="0" w:color="000000"/>
                        </w:tcBorders>
                        <w:shd w:val="clear" w:color="auto" w:fill="D2D2D2"/>
                      </w:tcPr>
                      <w:p>
                        <w:pPr/>
                      </w:p>
                    </w:tc>
                    <w:tc>
                      <w:tcPr>
                        <w:tcW w:w="7798" w:type="dxa"/>
                        <w:gridSpan w:val="10"/>
                        <w:vMerge w:val="restart"/>
                        <w:tcBorders>
                          <w:top w:val="single" w:sz="4" w:space="0" w:color="000000"/>
                          <w:left w:val="single" w:sz="9" w:space="0" w:color="D2D2D2"/>
                          <w:right w:val="single" w:sz="4" w:space="0" w:color="000000"/>
                        </w:tcBorders>
                      </w:tcPr>
                      <w:p>
                        <w:pPr>
                          <w:pStyle w:val="TableParagraph"/>
                          <w:spacing w:line="240" w:lineRule="auto" w:before="26"/>
                          <w:ind w:left="16" w:right="0"/>
                          <w:jc w:val="left"/>
                          <w:rPr>
                            <w:rFonts w:ascii="宋体" w:hAnsi="宋体" w:cs="宋体" w:eastAsia="宋体" w:hint="default"/>
                            <w:sz w:val="21"/>
                            <w:szCs w:val="21"/>
                          </w:rPr>
                        </w:pPr>
                        <w:r>
                          <w:rPr>
                            <w:rFonts w:ascii="宋体" w:hAnsi="宋体" w:cs="宋体" w:eastAsia="宋体" w:hint="default"/>
                            <w:sz w:val="21"/>
                            <w:szCs w:val="21"/>
                          </w:rPr>
                          <w:t>不适用</w:t>
                        </w:r>
                      </w:p>
                    </w:tc>
                  </w:tr>
                  <w:tr>
                    <w:trPr>
                      <w:trHeight w:val="151" w:hRule="exact"/>
                    </w:trPr>
                    <w:tc>
                      <w:tcPr>
                        <w:tcW w:w="1759" w:type="dxa"/>
                        <w:vMerge w:val="restart"/>
                        <w:tcBorders>
                          <w:top w:val="nil" w:sz="6" w:space="0" w:color="auto"/>
                          <w:left w:val="single" w:sz="4" w:space="0" w:color="000000"/>
                          <w:right w:val="single" w:sz="4" w:space="0" w:color="000000"/>
                        </w:tcBorders>
                        <w:shd w:val="clear" w:color="auto" w:fill="D2D2D2"/>
                      </w:tcPr>
                      <w:p>
                        <w:pPr>
                          <w:pStyle w:val="TableParagraph"/>
                          <w:spacing w:line="273" w:lineRule="auto" w:before="26"/>
                          <w:ind w:left="11" w:right="57"/>
                          <w:jc w:val="left"/>
                          <w:rPr>
                            <w:rFonts w:ascii="宋体" w:hAnsi="宋体" w:cs="宋体" w:eastAsia="宋体" w:hint="default"/>
                            <w:sz w:val="21"/>
                            <w:szCs w:val="21"/>
                          </w:rPr>
                        </w:pPr>
                        <w:r>
                          <w:rPr>
                            <w:rFonts w:ascii="宋体" w:hAnsi="宋体" w:cs="宋体" w:eastAsia="宋体" w:hint="default"/>
                            <w:sz w:val="21"/>
                            <w:szCs w:val="21"/>
                          </w:rPr>
                          <w:t>募集资金投资项目 实施地点变更情况</w:t>
                        </w:r>
                      </w:p>
                    </w:tc>
                    <w:tc>
                      <w:tcPr>
                        <w:tcW w:w="7798" w:type="dxa"/>
                        <w:gridSpan w:val="10"/>
                        <w:vMerge/>
                        <w:tcBorders>
                          <w:left w:val="single" w:sz="9" w:space="0" w:color="D2D2D2"/>
                          <w:bottom w:val="single" w:sz="4" w:space="0" w:color="000000"/>
                          <w:right w:val="single" w:sz="4" w:space="0" w:color="000000"/>
                        </w:tcBorders>
                      </w:tcPr>
                      <w:p>
                        <w:pPr/>
                      </w:p>
                    </w:tc>
                  </w:tr>
                  <w:tr>
                    <w:trPr>
                      <w:trHeight w:val="402" w:hRule="exact"/>
                    </w:trPr>
                    <w:tc>
                      <w:tcPr>
                        <w:tcW w:w="1759" w:type="dxa"/>
                        <w:vMerge/>
                        <w:tcBorders>
                          <w:left w:val="single" w:sz="4" w:space="0" w:color="000000"/>
                          <w:right w:val="single" w:sz="4" w:space="0" w:color="000000"/>
                        </w:tcBorders>
                        <w:shd w:val="clear" w:color="auto" w:fill="D2D2D2"/>
                      </w:tcPr>
                      <w:p>
                        <w:pPr/>
                      </w:p>
                    </w:tc>
                    <w:tc>
                      <w:tcPr>
                        <w:tcW w:w="7798" w:type="dxa"/>
                        <w:gridSpan w:val="10"/>
                        <w:tcBorders>
                          <w:top w:val="single" w:sz="4" w:space="0" w:color="000000"/>
                          <w:left w:val="single" w:sz="9" w:space="0" w:color="D2D2D2"/>
                          <w:bottom w:val="single" w:sz="4" w:space="0" w:color="000000"/>
                          <w:right w:val="single" w:sz="4" w:space="0" w:color="000000"/>
                        </w:tcBorders>
                      </w:tcPr>
                      <w:p>
                        <w:pPr/>
                      </w:p>
                    </w:tc>
                  </w:tr>
                  <w:tr>
                    <w:trPr>
                      <w:trHeight w:val="151" w:hRule="exact"/>
                    </w:trPr>
                    <w:tc>
                      <w:tcPr>
                        <w:tcW w:w="1759" w:type="dxa"/>
                        <w:vMerge/>
                        <w:tcBorders>
                          <w:left w:val="single" w:sz="4" w:space="0" w:color="000000"/>
                          <w:bottom w:val="nil" w:sz="6" w:space="0" w:color="auto"/>
                          <w:right w:val="single" w:sz="4" w:space="0" w:color="000000"/>
                        </w:tcBorders>
                        <w:shd w:val="clear" w:color="auto" w:fill="D2D2D2"/>
                      </w:tcPr>
                      <w:p>
                        <w:pPr/>
                      </w:p>
                    </w:tc>
                    <w:tc>
                      <w:tcPr>
                        <w:tcW w:w="7798" w:type="dxa"/>
                        <w:gridSpan w:val="10"/>
                        <w:vMerge w:val="restart"/>
                        <w:tcBorders>
                          <w:top w:val="single" w:sz="4" w:space="0" w:color="000000"/>
                          <w:left w:val="single" w:sz="9" w:space="0" w:color="D2D2D2"/>
                          <w:right w:val="single" w:sz="4" w:space="0" w:color="000000"/>
                        </w:tcBorders>
                      </w:tcPr>
                      <w:p>
                        <w:pPr/>
                      </w:p>
                    </w:tc>
                  </w:tr>
                  <w:tr>
                    <w:trPr>
                      <w:trHeight w:val="251" w:hRule="exact"/>
                    </w:trPr>
                    <w:tc>
                      <w:tcPr>
                        <w:tcW w:w="1759" w:type="dxa"/>
                        <w:tcBorders>
                          <w:top w:val="nil" w:sz="6" w:space="0" w:color="auto"/>
                          <w:left w:val="single" w:sz="4" w:space="0" w:color="000000"/>
                          <w:bottom w:val="single" w:sz="4" w:space="0" w:color="000000"/>
                          <w:right w:val="single" w:sz="4" w:space="0" w:color="000000"/>
                        </w:tcBorders>
                        <w:shd w:val="clear" w:color="auto" w:fill="D2D2D2"/>
                      </w:tcPr>
                      <w:p>
                        <w:pPr/>
                      </w:p>
                    </w:tc>
                    <w:tc>
                      <w:tcPr>
                        <w:tcW w:w="7798" w:type="dxa"/>
                        <w:gridSpan w:val="10"/>
                        <w:vMerge/>
                        <w:tcBorders>
                          <w:left w:val="single" w:sz="9" w:space="0" w:color="D2D2D2"/>
                          <w:bottom w:val="single" w:sz="4" w:space="0" w:color="000000"/>
                          <w:right w:val="single" w:sz="4" w:space="0" w:color="000000"/>
                        </w:tcBorders>
                      </w:tcPr>
                      <w:p>
                        <w:pPr/>
                      </w:p>
                    </w:tc>
                  </w:tr>
                  <w:tr>
                    <w:trPr>
                      <w:trHeight w:val="251" w:hRule="exact"/>
                    </w:trPr>
                    <w:tc>
                      <w:tcPr>
                        <w:tcW w:w="1759" w:type="dxa"/>
                        <w:tcBorders>
                          <w:top w:val="single" w:sz="4" w:space="0" w:color="000000"/>
                          <w:left w:val="single" w:sz="4" w:space="0" w:color="000000"/>
                          <w:bottom w:val="nil" w:sz="6" w:space="0" w:color="auto"/>
                          <w:right w:val="single" w:sz="4" w:space="0" w:color="000000"/>
                        </w:tcBorders>
                        <w:shd w:val="clear" w:color="auto" w:fill="D2D2D2"/>
                      </w:tcPr>
                      <w:p>
                        <w:pPr/>
                      </w:p>
                    </w:tc>
                    <w:tc>
                      <w:tcPr>
                        <w:tcW w:w="7798" w:type="dxa"/>
                        <w:gridSpan w:val="10"/>
                        <w:vMerge w:val="restart"/>
                        <w:tcBorders>
                          <w:top w:val="single" w:sz="4" w:space="0" w:color="000000"/>
                          <w:left w:val="single" w:sz="9" w:space="0" w:color="D2D2D2"/>
                          <w:right w:val="single" w:sz="4" w:space="0" w:color="000000"/>
                        </w:tcBorders>
                      </w:tcPr>
                      <w:p>
                        <w:pPr>
                          <w:pStyle w:val="TableParagraph"/>
                          <w:spacing w:line="240" w:lineRule="auto" w:before="26"/>
                          <w:ind w:left="16" w:right="0"/>
                          <w:jc w:val="left"/>
                          <w:rPr>
                            <w:rFonts w:ascii="宋体" w:hAnsi="宋体" w:cs="宋体" w:eastAsia="宋体" w:hint="default"/>
                            <w:sz w:val="21"/>
                            <w:szCs w:val="21"/>
                          </w:rPr>
                        </w:pPr>
                        <w:r>
                          <w:rPr>
                            <w:rFonts w:ascii="宋体" w:hAnsi="宋体" w:cs="宋体" w:eastAsia="宋体" w:hint="default"/>
                            <w:sz w:val="21"/>
                            <w:szCs w:val="21"/>
                          </w:rPr>
                          <w:t>不适用</w:t>
                        </w:r>
                      </w:p>
                    </w:tc>
                  </w:tr>
                  <w:tr>
                    <w:trPr>
                      <w:trHeight w:val="151" w:hRule="exact"/>
                    </w:trPr>
                    <w:tc>
                      <w:tcPr>
                        <w:tcW w:w="1759" w:type="dxa"/>
                        <w:vMerge w:val="restart"/>
                        <w:tcBorders>
                          <w:top w:val="nil" w:sz="6" w:space="0" w:color="auto"/>
                          <w:left w:val="single" w:sz="4" w:space="0" w:color="000000"/>
                          <w:right w:val="single" w:sz="4" w:space="0" w:color="000000"/>
                        </w:tcBorders>
                        <w:shd w:val="clear" w:color="auto" w:fill="D2D2D2"/>
                      </w:tcPr>
                      <w:p>
                        <w:pPr>
                          <w:pStyle w:val="TableParagraph"/>
                          <w:spacing w:line="273" w:lineRule="auto" w:before="26"/>
                          <w:ind w:left="11" w:right="57"/>
                          <w:jc w:val="left"/>
                          <w:rPr>
                            <w:rFonts w:ascii="宋体" w:hAnsi="宋体" w:cs="宋体" w:eastAsia="宋体" w:hint="default"/>
                            <w:sz w:val="21"/>
                            <w:szCs w:val="21"/>
                          </w:rPr>
                        </w:pPr>
                        <w:r>
                          <w:rPr>
                            <w:rFonts w:ascii="宋体" w:hAnsi="宋体" w:cs="宋体" w:eastAsia="宋体" w:hint="default"/>
                            <w:sz w:val="21"/>
                            <w:szCs w:val="21"/>
                          </w:rPr>
                          <w:t>募集资金投资项目 实施方式调整情况</w:t>
                        </w:r>
                      </w:p>
                    </w:tc>
                    <w:tc>
                      <w:tcPr>
                        <w:tcW w:w="7798" w:type="dxa"/>
                        <w:gridSpan w:val="10"/>
                        <w:vMerge/>
                        <w:tcBorders>
                          <w:left w:val="single" w:sz="9" w:space="0" w:color="D2D2D2"/>
                          <w:bottom w:val="single" w:sz="4" w:space="0" w:color="000000"/>
                          <w:right w:val="single" w:sz="4" w:space="0" w:color="000000"/>
                        </w:tcBorders>
                      </w:tcPr>
                      <w:p>
                        <w:pPr/>
                      </w:p>
                    </w:tc>
                  </w:tr>
                  <w:tr>
                    <w:trPr>
                      <w:trHeight w:val="402" w:hRule="exact"/>
                    </w:trPr>
                    <w:tc>
                      <w:tcPr>
                        <w:tcW w:w="1759" w:type="dxa"/>
                        <w:vMerge/>
                        <w:tcBorders>
                          <w:left w:val="single" w:sz="4" w:space="0" w:color="000000"/>
                          <w:right w:val="single" w:sz="4" w:space="0" w:color="000000"/>
                        </w:tcBorders>
                        <w:shd w:val="clear" w:color="auto" w:fill="D2D2D2"/>
                      </w:tcPr>
                      <w:p>
                        <w:pPr/>
                      </w:p>
                    </w:tc>
                    <w:tc>
                      <w:tcPr>
                        <w:tcW w:w="7798" w:type="dxa"/>
                        <w:gridSpan w:val="10"/>
                        <w:tcBorders>
                          <w:top w:val="single" w:sz="4" w:space="0" w:color="000000"/>
                          <w:left w:val="single" w:sz="9" w:space="0" w:color="D2D2D2"/>
                          <w:bottom w:val="single" w:sz="4" w:space="0" w:color="000000"/>
                          <w:right w:val="single" w:sz="4" w:space="0" w:color="000000"/>
                        </w:tcBorders>
                      </w:tcPr>
                      <w:p>
                        <w:pPr/>
                      </w:p>
                    </w:tc>
                  </w:tr>
                  <w:tr>
                    <w:trPr>
                      <w:trHeight w:val="151" w:hRule="exact"/>
                    </w:trPr>
                    <w:tc>
                      <w:tcPr>
                        <w:tcW w:w="1759" w:type="dxa"/>
                        <w:vMerge/>
                        <w:tcBorders>
                          <w:left w:val="single" w:sz="4" w:space="0" w:color="000000"/>
                          <w:bottom w:val="nil" w:sz="6" w:space="0" w:color="auto"/>
                          <w:right w:val="single" w:sz="4" w:space="0" w:color="000000"/>
                        </w:tcBorders>
                        <w:shd w:val="clear" w:color="auto" w:fill="D2D2D2"/>
                      </w:tcPr>
                      <w:p>
                        <w:pPr/>
                      </w:p>
                    </w:tc>
                    <w:tc>
                      <w:tcPr>
                        <w:tcW w:w="7798" w:type="dxa"/>
                        <w:gridSpan w:val="10"/>
                        <w:vMerge w:val="restart"/>
                        <w:tcBorders>
                          <w:top w:val="single" w:sz="4" w:space="0" w:color="000000"/>
                          <w:left w:val="single" w:sz="9" w:space="0" w:color="D2D2D2"/>
                          <w:right w:val="single" w:sz="4" w:space="0" w:color="000000"/>
                        </w:tcBorders>
                      </w:tcPr>
                      <w:p>
                        <w:pPr/>
                      </w:p>
                    </w:tc>
                  </w:tr>
                  <w:tr>
                    <w:trPr>
                      <w:trHeight w:val="251" w:hRule="exact"/>
                    </w:trPr>
                    <w:tc>
                      <w:tcPr>
                        <w:tcW w:w="1759" w:type="dxa"/>
                        <w:tcBorders>
                          <w:top w:val="nil" w:sz="6" w:space="0" w:color="auto"/>
                          <w:left w:val="single" w:sz="4" w:space="0" w:color="000000"/>
                          <w:bottom w:val="single" w:sz="4" w:space="0" w:color="000000"/>
                          <w:right w:val="single" w:sz="4" w:space="0" w:color="000000"/>
                        </w:tcBorders>
                        <w:shd w:val="clear" w:color="auto" w:fill="D2D2D2"/>
                      </w:tcPr>
                      <w:p>
                        <w:pPr/>
                      </w:p>
                    </w:tc>
                    <w:tc>
                      <w:tcPr>
                        <w:tcW w:w="7798" w:type="dxa"/>
                        <w:gridSpan w:val="10"/>
                        <w:vMerge/>
                        <w:tcBorders>
                          <w:left w:val="single" w:sz="9" w:space="0" w:color="D2D2D2"/>
                          <w:bottom w:val="single" w:sz="4" w:space="0" w:color="000000"/>
                          <w:right w:val="single" w:sz="4" w:space="0" w:color="000000"/>
                        </w:tcBorders>
                      </w:tcPr>
                      <w:p>
                        <w:pPr/>
                      </w:p>
                    </w:tc>
                  </w:tr>
                  <w:tr>
                    <w:trPr>
                      <w:trHeight w:val="402" w:hRule="exact"/>
                    </w:trPr>
                    <w:tc>
                      <w:tcPr>
                        <w:tcW w:w="1759"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26"/>
                          <w:ind w:left="11" w:right="57"/>
                          <w:jc w:val="both"/>
                          <w:rPr>
                            <w:rFonts w:ascii="宋体" w:hAnsi="宋体" w:cs="宋体" w:eastAsia="宋体" w:hint="default"/>
                            <w:sz w:val="21"/>
                            <w:szCs w:val="21"/>
                          </w:rPr>
                        </w:pPr>
                        <w:r>
                          <w:rPr>
                            <w:rFonts w:ascii="宋体" w:hAnsi="宋体" w:cs="宋体" w:eastAsia="宋体" w:hint="default"/>
                            <w:sz w:val="21"/>
                            <w:szCs w:val="21"/>
                          </w:rPr>
                          <w:t>募集资金投资项目 先期投入及置换情 况</w:t>
                        </w:r>
                      </w:p>
                    </w:tc>
                    <w:tc>
                      <w:tcPr>
                        <w:tcW w:w="7798" w:type="dxa"/>
                        <w:gridSpan w:val="10"/>
                        <w:tcBorders>
                          <w:top w:val="single" w:sz="4" w:space="0" w:color="000000"/>
                          <w:left w:val="single" w:sz="9" w:space="0" w:color="D2D2D2"/>
                          <w:bottom w:val="single" w:sz="4" w:space="0" w:color="000000"/>
                          <w:right w:val="single" w:sz="4" w:space="0" w:color="000000"/>
                        </w:tcBorders>
                      </w:tcPr>
                      <w:p>
                        <w:pPr>
                          <w:pStyle w:val="TableParagraph"/>
                          <w:spacing w:line="240" w:lineRule="auto" w:before="26"/>
                          <w:ind w:left="16" w:right="0"/>
                          <w:jc w:val="left"/>
                          <w:rPr>
                            <w:rFonts w:ascii="宋体" w:hAnsi="宋体" w:cs="宋体" w:eastAsia="宋体" w:hint="default"/>
                            <w:sz w:val="21"/>
                            <w:szCs w:val="21"/>
                          </w:rPr>
                        </w:pPr>
                        <w:r>
                          <w:rPr>
                            <w:rFonts w:ascii="宋体" w:hAnsi="宋体" w:cs="宋体" w:eastAsia="宋体" w:hint="default"/>
                            <w:sz w:val="21"/>
                            <w:szCs w:val="21"/>
                          </w:rPr>
                          <w:t>不适用</w:t>
                        </w:r>
                      </w:p>
                    </w:tc>
                  </w:tr>
                  <w:tr>
                    <w:trPr>
                      <w:trHeight w:val="624" w:hRule="exact"/>
                    </w:trPr>
                    <w:tc>
                      <w:tcPr>
                        <w:tcW w:w="1759" w:type="dxa"/>
                        <w:vMerge/>
                        <w:tcBorders>
                          <w:left w:val="single" w:sz="4" w:space="0" w:color="000000"/>
                          <w:bottom w:val="single" w:sz="4" w:space="0" w:color="000000"/>
                          <w:right w:val="single" w:sz="4" w:space="0" w:color="000000"/>
                        </w:tcBorders>
                        <w:shd w:val="clear" w:color="auto" w:fill="D2D2D2"/>
                      </w:tcPr>
                      <w:p>
                        <w:pPr/>
                      </w:p>
                    </w:tc>
                    <w:tc>
                      <w:tcPr>
                        <w:tcW w:w="7798" w:type="dxa"/>
                        <w:gridSpan w:val="10"/>
                        <w:tcBorders>
                          <w:top w:val="single" w:sz="4" w:space="0" w:color="000000"/>
                          <w:left w:val="single" w:sz="9" w:space="0" w:color="D2D2D2"/>
                          <w:bottom w:val="single" w:sz="4" w:space="0" w:color="000000"/>
                          <w:right w:val="single" w:sz="4" w:space="0" w:color="000000"/>
                        </w:tcBorders>
                      </w:tcPr>
                      <w:p>
                        <w:pPr/>
                      </w:p>
                    </w:tc>
                  </w:tr>
                  <w:tr>
                    <w:trPr>
                      <w:trHeight w:val="402" w:hRule="exact"/>
                    </w:trPr>
                    <w:tc>
                      <w:tcPr>
                        <w:tcW w:w="1759" w:type="dxa"/>
                        <w:vMerge w:val="restart"/>
                        <w:tcBorders>
                          <w:top w:val="single" w:sz="4" w:space="0" w:color="000000"/>
                          <w:left w:val="single" w:sz="4" w:space="0" w:color="000000"/>
                          <w:right w:val="single" w:sz="4" w:space="0" w:color="000000"/>
                        </w:tcBorders>
                        <w:shd w:val="clear" w:color="auto" w:fill="D2D2D2"/>
                      </w:tcPr>
                      <w:p>
                        <w:pPr/>
                      </w:p>
                    </w:tc>
                    <w:tc>
                      <w:tcPr>
                        <w:tcW w:w="7798"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适用</w:t>
                        </w:r>
                      </w:p>
                    </w:tc>
                  </w:tr>
                  <w:tr>
                    <w:trPr>
                      <w:trHeight w:val="584" w:hRule="exact"/>
                    </w:trPr>
                    <w:tc>
                      <w:tcPr>
                        <w:tcW w:w="1759" w:type="dxa"/>
                        <w:vMerge/>
                        <w:tcBorders>
                          <w:left w:val="single" w:sz="4" w:space="0" w:color="000000"/>
                          <w:bottom w:val="nil" w:sz="6" w:space="0" w:color="auto"/>
                          <w:right w:val="single" w:sz="4" w:space="0" w:color="000000"/>
                        </w:tcBorders>
                        <w:shd w:val="clear" w:color="auto" w:fill="D2D2D2"/>
                      </w:tcPr>
                      <w:p>
                        <w:pPr/>
                      </w:p>
                    </w:tc>
                    <w:tc>
                      <w:tcPr>
                        <w:tcW w:w="7798" w:type="dxa"/>
                        <w:gridSpan w:val="10"/>
                        <w:vMerge w:val="restart"/>
                        <w:tcBorders>
                          <w:top w:val="single" w:sz="4" w:space="0" w:color="000000"/>
                          <w:left w:val="single" w:sz="9" w:space="0" w:color="D2D2D2"/>
                          <w:right w:val="single" w:sz="4" w:space="0" w:color="000000"/>
                        </w:tcBorders>
                      </w:tcPr>
                      <w:p>
                        <w:pPr>
                          <w:pStyle w:val="TableParagraph"/>
                          <w:spacing w:line="273" w:lineRule="auto" w:before="26"/>
                          <w:ind w:left="16" w:right="99" w:firstLine="105"/>
                          <w:jc w:val="both"/>
                          <w:rPr>
                            <w:rFonts w:ascii="宋体" w:hAnsi="宋体" w:cs="宋体" w:eastAsia="宋体" w:hint="default"/>
                            <w:sz w:val="21"/>
                            <w:szCs w:val="21"/>
                          </w:rPr>
                        </w:pPr>
                        <w:r>
                          <w:rPr>
                            <w:rFonts w:ascii="宋体" w:hAnsi="宋体" w:cs="宋体" w:eastAsia="宋体" w:hint="default"/>
                            <w:sz w:val="21"/>
                            <w:szCs w:val="21"/>
                          </w:rPr>
                          <w:t>公司于</w:t>
                        </w:r>
                        <w:r>
                          <w:rPr>
                            <w:rFonts w:ascii="宋体" w:hAnsi="宋体" w:cs="宋体" w:eastAsia="宋体" w:hint="default"/>
                            <w:spacing w:val="-53"/>
                            <w:sz w:val="21"/>
                            <w:szCs w:val="21"/>
                          </w:rPr>
                          <w:t> </w:t>
                        </w:r>
                        <w:r>
                          <w:rPr>
                            <w:rFonts w:ascii="宋体" w:hAnsi="宋体" w:cs="宋体" w:eastAsia="宋体" w:hint="default"/>
                            <w:sz w:val="21"/>
                            <w:szCs w:val="21"/>
                          </w:rPr>
                          <w:t>2017</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7</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11</w:t>
                        </w:r>
                        <w:r>
                          <w:rPr>
                            <w:rFonts w:ascii="宋体" w:hAnsi="宋体" w:cs="宋体" w:eastAsia="宋体" w:hint="default"/>
                            <w:spacing w:val="-53"/>
                            <w:sz w:val="21"/>
                            <w:szCs w:val="21"/>
                          </w:rPr>
                          <w:t> </w:t>
                        </w:r>
                        <w:r>
                          <w:rPr>
                            <w:rFonts w:ascii="宋体" w:hAnsi="宋体" w:cs="宋体" w:eastAsia="宋体" w:hint="default"/>
                            <w:sz w:val="21"/>
                            <w:szCs w:val="21"/>
                          </w:rPr>
                          <w:t>日召开的第六届董事会第三次会议和第六届监事会第三次会 </w:t>
                        </w:r>
                        <w:r>
                          <w:rPr>
                            <w:rFonts w:ascii="宋体" w:hAnsi="宋体" w:cs="宋体" w:eastAsia="宋体" w:hint="default"/>
                            <w:spacing w:val="-3"/>
                            <w:sz w:val="21"/>
                            <w:szCs w:val="21"/>
                          </w:rPr>
                          <w:t>议，审议通过了《关于使用部分闲置募集资金暂时补充流动资金的议案》，同意公司</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使用闲置募集资金人民币</w:t>
                        </w:r>
                        <w:r>
                          <w:rPr>
                            <w:rFonts w:ascii="宋体" w:hAnsi="宋体" w:cs="宋体" w:eastAsia="宋体" w:hint="default"/>
                            <w:spacing w:val="-53"/>
                            <w:sz w:val="21"/>
                            <w:szCs w:val="21"/>
                          </w:rPr>
                          <w:t> </w:t>
                        </w:r>
                        <w:r>
                          <w:rPr>
                            <w:rFonts w:ascii="宋体" w:hAnsi="宋体" w:cs="宋体" w:eastAsia="宋体" w:hint="default"/>
                            <w:sz w:val="21"/>
                            <w:szCs w:val="21"/>
                          </w:rPr>
                          <w:t>18,000</w:t>
                        </w:r>
                        <w:r>
                          <w:rPr>
                            <w:rFonts w:ascii="宋体" w:hAnsi="宋体" w:cs="宋体" w:eastAsia="宋体" w:hint="default"/>
                            <w:spacing w:val="-54"/>
                            <w:sz w:val="21"/>
                            <w:szCs w:val="21"/>
                          </w:rPr>
                          <w:t> </w:t>
                        </w:r>
                        <w:r>
                          <w:rPr>
                            <w:rFonts w:ascii="宋体" w:hAnsi="宋体" w:cs="宋体" w:eastAsia="宋体" w:hint="default"/>
                            <w:sz w:val="21"/>
                            <w:szCs w:val="21"/>
                          </w:rPr>
                          <w:t>万元暂时补充流动资金，使用期限自第六届董事会</w:t>
                        </w:r>
                      </w:p>
                      <w:p>
                        <w:pPr>
                          <w:pStyle w:val="TableParagraph"/>
                          <w:spacing w:line="273" w:lineRule="auto" w:before="7"/>
                          <w:ind w:left="16" w:right="20"/>
                          <w:jc w:val="left"/>
                          <w:rPr>
                            <w:rFonts w:ascii="宋体" w:hAnsi="宋体" w:cs="宋体" w:eastAsia="宋体" w:hint="default"/>
                            <w:sz w:val="21"/>
                            <w:szCs w:val="21"/>
                          </w:rPr>
                        </w:pPr>
                        <w:r>
                          <w:rPr>
                            <w:rFonts w:ascii="宋体" w:hAnsi="宋体" w:cs="宋体" w:eastAsia="宋体" w:hint="default"/>
                            <w:sz w:val="21"/>
                            <w:szCs w:val="21"/>
                          </w:rPr>
                          <w:t>第三次会议审议通过之日起不超过十二个月，详见</w:t>
                        </w:r>
                        <w:r>
                          <w:rPr>
                            <w:rFonts w:ascii="宋体" w:hAnsi="宋体" w:cs="宋体" w:eastAsia="宋体" w:hint="default"/>
                            <w:spacing w:val="-57"/>
                            <w:sz w:val="21"/>
                            <w:szCs w:val="21"/>
                          </w:rPr>
                          <w:t> </w:t>
                        </w:r>
                        <w:r>
                          <w:rPr>
                            <w:rFonts w:ascii="宋体" w:hAnsi="宋体" w:cs="宋体" w:eastAsia="宋体" w:hint="default"/>
                            <w:sz w:val="21"/>
                            <w:szCs w:val="21"/>
                          </w:rPr>
                          <w:t>2017</w:t>
                        </w:r>
                        <w:r>
                          <w:rPr>
                            <w:rFonts w:ascii="宋体" w:hAnsi="宋体" w:cs="宋体" w:eastAsia="宋体" w:hint="default"/>
                            <w:spacing w:val="-58"/>
                            <w:sz w:val="21"/>
                            <w:szCs w:val="21"/>
                          </w:rPr>
                          <w:t> </w:t>
                        </w:r>
                        <w:r>
                          <w:rPr>
                            <w:rFonts w:ascii="宋体" w:hAnsi="宋体" w:cs="宋体" w:eastAsia="宋体" w:hint="default"/>
                            <w:sz w:val="21"/>
                            <w:szCs w:val="21"/>
                          </w:rPr>
                          <w:t>年</w:t>
                        </w:r>
                        <w:r>
                          <w:rPr>
                            <w:rFonts w:ascii="宋体" w:hAnsi="宋体" w:cs="宋体" w:eastAsia="宋体" w:hint="default"/>
                            <w:spacing w:val="-58"/>
                            <w:sz w:val="21"/>
                            <w:szCs w:val="21"/>
                          </w:rPr>
                          <w:t> </w:t>
                        </w:r>
                        <w:r>
                          <w:rPr>
                            <w:rFonts w:ascii="宋体" w:hAnsi="宋体" w:cs="宋体" w:eastAsia="宋体" w:hint="default"/>
                            <w:sz w:val="21"/>
                            <w:szCs w:val="21"/>
                          </w:rPr>
                          <w:t>7</w:t>
                        </w:r>
                        <w:r>
                          <w:rPr>
                            <w:rFonts w:ascii="宋体" w:hAnsi="宋体" w:cs="宋体" w:eastAsia="宋体" w:hint="default"/>
                            <w:spacing w:val="-57"/>
                            <w:sz w:val="21"/>
                            <w:szCs w:val="21"/>
                          </w:rPr>
                          <w:t> </w:t>
                        </w:r>
                        <w:r>
                          <w:rPr>
                            <w:rFonts w:ascii="宋体" w:hAnsi="宋体" w:cs="宋体" w:eastAsia="宋体" w:hint="default"/>
                            <w:sz w:val="21"/>
                            <w:szCs w:val="21"/>
                          </w:rPr>
                          <w:t>月</w:t>
                        </w:r>
                        <w:r>
                          <w:rPr>
                            <w:rFonts w:ascii="宋体" w:hAnsi="宋体" w:cs="宋体" w:eastAsia="宋体" w:hint="default"/>
                            <w:spacing w:val="-59"/>
                            <w:sz w:val="21"/>
                            <w:szCs w:val="21"/>
                          </w:rPr>
                          <w:t> </w:t>
                        </w:r>
                        <w:r>
                          <w:rPr>
                            <w:rFonts w:ascii="宋体" w:hAnsi="宋体" w:cs="宋体" w:eastAsia="宋体" w:hint="default"/>
                            <w:sz w:val="21"/>
                            <w:szCs w:val="21"/>
                          </w:rPr>
                          <w:t>12</w:t>
                        </w:r>
                        <w:r>
                          <w:rPr>
                            <w:rFonts w:ascii="宋体" w:hAnsi="宋体" w:cs="宋体" w:eastAsia="宋体" w:hint="default"/>
                            <w:spacing w:val="-57"/>
                            <w:sz w:val="21"/>
                            <w:szCs w:val="21"/>
                          </w:rPr>
                          <w:t> </w:t>
                        </w:r>
                        <w:r>
                          <w:rPr>
                            <w:rFonts w:ascii="宋体" w:hAnsi="宋体" w:cs="宋体" w:eastAsia="宋体" w:hint="default"/>
                            <w:sz w:val="21"/>
                            <w:szCs w:val="21"/>
                          </w:rPr>
                          <w:t>日巨潮资讯网相关 公告。</w:t>
                        </w:r>
                        <w:r>
                          <w:rPr>
                            <w:rFonts w:ascii="宋体" w:hAnsi="宋体" w:cs="宋体" w:eastAsia="宋体" w:hint="default"/>
                            <w:spacing w:val="-21"/>
                            <w:sz w:val="21"/>
                            <w:szCs w:val="21"/>
                          </w:rPr>
                          <w:t> </w:t>
                        </w:r>
                        <w:r>
                          <w:rPr>
                            <w:rFonts w:ascii="宋体" w:hAnsi="宋体" w:cs="宋体" w:eastAsia="宋体" w:hint="default"/>
                            <w:sz w:val="21"/>
                            <w:szCs w:val="21"/>
                          </w:rPr>
                          <w:t>截至本报告期末，公司已合计使用闲置募集资金人民币</w:t>
                        </w:r>
                        <w:r>
                          <w:rPr>
                            <w:rFonts w:ascii="宋体" w:hAnsi="宋体" w:cs="宋体" w:eastAsia="宋体" w:hint="default"/>
                            <w:spacing w:val="-56"/>
                            <w:sz w:val="21"/>
                            <w:szCs w:val="21"/>
                          </w:rPr>
                          <w:t> </w:t>
                        </w:r>
                        <w:r>
                          <w:rPr>
                            <w:rFonts w:ascii="宋体" w:hAnsi="宋体" w:cs="宋体" w:eastAsia="宋体" w:hint="default"/>
                            <w:sz w:val="21"/>
                            <w:szCs w:val="21"/>
                          </w:rPr>
                          <w:t>18,000</w:t>
                        </w:r>
                        <w:r>
                          <w:rPr>
                            <w:rFonts w:ascii="宋体" w:hAnsi="宋体" w:cs="宋体" w:eastAsia="宋体" w:hint="default"/>
                            <w:spacing w:val="-58"/>
                            <w:sz w:val="21"/>
                            <w:szCs w:val="21"/>
                          </w:rPr>
                          <w:t> </w:t>
                        </w:r>
                        <w:r>
                          <w:rPr>
                            <w:rFonts w:ascii="宋体" w:hAnsi="宋体" w:cs="宋体" w:eastAsia="宋体" w:hint="default"/>
                            <w:sz w:val="21"/>
                            <w:szCs w:val="21"/>
                          </w:rPr>
                          <w:t>万元暂时补充 </w:t>
                        </w:r>
                        <w:r>
                          <w:rPr>
                            <w:rFonts w:ascii="宋体" w:hAnsi="宋体" w:cs="宋体" w:eastAsia="宋体" w:hint="default"/>
                            <w:spacing w:val="-1"/>
                            <w:sz w:val="21"/>
                            <w:szCs w:val="21"/>
                          </w:rPr>
                          <w:t>流动资金，公司在将此部分闲置募集资金暂时补充流动资金期间，对资金进行了合理</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pacing w:val="-4"/>
                            <w:sz w:val="21"/>
                            <w:szCs w:val="21"/>
                          </w:rPr>
                          <w:t>的安排与使用，没有影响募集资金使用计划的正常进行，没有变相改变募集资金用途</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资金运用情况良好，且使用期限未超过十二个月。</w:t>
                        </w:r>
                      </w:p>
                    </w:tc>
                  </w:tr>
                  <w:tr>
                    <w:trPr>
                      <w:trHeight w:val="1015" w:hRule="exact"/>
                    </w:trPr>
                    <w:tc>
                      <w:tcPr>
                        <w:tcW w:w="175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73" w:lineRule="auto" w:before="26"/>
                          <w:ind w:left="11" w:right="57"/>
                          <w:jc w:val="both"/>
                          <w:rPr>
                            <w:rFonts w:ascii="宋体" w:hAnsi="宋体" w:cs="宋体" w:eastAsia="宋体" w:hint="default"/>
                            <w:sz w:val="21"/>
                            <w:szCs w:val="21"/>
                          </w:rPr>
                        </w:pPr>
                        <w:r>
                          <w:rPr>
                            <w:rFonts w:ascii="宋体" w:hAnsi="宋体" w:cs="宋体" w:eastAsia="宋体" w:hint="default"/>
                            <w:sz w:val="21"/>
                            <w:szCs w:val="21"/>
                          </w:rPr>
                          <w:t>用闲置募集资金暂 时补充流动资金情 况</w:t>
                        </w:r>
                      </w:p>
                    </w:tc>
                    <w:tc>
                      <w:tcPr>
                        <w:tcW w:w="7798" w:type="dxa"/>
                        <w:gridSpan w:val="10"/>
                        <w:vMerge/>
                        <w:tcBorders>
                          <w:left w:val="single" w:sz="9" w:space="0" w:color="D2D2D2"/>
                          <w:right w:val="single" w:sz="4" w:space="0" w:color="000000"/>
                        </w:tcBorders>
                      </w:tcPr>
                      <w:p>
                        <w:pPr/>
                      </w:p>
                    </w:tc>
                  </w:tr>
                  <w:tr>
                    <w:trPr>
                      <w:trHeight w:val="986" w:hRule="exact"/>
                    </w:trPr>
                    <w:tc>
                      <w:tcPr>
                        <w:tcW w:w="1759" w:type="dxa"/>
                        <w:tcBorders>
                          <w:top w:val="nil" w:sz="6" w:space="0" w:color="auto"/>
                          <w:left w:val="single" w:sz="4" w:space="0" w:color="000000"/>
                          <w:bottom w:val="single" w:sz="4" w:space="0" w:color="000000"/>
                          <w:right w:val="single" w:sz="4" w:space="0" w:color="000000"/>
                        </w:tcBorders>
                        <w:shd w:val="clear" w:color="auto" w:fill="D2D2D2"/>
                      </w:tcPr>
                      <w:p>
                        <w:pPr/>
                      </w:p>
                    </w:tc>
                    <w:tc>
                      <w:tcPr>
                        <w:tcW w:w="7798" w:type="dxa"/>
                        <w:gridSpan w:val="10"/>
                        <w:vMerge/>
                        <w:tcBorders>
                          <w:left w:val="single" w:sz="9" w:space="0" w:color="D2D2D2"/>
                          <w:bottom w:val="single" w:sz="4" w:space="0" w:color="000000"/>
                          <w:right w:val="single" w:sz="4" w:space="0" w:color="000000"/>
                        </w:tcBorders>
                      </w:tcPr>
                      <w:p>
                        <w:pPr/>
                      </w:p>
                    </w:tc>
                  </w:tr>
                  <w:tr>
                    <w:trPr>
                      <w:trHeight w:val="402" w:hRule="exact"/>
                    </w:trPr>
                    <w:tc>
                      <w:tcPr>
                        <w:tcW w:w="1759"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26"/>
                          <w:ind w:left="11" w:right="55"/>
                          <w:jc w:val="both"/>
                          <w:rPr>
                            <w:rFonts w:ascii="宋体" w:hAnsi="宋体" w:cs="宋体" w:eastAsia="宋体" w:hint="default"/>
                            <w:sz w:val="21"/>
                            <w:szCs w:val="21"/>
                          </w:rPr>
                        </w:pPr>
                        <w:r>
                          <w:rPr>
                            <w:rFonts w:ascii="宋体" w:hAnsi="宋体" w:cs="宋体" w:eastAsia="宋体" w:hint="default"/>
                            <w:sz w:val="21"/>
                            <w:szCs w:val="21"/>
                          </w:rPr>
                          <w:t>项目实施出现募集 资金结余的金额及 原因</w:t>
                        </w:r>
                      </w:p>
                    </w:tc>
                    <w:tc>
                      <w:tcPr>
                        <w:tcW w:w="7798" w:type="dxa"/>
                        <w:gridSpan w:val="10"/>
                        <w:tcBorders>
                          <w:top w:val="single" w:sz="4" w:space="0" w:color="000000"/>
                          <w:left w:val="single" w:sz="9" w:space="0" w:color="D2D2D2"/>
                          <w:bottom w:val="single" w:sz="4" w:space="0" w:color="000000"/>
                          <w:right w:val="single" w:sz="4" w:space="0" w:color="000000"/>
                        </w:tcBorders>
                      </w:tcPr>
                      <w:p>
                        <w:pPr>
                          <w:pStyle w:val="TableParagraph"/>
                          <w:spacing w:line="240" w:lineRule="auto" w:before="26"/>
                          <w:ind w:left="16" w:right="0"/>
                          <w:jc w:val="left"/>
                          <w:rPr>
                            <w:rFonts w:ascii="宋体" w:hAnsi="宋体" w:cs="宋体" w:eastAsia="宋体" w:hint="default"/>
                            <w:sz w:val="21"/>
                            <w:szCs w:val="21"/>
                          </w:rPr>
                        </w:pPr>
                        <w:r>
                          <w:rPr>
                            <w:rFonts w:ascii="宋体" w:hAnsi="宋体" w:cs="宋体" w:eastAsia="宋体" w:hint="default"/>
                            <w:sz w:val="21"/>
                            <w:szCs w:val="21"/>
                          </w:rPr>
                          <w:t>不适用</w:t>
                        </w:r>
                      </w:p>
                    </w:tc>
                  </w:tr>
                  <w:tr>
                    <w:trPr>
                      <w:trHeight w:val="624" w:hRule="exact"/>
                    </w:trPr>
                    <w:tc>
                      <w:tcPr>
                        <w:tcW w:w="1759" w:type="dxa"/>
                        <w:vMerge/>
                        <w:tcBorders>
                          <w:left w:val="single" w:sz="4" w:space="0" w:color="000000"/>
                          <w:bottom w:val="single" w:sz="4" w:space="0" w:color="000000"/>
                          <w:right w:val="single" w:sz="4" w:space="0" w:color="000000"/>
                        </w:tcBorders>
                        <w:shd w:val="clear" w:color="auto" w:fill="D2D2D2"/>
                      </w:tcPr>
                      <w:p>
                        <w:pPr/>
                      </w:p>
                    </w:tc>
                    <w:tc>
                      <w:tcPr>
                        <w:tcW w:w="7798" w:type="dxa"/>
                        <w:gridSpan w:val="10"/>
                        <w:tcBorders>
                          <w:top w:val="single" w:sz="4" w:space="0" w:color="000000"/>
                          <w:left w:val="single" w:sz="9" w:space="0" w:color="D2D2D2"/>
                          <w:bottom w:val="single" w:sz="4" w:space="0" w:color="000000"/>
                          <w:right w:val="single" w:sz="4" w:space="0" w:color="000000"/>
                        </w:tcBorders>
                      </w:tcPr>
                      <w:p>
                        <w:pPr/>
                      </w:p>
                    </w:tc>
                  </w:tr>
                  <w:tr>
                    <w:trPr>
                      <w:trHeight w:val="402" w:hRule="exact"/>
                    </w:trPr>
                    <w:tc>
                      <w:tcPr>
                        <w:tcW w:w="17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1" w:right="0"/>
                          <w:jc w:val="left"/>
                          <w:rPr>
                            <w:rFonts w:ascii="宋体" w:hAnsi="宋体" w:cs="宋体" w:eastAsia="宋体" w:hint="default"/>
                            <w:sz w:val="21"/>
                            <w:szCs w:val="21"/>
                          </w:rPr>
                        </w:pPr>
                        <w:r>
                          <w:rPr>
                            <w:rFonts w:ascii="宋体" w:hAnsi="宋体" w:cs="宋体" w:eastAsia="宋体" w:hint="default"/>
                            <w:sz w:val="21"/>
                            <w:szCs w:val="21"/>
                          </w:rPr>
                          <w:t>尚未使用的募集资</w:t>
                        </w:r>
                      </w:p>
                    </w:tc>
                    <w:tc>
                      <w:tcPr>
                        <w:tcW w:w="7798" w:type="dxa"/>
                        <w:gridSpan w:val="10"/>
                        <w:tcBorders>
                          <w:top w:val="single" w:sz="4" w:space="0" w:color="000000"/>
                          <w:left w:val="single" w:sz="9" w:space="0" w:color="D2D2D2"/>
                          <w:bottom w:val="single" w:sz="4" w:space="0" w:color="000000"/>
                          <w:right w:val="single" w:sz="4" w:space="0" w:color="000000"/>
                        </w:tcBorders>
                      </w:tcPr>
                      <w:p>
                        <w:pPr>
                          <w:pStyle w:val="TableParagraph"/>
                          <w:spacing w:line="240" w:lineRule="auto" w:before="26"/>
                          <w:ind w:left="16" w:right="0"/>
                          <w:jc w:val="left"/>
                          <w:rPr>
                            <w:rFonts w:ascii="宋体" w:hAnsi="宋体" w:cs="宋体" w:eastAsia="宋体" w:hint="default"/>
                            <w:sz w:val="21"/>
                            <w:szCs w:val="21"/>
                          </w:rPr>
                        </w:pPr>
                        <w:r>
                          <w:rPr>
                            <w:rFonts w:ascii="宋体" w:hAnsi="宋体" w:cs="宋体" w:eastAsia="宋体" w:hint="default"/>
                            <w:sz w:val="21"/>
                            <w:szCs w:val="21"/>
                          </w:rPr>
                          <w:t>报告期内存储于募集资金专户。</w:t>
                        </w: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9"/>
          <w:szCs w:val="19"/>
        </w:rPr>
      </w:pPr>
    </w:p>
    <w:p>
      <w:pPr>
        <w:spacing w:before="35"/>
        <w:ind w:left="0" w:right="1125" w:firstLine="0"/>
        <w:jc w:val="right"/>
        <w:rPr>
          <w:rFonts w:ascii="宋体" w:hAnsi="宋体" w:cs="宋体" w:eastAsia="宋体" w:hint="default"/>
          <w:sz w:val="21"/>
          <w:szCs w:val="21"/>
        </w:rPr>
      </w:pPr>
      <w:r>
        <w:rPr>
          <w:rFonts w:ascii="宋体" w:hAnsi="宋体" w:cs="宋体" w:eastAsia="宋体" w:hint="default"/>
          <w:sz w:val="21"/>
          <w:szCs w:val="21"/>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1"/>
          <w:szCs w:val="11"/>
        </w:rPr>
      </w:pPr>
    </w:p>
    <w:p>
      <w:pPr>
        <w:spacing w:line="312" w:lineRule="exact"/>
        <w:ind w:left="1952" w:right="0" w:firstLine="0"/>
        <w:rPr>
          <w:rFonts w:ascii="宋体" w:hAnsi="宋体" w:cs="宋体" w:eastAsia="宋体" w:hint="default"/>
          <w:sz w:val="20"/>
          <w:szCs w:val="20"/>
        </w:rPr>
      </w:pPr>
      <w:r>
        <w:rPr>
          <w:rFonts w:ascii="宋体" w:hAnsi="宋体" w:cs="宋体" w:eastAsia="宋体" w:hint="default"/>
          <w:position w:val="-5"/>
          <w:sz w:val="20"/>
          <w:szCs w:val="20"/>
        </w:rPr>
        <w:pict>
          <v:group style="width:387.2pt;height:15.6pt;mso-position-horizontal-relative:char;mso-position-vertical-relative:line" coordorigin="0,0" coordsize="7744,312">
            <v:group style="position:absolute;left:0;top:0;width:7744;height:312" coordorigin="0,0" coordsize="7744,312">
              <v:shape style="position:absolute;left:0;top:0;width:7744;height:312" coordorigin="0,0" coordsize="7744,312" path="m0,312l7743,312,7743,0,0,0,0,312xe" filled="true" fillcolor="#ffffff" stroked="false">
                <v:path arrowok="t"/>
                <v:fill type="solid"/>
              </v:shape>
            </v:group>
          </v:group>
        </w:pict>
      </w:r>
      <w:r>
        <w:rPr>
          <w:rFonts w:ascii="宋体" w:hAnsi="宋体" w:cs="宋体" w:eastAsia="宋体" w:hint="default"/>
          <w:position w:val="-5"/>
          <w:sz w:val="20"/>
          <w:szCs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spacing w:before="35"/>
        <w:ind w:left="0" w:right="1124" w:firstLine="0"/>
        <w:jc w:val="right"/>
        <w:rPr>
          <w:rFonts w:ascii="宋体" w:hAnsi="宋体" w:cs="宋体" w:eastAsia="宋体" w:hint="default"/>
          <w:sz w:val="21"/>
          <w:szCs w:val="21"/>
        </w:rPr>
      </w:pPr>
      <w:r>
        <w:rPr>
          <w:rFonts w:ascii="宋体" w:hAnsi="宋体" w:cs="宋体" w:eastAsia="宋体" w:hint="default"/>
          <w:sz w:val="21"/>
          <w:szCs w:val="21"/>
        </w:rPr>
        <w:t>，</w:t>
      </w:r>
    </w:p>
    <w:p>
      <w:pPr>
        <w:spacing w:after="0"/>
        <w:jc w:val="right"/>
        <w:rPr>
          <w:rFonts w:ascii="宋体" w:hAnsi="宋体" w:cs="宋体" w:eastAsia="宋体" w:hint="default"/>
          <w:sz w:val="21"/>
          <w:szCs w:val="21"/>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469" w:type="dxa"/>
        <w:tblLayout w:type="fixed"/>
        <w:tblCellMar>
          <w:top w:w="0" w:type="dxa"/>
          <w:left w:w="0" w:type="dxa"/>
          <w:bottom w:w="0" w:type="dxa"/>
          <w:right w:w="0" w:type="dxa"/>
        </w:tblCellMar>
        <w:tblLook w:val="01E0"/>
      </w:tblPr>
      <w:tblGrid>
        <w:gridCol w:w="1770"/>
        <w:gridCol w:w="7798"/>
      </w:tblGrid>
      <w:tr>
        <w:trPr>
          <w:trHeight w:val="362"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1" w:lineRule="exact"/>
              <w:ind w:left="22" w:right="0"/>
              <w:jc w:val="left"/>
              <w:rPr>
                <w:rFonts w:ascii="宋体" w:hAnsi="宋体" w:cs="宋体" w:eastAsia="宋体" w:hint="default"/>
                <w:sz w:val="21"/>
                <w:szCs w:val="21"/>
              </w:rPr>
            </w:pPr>
            <w:r>
              <w:rPr>
                <w:rFonts w:ascii="宋体" w:hAnsi="宋体" w:cs="宋体" w:eastAsia="宋体" w:hint="default"/>
                <w:sz w:val="21"/>
                <w:szCs w:val="21"/>
              </w:rPr>
              <w:t>金用途及去向</w:t>
            </w:r>
          </w:p>
        </w:tc>
        <w:tc>
          <w:tcPr>
            <w:tcW w:w="7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22" w:right="57"/>
              <w:jc w:val="both"/>
              <w:rPr>
                <w:rFonts w:ascii="宋体" w:hAnsi="宋体" w:cs="宋体" w:eastAsia="宋体" w:hint="default"/>
                <w:sz w:val="21"/>
                <w:szCs w:val="21"/>
              </w:rPr>
            </w:pPr>
            <w:r>
              <w:rPr>
                <w:rFonts w:ascii="宋体" w:hAnsi="宋体" w:cs="宋体" w:eastAsia="宋体" w:hint="default"/>
                <w:sz w:val="21"/>
                <w:szCs w:val="21"/>
              </w:rPr>
              <w:t>募集资金使用及披 露中存在的问题或 其他情况</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无</w:t>
            </w:r>
          </w:p>
        </w:tc>
      </w:tr>
    </w:tbl>
    <w:p>
      <w:pPr>
        <w:spacing w:line="240" w:lineRule="auto" w:before="10"/>
        <w:rPr>
          <w:rFonts w:ascii="宋体" w:hAnsi="宋体" w:cs="宋体" w:eastAsia="宋体" w:hint="default"/>
          <w:sz w:val="4"/>
          <w:szCs w:val="4"/>
        </w:rPr>
      </w:pPr>
    </w:p>
    <w:p>
      <w:pPr>
        <w:pStyle w:val="Heading2"/>
        <w:spacing w:line="240" w:lineRule="auto"/>
        <w:ind w:left="956" w:right="5712"/>
        <w:jc w:val="left"/>
        <w:rPr>
          <w:b w:val="0"/>
          <w:bCs w:val="0"/>
        </w:rPr>
      </w:pPr>
      <w:bookmarkStart w:name="（3）募集资金变更项目情况" w:id="55"/>
      <w:bookmarkEnd w:id="55"/>
      <w:r>
        <w:rPr>
          <w:b w:val="0"/>
          <w:bCs w:val="0"/>
        </w:rPr>
      </w:r>
      <w:r>
        <w:rPr/>
        <w:t>（</w:t>
      </w:r>
      <w:r>
        <w:rPr>
          <w:rFonts w:ascii="宋体" w:hAnsi="宋体" w:cs="宋体" w:eastAsia="宋体" w:hint="default"/>
        </w:rPr>
        <w:t>3</w:t>
      </w:r>
      <w:r>
        <w:rPr/>
        <w:t>）募集资金变更项目情况</w:t>
      </w:r>
      <w:r>
        <w:rPr>
          <w:b w:val="0"/>
          <w:bCs w:val="0"/>
        </w:rPr>
      </w:r>
    </w:p>
    <w:p>
      <w:pPr>
        <w:pStyle w:val="BodyText"/>
        <w:spacing w:line="333" w:lineRule="auto" w:before="145"/>
        <w:ind w:left="954" w:right="57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 公司报告期不存在募集资金变更项目情况。</w:t>
      </w:r>
    </w:p>
    <w:p>
      <w:pPr>
        <w:spacing w:line="240" w:lineRule="auto" w:before="2"/>
        <w:rPr>
          <w:rFonts w:ascii="宋体" w:hAnsi="宋体" w:cs="宋体" w:eastAsia="宋体" w:hint="default"/>
          <w:sz w:val="17"/>
          <w:szCs w:val="17"/>
        </w:rPr>
      </w:pPr>
    </w:p>
    <w:p>
      <w:pPr>
        <w:pStyle w:val="Heading2"/>
        <w:spacing w:line="240" w:lineRule="auto" w:before="0"/>
        <w:ind w:left="474" w:right="5712"/>
        <w:jc w:val="left"/>
        <w:rPr>
          <w:b w:val="0"/>
          <w:bCs w:val="0"/>
        </w:rPr>
      </w:pPr>
      <w:bookmarkStart w:name="六、重大资产和股权出售" w:id="56"/>
      <w:bookmarkEnd w:id="56"/>
      <w:r>
        <w:rPr>
          <w:b w:val="0"/>
          <w:bCs w:val="0"/>
        </w:rPr>
      </w:r>
      <w:r>
        <w:rPr/>
        <w:t>六、重大资产和股权出售</w:t>
      </w:r>
      <w:r>
        <w:rPr>
          <w:b w:val="0"/>
          <w:bCs w:val="0"/>
        </w:rPr>
      </w:r>
    </w:p>
    <w:p>
      <w:pPr>
        <w:spacing w:line="240" w:lineRule="auto" w:before="6"/>
        <w:rPr>
          <w:rFonts w:ascii="宋体" w:hAnsi="宋体" w:cs="宋体" w:eastAsia="宋体" w:hint="default"/>
          <w:b/>
          <w:bCs/>
          <w:sz w:val="32"/>
          <w:szCs w:val="32"/>
        </w:rPr>
      </w:pPr>
    </w:p>
    <w:p>
      <w:pPr>
        <w:pStyle w:val="Heading2"/>
        <w:spacing w:line="240" w:lineRule="auto" w:before="0"/>
        <w:ind w:left="956" w:right="5712"/>
        <w:jc w:val="left"/>
        <w:rPr>
          <w:b w:val="0"/>
          <w:bCs w:val="0"/>
        </w:rPr>
      </w:pPr>
      <w:bookmarkStart w:name="1、出售重大资产情况" w:id="57"/>
      <w:bookmarkEnd w:id="57"/>
      <w:r>
        <w:rPr>
          <w:b w:val="0"/>
          <w:bCs w:val="0"/>
        </w:rPr>
      </w:r>
      <w:r>
        <w:rPr>
          <w:rFonts w:ascii="宋体" w:hAnsi="宋体" w:cs="宋体" w:eastAsia="宋体" w:hint="default"/>
        </w:rPr>
        <w:t>1</w:t>
      </w:r>
      <w:r>
        <w:rPr/>
        <w:t>、出售重大资产情况</w:t>
      </w:r>
      <w:r>
        <w:rPr>
          <w:b w:val="0"/>
          <w:bCs w:val="0"/>
        </w:rPr>
      </w:r>
    </w:p>
    <w:p>
      <w:pPr>
        <w:spacing w:line="343" w:lineRule="auto" w:before="145"/>
        <w:ind w:left="954" w:right="7152" w:firstLine="0"/>
        <w:jc w:val="left"/>
        <w:rPr>
          <w:rFonts w:ascii="宋体" w:hAnsi="宋体" w:cs="宋体" w:eastAsia="宋体" w:hint="default"/>
          <w:sz w:val="24"/>
          <w:szCs w:val="24"/>
        </w:rPr>
      </w:pPr>
      <w:r>
        <w:rPr>
          <w:rFonts w:ascii="Times New Roman" w:hAnsi="Times New Roman" w:cs="Times New Roman" w:eastAsia="Times New Roman" w:hint="default"/>
          <w:sz w:val="24"/>
          <w:szCs w:val="24"/>
        </w:rPr>
        <w:t>□ </w:t>
      </w:r>
      <w:r>
        <w:rPr>
          <w:rFonts w:ascii="宋体" w:hAnsi="宋体" w:cs="宋体" w:eastAsia="宋体" w:hint="default"/>
          <w:sz w:val="24"/>
          <w:szCs w:val="24"/>
        </w:rPr>
        <w:t>适用 </w:t>
      </w:r>
      <w:r>
        <w:rPr>
          <w:rFonts w:ascii="Times New Roman" w:hAnsi="Times New Roman" w:cs="Times New Roman" w:eastAsia="Times New Roman" w:hint="default"/>
          <w:sz w:val="24"/>
          <w:szCs w:val="24"/>
        </w:rPr>
        <w:t>√ </w:t>
      </w:r>
      <w:r>
        <w:rPr>
          <w:rFonts w:ascii="宋体" w:hAnsi="宋体" w:cs="宋体" w:eastAsia="宋体" w:hint="default"/>
          <w:sz w:val="24"/>
          <w:szCs w:val="24"/>
        </w:rPr>
        <w:t>不适用 公司报告期未出售重大资产。 </w:t>
      </w:r>
      <w:bookmarkStart w:name="2、出售重大股权情况" w:id="58"/>
      <w:bookmarkEnd w:id="58"/>
      <w:r>
        <w:rPr>
          <w:rFonts w:ascii="宋体" w:hAnsi="宋体" w:cs="宋体" w:eastAsia="宋体" w:hint="default"/>
          <w:sz w:val="24"/>
          <w:szCs w:val="24"/>
        </w:rPr>
      </w:r>
      <w:r>
        <w:rPr>
          <w:rFonts w:ascii="宋体" w:hAnsi="宋体" w:cs="宋体" w:eastAsia="宋体" w:hint="default"/>
          <w:b/>
          <w:bCs/>
          <w:sz w:val="24"/>
          <w:szCs w:val="24"/>
        </w:rPr>
        <w:t>2</w:t>
      </w:r>
      <w:r>
        <w:rPr>
          <w:rFonts w:ascii="宋体" w:hAnsi="宋体" w:cs="宋体" w:eastAsia="宋体" w:hint="default"/>
          <w:b/>
          <w:bCs/>
          <w:sz w:val="24"/>
          <w:szCs w:val="24"/>
        </w:rPr>
        <w:t>、出售重大股权情况</w:t>
      </w:r>
      <w:r>
        <w:rPr>
          <w:rFonts w:ascii="宋体" w:hAnsi="宋体" w:cs="宋体" w:eastAsia="宋体" w:hint="default"/>
          <w:sz w:val="24"/>
          <w:szCs w:val="24"/>
        </w:rPr>
      </w:r>
    </w:p>
    <w:p>
      <w:pPr>
        <w:spacing w:line="458" w:lineRule="auto" w:before="42"/>
        <w:ind w:left="474" w:right="7152" w:firstLine="480"/>
        <w:jc w:val="left"/>
        <w:rPr>
          <w:rFonts w:ascii="宋体" w:hAnsi="宋体" w:cs="宋体" w:eastAsia="宋体" w:hint="default"/>
          <w:sz w:val="24"/>
          <w:szCs w:val="24"/>
        </w:rPr>
      </w:pPr>
      <w:r>
        <w:rPr>
          <w:rFonts w:ascii="Times New Roman" w:hAnsi="Times New Roman" w:cs="Times New Roman" w:eastAsia="Times New Roman" w:hint="default"/>
          <w:sz w:val="24"/>
          <w:szCs w:val="24"/>
        </w:rPr>
        <w:t>□ </w:t>
      </w:r>
      <w:r>
        <w:rPr>
          <w:rFonts w:ascii="宋体" w:hAnsi="宋体" w:cs="宋体" w:eastAsia="宋体" w:hint="default"/>
          <w:sz w:val="24"/>
          <w:szCs w:val="24"/>
        </w:rPr>
        <w:t>适用 </w:t>
      </w:r>
      <w:r>
        <w:rPr>
          <w:rFonts w:ascii="Times New Roman" w:hAnsi="Times New Roman" w:cs="Times New Roman" w:eastAsia="Times New Roman" w:hint="default"/>
          <w:sz w:val="24"/>
          <w:szCs w:val="24"/>
        </w:rPr>
        <w:t>√ </w:t>
      </w:r>
      <w:r>
        <w:rPr>
          <w:rFonts w:ascii="宋体" w:hAnsi="宋体" w:cs="宋体" w:eastAsia="宋体" w:hint="default"/>
          <w:sz w:val="24"/>
          <w:szCs w:val="24"/>
        </w:rPr>
        <w:t>不适用 </w:t>
      </w:r>
      <w:bookmarkStart w:name="七、主要控股参股公司分析" w:id="59"/>
      <w:bookmarkEnd w:id="59"/>
      <w:r>
        <w:rPr>
          <w:rFonts w:ascii="宋体" w:hAnsi="宋体" w:cs="宋体" w:eastAsia="宋体" w:hint="default"/>
          <w:sz w:val="24"/>
          <w:szCs w:val="24"/>
        </w:rPr>
      </w:r>
      <w:r>
        <w:rPr>
          <w:rFonts w:ascii="宋体" w:hAnsi="宋体" w:cs="宋体" w:eastAsia="宋体" w:hint="default"/>
          <w:b/>
          <w:bCs/>
          <w:w w:val="95"/>
          <w:sz w:val="24"/>
          <w:szCs w:val="24"/>
        </w:rPr>
        <w:t>七、主要控股参股公司分析</w:t>
      </w:r>
      <w:r>
        <w:rPr>
          <w:rFonts w:ascii="宋体" w:hAnsi="宋体" w:cs="宋体" w:eastAsia="宋体" w:hint="default"/>
          <w:sz w:val="24"/>
          <w:szCs w:val="24"/>
        </w:rPr>
      </w:r>
    </w:p>
    <w:p>
      <w:pPr>
        <w:spacing w:line="240" w:lineRule="auto" w:before="11"/>
        <w:rPr>
          <w:rFonts w:ascii="宋体" w:hAnsi="宋体" w:cs="宋体" w:eastAsia="宋体" w:hint="default"/>
          <w:b/>
          <w:bCs/>
          <w:sz w:val="13"/>
          <w:szCs w:val="13"/>
        </w:rPr>
      </w:pPr>
    </w:p>
    <w:p>
      <w:pPr>
        <w:spacing w:after="0" w:line="240" w:lineRule="auto"/>
        <w:rPr>
          <w:rFonts w:ascii="宋体" w:hAnsi="宋体" w:cs="宋体" w:eastAsia="宋体" w:hint="default"/>
          <w:sz w:val="13"/>
          <w:szCs w:val="13"/>
        </w:rPr>
        <w:sectPr>
          <w:pgSz w:w="11910" w:h="16840"/>
          <w:pgMar w:header="747" w:footer="979" w:top="1060" w:bottom="1160" w:left="660" w:right="0"/>
        </w:sectPr>
      </w:pPr>
    </w:p>
    <w:p>
      <w:pPr>
        <w:pStyle w:val="BodyText"/>
        <w:spacing w:line="240" w:lineRule="auto" w:before="26"/>
        <w:ind w:left="954" w:right="-1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p>
    <w:p>
      <w:pPr>
        <w:pStyle w:val="BodyText"/>
        <w:spacing w:line="240" w:lineRule="auto" w:before="127"/>
        <w:ind w:left="954" w:right="-19"/>
        <w:jc w:val="left"/>
      </w:pPr>
      <w:r>
        <w:rPr/>
        <w:t>主要子公司及对公司净利润影响达</w:t>
      </w:r>
      <w:r>
        <w:rPr>
          <w:spacing w:val="-60"/>
        </w:rPr>
        <w:t> </w:t>
      </w:r>
      <w:r>
        <w:rPr>
          <w:rFonts w:ascii="Times New Roman" w:hAnsi="Times New Roman" w:cs="Times New Roman" w:eastAsia="Times New Roman" w:hint="default"/>
        </w:rPr>
        <w:t>10%</w:t>
      </w:r>
      <w:r>
        <w:rPr/>
        <w:t>以上的参股公司情况</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7"/>
          <w:szCs w:val="27"/>
        </w:rPr>
      </w:pPr>
    </w:p>
    <w:p>
      <w:pPr>
        <w:spacing w:before="0"/>
        <w:ind w:left="953" w:right="0" w:firstLine="0"/>
        <w:jc w:val="left"/>
        <w:rPr>
          <w:rFonts w:ascii="宋体" w:hAnsi="宋体" w:cs="宋体" w:eastAsia="宋体" w:hint="default"/>
          <w:sz w:val="21"/>
          <w:szCs w:val="21"/>
        </w:rPr>
      </w:pPr>
      <w:r>
        <w:rPr>
          <w:rFonts w:ascii="宋体" w:hAnsi="宋体" w:cs="宋体" w:eastAsia="宋体" w:hint="default"/>
          <w:sz w:val="21"/>
          <w:szCs w:val="21"/>
        </w:rPr>
        <w:t>单位：元</w:t>
      </w:r>
    </w:p>
    <w:p>
      <w:pPr>
        <w:spacing w:after="0"/>
        <w:jc w:val="left"/>
        <w:rPr>
          <w:rFonts w:ascii="宋体" w:hAnsi="宋体" w:cs="宋体" w:eastAsia="宋体" w:hint="default"/>
          <w:sz w:val="21"/>
          <w:szCs w:val="21"/>
        </w:rPr>
        <w:sectPr>
          <w:type w:val="continuous"/>
          <w:pgSz w:w="11910" w:h="16840"/>
          <w:pgMar w:top="1060" w:bottom="1160" w:left="660" w:right="0"/>
          <w:cols w:num="2" w:equalWidth="0">
            <w:col w:w="7216" w:space="1104"/>
            <w:col w:w="2930"/>
          </w:cols>
        </w:sectPr>
      </w:pPr>
    </w:p>
    <w:p>
      <w:pPr>
        <w:spacing w:line="240" w:lineRule="auto" w:before="0"/>
        <w:rPr>
          <w:rFonts w:ascii="宋体" w:hAnsi="宋体" w:cs="宋体" w:eastAsia="宋体" w:hint="default"/>
          <w:sz w:val="7"/>
          <w:szCs w:val="7"/>
        </w:rPr>
      </w:pPr>
    </w:p>
    <w:tbl>
      <w:tblPr>
        <w:tblW w:w="0" w:type="auto"/>
        <w:jc w:val="left"/>
        <w:tblInd w:w="113" w:type="dxa"/>
        <w:tblLayout w:type="fixed"/>
        <w:tblCellMar>
          <w:top w:w="0" w:type="dxa"/>
          <w:left w:w="0" w:type="dxa"/>
          <w:bottom w:w="0" w:type="dxa"/>
          <w:right w:w="0" w:type="dxa"/>
        </w:tblCellMar>
        <w:tblLook w:val="01E0"/>
      </w:tblPr>
      <w:tblGrid>
        <w:gridCol w:w="568"/>
        <w:gridCol w:w="567"/>
        <w:gridCol w:w="2340"/>
        <w:gridCol w:w="851"/>
        <w:gridCol w:w="1276"/>
        <w:gridCol w:w="1276"/>
        <w:gridCol w:w="1277"/>
        <w:gridCol w:w="1134"/>
        <w:gridCol w:w="1062"/>
      </w:tblGrid>
      <w:tr>
        <w:trPr>
          <w:trHeight w:val="714" w:hRule="exact"/>
        </w:trPr>
        <w:tc>
          <w:tcPr>
            <w:tcW w:w="5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68" w:right="67"/>
              <w:jc w:val="left"/>
              <w:rPr>
                <w:rFonts w:ascii="宋体" w:hAnsi="宋体" w:cs="宋体" w:eastAsia="宋体" w:hint="default"/>
                <w:sz w:val="21"/>
                <w:szCs w:val="21"/>
              </w:rPr>
            </w:pPr>
            <w:r>
              <w:rPr>
                <w:rFonts w:ascii="宋体" w:hAnsi="宋体" w:cs="宋体" w:eastAsia="宋体" w:hint="default"/>
                <w:sz w:val="21"/>
                <w:szCs w:val="21"/>
              </w:rPr>
              <w:t>公司 名称</w:t>
            </w:r>
          </w:p>
        </w:tc>
        <w:tc>
          <w:tcPr>
            <w:tcW w:w="5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68" w:right="66"/>
              <w:jc w:val="left"/>
              <w:rPr>
                <w:rFonts w:ascii="宋体" w:hAnsi="宋体" w:cs="宋体" w:eastAsia="宋体" w:hint="default"/>
                <w:sz w:val="21"/>
                <w:szCs w:val="21"/>
              </w:rPr>
            </w:pPr>
            <w:r>
              <w:rPr>
                <w:rFonts w:ascii="宋体" w:hAnsi="宋体" w:cs="宋体" w:eastAsia="宋体" w:hint="default"/>
                <w:sz w:val="21"/>
                <w:szCs w:val="21"/>
              </w:rPr>
              <w:t>公司 类型</w:t>
            </w:r>
          </w:p>
        </w:tc>
        <w:tc>
          <w:tcPr>
            <w:tcW w:w="23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743" w:right="0"/>
              <w:jc w:val="left"/>
              <w:rPr>
                <w:rFonts w:ascii="宋体" w:hAnsi="宋体" w:cs="宋体" w:eastAsia="宋体" w:hint="default"/>
                <w:sz w:val="21"/>
                <w:szCs w:val="21"/>
              </w:rPr>
            </w:pPr>
            <w:r>
              <w:rPr>
                <w:rFonts w:ascii="宋体" w:hAnsi="宋体" w:cs="宋体" w:eastAsia="宋体" w:hint="default"/>
                <w:sz w:val="21"/>
                <w:szCs w:val="21"/>
              </w:rPr>
              <w:t>主要业务</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314" w:right="105" w:hanging="210"/>
              <w:jc w:val="left"/>
              <w:rPr>
                <w:rFonts w:ascii="宋体" w:hAnsi="宋体" w:cs="宋体" w:eastAsia="宋体" w:hint="default"/>
                <w:sz w:val="21"/>
                <w:szCs w:val="21"/>
              </w:rPr>
            </w:pPr>
            <w:r>
              <w:rPr>
                <w:rFonts w:ascii="宋体" w:hAnsi="宋体" w:cs="宋体" w:eastAsia="宋体" w:hint="default"/>
                <w:sz w:val="21"/>
                <w:szCs w:val="21"/>
              </w:rPr>
              <w:t>注册资 本</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318" w:right="0"/>
              <w:jc w:val="left"/>
              <w:rPr>
                <w:rFonts w:ascii="宋体" w:hAnsi="宋体" w:cs="宋体" w:eastAsia="宋体" w:hint="default"/>
                <w:sz w:val="21"/>
                <w:szCs w:val="21"/>
              </w:rPr>
            </w:pPr>
            <w:r>
              <w:rPr>
                <w:rFonts w:ascii="宋体" w:hAnsi="宋体" w:cs="宋体" w:eastAsia="宋体" w:hint="default"/>
                <w:sz w:val="21"/>
                <w:szCs w:val="21"/>
              </w:rPr>
              <w:t>总资产</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317" w:right="0"/>
              <w:jc w:val="left"/>
              <w:rPr>
                <w:rFonts w:ascii="宋体" w:hAnsi="宋体" w:cs="宋体" w:eastAsia="宋体" w:hint="default"/>
                <w:sz w:val="21"/>
                <w:szCs w:val="21"/>
              </w:rPr>
            </w:pPr>
            <w:r>
              <w:rPr>
                <w:rFonts w:ascii="宋体" w:hAnsi="宋体" w:cs="宋体" w:eastAsia="宋体" w:hint="default"/>
                <w:sz w:val="21"/>
                <w:szCs w:val="21"/>
              </w:rPr>
              <w:t>净资产</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12"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141" w:right="0"/>
              <w:jc w:val="left"/>
              <w:rPr>
                <w:rFonts w:ascii="宋体" w:hAnsi="宋体" w:cs="宋体" w:eastAsia="宋体" w:hint="default"/>
                <w:sz w:val="21"/>
                <w:szCs w:val="21"/>
              </w:rPr>
            </w:pPr>
            <w:r>
              <w:rPr>
                <w:rFonts w:ascii="宋体" w:hAnsi="宋体" w:cs="宋体" w:eastAsia="宋体" w:hint="default"/>
                <w:sz w:val="21"/>
                <w:szCs w:val="21"/>
              </w:rPr>
              <w:t>营业利润</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10" w:right="0"/>
              <w:jc w:val="left"/>
              <w:rPr>
                <w:rFonts w:ascii="宋体" w:hAnsi="宋体" w:cs="宋体" w:eastAsia="宋体" w:hint="default"/>
                <w:sz w:val="21"/>
                <w:szCs w:val="21"/>
              </w:rPr>
            </w:pPr>
            <w:r>
              <w:rPr>
                <w:rFonts w:ascii="宋体" w:hAnsi="宋体" w:cs="宋体" w:eastAsia="宋体" w:hint="default"/>
                <w:sz w:val="21"/>
                <w:szCs w:val="21"/>
              </w:rPr>
              <w:t>净利润</w:t>
            </w:r>
          </w:p>
        </w:tc>
      </w:tr>
      <w:tr>
        <w:trPr>
          <w:trHeight w:val="3210" w:hRule="exact"/>
        </w:trPr>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9"/>
                <w:szCs w:val="29"/>
              </w:rPr>
            </w:pPr>
          </w:p>
          <w:p>
            <w:pPr>
              <w:pStyle w:val="TableParagraph"/>
              <w:spacing w:line="273" w:lineRule="auto"/>
              <w:ind w:left="22" w:right="113"/>
              <w:jc w:val="both"/>
              <w:rPr>
                <w:rFonts w:ascii="宋体" w:hAnsi="宋体" w:cs="宋体" w:eastAsia="宋体" w:hint="default"/>
                <w:sz w:val="21"/>
                <w:szCs w:val="21"/>
              </w:rPr>
            </w:pPr>
            <w:r>
              <w:rPr>
                <w:rFonts w:ascii="宋体" w:hAnsi="宋体" w:cs="宋体" w:eastAsia="宋体" w:hint="default"/>
                <w:sz w:val="21"/>
                <w:szCs w:val="21"/>
              </w:rPr>
              <w:t>北京 国铁 路阳 技术 有限 公司</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7"/>
                <w:szCs w:val="17"/>
              </w:rPr>
            </w:pPr>
          </w:p>
          <w:p>
            <w:pPr>
              <w:pStyle w:val="TableParagraph"/>
              <w:spacing w:line="273" w:lineRule="auto"/>
              <w:ind w:left="22" w:right="112"/>
              <w:jc w:val="left"/>
              <w:rPr>
                <w:rFonts w:ascii="宋体" w:hAnsi="宋体" w:cs="宋体" w:eastAsia="宋体" w:hint="default"/>
                <w:sz w:val="21"/>
                <w:szCs w:val="21"/>
              </w:rPr>
            </w:pPr>
            <w:r>
              <w:rPr>
                <w:rFonts w:ascii="宋体" w:hAnsi="宋体" w:cs="宋体" w:eastAsia="宋体" w:hint="default"/>
                <w:sz w:val="21"/>
                <w:szCs w:val="21"/>
              </w:rPr>
              <w:t>子公 司</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2" w:right="22"/>
              <w:jc w:val="left"/>
              <w:rPr>
                <w:rFonts w:ascii="宋体" w:hAnsi="宋体" w:cs="宋体" w:eastAsia="宋体" w:hint="default"/>
                <w:sz w:val="21"/>
                <w:szCs w:val="21"/>
              </w:rPr>
            </w:pPr>
            <w:r>
              <w:rPr>
                <w:rFonts w:ascii="宋体" w:hAnsi="宋体" w:cs="宋体" w:eastAsia="宋体" w:hint="default"/>
                <w:spacing w:val="-3"/>
                <w:sz w:val="21"/>
                <w:szCs w:val="21"/>
              </w:rPr>
              <w:t>铁路专用设备及器材、配</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pacing w:val="-3"/>
                <w:sz w:val="21"/>
                <w:szCs w:val="21"/>
              </w:rPr>
              <w:t>件生产制造（限分支机构</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pacing w:val="-10"/>
                <w:sz w:val="21"/>
                <w:szCs w:val="21"/>
              </w:rPr>
              <w:t>经营）；技术开发、技术</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3"/>
                <w:sz w:val="21"/>
                <w:szCs w:val="21"/>
              </w:rPr>
              <w:t>转让、技术服务、技术咨</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pacing w:val="-3"/>
                <w:sz w:val="21"/>
                <w:szCs w:val="21"/>
              </w:rPr>
              <w:t>询；产品设计；销售铁路</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pacing w:val="-3"/>
                <w:sz w:val="21"/>
                <w:szCs w:val="21"/>
              </w:rPr>
              <w:t>专用设备及器材、机械设</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pacing w:val="-3"/>
                <w:sz w:val="21"/>
                <w:szCs w:val="21"/>
              </w:rPr>
              <w:t>备、计算机软硬件及辅助</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pacing w:val="-3"/>
                <w:sz w:val="21"/>
                <w:szCs w:val="21"/>
              </w:rPr>
              <w:t>设备、金属材料、五金交</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pacing w:val="-3"/>
                <w:sz w:val="21"/>
                <w:szCs w:val="21"/>
              </w:rPr>
              <w:t>电；货物进出口、技术进</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出口、代理进出口。</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22" w:right="0"/>
              <w:jc w:val="left"/>
              <w:rPr>
                <w:rFonts w:ascii="宋体" w:hAnsi="宋体" w:cs="宋体" w:eastAsia="宋体" w:hint="default"/>
                <w:sz w:val="21"/>
                <w:szCs w:val="21"/>
              </w:rPr>
            </w:pPr>
            <w:r>
              <w:rPr>
                <w:rFonts w:ascii="宋体"/>
                <w:sz w:val="21"/>
              </w:rPr>
              <w:t>100,000</w:t>
            </w:r>
          </w:p>
          <w:p>
            <w:pPr>
              <w:pStyle w:val="TableParagraph"/>
              <w:spacing w:line="240" w:lineRule="auto" w:before="38"/>
              <w:ind w:left="22" w:right="0"/>
              <w:jc w:val="left"/>
              <w:rPr>
                <w:rFonts w:ascii="宋体" w:hAnsi="宋体" w:cs="宋体" w:eastAsia="宋体" w:hint="default"/>
                <w:sz w:val="21"/>
                <w:szCs w:val="21"/>
              </w:rPr>
            </w:pPr>
            <w:r>
              <w:rPr>
                <w:rFonts w:ascii="宋体"/>
                <w:sz w:val="21"/>
              </w:rPr>
              <w:t>,000.00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20"/>
              <w:jc w:val="right"/>
              <w:rPr>
                <w:rFonts w:ascii="宋体" w:hAnsi="宋体" w:cs="宋体" w:eastAsia="宋体" w:hint="default"/>
                <w:sz w:val="21"/>
                <w:szCs w:val="21"/>
              </w:rPr>
            </w:pPr>
            <w:r>
              <w:rPr>
                <w:rFonts w:ascii="宋体"/>
                <w:sz w:val="21"/>
              </w:rPr>
              <w:t>366,881,051</w:t>
            </w:r>
          </w:p>
          <w:p>
            <w:pPr>
              <w:pStyle w:val="TableParagraph"/>
              <w:spacing w:line="240" w:lineRule="auto" w:before="38"/>
              <w:ind w:right="20"/>
              <w:jc w:val="right"/>
              <w:rPr>
                <w:rFonts w:ascii="宋体" w:hAnsi="宋体" w:cs="宋体" w:eastAsia="宋体" w:hint="default"/>
                <w:sz w:val="21"/>
                <w:szCs w:val="21"/>
              </w:rPr>
            </w:pPr>
            <w:r>
              <w:rPr>
                <w:rFonts w:ascii="宋体"/>
                <w:sz w:val="21"/>
              </w:rPr>
              <w:t>.50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20"/>
              <w:jc w:val="right"/>
              <w:rPr>
                <w:rFonts w:ascii="宋体" w:hAnsi="宋体" w:cs="宋体" w:eastAsia="宋体" w:hint="default"/>
                <w:sz w:val="21"/>
                <w:szCs w:val="21"/>
              </w:rPr>
            </w:pPr>
            <w:r>
              <w:rPr>
                <w:rFonts w:ascii="宋体"/>
                <w:sz w:val="21"/>
              </w:rPr>
              <w:t>221,523,834</w:t>
            </w:r>
          </w:p>
          <w:p>
            <w:pPr>
              <w:pStyle w:val="TableParagraph"/>
              <w:spacing w:line="240" w:lineRule="auto" w:before="38"/>
              <w:ind w:right="20"/>
              <w:jc w:val="right"/>
              <w:rPr>
                <w:rFonts w:ascii="宋体" w:hAnsi="宋体" w:cs="宋体" w:eastAsia="宋体" w:hint="default"/>
                <w:sz w:val="21"/>
                <w:szCs w:val="21"/>
              </w:rPr>
            </w:pPr>
            <w:r>
              <w:rPr>
                <w:rFonts w:ascii="宋体"/>
                <w:sz w:val="21"/>
              </w:rPr>
              <w:t>.43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21"/>
              <w:jc w:val="right"/>
              <w:rPr>
                <w:rFonts w:ascii="宋体" w:hAnsi="宋体" w:cs="宋体" w:eastAsia="宋体" w:hint="default"/>
                <w:sz w:val="21"/>
                <w:szCs w:val="21"/>
              </w:rPr>
            </w:pPr>
            <w:r>
              <w:rPr>
                <w:rFonts w:ascii="宋体"/>
                <w:sz w:val="21"/>
              </w:rPr>
              <w:t>116,303,316</w:t>
            </w:r>
          </w:p>
          <w:p>
            <w:pPr>
              <w:pStyle w:val="TableParagraph"/>
              <w:spacing w:line="240" w:lineRule="auto" w:before="38"/>
              <w:ind w:right="21"/>
              <w:jc w:val="right"/>
              <w:rPr>
                <w:rFonts w:ascii="宋体" w:hAnsi="宋体" w:cs="宋体" w:eastAsia="宋体" w:hint="default"/>
                <w:sz w:val="21"/>
                <w:szCs w:val="21"/>
              </w:rPr>
            </w:pPr>
            <w:r>
              <w:rPr>
                <w:rFonts w:ascii="宋体"/>
                <w:sz w:val="21"/>
              </w:rPr>
              <w:t>.53</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23"/>
              <w:jc w:val="right"/>
              <w:rPr>
                <w:rFonts w:ascii="宋体" w:hAnsi="宋体" w:cs="宋体" w:eastAsia="宋体" w:hint="default"/>
                <w:sz w:val="21"/>
                <w:szCs w:val="21"/>
              </w:rPr>
            </w:pPr>
            <w:r>
              <w:rPr>
                <w:rFonts w:ascii="宋体"/>
                <w:sz w:val="21"/>
              </w:rPr>
              <w:t>19,806,864</w:t>
            </w:r>
          </w:p>
          <w:p>
            <w:pPr>
              <w:pStyle w:val="TableParagraph"/>
              <w:spacing w:line="240" w:lineRule="auto" w:before="38"/>
              <w:ind w:right="21"/>
              <w:jc w:val="right"/>
              <w:rPr>
                <w:rFonts w:ascii="宋体" w:hAnsi="宋体" w:cs="宋体" w:eastAsia="宋体" w:hint="default"/>
                <w:sz w:val="21"/>
                <w:szCs w:val="21"/>
              </w:rPr>
            </w:pPr>
            <w:r>
              <w:rPr>
                <w:rFonts w:ascii="宋体"/>
                <w:sz w:val="21"/>
              </w:rPr>
              <w:t>.22</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83" w:right="0"/>
              <w:jc w:val="left"/>
              <w:rPr>
                <w:rFonts w:ascii="宋体" w:hAnsi="宋体" w:cs="宋体" w:eastAsia="宋体" w:hint="default"/>
                <w:sz w:val="21"/>
                <w:szCs w:val="21"/>
              </w:rPr>
            </w:pPr>
            <w:r>
              <w:rPr>
                <w:rFonts w:ascii="宋体"/>
                <w:sz w:val="21"/>
              </w:rPr>
              <w:t>15,306,15</w:t>
            </w:r>
          </w:p>
          <w:p>
            <w:pPr>
              <w:pStyle w:val="TableParagraph"/>
              <w:spacing w:line="240" w:lineRule="auto" w:before="38"/>
              <w:ind w:left="608" w:right="0"/>
              <w:jc w:val="left"/>
              <w:rPr>
                <w:rFonts w:ascii="宋体" w:hAnsi="宋体" w:cs="宋体" w:eastAsia="宋体" w:hint="default"/>
                <w:sz w:val="21"/>
                <w:szCs w:val="21"/>
              </w:rPr>
            </w:pPr>
            <w:r>
              <w:rPr>
                <w:rFonts w:ascii="宋体"/>
                <w:sz w:val="21"/>
              </w:rPr>
              <w:t>8.22</w:t>
            </w:r>
          </w:p>
        </w:tc>
      </w:tr>
      <w:tr>
        <w:trPr>
          <w:trHeight w:val="1611" w:hRule="exact"/>
        </w:trPr>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2" w:right="113"/>
              <w:jc w:val="both"/>
              <w:rPr>
                <w:rFonts w:ascii="宋体" w:hAnsi="宋体" w:cs="宋体" w:eastAsia="宋体" w:hint="default"/>
                <w:sz w:val="21"/>
                <w:szCs w:val="21"/>
              </w:rPr>
            </w:pPr>
            <w:r>
              <w:rPr>
                <w:rFonts w:ascii="宋体" w:hAnsi="宋体" w:cs="宋体" w:eastAsia="宋体" w:hint="default"/>
                <w:sz w:val="21"/>
                <w:szCs w:val="21"/>
              </w:rPr>
              <w:t>北京 七彩 通达 传媒 股份</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16"/>
                <w:szCs w:val="16"/>
              </w:rPr>
            </w:pPr>
          </w:p>
          <w:p>
            <w:pPr>
              <w:pStyle w:val="TableParagraph"/>
              <w:spacing w:line="273" w:lineRule="auto"/>
              <w:ind w:left="22" w:right="112"/>
              <w:jc w:val="left"/>
              <w:rPr>
                <w:rFonts w:ascii="宋体" w:hAnsi="宋体" w:cs="宋体" w:eastAsia="宋体" w:hint="default"/>
                <w:sz w:val="21"/>
                <w:szCs w:val="21"/>
              </w:rPr>
            </w:pPr>
            <w:r>
              <w:rPr>
                <w:rFonts w:ascii="宋体" w:hAnsi="宋体" w:cs="宋体" w:eastAsia="宋体" w:hint="default"/>
                <w:sz w:val="21"/>
                <w:szCs w:val="21"/>
              </w:rPr>
              <w:t>参股 公司</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4"/>
                <w:szCs w:val="24"/>
              </w:rPr>
            </w:pPr>
          </w:p>
          <w:p>
            <w:pPr>
              <w:pStyle w:val="TableParagraph"/>
              <w:spacing w:line="273" w:lineRule="auto"/>
              <w:ind w:left="22" w:right="20"/>
              <w:jc w:val="left"/>
              <w:rPr>
                <w:rFonts w:ascii="宋体" w:hAnsi="宋体" w:cs="宋体" w:eastAsia="宋体" w:hint="default"/>
                <w:sz w:val="21"/>
                <w:szCs w:val="21"/>
              </w:rPr>
            </w:pPr>
            <w:r>
              <w:rPr>
                <w:rFonts w:ascii="宋体" w:hAnsi="宋体" w:cs="宋体" w:eastAsia="宋体" w:hint="default"/>
                <w:spacing w:val="-3"/>
                <w:sz w:val="21"/>
                <w:szCs w:val="21"/>
              </w:rPr>
              <w:t>设计、制作、代理、发布</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广告；承办展览展示活 动；计算机技术培训。</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21"/>
                <w:szCs w:val="21"/>
              </w:rPr>
            </w:pPr>
            <w:r>
              <w:rPr>
                <w:rFonts w:ascii="宋体"/>
                <w:sz w:val="21"/>
              </w:rPr>
              <w:t>35,760,</w:t>
            </w:r>
          </w:p>
          <w:p>
            <w:pPr>
              <w:pStyle w:val="TableParagraph"/>
              <w:spacing w:line="240" w:lineRule="auto" w:before="37"/>
              <w:ind w:left="22" w:right="0"/>
              <w:jc w:val="left"/>
              <w:rPr>
                <w:rFonts w:ascii="宋体" w:hAnsi="宋体" w:cs="宋体" w:eastAsia="宋体" w:hint="default"/>
                <w:sz w:val="21"/>
                <w:szCs w:val="21"/>
              </w:rPr>
            </w:pPr>
            <w:r>
              <w:rPr>
                <w:rFonts w:ascii="宋体"/>
                <w:sz w:val="21"/>
              </w:rPr>
              <w:t>946.00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20"/>
              <w:jc w:val="right"/>
              <w:rPr>
                <w:rFonts w:ascii="宋体" w:hAnsi="宋体" w:cs="宋体" w:eastAsia="宋体" w:hint="default"/>
                <w:sz w:val="21"/>
                <w:szCs w:val="21"/>
              </w:rPr>
            </w:pPr>
            <w:r>
              <w:rPr>
                <w:rFonts w:ascii="宋体"/>
                <w:sz w:val="21"/>
              </w:rPr>
              <w:t>150,248,582</w:t>
            </w:r>
          </w:p>
          <w:p>
            <w:pPr>
              <w:pStyle w:val="TableParagraph"/>
              <w:spacing w:line="240" w:lineRule="auto" w:before="37"/>
              <w:ind w:right="20"/>
              <w:jc w:val="right"/>
              <w:rPr>
                <w:rFonts w:ascii="宋体" w:hAnsi="宋体" w:cs="宋体" w:eastAsia="宋体" w:hint="default"/>
                <w:sz w:val="21"/>
                <w:szCs w:val="21"/>
              </w:rPr>
            </w:pPr>
            <w:r>
              <w:rPr>
                <w:rFonts w:ascii="宋体"/>
                <w:sz w:val="21"/>
              </w:rPr>
              <w:t>.82</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88" w:right="0"/>
              <w:jc w:val="left"/>
              <w:rPr>
                <w:rFonts w:ascii="宋体" w:hAnsi="宋体" w:cs="宋体" w:eastAsia="宋体" w:hint="default"/>
                <w:sz w:val="21"/>
                <w:szCs w:val="21"/>
              </w:rPr>
            </w:pPr>
            <w:r>
              <w:rPr>
                <w:rFonts w:ascii="宋体"/>
                <w:sz w:val="21"/>
              </w:rPr>
              <w:t>-116,581,68</w:t>
            </w:r>
          </w:p>
          <w:p>
            <w:pPr>
              <w:pStyle w:val="TableParagraph"/>
              <w:spacing w:line="240" w:lineRule="auto" w:before="37"/>
              <w:ind w:left="823" w:right="0"/>
              <w:jc w:val="left"/>
              <w:rPr>
                <w:rFonts w:ascii="宋体" w:hAnsi="宋体" w:cs="宋体" w:eastAsia="宋体" w:hint="default"/>
                <w:sz w:val="21"/>
                <w:szCs w:val="21"/>
              </w:rPr>
            </w:pPr>
            <w:r>
              <w:rPr>
                <w:rFonts w:ascii="宋体"/>
                <w:sz w:val="21"/>
              </w:rPr>
              <w:t>8.09</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21"/>
              <w:jc w:val="right"/>
              <w:rPr>
                <w:rFonts w:ascii="宋体" w:hAnsi="宋体" w:cs="宋体" w:eastAsia="宋体" w:hint="default"/>
                <w:sz w:val="21"/>
                <w:szCs w:val="21"/>
              </w:rPr>
            </w:pPr>
            <w:r>
              <w:rPr>
                <w:rFonts w:ascii="宋体"/>
                <w:sz w:val="21"/>
              </w:rPr>
              <w:t>41,768,144.</w:t>
            </w:r>
          </w:p>
          <w:p>
            <w:pPr>
              <w:pStyle w:val="TableParagraph"/>
              <w:spacing w:line="240" w:lineRule="auto" w:before="37"/>
              <w:ind w:right="20"/>
              <w:jc w:val="right"/>
              <w:rPr>
                <w:rFonts w:ascii="宋体" w:hAnsi="宋体" w:cs="宋体" w:eastAsia="宋体" w:hint="default"/>
                <w:sz w:val="21"/>
                <w:szCs w:val="21"/>
              </w:rPr>
            </w:pPr>
            <w:r>
              <w:rPr>
                <w:rFonts w:ascii="宋体"/>
                <w:sz w:val="21"/>
              </w:rPr>
              <w:t>73</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50" w:right="0"/>
              <w:jc w:val="left"/>
              <w:rPr>
                <w:rFonts w:ascii="宋体" w:hAnsi="宋体" w:cs="宋体" w:eastAsia="宋体" w:hint="default"/>
                <w:sz w:val="21"/>
                <w:szCs w:val="21"/>
              </w:rPr>
            </w:pPr>
            <w:r>
              <w:rPr>
                <w:rFonts w:ascii="宋体"/>
                <w:sz w:val="21"/>
              </w:rPr>
              <w:t>-140,321,5</w:t>
            </w:r>
          </w:p>
          <w:p>
            <w:pPr>
              <w:pStyle w:val="TableParagraph"/>
              <w:spacing w:line="240" w:lineRule="auto" w:before="37"/>
              <w:ind w:left="576" w:right="0"/>
              <w:jc w:val="left"/>
              <w:rPr>
                <w:rFonts w:ascii="宋体" w:hAnsi="宋体" w:cs="宋体" w:eastAsia="宋体" w:hint="default"/>
                <w:sz w:val="21"/>
                <w:szCs w:val="21"/>
              </w:rPr>
            </w:pPr>
            <w:r>
              <w:rPr>
                <w:rFonts w:ascii="宋体"/>
                <w:sz w:val="21"/>
              </w:rPr>
              <w:t>66.00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83" w:right="0"/>
              <w:jc w:val="left"/>
              <w:rPr>
                <w:rFonts w:ascii="宋体" w:hAnsi="宋体" w:cs="宋体" w:eastAsia="宋体" w:hint="default"/>
                <w:sz w:val="21"/>
                <w:szCs w:val="21"/>
              </w:rPr>
            </w:pPr>
            <w:r>
              <w:rPr>
                <w:rFonts w:ascii="宋体"/>
                <w:sz w:val="21"/>
              </w:rPr>
              <w:t>-141,479,</w:t>
            </w:r>
          </w:p>
          <w:p>
            <w:pPr>
              <w:pStyle w:val="TableParagraph"/>
              <w:spacing w:line="240" w:lineRule="auto" w:before="37"/>
              <w:ind w:left="398" w:right="0"/>
              <w:jc w:val="left"/>
              <w:rPr>
                <w:rFonts w:ascii="宋体" w:hAnsi="宋体" w:cs="宋体" w:eastAsia="宋体" w:hint="default"/>
                <w:sz w:val="21"/>
                <w:szCs w:val="21"/>
              </w:rPr>
            </w:pPr>
            <w:r>
              <w:rPr>
                <w:rFonts w:ascii="宋体"/>
                <w:sz w:val="21"/>
              </w:rPr>
              <w:t>121.09</w:t>
            </w:r>
          </w:p>
        </w:tc>
      </w:tr>
    </w:tbl>
    <w:p>
      <w:pPr>
        <w:spacing w:after="0" w:line="240" w:lineRule="auto"/>
        <w:jc w:val="left"/>
        <w:rPr>
          <w:rFonts w:ascii="宋体" w:hAnsi="宋体" w:cs="宋体" w:eastAsia="宋体" w:hint="default"/>
          <w:sz w:val="21"/>
          <w:szCs w:val="21"/>
        </w:rPr>
        <w:sectPr>
          <w:type w:val="continuous"/>
          <w:pgSz w:w="11910" w:h="16840"/>
          <w:pgMar w:top="1060" w:bottom="1160" w:left="660" w:right="0"/>
        </w:sectPr>
      </w:pPr>
    </w:p>
    <w:p>
      <w:pPr>
        <w:spacing w:line="240" w:lineRule="auto" w:before="6"/>
        <w:rPr>
          <w:rFonts w:ascii="宋体" w:hAnsi="宋体" w:cs="宋体" w:eastAsia="宋体" w:hint="default"/>
          <w:sz w:val="28"/>
          <w:szCs w:val="28"/>
        </w:rPr>
      </w:pPr>
    </w:p>
    <w:tbl>
      <w:tblPr>
        <w:tblW w:w="0" w:type="auto"/>
        <w:jc w:val="left"/>
        <w:tblInd w:w="113" w:type="dxa"/>
        <w:tblLayout w:type="fixed"/>
        <w:tblCellMar>
          <w:top w:w="0" w:type="dxa"/>
          <w:left w:w="0" w:type="dxa"/>
          <w:bottom w:w="0" w:type="dxa"/>
          <w:right w:w="0" w:type="dxa"/>
        </w:tblCellMar>
        <w:tblLook w:val="01E0"/>
      </w:tblPr>
      <w:tblGrid>
        <w:gridCol w:w="568"/>
        <w:gridCol w:w="567"/>
        <w:gridCol w:w="2340"/>
        <w:gridCol w:w="851"/>
        <w:gridCol w:w="1276"/>
        <w:gridCol w:w="1276"/>
        <w:gridCol w:w="1277"/>
        <w:gridCol w:w="1134"/>
        <w:gridCol w:w="1062"/>
      </w:tblGrid>
      <w:tr>
        <w:trPr>
          <w:trHeight w:val="674" w:hRule="exact"/>
        </w:trPr>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z w:val="21"/>
                <w:szCs w:val="21"/>
              </w:rPr>
              <w:t>有限</w:t>
            </w:r>
          </w:p>
          <w:p>
            <w:pPr>
              <w:pStyle w:val="TableParagraph"/>
              <w:spacing w:line="240" w:lineRule="auto" w:before="38"/>
              <w:ind w:left="22"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567" w:type="dxa"/>
            <w:tcBorders>
              <w:top w:val="single" w:sz="4" w:space="0" w:color="000000"/>
              <w:left w:val="single" w:sz="4" w:space="0" w:color="000000"/>
              <w:bottom w:val="single" w:sz="4" w:space="0" w:color="000000"/>
              <w:right w:val="single" w:sz="4" w:space="0" w:color="000000"/>
            </w:tcBorders>
          </w:tcPr>
          <w:p>
            <w:pPr/>
          </w:p>
        </w:tc>
        <w:tc>
          <w:tcPr>
            <w:tcW w:w="2340"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r>
      <w:tr>
        <w:trPr>
          <w:trHeight w:val="4146" w:hRule="exact"/>
        </w:trPr>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3" w:lineRule="auto" w:before="177"/>
              <w:ind w:left="22" w:right="113"/>
              <w:jc w:val="both"/>
              <w:rPr>
                <w:rFonts w:ascii="宋体" w:hAnsi="宋体" w:cs="宋体" w:eastAsia="宋体" w:hint="default"/>
                <w:sz w:val="21"/>
                <w:szCs w:val="21"/>
              </w:rPr>
            </w:pPr>
            <w:r>
              <w:rPr>
                <w:rFonts w:ascii="宋体" w:hAnsi="宋体" w:cs="宋体" w:eastAsia="宋体" w:hint="default"/>
                <w:sz w:val="21"/>
                <w:szCs w:val="21"/>
              </w:rPr>
              <w:t>北京 赛弗 网络 科技 有限 责任 公司</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3" w:lineRule="auto" w:before="172"/>
              <w:ind w:left="22" w:right="112"/>
              <w:jc w:val="left"/>
              <w:rPr>
                <w:rFonts w:ascii="宋体" w:hAnsi="宋体" w:cs="宋体" w:eastAsia="宋体" w:hint="default"/>
                <w:sz w:val="21"/>
                <w:szCs w:val="21"/>
              </w:rPr>
            </w:pPr>
            <w:r>
              <w:rPr>
                <w:rFonts w:ascii="宋体" w:hAnsi="宋体" w:cs="宋体" w:eastAsia="宋体" w:hint="default"/>
                <w:sz w:val="21"/>
                <w:szCs w:val="21"/>
              </w:rPr>
              <w:t>参股 公司</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2" w:right="20"/>
              <w:jc w:val="left"/>
              <w:rPr>
                <w:rFonts w:ascii="宋体" w:hAnsi="宋体" w:cs="宋体" w:eastAsia="宋体" w:hint="default"/>
                <w:sz w:val="21"/>
                <w:szCs w:val="21"/>
              </w:rPr>
            </w:pPr>
            <w:r>
              <w:rPr>
                <w:rFonts w:ascii="宋体" w:hAnsi="宋体" w:cs="宋体" w:eastAsia="宋体" w:hint="default"/>
                <w:spacing w:val="-3"/>
                <w:sz w:val="21"/>
                <w:szCs w:val="21"/>
              </w:rPr>
              <w:t>技术咨询、技术推广、技</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pacing w:val="-3"/>
                <w:sz w:val="21"/>
                <w:szCs w:val="21"/>
              </w:rPr>
              <w:t>术转让、技术服务；销售</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pacing w:val="-3"/>
                <w:sz w:val="21"/>
                <w:szCs w:val="21"/>
              </w:rPr>
              <w:t>自行开发后的产品；计算</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pacing w:val="-3"/>
                <w:sz w:val="21"/>
                <w:szCs w:val="21"/>
              </w:rPr>
              <w:t>机系统服务；基础软件服</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pacing w:val="-3"/>
                <w:sz w:val="21"/>
                <w:szCs w:val="21"/>
              </w:rPr>
              <w:t>务；应用软件服务；软件</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pacing w:val="-3"/>
                <w:sz w:val="21"/>
                <w:szCs w:val="21"/>
              </w:rPr>
              <w:t>开发；软件咨询；产品设</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pacing w:val="-3"/>
                <w:sz w:val="21"/>
                <w:szCs w:val="21"/>
              </w:rPr>
              <w:t>计；数据处理；设计、制</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pacing w:val="-3"/>
                <w:sz w:val="21"/>
                <w:szCs w:val="21"/>
              </w:rPr>
              <w:t>作、发布广告；组织文化</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pacing w:val="-3"/>
                <w:sz w:val="21"/>
                <w:szCs w:val="21"/>
              </w:rPr>
              <w:t>艺术交流活动；承办展览</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pacing w:val="-3"/>
                <w:sz w:val="21"/>
                <w:szCs w:val="21"/>
              </w:rPr>
              <w:t>展示活动；第二类增值电</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信业务中的信息服务业 务；从事互联网文化活 动。</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2"/>
              <w:ind w:left="22" w:right="0"/>
              <w:jc w:val="left"/>
              <w:rPr>
                <w:rFonts w:ascii="宋体" w:hAnsi="宋体" w:cs="宋体" w:eastAsia="宋体" w:hint="default"/>
                <w:sz w:val="21"/>
                <w:szCs w:val="21"/>
              </w:rPr>
            </w:pPr>
            <w:r>
              <w:rPr>
                <w:rFonts w:ascii="宋体"/>
                <w:sz w:val="21"/>
              </w:rPr>
              <w:t>14,517,</w:t>
            </w:r>
          </w:p>
          <w:p>
            <w:pPr>
              <w:pStyle w:val="TableParagraph"/>
              <w:spacing w:line="240" w:lineRule="auto" w:before="37"/>
              <w:ind w:left="22" w:right="0"/>
              <w:jc w:val="left"/>
              <w:rPr>
                <w:rFonts w:ascii="宋体" w:hAnsi="宋体" w:cs="宋体" w:eastAsia="宋体" w:hint="default"/>
                <w:sz w:val="21"/>
                <w:szCs w:val="21"/>
              </w:rPr>
            </w:pPr>
            <w:r>
              <w:rPr>
                <w:rFonts w:ascii="宋体"/>
                <w:sz w:val="21"/>
              </w:rPr>
              <w:t>900.00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2"/>
              <w:ind w:right="20"/>
              <w:jc w:val="right"/>
              <w:rPr>
                <w:rFonts w:ascii="宋体" w:hAnsi="宋体" w:cs="宋体" w:eastAsia="宋体" w:hint="default"/>
                <w:sz w:val="21"/>
                <w:szCs w:val="21"/>
              </w:rPr>
            </w:pPr>
            <w:r>
              <w:rPr>
                <w:rFonts w:ascii="宋体"/>
                <w:sz w:val="21"/>
              </w:rPr>
              <w:t>29,573,953.</w:t>
            </w:r>
          </w:p>
          <w:p>
            <w:pPr>
              <w:pStyle w:val="TableParagraph"/>
              <w:spacing w:line="240" w:lineRule="auto" w:before="37"/>
              <w:ind w:right="19"/>
              <w:jc w:val="right"/>
              <w:rPr>
                <w:rFonts w:ascii="宋体" w:hAnsi="宋体" w:cs="宋体" w:eastAsia="宋体" w:hint="default"/>
                <w:sz w:val="21"/>
                <w:szCs w:val="21"/>
              </w:rPr>
            </w:pPr>
            <w:r>
              <w:rPr>
                <w:rFonts w:ascii="宋体"/>
                <w:sz w:val="21"/>
              </w:rPr>
              <w:t>01</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2"/>
              <w:ind w:right="20"/>
              <w:jc w:val="right"/>
              <w:rPr>
                <w:rFonts w:ascii="宋体" w:hAnsi="宋体" w:cs="宋体" w:eastAsia="宋体" w:hint="default"/>
                <w:sz w:val="21"/>
                <w:szCs w:val="21"/>
              </w:rPr>
            </w:pPr>
            <w:r>
              <w:rPr>
                <w:rFonts w:ascii="宋体"/>
                <w:sz w:val="21"/>
              </w:rPr>
              <w:t>27,449,988.</w:t>
            </w:r>
          </w:p>
          <w:p>
            <w:pPr>
              <w:pStyle w:val="TableParagraph"/>
              <w:spacing w:line="240" w:lineRule="auto" w:before="37"/>
              <w:ind w:right="19"/>
              <w:jc w:val="right"/>
              <w:rPr>
                <w:rFonts w:ascii="宋体" w:hAnsi="宋体" w:cs="宋体" w:eastAsia="宋体" w:hint="default"/>
                <w:sz w:val="21"/>
                <w:szCs w:val="21"/>
              </w:rPr>
            </w:pPr>
            <w:r>
              <w:rPr>
                <w:rFonts w:ascii="宋体"/>
                <w:sz w:val="21"/>
              </w:rPr>
              <w:t>66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2"/>
              <w:ind w:right="21"/>
              <w:jc w:val="right"/>
              <w:rPr>
                <w:rFonts w:ascii="宋体" w:hAnsi="宋体" w:cs="宋体" w:eastAsia="宋体" w:hint="default"/>
                <w:sz w:val="21"/>
                <w:szCs w:val="21"/>
              </w:rPr>
            </w:pPr>
            <w:r>
              <w:rPr>
                <w:rFonts w:ascii="宋体"/>
                <w:sz w:val="21"/>
              </w:rPr>
              <w:t>6,108,090.5</w:t>
            </w:r>
          </w:p>
          <w:p>
            <w:pPr>
              <w:pStyle w:val="TableParagraph"/>
              <w:spacing w:line="240" w:lineRule="auto" w:before="37"/>
              <w:ind w:right="21"/>
              <w:jc w:val="right"/>
              <w:rPr>
                <w:rFonts w:ascii="宋体" w:hAnsi="宋体" w:cs="宋体" w:eastAsia="宋体" w:hint="default"/>
                <w:sz w:val="21"/>
                <w:szCs w:val="21"/>
              </w:rPr>
            </w:pPr>
            <w:r>
              <w:rPr>
                <w:rFonts w:ascii="宋体"/>
                <w:sz w:val="21"/>
              </w:rPr>
              <w:t>5</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2"/>
              <w:ind w:left="50" w:right="0"/>
              <w:jc w:val="left"/>
              <w:rPr>
                <w:rFonts w:ascii="宋体" w:hAnsi="宋体" w:cs="宋体" w:eastAsia="宋体" w:hint="default"/>
                <w:sz w:val="21"/>
                <w:szCs w:val="21"/>
              </w:rPr>
            </w:pPr>
            <w:r>
              <w:rPr>
                <w:rFonts w:ascii="宋体"/>
                <w:sz w:val="21"/>
              </w:rPr>
              <w:t>-19,476,45</w:t>
            </w:r>
          </w:p>
          <w:p>
            <w:pPr>
              <w:pStyle w:val="TableParagraph"/>
              <w:spacing w:line="240" w:lineRule="auto" w:before="37"/>
              <w:ind w:left="680" w:right="0"/>
              <w:jc w:val="left"/>
              <w:rPr>
                <w:rFonts w:ascii="宋体" w:hAnsi="宋体" w:cs="宋体" w:eastAsia="宋体" w:hint="default"/>
                <w:sz w:val="21"/>
                <w:szCs w:val="21"/>
              </w:rPr>
            </w:pPr>
            <w:r>
              <w:rPr>
                <w:rFonts w:ascii="宋体"/>
                <w:sz w:val="21"/>
              </w:rPr>
              <w:t>1.78</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2"/>
              <w:ind w:left="83" w:right="0"/>
              <w:jc w:val="left"/>
              <w:rPr>
                <w:rFonts w:ascii="宋体" w:hAnsi="宋体" w:cs="宋体" w:eastAsia="宋体" w:hint="default"/>
                <w:sz w:val="21"/>
                <w:szCs w:val="21"/>
              </w:rPr>
            </w:pPr>
            <w:r>
              <w:rPr>
                <w:rFonts w:ascii="宋体"/>
                <w:sz w:val="21"/>
              </w:rPr>
              <w:t>-19,476,4</w:t>
            </w:r>
          </w:p>
          <w:p>
            <w:pPr>
              <w:pStyle w:val="TableParagraph"/>
              <w:spacing w:line="240" w:lineRule="auto" w:before="37"/>
              <w:ind w:left="503" w:right="0"/>
              <w:jc w:val="left"/>
              <w:rPr>
                <w:rFonts w:ascii="宋体" w:hAnsi="宋体" w:cs="宋体" w:eastAsia="宋体" w:hint="default"/>
                <w:sz w:val="21"/>
                <w:szCs w:val="21"/>
              </w:rPr>
            </w:pPr>
            <w:r>
              <w:rPr>
                <w:rFonts w:ascii="宋体"/>
                <w:sz w:val="21"/>
              </w:rPr>
              <w:t>71.81</w:t>
            </w:r>
          </w:p>
        </w:tc>
      </w:tr>
    </w:tbl>
    <w:p>
      <w:pPr>
        <w:spacing w:line="240" w:lineRule="auto" w:before="10"/>
        <w:rPr>
          <w:rFonts w:ascii="宋体" w:hAnsi="宋体" w:cs="宋体" w:eastAsia="宋体" w:hint="default"/>
          <w:sz w:val="4"/>
          <w:szCs w:val="4"/>
        </w:rPr>
      </w:pPr>
    </w:p>
    <w:p>
      <w:pPr>
        <w:pStyle w:val="BodyText"/>
        <w:spacing w:line="240" w:lineRule="auto" w:before="26"/>
        <w:ind w:left="954" w:right="5712"/>
        <w:jc w:val="left"/>
      </w:pPr>
      <w:r>
        <w:rPr/>
        <w:t>报告期内取得和处置子公司的情况</w:t>
      </w:r>
    </w:p>
    <w:p>
      <w:pPr>
        <w:pStyle w:val="BodyText"/>
        <w:spacing w:line="240" w:lineRule="auto" w:before="145"/>
        <w:ind w:left="954" w:right="57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p>
    <w:p>
      <w:pPr>
        <w:spacing w:line="240" w:lineRule="auto" w:before="1"/>
        <w:rPr>
          <w:rFonts w:ascii="宋体" w:hAnsi="宋体" w:cs="宋体" w:eastAsia="宋体" w:hint="default"/>
          <w:sz w:val="3"/>
          <w:szCs w:val="3"/>
        </w:rPr>
      </w:pPr>
    </w:p>
    <w:tbl>
      <w:tblPr>
        <w:tblW w:w="0" w:type="auto"/>
        <w:jc w:val="left"/>
        <w:tblInd w:w="469" w:type="dxa"/>
        <w:tblLayout w:type="fixed"/>
        <w:tblCellMar>
          <w:top w:w="0" w:type="dxa"/>
          <w:left w:w="0" w:type="dxa"/>
          <w:bottom w:w="0" w:type="dxa"/>
          <w:right w:w="0" w:type="dxa"/>
        </w:tblCellMar>
        <w:tblLook w:val="01E0"/>
      </w:tblPr>
      <w:tblGrid>
        <w:gridCol w:w="3544"/>
        <w:gridCol w:w="1986"/>
        <w:gridCol w:w="4819"/>
      </w:tblGrid>
      <w:tr>
        <w:trPr>
          <w:trHeight w:val="714" w:hRule="exact"/>
        </w:trPr>
        <w:tc>
          <w:tcPr>
            <w:tcW w:w="35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公司名称</w:t>
            </w:r>
          </w:p>
        </w:tc>
        <w:tc>
          <w:tcPr>
            <w:tcW w:w="19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463" w:right="41" w:hanging="421"/>
              <w:jc w:val="left"/>
              <w:rPr>
                <w:rFonts w:ascii="宋体" w:hAnsi="宋体" w:cs="宋体" w:eastAsia="宋体" w:hint="default"/>
                <w:sz w:val="21"/>
                <w:szCs w:val="21"/>
              </w:rPr>
            </w:pPr>
            <w:r>
              <w:rPr>
                <w:rFonts w:ascii="宋体" w:hAnsi="宋体" w:cs="宋体" w:eastAsia="宋体" w:hint="default"/>
                <w:sz w:val="21"/>
                <w:szCs w:val="21"/>
              </w:rPr>
              <w:t>报告期内取得和处置 子公司方式</w:t>
            </w:r>
          </w:p>
        </w:tc>
        <w:tc>
          <w:tcPr>
            <w:tcW w:w="48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1039" w:right="0"/>
              <w:jc w:val="left"/>
              <w:rPr>
                <w:rFonts w:ascii="宋体" w:hAnsi="宋体" w:cs="宋体" w:eastAsia="宋体" w:hint="default"/>
                <w:sz w:val="21"/>
                <w:szCs w:val="21"/>
              </w:rPr>
            </w:pPr>
            <w:r>
              <w:rPr>
                <w:rFonts w:ascii="宋体" w:hAnsi="宋体" w:cs="宋体" w:eastAsia="宋体" w:hint="default"/>
                <w:sz w:val="21"/>
                <w:szCs w:val="21"/>
              </w:rPr>
              <w:t>对整体生产经营和业绩的影响</w:t>
            </w:r>
          </w:p>
        </w:tc>
      </w:tr>
      <w:tr>
        <w:trPr>
          <w:trHeight w:val="714" w:hRule="exact"/>
        </w:trPr>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26"/>
              <w:jc w:val="center"/>
              <w:rPr>
                <w:rFonts w:ascii="宋体" w:hAnsi="宋体" w:cs="宋体" w:eastAsia="宋体" w:hint="default"/>
                <w:sz w:val="21"/>
                <w:szCs w:val="21"/>
              </w:rPr>
            </w:pPr>
            <w:r>
              <w:rPr>
                <w:rFonts w:ascii="宋体" w:hAnsi="宋体" w:cs="宋体" w:eastAsia="宋体" w:hint="default"/>
                <w:sz w:val="21"/>
                <w:szCs w:val="21"/>
              </w:rPr>
              <w:t>成都西南交大驱动技术有限责任公司</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购买</w:t>
            </w:r>
          </w:p>
        </w:tc>
        <w:tc>
          <w:tcPr>
            <w:tcW w:w="4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报告期内实现净利润</w:t>
            </w:r>
            <w:r>
              <w:rPr>
                <w:rFonts w:ascii="宋体" w:hAnsi="宋体" w:cs="宋体" w:eastAsia="宋体" w:hint="default"/>
                <w:spacing w:val="-51"/>
                <w:sz w:val="21"/>
                <w:szCs w:val="21"/>
              </w:rPr>
              <w:t> </w:t>
            </w:r>
            <w:r>
              <w:rPr>
                <w:rFonts w:ascii="宋体" w:hAnsi="宋体" w:cs="宋体" w:eastAsia="宋体" w:hint="default"/>
                <w:sz w:val="21"/>
                <w:szCs w:val="21"/>
              </w:rPr>
              <w:t>10,456,410.60</w:t>
            </w:r>
            <w:r>
              <w:rPr>
                <w:rFonts w:ascii="宋体" w:hAnsi="宋体" w:cs="宋体" w:eastAsia="宋体" w:hint="default"/>
                <w:spacing w:val="-52"/>
                <w:sz w:val="21"/>
                <w:szCs w:val="21"/>
              </w:rPr>
              <w:t> </w:t>
            </w:r>
            <w:r>
              <w:rPr>
                <w:rFonts w:ascii="宋体" w:hAnsi="宋体" w:cs="宋体" w:eastAsia="宋体" w:hint="default"/>
                <w:spacing w:val="-10"/>
                <w:sz w:val="21"/>
                <w:szCs w:val="21"/>
              </w:rPr>
              <w:t>元，影响归属于</w:t>
            </w:r>
          </w:p>
          <w:p>
            <w:pPr>
              <w:pStyle w:val="TableParagraph"/>
              <w:spacing w:line="240" w:lineRule="auto" w:before="37"/>
              <w:ind w:left="22" w:right="0"/>
              <w:jc w:val="left"/>
              <w:rPr>
                <w:rFonts w:ascii="宋体" w:hAnsi="宋体" w:cs="宋体" w:eastAsia="宋体" w:hint="default"/>
                <w:sz w:val="21"/>
                <w:szCs w:val="21"/>
              </w:rPr>
            </w:pPr>
            <w:r>
              <w:rPr>
                <w:rFonts w:ascii="宋体" w:hAnsi="宋体" w:cs="宋体" w:eastAsia="宋体" w:hint="default"/>
                <w:sz w:val="21"/>
                <w:szCs w:val="21"/>
              </w:rPr>
              <w:t>母公司所有者的净利润</w:t>
            </w:r>
            <w:r>
              <w:rPr>
                <w:rFonts w:ascii="宋体" w:hAnsi="宋体" w:cs="宋体" w:eastAsia="宋体" w:hint="default"/>
                <w:spacing w:val="-53"/>
                <w:sz w:val="21"/>
                <w:szCs w:val="21"/>
              </w:rPr>
              <w:t> </w:t>
            </w:r>
            <w:r>
              <w:rPr>
                <w:rFonts w:ascii="宋体" w:hAnsi="宋体" w:cs="宋体" w:eastAsia="宋体" w:hint="default"/>
                <w:sz w:val="21"/>
                <w:szCs w:val="21"/>
              </w:rPr>
              <w:t>5,623,861.54</w:t>
            </w:r>
            <w:r>
              <w:rPr>
                <w:rFonts w:ascii="宋体" w:hAnsi="宋体" w:cs="宋体" w:eastAsia="宋体" w:hint="default"/>
                <w:spacing w:val="-54"/>
                <w:sz w:val="21"/>
                <w:szCs w:val="21"/>
              </w:rPr>
              <w:t> </w:t>
            </w:r>
            <w:r>
              <w:rPr>
                <w:rFonts w:ascii="宋体" w:hAnsi="宋体" w:cs="宋体" w:eastAsia="宋体" w:hint="default"/>
                <w:sz w:val="21"/>
                <w:szCs w:val="21"/>
              </w:rPr>
              <w:t>元。</w:t>
            </w:r>
          </w:p>
        </w:tc>
      </w:tr>
    </w:tbl>
    <w:p>
      <w:pPr>
        <w:spacing w:line="240" w:lineRule="auto" w:before="10"/>
        <w:rPr>
          <w:rFonts w:ascii="宋体" w:hAnsi="宋体" w:cs="宋体" w:eastAsia="宋体" w:hint="default"/>
          <w:sz w:val="4"/>
          <w:szCs w:val="4"/>
        </w:rPr>
      </w:pPr>
    </w:p>
    <w:p>
      <w:pPr>
        <w:pStyle w:val="BodyText"/>
        <w:spacing w:line="350" w:lineRule="auto" w:before="26"/>
        <w:ind w:left="954" w:right="1116"/>
        <w:jc w:val="left"/>
      </w:pPr>
      <w:r>
        <w:rPr/>
        <w:t>主要控股参股公司情况说明 </w:t>
      </w:r>
      <w:r>
        <w:rPr>
          <w:rFonts w:ascii="宋体" w:hAnsi="宋体" w:cs="宋体" w:eastAsia="宋体" w:hint="default"/>
          <w:spacing w:val="-2"/>
        </w:rPr>
        <w:t>1.</w:t>
      </w:r>
      <w:r>
        <w:rPr>
          <w:spacing w:val="-2"/>
        </w:rPr>
        <w:t>参股公司七彩通达因涉及融资租赁债务纠纷，</w:t>
      </w:r>
      <w:r>
        <w:rPr>
          <w:rFonts w:ascii="宋体" w:hAnsi="宋体" w:cs="宋体" w:eastAsia="宋体" w:hint="default"/>
          <w:spacing w:val="-2"/>
        </w:rPr>
        <w:t>2017</w:t>
      </w:r>
      <w:r>
        <w:rPr>
          <w:spacing w:val="-2"/>
        </w:rPr>
        <w:t>年</w:t>
      </w:r>
      <w:r>
        <w:rPr>
          <w:rFonts w:ascii="宋体" w:hAnsi="宋体" w:cs="宋体" w:eastAsia="宋体" w:hint="default"/>
          <w:spacing w:val="-2"/>
        </w:rPr>
        <w:t>7</w:t>
      </w:r>
      <w:r>
        <w:rPr>
          <w:spacing w:val="-2"/>
        </w:rPr>
        <w:t>月被北京市中信公证处通知强制</w:t>
      </w:r>
    </w:p>
    <w:p>
      <w:pPr>
        <w:pStyle w:val="BodyText"/>
        <w:spacing w:line="350" w:lineRule="auto"/>
        <w:ind w:left="474" w:right="1132"/>
        <w:jc w:val="both"/>
      </w:pPr>
      <w:r>
        <w:rPr/>
        <w:t>执行，至今虽未收到强制执行证书，但已影响了其生产经营情况，大量业务已经关闭、银行 </w:t>
      </w:r>
      <w:r>
        <w:rPr>
          <w:spacing w:val="-3"/>
        </w:rPr>
        <w:t>账号冻结，预计该项资产的可收回金额为</w:t>
      </w:r>
      <w:r>
        <w:rPr>
          <w:rFonts w:ascii="宋体" w:hAnsi="宋体" w:cs="宋体" w:eastAsia="宋体" w:hint="default"/>
          <w:spacing w:val="-3"/>
        </w:rPr>
        <w:t>0</w:t>
      </w:r>
      <w:r>
        <w:rPr>
          <w:spacing w:val="-3"/>
        </w:rPr>
        <w:t>元，根据谨慎性原则，需要对该项可供出售金融资</w:t>
      </w:r>
      <w:r>
        <w:rPr>
          <w:spacing w:val="-81"/>
        </w:rPr>
        <w:t> </w:t>
      </w:r>
      <w:r>
        <w:rPr>
          <w:spacing w:val="-81"/>
        </w:rPr>
      </w:r>
      <w:r>
        <w:rPr/>
        <w:t>产进行全额计提减值准备，计提金额为</w:t>
      </w:r>
      <w:r>
        <w:rPr>
          <w:rFonts w:ascii="宋体" w:hAnsi="宋体" w:cs="宋体" w:eastAsia="宋体" w:hint="default"/>
        </w:rPr>
        <w:t>11,000.00</w:t>
      </w:r>
      <w:r>
        <w:rPr/>
        <w:t>万元。</w:t>
      </w:r>
    </w:p>
    <w:p>
      <w:pPr>
        <w:pStyle w:val="BodyText"/>
        <w:spacing w:line="240" w:lineRule="auto"/>
        <w:ind w:left="953" w:right="0"/>
        <w:jc w:val="left"/>
      </w:pPr>
      <w:r>
        <w:rPr>
          <w:rFonts w:ascii="宋体" w:hAnsi="宋体" w:cs="宋体" w:eastAsia="宋体" w:hint="default"/>
        </w:rPr>
        <w:t>2.</w:t>
      </w:r>
      <w:r>
        <w:rPr>
          <w:rFonts w:ascii="宋体" w:hAnsi="宋体" w:cs="宋体" w:eastAsia="宋体" w:hint="default"/>
          <w:spacing w:val="6"/>
        </w:rPr>
        <w:t> </w:t>
      </w:r>
      <w:r>
        <w:rPr/>
        <w:t>参股公司赛弗科技</w:t>
      </w:r>
      <w:r>
        <w:rPr>
          <w:spacing w:val="-57"/>
        </w:rPr>
        <w:t> </w:t>
      </w:r>
      <w:r>
        <w:rPr>
          <w:rFonts w:ascii="宋体" w:hAnsi="宋体" w:cs="宋体" w:eastAsia="宋体" w:hint="default"/>
        </w:rPr>
        <w:t>2015</w:t>
      </w:r>
      <w:r>
        <w:rPr>
          <w:rFonts w:ascii="宋体" w:hAnsi="宋体" w:cs="宋体" w:eastAsia="宋体" w:hint="default"/>
          <w:spacing w:val="-57"/>
        </w:rPr>
        <w:t> </w:t>
      </w:r>
      <w:r>
        <w:rPr>
          <w:spacing w:val="-4"/>
        </w:rPr>
        <w:t>年、</w:t>
      </w:r>
      <w:r>
        <w:rPr>
          <w:rFonts w:ascii="宋体" w:hAnsi="宋体" w:cs="宋体" w:eastAsia="宋体" w:hint="default"/>
          <w:spacing w:val="-4"/>
        </w:rPr>
        <w:t>2016</w:t>
      </w:r>
      <w:r>
        <w:rPr>
          <w:rFonts w:ascii="宋体" w:hAnsi="宋体" w:cs="宋体" w:eastAsia="宋体" w:hint="default"/>
          <w:spacing w:val="-57"/>
        </w:rPr>
        <w:t> </w:t>
      </w:r>
      <w:r>
        <w:rPr>
          <w:spacing w:val="-4"/>
        </w:rPr>
        <w:t>年、</w:t>
      </w:r>
      <w:r>
        <w:rPr>
          <w:rFonts w:ascii="宋体" w:hAnsi="宋体" w:cs="宋体" w:eastAsia="宋体" w:hint="default"/>
          <w:spacing w:val="-4"/>
        </w:rPr>
        <w:t>2017</w:t>
      </w:r>
      <w:r>
        <w:rPr>
          <w:rFonts w:ascii="宋体" w:hAnsi="宋体" w:cs="宋体" w:eastAsia="宋体" w:hint="default"/>
          <w:spacing w:val="-57"/>
        </w:rPr>
        <w:t> </w:t>
      </w:r>
      <w:r>
        <w:rPr>
          <w:spacing w:val="-3"/>
        </w:rPr>
        <w:t>年连续亏损，存在资产减值迹象。公司委</w:t>
      </w:r>
    </w:p>
    <w:p>
      <w:pPr>
        <w:pStyle w:val="BodyText"/>
        <w:spacing w:line="240" w:lineRule="auto" w:before="145"/>
        <w:ind w:left="473" w:right="0"/>
        <w:jc w:val="both"/>
      </w:pPr>
      <w:r>
        <w:rPr/>
        <w:t>托中联资产评估集团有限公司对其进行评估，于</w:t>
      </w:r>
      <w:r>
        <w:rPr>
          <w:spacing w:val="-60"/>
        </w:rPr>
        <w:t> </w:t>
      </w:r>
      <w:r>
        <w:rPr>
          <w:rFonts w:ascii="宋体" w:hAnsi="宋体" w:cs="宋体" w:eastAsia="宋体" w:hint="default"/>
        </w:rPr>
        <w:t>2018</w:t>
      </w:r>
      <w:r>
        <w:rPr>
          <w:rFonts w:ascii="宋体" w:hAnsi="宋体" w:cs="宋体" w:eastAsia="宋体" w:hint="default"/>
          <w:spacing w:val="-60"/>
        </w:rPr>
        <w:t> </w:t>
      </w:r>
      <w:r>
        <w:rPr/>
        <w:t>年</w:t>
      </w:r>
      <w:r>
        <w:rPr>
          <w:spacing w:val="-60"/>
        </w:rPr>
        <w:t> </w:t>
      </w:r>
      <w:r>
        <w:rPr>
          <w:rFonts w:ascii="宋体" w:hAnsi="宋体" w:cs="宋体" w:eastAsia="宋体" w:hint="default"/>
        </w:rPr>
        <w:t>2</w:t>
      </w:r>
      <w:r>
        <w:rPr>
          <w:rFonts w:ascii="宋体" w:hAnsi="宋体" w:cs="宋体" w:eastAsia="宋体" w:hint="default"/>
          <w:spacing w:val="-60"/>
        </w:rPr>
        <w:t> </w:t>
      </w:r>
      <w:r>
        <w:rPr/>
        <w:t>月</w:t>
      </w:r>
      <w:r>
        <w:rPr>
          <w:spacing w:val="-60"/>
        </w:rPr>
        <w:t> </w:t>
      </w:r>
      <w:r>
        <w:rPr>
          <w:rFonts w:ascii="宋体" w:hAnsi="宋体" w:cs="宋体" w:eastAsia="宋体" w:hint="default"/>
        </w:rPr>
        <w:t>7</w:t>
      </w:r>
      <w:r>
        <w:rPr>
          <w:rFonts w:ascii="宋体" w:hAnsi="宋体" w:cs="宋体" w:eastAsia="宋体" w:hint="default"/>
          <w:spacing w:val="-60"/>
        </w:rPr>
        <w:t> </w:t>
      </w:r>
      <w:r>
        <w:rPr/>
        <w:t>日出具编号为“中联评咨字</w:t>
      </w:r>
    </w:p>
    <w:p>
      <w:pPr>
        <w:pStyle w:val="BodyText"/>
        <w:spacing w:line="240" w:lineRule="auto" w:before="145"/>
        <w:ind w:left="473" w:right="0"/>
        <w:jc w:val="both"/>
      </w:pPr>
      <w:r>
        <w:rPr/>
        <w:t>【</w:t>
      </w:r>
      <w:r>
        <w:rPr>
          <w:rFonts w:ascii="宋体" w:hAnsi="宋体" w:cs="宋体" w:eastAsia="宋体" w:hint="default"/>
        </w:rPr>
        <w:t>2018</w:t>
      </w:r>
      <w:r>
        <w:rPr/>
        <w:t>】第</w:t>
      </w:r>
      <w:r>
        <w:rPr>
          <w:spacing w:val="-60"/>
        </w:rPr>
        <w:t> </w:t>
      </w:r>
      <w:r>
        <w:rPr>
          <w:rFonts w:ascii="宋体" w:hAnsi="宋体" w:cs="宋体" w:eastAsia="宋体" w:hint="default"/>
        </w:rPr>
        <w:t>160</w:t>
      </w:r>
      <w:r>
        <w:rPr>
          <w:rFonts w:ascii="宋体" w:hAnsi="宋体" w:cs="宋体" w:eastAsia="宋体" w:hint="default"/>
          <w:spacing w:val="-60"/>
        </w:rPr>
        <w:t> </w:t>
      </w:r>
      <w:r>
        <w:rPr/>
        <w:t>号”的《评估咨询报告</w:t>
      </w:r>
      <w:r>
        <w:rPr>
          <w:spacing w:val="-120"/>
        </w:rPr>
        <w:t>》</w:t>
      </w:r>
      <w:r>
        <w:rPr/>
        <w:t>，计提减值准备</w:t>
      </w:r>
      <w:r>
        <w:rPr>
          <w:spacing w:val="-60"/>
        </w:rPr>
        <w:t> </w:t>
      </w:r>
      <w:r>
        <w:rPr>
          <w:rFonts w:ascii="宋体" w:hAnsi="宋体" w:cs="宋体" w:eastAsia="宋体" w:hint="default"/>
        </w:rPr>
        <w:t>7,036.97</w:t>
      </w:r>
      <w:r>
        <w:rPr>
          <w:rFonts w:ascii="宋体" w:hAnsi="宋体" w:cs="宋体" w:eastAsia="宋体" w:hint="default"/>
          <w:spacing w:val="-60"/>
        </w:rPr>
        <w:t> </w:t>
      </w:r>
      <w:r>
        <w:rPr/>
        <w:t>万元。</w:t>
      </w:r>
    </w:p>
    <w:p>
      <w:pPr>
        <w:pStyle w:val="BodyText"/>
        <w:spacing w:line="240" w:lineRule="auto" w:before="146"/>
        <w:ind w:left="953" w:right="1116"/>
        <w:jc w:val="left"/>
      </w:pPr>
      <w:r>
        <w:rPr>
          <w:rFonts w:ascii="宋体" w:hAnsi="宋体" w:cs="宋体" w:eastAsia="宋体" w:hint="default"/>
        </w:rPr>
        <w:t>3. </w:t>
      </w:r>
      <w:r>
        <w:rPr/>
        <w:t>全资子公司国铁路阳商誉为公司于</w:t>
      </w:r>
      <w:r>
        <w:rPr>
          <w:rFonts w:ascii="宋体" w:hAnsi="宋体" w:cs="宋体" w:eastAsia="宋体" w:hint="default"/>
        </w:rPr>
        <w:t>2011</w:t>
      </w:r>
      <w:r>
        <w:rPr/>
        <w:t>年非同一控制下企业合国铁路阳形成商誉</w:t>
      </w:r>
    </w:p>
    <w:p>
      <w:pPr>
        <w:pStyle w:val="BodyText"/>
        <w:spacing w:line="240" w:lineRule="auto" w:before="145"/>
        <w:ind w:left="474" w:right="0"/>
        <w:jc w:val="both"/>
      </w:pPr>
      <w:r>
        <w:rPr>
          <w:rFonts w:ascii="宋体" w:hAnsi="宋体" w:cs="宋体" w:eastAsia="宋体" w:hint="default"/>
        </w:rPr>
        <w:t>107,863,014.60</w:t>
      </w:r>
      <w:r>
        <w:rPr/>
        <w:t>元。截止</w:t>
      </w:r>
      <w:r>
        <w:rPr>
          <w:rFonts w:ascii="宋体" w:hAnsi="宋体" w:cs="宋体" w:eastAsia="宋体" w:hint="default"/>
        </w:rPr>
        <w:t>2017</w:t>
      </w:r>
      <w:r>
        <w:rPr/>
        <w:t>年末计提商誉减值</w:t>
      </w:r>
      <w:r>
        <w:rPr>
          <w:rFonts w:ascii="宋体" w:hAnsi="宋体" w:cs="宋体" w:eastAsia="宋体" w:hint="default"/>
        </w:rPr>
        <w:t>71,937,749.03</w:t>
      </w:r>
      <w:r>
        <w:rPr/>
        <w:t>元；本期计提商誉减值</w:t>
      </w:r>
    </w:p>
    <w:p>
      <w:pPr>
        <w:pStyle w:val="BodyText"/>
        <w:spacing w:line="240" w:lineRule="auto" w:before="145"/>
        <w:ind w:left="473" w:right="0"/>
        <w:jc w:val="both"/>
      </w:pPr>
      <w:r>
        <w:rPr>
          <w:rFonts w:ascii="宋体" w:hAnsi="宋体" w:cs="宋体" w:eastAsia="宋体" w:hint="default"/>
        </w:rPr>
        <w:t>37,619,858.22</w:t>
      </w:r>
      <w:r>
        <w:rPr/>
        <w:t>元。</w:t>
      </w:r>
    </w:p>
    <w:p>
      <w:pPr>
        <w:spacing w:line="240" w:lineRule="auto" w:before="6"/>
        <w:rPr>
          <w:rFonts w:ascii="宋体" w:hAnsi="宋体" w:cs="宋体" w:eastAsia="宋体" w:hint="default"/>
          <w:sz w:val="24"/>
          <w:szCs w:val="24"/>
        </w:rPr>
      </w:pPr>
    </w:p>
    <w:p>
      <w:pPr>
        <w:pStyle w:val="Heading2"/>
        <w:spacing w:line="240" w:lineRule="auto" w:before="0"/>
        <w:ind w:left="474" w:right="0"/>
        <w:jc w:val="both"/>
        <w:rPr>
          <w:b w:val="0"/>
          <w:bCs w:val="0"/>
        </w:rPr>
      </w:pPr>
      <w:bookmarkStart w:name="八、公司控制的结构化主体情况" w:id="60"/>
      <w:bookmarkEnd w:id="60"/>
      <w:r>
        <w:rPr>
          <w:b w:val="0"/>
          <w:bCs w:val="0"/>
        </w:rPr>
      </w:r>
      <w:r>
        <w:rPr/>
        <w:t>八、公司控制的结构化主体情况</w:t>
      </w:r>
      <w:r>
        <w:rPr>
          <w:b w:val="0"/>
          <w:bCs w:val="0"/>
        </w:rPr>
      </w:r>
    </w:p>
    <w:p>
      <w:pPr>
        <w:spacing w:line="240" w:lineRule="auto" w:before="6"/>
        <w:rPr>
          <w:rFonts w:ascii="宋体" w:hAnsi="宋体" w:cs="宋体" w:eastAsia="宋体" w:hint="default"/>
          <w:b/>
          <w:bCs/>
          <w:sz w:val="32"/>
          <w:szCs w:val="32"/>
        </w:rPr>
      </w:pPr>
    </w:p>
    <w:p>
      <w:pPr>
        <w:pStyle w:val="BodyText"/>
        <w:spacing w:line="240" w:lineRule="auto" w:before="0"/>
        <w:ind w:left="953" w:right="57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p>
    <w:p>
      <w:pPr>
        <w:spacing w:after="0" w:line="240" w:lineRule="auto"/>
        <w:jc w:val="left"/>
        <w:sectPr>
          <w:pgSz w:w="11910" w:h="16840"/>
          <w:pgMar w:header="747" w:footer="979" w:top="1060" w:bottom="1160" w:left="660" w:right="0"/>
        </w:sectPr>
      </w:pPr>
    </w:p>
    <w:p>
      <w:pPr>
        <w:spacing w:line="240" w:lineRule="auto" w:before="7"/>
        <w:rPr>
          <w:rFonts w:ascii="宋体" w:hAnsi="宋体" w:cs="宋体" w:eastAsia="宋体" w:hint="default"/>
          <w:sz w:val="23"/>
          <w:szCs w:val="23"/>
        </w:rPr>
      </w:pPr>
    </w:p>
    <w:p>
      <w:pPr>
        <w:pStyle w:val="Heading2"/>
        <w:spacing w:line="240" w:lineRule="auto"/>
        <w:ind w:left="153" w:right="0"/>
        <w:jc w:val="both"/>
        <w:rPr>
          <w:b w:val="0"/>
          <w:bCs w:val="0"/>
        </w:rPr>
      </w:pPr>
      <w:bookmarkStart w:name="九、公司未来发展的展望" w:id="61"/>
      <w:bookmarkEnd w:id="61"/>
      <w:r>
        <w:rPr>
          <w:b w:val="0"/>
          <w:bCs w:val="0"/>
        </w:rPr>
      </w:r>
      <w:r>
        <w:rPr/>
        <w:t>九、公司未来发展的展望</w:t>
      </w:r>
      <w:r>
        <w:rPr>
          <w:b w:val="0"/>
          <w:bCs w:val="0"/>
        </w:rPr>
      </w:r>
    </w:p>
    <w:p>
      <w:pPr>
        <w:spacing w:line="240" w:lineRule="auto" w:before="6"/>
        <w:rPr>
          <w:rFonts w:ascii="宋体" w:hAnsi="宋体" w:cs="宋体" w:eastAsia="宋体" w:hint="default"/>
          <w:b/>
          <w:bCs/>
          <w:sz w:val="32"/>
          <w:szCs w:val="32"/>
        </w:rPr>
      </w:pPr>
    </w:p>
    <w:p>
      <w:pPr>
        <w:pStyle w:val="Heading2"/>
        <w:spacing w:line="350" w:lineRule="auto" w:before="0"/>
        <w:ind w:right="6192"/>
        <w:jc w:val="left"/>
        <w:rPr>
          <w:b w:val="0"/>
          <w:bCs w:val="0"/>
        </w:rPr>
      </w:pPr>
      <w:bookmarkStart w:name="（一）行业格局及趋势" w:id="62"/>
      <w:bookmarkEnd w:id="62"/>
      <w:r>
        <w:rPr>
          <w:b w:val="0"/>
          <w:bCs w:val="0"/>
        </w:rPr>
      </w:r>
      <w:r>
        <w:rPr/>
        <w:t>（一）行业格局及趋势</w:t>
      </w:r>
      <w:r>
        <w:rPr>
          <w:w w:val="99"/>
        </w:rPr>
        <w:t> </w:t>
      </w:r>
      <w:bookmarkStart w:name="1、国家铁路及城市轨道交通行业" w:id="63"/>
      <w:bookmarkEnd w:id="63"/>
      <w:r>
        <w:rPr>
          <w:w w:val="99"/>
        </w:rPr>
      </w:r>
      <w:r>
        <w:rPr>
          <w:rFonts w:ascii="宋体" w:hAnsi="宋体" w:cs="宋体" w:eastAsia="宋体" w:hint="default"/>
          <w:w w:val="95"/>
        </w:rPr>
        <w:t>1</w:t>
      </w:r>
      <w:r>
        <w:rPr>
          <w:w w:val="95"/>
        </w:rPr>
        <w:t>、国家铁路及城市轨道交通行业</w:t>
      </w:r>
      <w:r>
        <w:rPr>
          <w:b w:val="0"/>
          <w:bCs w:val="0"/>
        </w:rPr>
      </w:r>
    </w:p>
    <w:p>
      <w:pPr>
        <w:pStyle w:val="BodyText"/>
        <w:spacing w:line="350" w:lineRule="auto"/>
        <w:ind w:left="514" w:right="996" w:firstLine="120"/>
        <w:jc w:val="left"/>
      </w:pPr>
      <w:bookmarkStart w:name="（1）基础建设推进：" w:id="64"/>
      <w:bookmarkEnd w:id="64"/>
      <w:r>
        <w:rPr/>
      </w:r>
      <w:r>
        <w:rPr/>
        <w:t>（</w:t>
      </w:r>
      <w:r>
        <w:rPr>
          <w:rFonts w:ascii="宋体" w:hAnsi="宋体" w:cs="宋体" w:eastAsia="宋体" w:hint="default"/>
        </w:rPr>
        <w:t>1</w:t>
      </w:r>
      <w:r>
        <w:rPr/>
        <w:t>）基础建设推进： </w:t>
      </w:r>
      <w:r>
        <w:rPr>
          <w:spacing w:val="-2"/>
        </w:rPr>
        <w:t>据《铁路</w:t>
      </w:r>
      <w:r>
        <w:rPr>
          <w:rFonts w:ascii="Times New Roman" w:hAnsi="Times New Roman" w:cs="Times New Roman" w:eastAsia="Times New Roman" w:hint="default"/>
          <w:spacing w:val="-2"/>
        </w:rPr>
        <w:t>“</w:t>
      </w:r>
      <w:r>
        <w:rPr>
          <w:spacing w:val="-2"/>
        </w:rPr>
        <w:t>十三五</w:t>
      </w:r>
      <w:r>
        <w:rPr>
          <w:rFonts w:ascii="Times New Roman" w:hAnsi="Times New Roman" w:cs="Times New Roman" w:eastAsia="Times New Roman" w:hint="default"/>
          <w:spacing w:val="-2"/>
        </w:rPr>
        <w:t>”</w:t>
      </w:r>
      <w:r>
        <w:rPr>
          <w:spacing w:val="-2"/>
        </w:rPr>
        <w:t>发展规划征求意见稿》显示，还将进一步加快铁路建设与发展，计划投</w:t>
      </w:r>
    </w:p>
    <w:p>
      <w:pPr>
        <w:pStyle w:val="BodyText"/>
        <w:spacing w:line="331" w:lineRule="auto" w:before="5"/>
        <w:ind w:right="1109"/>
        <w:jc w:val="both"/>
      </w:pPr>
      <w:r>
        <w:rPr/>
        <w:t>资</w:t>
      </w:r>
      <w:r>
        <w:rPr>
          <w:rFonts w:ascii="Times New Roman" w:hAnsi="Times New Roman" w:cs="Times New Roman" w:eastAsia="Times New Roman" w:hint="default"/>
        </w:rPr>
        <w:t>35,000</w:t>
      </w:r>
      <w:r>
        <w:rPr/>
        <w:t>亿元，到</w:t>
      </w:r>
      <w:r>
        <w:rPr>
          <w:rFonts w:ascii="Times New Roman" w:hAnsi="Times New Roman" w:cs="Times New Roman" w:eastAsia="Times New Roman" w:hint="default"/>
        </w:rPr>
        <w:t>“</w:t>
      </w:r>
      <w:r>
        <w:rPr/>
        <w:t>十三五</w:t>
      </w:r>
      <w:r>
        <w:rPr>
          <w:rFonts w:ascii="Times New Roman" w:hAnsi="Times New Roman" w:cs="Times New Roman" w:eastAsia="Times New Roman" w:hint="default"/>
        </w:rPr>
        <w:t>”</w:t>
      </w:r>
      <w:r>
        <w:rPr/>
        <w:t>末期，整个铁路运营里程将达</w:t>
      </w:r>
      <w:r>
        <w:rPr>
          <w:rFonts w:ascii="Times New Roman" w:hAnsi="Times New Roman" w:cs="Times New Roman" w:eastAsia="Times New Roman" w:hint="default"/>
        </w:rPr>
        <w:t>15</w:t>
      </w:r>
      <w:r>
        <w:rPr/>
        <w:t>万公里，其中高速铁路要达到</w:t>
      </w:r>
      <w:r>
        <w:rPr>
          <w:rFonts w:ascii="Times New Roman" w:hAnsi="Times New Roman" w:cs="Times New Roman" w:eastAsia="Times New Roman" w:hint="default"/>
        </w:rPr>
        <w:t>3</w:t>
      </w:r>
      <w:r>
        <w:rPr/>
        <w:t>万</w:t>
      </w:r>
      <w:r>
        <w:rPr>
          <w:spacing w:val="-118"/>
        </w:rPr>
        <w:t> </w:t>
      </w:r>
      <w:r>
        <w:rPr/>
        <w:t>公里的规模；全国铁路网基本覆盖</w:t>
      </w:r>
      <w:r>
        <w:rPr>
          <w:rFonts w:ascii="Times New Roman" w:hAnsi="Times New Roman" w:cs="Times New Roman" w:eastAsia="Times New Roman" w:hint="default"/>
        </w:rPr>
        <w:t>20</w:t>
      </w:r>
      <w:r>
        <w:rPr/>
        <w:t>万人口以上的城市，</w:t>
      </w:r>
      <w:r>
        <w:rPr>
          <w:rFonts w:ascii="Times New Roman" w:hAnsi="Times New Roman" w:cs="Times New Roman" w:eastAsia="Times New Roman" w:hint="default"/>
        </w:rPr>
        <w:t>80%</w:t>
      </w:r>
      <w:r>
        <w:rPr/>
        <w:t>的县级行政区；高速铁路网基</w:t>
      </w:r>
      <w:r>
        <w:rPr>
          <w:spacing w:val="-56"/>
        </w:rPr>
        <w:t> </w:t>
      </w:r>
      <w:r>
        <w:rPr>
          <w:spacing w:val="-56"/>
        </w:rPr>
      </w:r>
      <w:r>
        <w:rPr/>
        <w:t>本覆盖</w:t>
      </w:r>
      <w:r>
        <w:rPr>
          <w:rFonts w:ascii="Times New Roman" w:hAnsi="Times New Roman" w:cs="Times New Roman" w:eastAsia="Times New Roman" w:hint="default"/>
        </w:rPr>
        <w:t>50</w:t>
      </w:r>
      <w:r>
        <w:rPr/>
        <w:t>万人口以上的城市、</w:t>
      </w:r>
      <w:r>
        <w:rPr>
          <w:rFonts w:ascii="Times New Roman" w:hAnsi="Times New Roman" w:cs="Times New Roman" w:eastAsia="Times New Roman" w:hint="default"/>
        </w:rPr>
        <w:t>90%</w:t>
      </w:r>
      <w:r>
        <w:rPr/>
        <w:t>地级行政中心；基本实现国家、区域中心城市</w:t>
      </w:r>
      <w:r>
        <w:rPr>
          <w:rFonts w:ascii="Times New Roman" w:hAnsi="Times New Roman" w:cs="Times New Roman" w:eastAsia="Times New Roman" w:hint="default"/>
        </w:rPr>
        <w:t>1</w:t>
      </w:r>
      <w:r>
        <w:rPr/>
        <w:t>至</w:t>
      </w:r>
      <w:r>
        <w:rPr>
          <w:rFonts w:ascii="Times New Roman" w:hAnsi="Times New Roman" w:cs="Times New Roman" w:eastAsia="Times New Roman" w:hint="default"/>
        </w:rPr>
        <w:t>8</w:t>
      </w:r>
      <w:r>
        <w:rPr/>
        <w:t>小时高</w:t>
      </w:r>
      <w:r>
        <w:rPr>
          <w:spacing w:val="-60"/>
        </w:rPr>
        <w:t> </w:t>
      </w:r>
      <w:r>
        <w:rPr>
          <w:spacing w:val="-60"/>
        </w:rPr>
      </w:r>
      <w:r>
        <w:rPr/>
        <w:t>速通达圈；相邻大中城市</w:t>
      </w:r>
      <w:r>
        <w:rPr>
          <w:rFonts w:ascii="Times New Roman" w:hAnsi="Times New Roman" w:cs="Times New Roman" w:eastAsia="Times New Roman" w:hint="default"/>
        </w:rPr>
        <w:t>1</w:t>
      </w:r>
      <w:r>
        <w:rPr/>
        <w:t>至</w:t>
      </w:r>
      <w:r>
        <w:rPr>
          <w:rFonts w:ascii="Times New Roman" w:hAnsi="Times New Roman" w:cs="Times New Roman" w:eastAsia="Times New Roman" w:hint="default"/>
        </w:rPr>
        <w:t>4</w:t>
      </w:r>
      <w:r>
        <w:rPr/>
        <w:t>小时快速交通圈，城市群内</w:t>
      </w:r>
      <w:r>
        <w:rPr>
          <w:rFonts w:ascii="Times New Roman" w:hAnsi="Times New Roman" w:cs="Times New Roman" w:eastAsia="Times New Roman" w:hint="default"/>
        </w:rPr>
        <w:t>0.5</w:t>
      </w:r>
      <w:r>
        <w:rPr/>
        <w:t>小时至</w:t>
      </w:r>
      <w:r>
        <w:rPr>
          <w:rFonts w:ascii="Times New Roman" w:hAnsi="Times New Roman" w:cs="Times New Roman" w:eastAsia="Times New Roman" w:hint="default"/>
        </w:rPr>
        <w:t>2</w:t>
      </w:r>
      <w:r>
        <w:rPr/>
        <w:t>小时通勤圈。</w:t>
      </w:r>
      <w:r>
        <w:rPr>
          <w:rFonts w:ascii="Times New Roman" w:hAnsi="Times New Roman" w:cs="Times New Roman" w:eastAsia="Times New Roman" w:hint="default"/>
        </w:rPr>
        <w:t>2017</w:t>
      </w:r>
      <w:r>
        <w:rPr/>
        <w:t>年度</w:t>
      </w:r>
      <w:r>
        <w:rPr>
          <w:spacing w:val="-34"/>
        </w:rPr>
        <w:t> </w:t>
      </w:r>
      <w:r>
        <w:rPr/>
        <w:t>全国铁路行业固定资产投资完成</w:t>
      </w:r>
      <w:r>
        <w:rPr>
          <w:rFonts w:ascii="Times New Roman" w:hAnsi="Times New Roman" w:cs="Times New Roman" w:eastAsia="Times New Roman" w:hint="default"/>
        </w:rPr>
        <w:t>8,010</w:t>
      </w:r>
      <w:r>
        <w:rPr/>
        <w:t>亿元，投产新线</w:t>
      </w:r>
      <w:r>
        <w:rPr>
          <w:rFonts w:ascii="Times New Roman" w:hAnsi="Times New Roman" w:cs="Times New Roman" w:eastAsia="Times New Roman" w:hint="default"/>
        </w:rPr>
        <w:t>3,038</w:t>
      </w:r>
      <w:r>
        <w:rPr/>
        <w:t>公里，其中高速铁路</w:t>
      </w:r>
      <w:r>
        <w:rPr>
          <w:rFonts w:ascii="Times New Roman" w:hAnsi="Times New Roman" w:cs="Times New Roman" w:eastAsia="Times New Roman" w:hint="default"/>
        </w:rPr>
        <w:t>2,182</w:t>
      </w:r>
      <w:r>
        <w:rPr/>
        <w:t>公里，</w:t>
      </w:r>
      <w:r>
        <w:rPr>
          <w:spacing w:val="-35"/>
        </w:rPr>
        <w:t> </w:t>
      </w:r>
      <w:r>
        <w:rPr>
          <w:spacing w:val="-35"/>
        </w:rPr>
      </w:r>
      <w:r>
        <w:rPr/>
        <w:t>复线铁路</w:t>
      </w:r>
      <w:r>
        <w:rPr>
          <w:rFonts w:ascii="Times New Roman" w:hAnsi="Times New Roman" w:cs="Times New Roman" w:eastAsia="Times New Roman" w:hint="default"/>
        </w:rPr>
        <w:t>3,223</w:t>
      </w:r>
      <w:r>
        <w:rPr/>
        <w:t>公里，电气化铁路</w:t>
      </w:r>
      <w:r>
        <w:rPr>
          <w:rFonts w:ascii="Times New Roman" w:hAnsi="Times New Roman" w:cs="Times New Roman" w:eastAsia="Times New Roman" w:hint="default"/>
        </w:rPr>
        <w:t>4,583</w:t>
      </w:r>
      <w:r>
        <w:rPr/>
        <w:t>公里；至</w:t>
      </w:r>
      <w:r>
        <w:rPr>
          <w:rFonts w:ascii="Times New Roman" w:hAnsi="Times New Roman" w:cs="Times New Roman" w:eastAsia="Times New Roman" w:hint="default"/>
        </w:rPr>
        <w:t>2017</w:t>
      </w:r>
      <w:r>
        <w:rPr/>
        <w:t>年底，全国铁路营运里程达</w:t>
      </w:r>
      <w:r>
        <w:rPr>
          <w:rFonts w:ascii="Times New Roman" w:hAnsi="Times New Roman" w:cs="Times New Roman" w:eastAsia="Times New Roman" w:hint="default"/>
        </w:rPr>
        <w:t>12.7</w:t>
      </w:r>
      <w:r>
        <w:rPr/>
        <w:t>万公里， </w:t>
      </w:r>
      <w:r>
        <w:rPr>
          <w:spacing w:val="-2"/>
        </w:rPr>
        <w:t>其中高速铁路</w:t>
      </w:r>
      <w:r>
        <w:rPr>
          <w:rFonts w:ascii="Times New Roman" w:hAnsi="Times New Roman" w:cs="Times New Roman" w:eastAsia="Times New Roman" w:hint="default"/>
          <w:spacing w:val="-2"/>
        </w:rPr>
        <w:t>2.5</w:t>
      </w:r>
      <w:r>
        <w:rPr>
          <w:spacing w:val="-2"/>
        </w:rPr>
        <w:t>万公里以上，中西部地区（含东三省）铁路营运里程达</w:t>
      </w:r>
      <w:r>
        <w:rPr>
          <w:rFonts w:ascii="Times New Roman" w:hAnsi="Times New Roman" w:cs="Times New Roman" w:eastAsia="Times New Roman" w:hint="default"/>
          <w:spacing w:val="-2"/>
        </w:rPr>
        <w:t>9.7</w:t>
      </w:r>
      <w:r>
        <w:rPr>
          <w:spacing w:val="-2"/>
        </w:rPr>
        <w:t>万公里。根据铁路</w:t>
      </w:r>
      <w:r>
        <w:rPr>
          <w:spacing w:val="-116"/>
        </w:rPr>
        <w:t> </w:t>
      </w:r>
      <w:r>
        <w:rPr>
          <w:spacing w:val="-116"/>
        </w:rPr>
      </w:r>
      <w:r>
        <w:rPr>
          <w:spacing w:val="-7"/>
        </w:rPr>
        <w:t>总公司工作会议的要求，</w:t>
      </w:r>
      <w:r>
        <w:rPr>
          <w:rFonts w:ascii="Times New Roman" w:hAnsi="Times New Roman" w:cs="Times New Roman" w:eastAsia="Times New Roman" w:hint="default"/>
          <w:spacing w:val="-7"/>
        </w:rPr>
        <w:t>2018</w:t>
      </w:r>
      <w:r>
        <w:rPr>
          <w:spacing w:val="-7"/>
        </w:rPr>
        <w:t>年度全国铁路固定资产投资安排</w:t>
      </w:r>
      <w:r>
        <w:rPr>
          <w:rFonts w:ascii="Times New Roman" w:hAnsi="Times New Roman" w:cs="Times New Roman" w:eastAsia="Times New Roman" w:hint="default"/>
          <w:spacing w:val="-7"/>
        </w:rPr>
        <w:t>7,320</w:t>
      </w:r>
      <w:r>
        <w:rPr>
          <w:spacing w:val="-7"/>
        </w:rPr>
        <w:t>亿元，其中，国家铁路</w:t>
      </w:r>
      <w:r>
        <w:rPr>
          <w:rFonts w:ascii="Times New Roman" w:hAnsi="Times New Roman" w:cs="Times New Roman" w:eastAsia="Times New Roman" w:hint="default"/>
          <w:spacing w:val="-7"/>
        </w:rPr>
        <w:t>7,020</w:t>
      </w:r>
      <w:r>
        <w:rPr>
          <w:rFonts w:ascii="Times New Roman" w:hAnsi="Times New Roman" w:cs="Times New Roman" w:eastAsia="Times New Roman" w:hint="default"/>
          <w:spacing w:val="-39"/>
        </w:rPr>
        <w:t> </w:t>
      </w:r>
      <w:r>
        <w:rPr>
          <w:spacing w:val="-2"/>
        </w:rPr>
        <w:t>亿元。投产新线</w:t>
      </w:r>
      <w:r>
        <w:rPr>
          <w:rFonts w:ascii="Times New Roman" w:hAnsi="Times New Roman" w:cs="Times New Roman" w:eastAsia="Times New Roman" w:hint="default"/>
          <w:spacing w:val="-2"/>
        </w:rPr>
        <w:t>4,000</w:t>
      </w:r>
      <w:r>
        <w:rPr>
          <w:spacing w:val="-2"/>
        </w:rPr>
        <w:t>公里，其中，高铁</w:t>
      </w:r>
      <w:r>
        <w:rPr>
          <w:rFonts w:ascii="Times New Roman" w:hAnsi="Times New Roman" w:cs="Times New Roman" w:eastAsia="Times New Roman" w:hint="default"/>
          <w:spacing w:val="-2"/>
        </w:rPr>
        <w:t>3,500</w:t>
      </w:r>
      <w:r>
        <w:rPr>
          <w:spacing w:val="-2"/>
        </w:rPr>
        <w:t>公里。随着铁路投融资改革等系列政策的出台和</w:t>
      </w:r>
      <w:r>
        <w:rPr>
          <w:spacing w:val="-112"/>
        </w:rPr>
        <w:t> </w:t>
      </w:r>
      <w:r>
        <w:rPr>
          <w:spacing w:val="-112"/>
        </w:rPr>
      </w:r>
      <w:r>
        <w:rPr/>
        <w:t>执行，也为明后年铁路投资建设发展提供资金保证，铁路市场景气度有望持续保持高位。</w:t>
      </w:r>
    </w:p>
    <w:p>
      <w:pPr>
        <w:pStyle w:val="BodyText"/>
        <w:spacing w:line="331" w:lineRule="auto" w:before="56"/>
        <w:ind w:right="1049" w:firstLine="600"/>
        <w:jc w:val="left"/>
      </w:pPr>
      <w:r>
        <w:rPr/>
        <w:t>《</w:t>
      </w:r>
      <w:r>
        <w:rPr>
          <w:rFonts w:ascii="Times New Roman" w:hAnsi="Times New Roman" w:cs="Times New Roman" w:eastAsia="Times New Roman" w:hint="default"/>
        </w:rPr>
        <w:t>“</w:t>
      </w:r>
      <w:r>
        <w:rPr/>
        <w:t>十三五</w:t>
      </w:r>
      <w:r>
        <w:rPr>
          <w:rFonts w:ascii="Times New Roman" w:hAnsi="Times New Roman" w:cs="Times New Roman" w:eastAsia="Times New Roman" w:hint="default"/>
        </w:rPr>
        <w:t>”</w:t>
      </w:r>
      <w:r>
        <w:rPr/>
        <w:t>现代综合交通运输体系发展规划》中指出，到</w:t>
      </w:r>
      <w:r>
        <w:rPr>
          <w:rFonts w:ascii="Times New Roman" w:hAnsi="Times New Roman" w:cs="Times New Roman" w:eastAsia="Times New Roman" w:hint="default"/>
        </w:rPr>
        <w:t>2020</w:t>
      </w:r>
      <w:r>
        <w:rPr/>
        <w:t>年城市轨道交通运营里程 比</w:t>
      </w:r>
      <w:r>
        <w:rPr>
          <w:rFonts w:ascii="Times New Roman" w:hAnsi="Times New Roman" w:cs="Times New Roman" w:eastAsia="Times New Roman" w:hint="default"/>
        </w:rPr>
        <w:t>2015</w:t>
      </w:r>
      <w:r>
        <w:rPr/>
        <w:t>年增长近一倍，由</w:t>
      </w:r>
      <w:r>
        <w:rPr>
          <w:rFonts w:ascii="Times New Roman" w:hAnsi="Times New Roman" w:cs="Times New Roman" w:eastAsia="Times New Roman" w:hint="default"/>
        </w:rPr>
        <w:t>3,300</w:t>
      </w:r>
      <w:r>
        <w:rPr/>
        <w:t>公里增长到</w:t>
      </w:r>
      <w:r>
        <w:rPr>
          <w:rFonts w:ascii="Times New Roman" w:hAnsi="Times New Roman" w:cs="Times New Roman" w:eastAsia="Times New Roman" w:hint="default"/>
        </w:rPr>
        <w:t>6,000</w:t>
      </w:r>
      <w:r>
        <w:rPr/>
        <w:t>公里。根据中国城市轨道交通协会粗略统计， 我国共有</w:t>
      </w:r>
      <w:r>
        <w:rPr>
          <w:rFonts w:ascii="Times New Roman" w:hAnsi="Times New Roman" w:cs="Times New Roman" w:eastAsia="Times New Roman" w:hint="default"/>
        </w:rPr>
        <w:t>40</w:t>
      </w:r>
      <w:r>
        <w:rPr/>
        <w:t>个轨道交通在建城市，全国共有</w:t>
      </w:r>
      <w:r>
        <w:rPr>
          <w:rFonts w:ascii="Times New Roman" w:hAnsi="Times New Roman" w:cs="Times New Roman" w:eastAsia="Times New Roman" w:hint="default"/>
        </w:rPr>
        <w:t>60</w:t>
      </w:r>
      <w:r>
        <w:rPr/>
        <w:t>个左右城市开展了规划、勘测、设计、咨询等</w:t>
      </w:r>
      <w:r>
        <w:rPr>
          <w:spacing w:val="-113"/>
        </w:rPr>
        <w:t> </w:t>
      </w:r>
      <w:r>
        <w:rPr/>
        <w:t>前期工作。</w:t>
      </w:r>
      <w:r>
        <w:rPr>
          <w:rFonts w:ascii="Times New Roman" w:hAnsi="Times New Roman" w:cs="Times New Roman" w:eastAsia="Times New Roman" w:hint="default"/>
        </w:rPr>
        <w:t>“</w:t>
      </w:r>
      <w:r>
        <w:rPr/>
        <w:t>十三五</w:t>
      </w:r>
      <w:r>
        <w:rPr>
          <w:rFonts w:ascii="Times New Roman" w:hAnsi="Times New Roman" w:cs="Times New Roman" w:eastAsia="Times New Roman" w:hint="default"/>
        </w:rPr>
        <w:t>”</w:t>
      </w:r>
      <w:r>
        <w:rPr/>
        <w:t>期间我国城市轨道交通建成投运线路超过</w:t>
      </w:r>
      <w:r>
        <w:rPr>
          <w:rFonts w:ascii="Times New Roman" w:hAnsi="Times New Roman" w:cs="Times New Roman" w:eastAsia="Times New Roman" w:hint="default"/>
        </w:rPr>
        <w:t>3,000</w:t>
      </w:r>
      <w:r>
        <w:rPr/>
        <w:t>公里，预计</w:t>
      </w:r>
      <w:r>
        <w:rPr>
          <w:rFonts w:ascii="Times New Roman" w:hAnsi="Times New Roman" w:cs="Times New Roman" w:eastAsia="Times New Roman" w:hint="default"/>
        </w:rPr>
        <w:t>“</w:t>
      </w:r>
      <w:r>
        <w:rPr/>
        <w:t>十三五</w:t>
      </w:r>
      <w:r>
        <w:rPr>
          <w:rFonts w:ascii="Times New Roman" w:hAnsi="Times New Roman" w:cs="Times New Roman" w:eastAsia="Times New Roman" w:hint="default"/>
        </w:rPr>
        <w:t>”</w:t>
      </w:r>
      <w:r>
        <w:rPr/>
        <w:t>期间</w:t>
      </w:r>
      <w:r>
        <w:rPr>
          <w:spacing w:val="-108"/>
        </w:rPr>
        <w:t> </w:t>
      </w:r>
      <w:r>
        <w:rPr/>
        <w:t>轨道交通投资规模将达到</w:t>
      </w:r>
      <w:r>
        <w:rPr>
          <w:rFonts w:ascii="Times New Roman" w:hAnsi="Times New Roman" w:cs="Times New Roman" w:eastAsia="Times New Roman" w:hint="default"/>
        </w:rPr>
        <w:t>1.7-2</w:t>
      </w:r>
      <w:r>
        <w:rPr/>
        <w:t>万亿元。</w:t>
      </w:r>
    </w:p>
    <w:p>
      <w:pPr>
        <w:pStyle w:val="BodyText"/>
        <w:spacing w:line="331" w:lineRule="auto" w:before="26"/>
        <w:ind w:right="1129" w:firstLine="360"/>
        <w:jc w:val="both"/>
      </w:pPr>
      <w:r>
        <w:rPr>
          <w:spacing w:val="-2"/>
        </w:rPr>
        <w:t>《郑州市轨道交通线网规划修编（</w:t>
      </w:r>
      <w:r>
        <w:rPr>
          <w:rFonts w:ascii="Times New Roman" w:hAnsi="Times New Roman" w:cs="Times New Roman" w:eastAsia="Times New Roman" w:hint="default"/>
          <w:spacing w:val="-2"/>
        </w:rPr>
        <w:t>2015</w:t>
      </w:r>
      <w:r>
        <w:rPr>
          <w:rFonts w:ascii="Times New Roman" w:hAnsi="Times New Roman" w:cs="Times New Roman" w:eastAsia="Times New Roman" w:hint="default"/>
          <w:spacing w:val="-2"/>
        </w:rPr>
        <w:t>—</w:t>
      </w:r>
      <w:r>
        <w:rPr>
          <w:rFonts w:ascii="Times New Roman" w:hAnsi="Times New Roman" w:cs="Times New Roman" w:eastAsia="Times New Roman" w:hint="default"/>
          <w:spacing w:val="-2"/>
        </w:rPr>
        <w:t>2050</w:t>
      </w:r>
      <w:r>
        <w:rPr>
          <w:spacing w:val="-2"/>
        </w:rPr>
        <w:t>）》发布，从规划中看，到</w:t>
      </w:r>
      <w:r>
        <w:rPr>
          <w:rFonts w:ascii="Times New Roman" w:hAnsi="Times New Roman" w:cs="Times New Roman" w:eastAsia="Times New Roman" w:hint="default"/>
          <w:spacing w:val="-2"/>
        </w:rPr>
        <w:t>2050</w:t>
      </w:r>
      <w:r>
        <w:rPr>
          <w:spacing w:val="-2"/>
        </w:rPr>
        <w:t>年，郑州市</w:t>
      </w:r>
      <w:r>
        <w:rPr/>
        <w:t> 的轨道交通将有</w:t>
      </w:r>
      <w:r>
        <w:rPr>
          <w:rFonts w:ascii="Times New Roman" w:hAnsi="Times New Roman" w:cs="Times New Roman" w:eastAsia="Times New Roman" w:hint="default"/>
        </w:rPr>
        <w:t>21</w:t>
      </w:r>
      <w:r>
        <w:rPr/>
        <w:t>条线路，总规模将达到</w:t>
      </w:r>
      <w:r>
        <w:rPr>
          <w:rFonts w:ascii="Times New Roman" w:hAnsi="Times New Roman" w:cs="Times New Roman" w:eastAsia="Times New Roman" w:hint="default"/>
        </w:rPr>
        <w:t>945.2</w:t>
      </w:r>
      <w:r>
        <w:rPr/>
        <w:t>公里，车站</w:t>
      </w:r>
      <w:r>
        <w:rPr>
          <w:rFonts w:ascii="Times New Roman" w:hAnsi="Times New Roman" w:cs="Times New Roman" w:eastAsia="Times New Roman" w:hint="default"/>
        </w:rPr>
        <w:t>503</w:t>
      </w:r>
      <w:r>
        <w:rPr/>
        <w:t>座。洛阳市第一批城市轨道交</w:t>
      </w:r>
      <w:r>
        <w:rPr>
          <w:spacing w:val="-35"/>
        </w:rPr>
        <w:t> </w:t>
      </w:r>
      <w:r>
        <w:rPr>
          <w:spacing w:val="-35"/>
        </w:rPr>
      </w:r>
      <w:r>
        <w:rPr>
          <w:spacing w:val="2"/>
        </w:rPr>
        <w:t>通建设规划已批复，至</w:t>
      </w:r>
      <w:r>
        <w:rPr>
          <w:rFonts w:ascii="Times New Roman" w:hAnsi="Times New Roman" w:cs="Times New Roman" w:eastAsia="Times New Roman" w:hint="default"/>
          <w:spacing w:val="2"/>
        </w:rPr>
        <w:t>2020</w:t>
      </w:r>
      <w:r>
        <w:rPr>
          <w:spacing w:val="2"/>
        </w:rPr>
        <w:t>年，建成</w:t>
      </w:r>
      <w:r>
        <w:rPr>
          <w:rFonts w:ascii="Times New Roman" w:hAnsi="Times New Roman" w:cs="Times New Roman" w:eastAsia="Times New Roman" w:hint="default"/>
          <w:spacing w:val="2"/>
        </w:rPr>
        <w:t>1</w:t>
      </w:r>
      <w:r>
        <w:rPr>
          <w:spacing w:val="2"/>
        </w:rPr>
        <w:t>号线工程和</w:t>
      </w:r>
      <w:r>
        <w:rPr>
          <w:rFonts w:ascii="Times New Roman" w:hAnsi="Times New Roman" w:cs="Times New Roman" w:eastAsia="Times New Roman" w:hint="default"/>
          <w:spacing w:val="2"/>
        </w:rPr>
        <w:t>2</w:t>
      </w:r>
      <w:r>
        <w:rPr>
          <w:spacing w:val="2"/>
        </w:rPr>
        <w:t>号线一期工程，长约</w:t>
      </w:r>
      <w:r>
        <w:rPr>
          <w:rFonts w:ascii="Times New Roman" w:hAnsi="Times New Roman" w:cs="Times New Roman" w:eastAsia="Times New Roman" w:hint="default"/>
          <w:spacing w:val="2"/>
        </w:rPr>
        <w:t>41.3</w:t>
      </w:r>
      <w:r>
        <w:rPr>
          <w:spacing w:val="2"/>
        </w:rPr>
        <w:t>公里，计划投资</w:t>
      </w:r>
      <w:r>
        <w:rPr/>
        <w:t> </w:t>
      </w:r>
      <w:r>
        <w:rPr>
          <w:rFonts w:ascii="Times New Roman" w:hAnsi="Times New Roman" w:cs="Times New Roman" w:eastAsia="Times New Roman" w:hint="default"/>
        </w:rPr>
        <w:t>310.88</w:t>
      </w:r>
      <w:r>
        <w:rPr/>
        <w:t>亿元。</w:t>
      </w:r>
    </w:p>
    <w:p>
      <w:pPr>
        <w:pStyle w:val="BodyText"/>
        <w:spacing w:line="350" w:lineRule="auto" w:before="27"/>
        <w:ind w:right="1123" w:firstLine="480"/>
        <w:jc w:val="left"/>
      </w:pPr>
      <w:bookmarkStart w:name="（2）城市轨道交通建设中政府和社会资本合作（Public-Private Par" w:id="65"/>
      <w:bookmarkEnd w:id="65"/>
      <w:r>
        <w:rPr/>
      </w:r>
      <w:r>
        <w:rPr>
          <w:spacing w:val="3"/>
        </w:rPr>
        <w:t>（</w:t>
      </w:r>
      <w:r>
        <w:rPr>
          <w:rFonts w:ascii="宋体" w:hAnsi="宋体" w:cs="宋体" w:eastAsia="宋体" w:hint="default"/>
          <w:spacing w:val="3"/>
        </w:rPr>
        <w:t>2</w:t>
      </w:r>
      <w:r>
        <w:rPr>
          <w:spacing w:val="3"/>
        </w:rPr>
        <w:t>）城市轨道交通建设中政府和社会资本合作（</w:t>
      </w:r>
      <w:r>
        <w:rPr>
          <w:rFonts w:ascii="宋体" w:hAnsi="宋体" w:cs="宋体" w:eastAsia="宋体" w:hint="default"/>
          <w:spacing w:val="3"/>
        </w:rPr>
        <w:t>Public-Private</w:t>
      </w:r>
      <w:r>
        <w:rPr>
          <w:rFonts w:ascii="宋体" w:hAnsi="宋体" w:cs="宋体" w:eastAsia="宋体" w:hint="default"/>
          <w:spacing w:val="42"/>
        </w:rPr>
        <w:t> </w:t>
      </w:r>
      <w:r>
        <w:rPr>
          <w:rFonts w:ascii="宋体" w:hAnsi="宋体" w:cs="宋体" w:eastAsia="宋体" w:hint="default"/>
        </w:rPr>
        <w:t>Partnership</w:t>
      </w:r>
      <w:r>
        <w:rPr/>
        <w:t>，简称 </w:t>
      </w:r>
      <w:r>
        <w:rPr>
          <w:rFonts w:ascii="宋体" w:hAnsi="宋体" w:cs="宋体" w:eastAsia="宋体" w:hint="default"/>
        </w:rPr>
        <w:t>PPP</w:t>
      </w:r>
      <w:r>
        <w:rPr/>
        <w:t>）模式实践：</w:t>
      </w:r>
    </w:p>
    <w:p>
      <w:pPr>
        <w:pStyle w:val="BodyText"/>
        <w:spacing w:line="343" w:lineRule="auto" w:before="35"/>
        <w:ind w:left="154" w:right="1131" w:firstLine="600"/>
        <w:jc w:val="both"/>
      </w:pPr>
      <w:r>
        <w:rPr>
          <w:rFonts w:ascii="Times New Roman" w:hAnsi="Times New Roman" w:cs="Times New Roman" w:eastAsia="Times New Roman" w:hint="default"/>
          <w:spacing w:val="-2"/>
        </w:rPr>
        <w:t>2018</w:t>
      </w:r>
      <w:r>
        <w:rPr>
          <w:spacing w:val="-2"/>
        </w:rPr>
        <w:t>年是实施</w:t>
      </w:r>
      <w:r>
        <w:rPr>
          <w:rFonts w:ascii="Times New Roman" w:hAnsi="Times New Roman" w:cs="Times New Roman" w:eastAsia="Times New Roman" w:hint="default"/>
          <w:spacing w:val="-2"/>
        </w:rPr>
        <w:t>“</w:t>
      </w:r>
      <w:r>
        <w:rPr>
          <w:spacing w:val="-2"/>
        </w:rPr>
        <w:t>十三五</w:t>
      </w:r>
      <w:r>
        <w:rPr>
          <w:rFonts w:ascii="Times New Roman" w:hAnsi="Times New Roman" w:cs="Times New Roman" w:eastAsia="Times New Roman" w:hint="default"/>
          <w:spacing w:val="-2"/>
        </w:rPr>
        <w:t>”</w:t>
      </w:r>
      <w:r>
        <w:rPr>
          <w:spacing w:val="-2"/>
        </w:rPr>
        <w:t>规划承上启下的关键一年，也是全面推进各领域深化改革的开局</w:t>
      </w:r>
      <w:r>
        <w:rPr/>
        <w:t> 之年。随着全国各地获批建设地铁的城市不断增多，在各级政府加大基础设施投资的同时， 有关城市轨道交通建设项目的资金投入模式、建设及运营效率的提升也越来越受到重视。</w:t>
      </w:r>
    </w:p>
    <w:p>
      <w:pPr>
        <w:pStyle w:val="BodyText"/>
        <w:spacing w:line="240" w:lineRule="auto" w:before="42"/>
        <w:ind w:left="754" w:right="996"/>
        <w:jc w:val="left"/>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9</w:t>
      </w:r>
      <w:r>
        <w:rPr/>
        <w:t>月，国务院办公厅发布《国务院办公厅关于进一步激发民间有效投资活力促进</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336" w:lineRule="auto" w:before="199"/>
        <w:ind w:right="1061"/>
        <w:jc w:val="both"/>
      </w:pPr>
      <w:r>
        <w:rPr>
          <w:spacing w:val="2"/>
        </w:rPr>
        <w:t>经济持续健康发展的指导意见》，鼓励民间资本参与政府和社会资本合作（</w:t>
      </w:r>
      <w:r>
        <w:rPr>
          <w:rFonts w:ascii="Times New Roman" w:hAnsi="Times New Roman" w:cs="Times New Roman" w:eastAsia="Times New Roman" w:hint="default"/>
          <w:spacing w:val="2"/>
        </w:rPr>
        <w:t>PPP</w:t>
      </w:r>
      <w:r>
        <w:rPr>
          <w:spacing w:val="2"/>
        </w:rPr>
        <w:t>）项目，促</w:t>
      </w:r>
      <w:r>
        <w:rPr>
          <w:spacing w:val="-96"/>
        </w:rPr>
        <w:t> </w:t>
      </w:r>
      <w:r>
        <w:rPr>
          <w:spacing w:val="-96"/>
        </w:rPr>
      </w:r>
      <w:r>
        <w:rPr/>
        <w:t>进基础设施和公用事业建设；降低企业经营成本，增强民间投资动力；努力破解融资难题， 为民间资本提供多样化融资服务。意见提出，鼓励民营企业进入轨道交通装备、</w:t>
      </w:r>
      <w:r>
        <w:rPr>
          <w:rFonts w:ascii="Times New Roman" w:hAnsi="Times New Roman" w:cs="Times New Roman" w:eastAsia="Times New Roman" w:hint="default"/>
        </w:rPr>
        <w:t>“</w:t>
      </w:r>
      <w:r>
        <w:rPr/>
        <w:t>互联网</w:t>
      </w:r>
      <w:r>
        <w:rPr>
          <w:rFonts w:ascii="Times New Roman" w:hAnsi="Times New Roman" w:cs="Times New Roman" w:eastAsia="Times New Roman" w:hint="default"/>
        </w:rPr>
        <w:t>+”</w:t>
      </w:r>
      <w:r>
        <w:rPr/>
        <w:t>、 大数据和工业机器人等产业链长、带动效应显著的行业领域，在创建</w:t>
      </w:r>
      <w:r>
        <w:rPr>
          <w:rFonts w:ascii="Times New Roman" w:hAnsi="Times New Roman" w:cs="Times New Roman" w:eastAsia="Times New Roman" w:hint="default"/>
        </w:rPr>
        <w:t>“</w:t>
      </w:r>
      <w:r>
        <w:rPr/>
        <w:t>中国制造</w:t>
      </w:r>
      <w:r>
        <w:rPr>
          <w:rFonts w:ascii="Times New Roman" w:hAnsi="Times New Roman" w:cs="Times New Roman" w:eastAsia="Times New Roman" w:hint="default"/>
        </w:rPr>
        <w:t>2025”</w:t>
      </w:r>
      <w:r>
        <w:rPr/>
        <w:t>国家级</w:t>
      </w:r>
      <w:r>
        <w:rPr>
          <w:spacing w:val="-81"/>
        </w:rPr>
        <w:t> </w:t>
      </w:r>
      <w:r>
        <w:rPr/>
        <w:t>示范区时积极吸引民营企业参与。</w:t>
      </w:r>
    </w:p>
    <w:p>
      <w:pPr>
        <w:pStyle w:val="BodyText"/>
        <w:spacing w:line="240" w:lineRule="auto" w:before="50"/>
        <w:ind w:left="633" w:right="996"/>
        <w:jc w:val="left"/>
      </w:pPr>
      <w:bookmarkStart w:name="（3）高铁及城市轨道交通后市场：" w:id="66"/>
      <w:bookmarkEnd w:id="66"/>
      <w:r>
        <w:rPr/>
      </w:r>
      <w:r>
        <w:rPr/>
        <w:t>（</w:t>
      </w:r>
      <w:r>
        <w:rPr>
          <w:rFonts w:ascii="宋体" w:hAnsi="宋体" w:cs="宋体" w:eastAsia="宋体" w:hint="default"/>
        </w:rPr>
        <w:t>3</w:t>
      </w:r>
      <w:r>
        <w:rPr/>
        <w:t>）高铁及城市轨道交通后市场：</w:t>
      </w:r>
    </w:p>
    <w:p>
      <w:pPr>
        <w:pStyle w:val="BodyText"/>
        <w:spacing w:line="336" w:lineRule="auto" w:before="145"/>
        <w:ind w:right="1131" w:firstLine="600"/>
        <w:jc w:val="both"/>
      </w:pPr>
      <w:r>
        <w:rPr>
          <w:rFonts w:ascii="Times New Roman" w:hAnsi="Times New Roman" w:cs="Times New Roman" w:eastAsia="Times New Roman" w:hint="default"/>
          <w:spacing w:val="-2"/>
        </w:rPr>
        <w:t>2017</w:t>
      </w:r>
      <w:r>
        <w:rPr>
          <w:spacing w:val="-2"/>
        </w:rPr>
        <w:t>年底，全国铁路营运里程达</w:t>
      </w:r>
      <w:r>
        <w:rPr>
          <w:rFonts w:ascii="Times New Roman" w:hAnsi="Times New Roman" w:cs="Times New Roman" w:eastAsia="Times New Roman" w:hint="default"/>
          <w:spacing w:val="-2"/>
        </w:rPr>
        <w:t>12.7</w:t>
      </w:r>
      <w:r>
        <w:rPr>
          <w:spacing w:val="-2"/>
        </w:rPr>
        <w:t>万公里，其中高速铁路</w:t>
      </w:r>
      <w:r>
        <w:rPr>
          <w:rFonts w:ascii="Times New Roman" w:hAnsi="Times New Roman" w:cs="Times New Roman" w:eastAsia="Times New Roman" w:hint="default"/>
          <w:spacing w:val="-2"/>
        </w:rPr>
        <w:t>2.5</w:t>
      </w:r>
      <w:r>
        <w:rPr>
          <w:spacing w:val="-2"/>
        </w:rPr>
        <w:t>万公里以上，位居世界第</w:t>
      </w:r>
      <w:r>
        <w:rPr/>
        <w:t> </w:t>
      </w:r>
      <w:r>
        <w:rPr>
          <w:spacing w:val="2"/>
        </w:rPr>
        <w:t>一；“十二五</w:t>
      </w:r>
      <w:r>
        <w:rPr>
          <w:rFonts w:ascii="Times New Roman" w:hAnsi="Times New Roman" w:cs="Times New Roman" w:eastAsia="Times New Roman" w:hint="default"/>
          <w:spacing w:val="2"/>
        </w:rPr>
        <w:t>”</w:t>
      </w:r>
      <w:r>
        <w:rPr>
          <w:spacing w:val="2"/>
        </w:rPr>
        <w:t>期间一共投入了</w:t>
      </w:r>
      <w:r>
        <w:rPr>
          <w:rFonts w:ascii="Times New Roman" w:hAnsi="Times New Roman" w:cs="Times New Roman" w:eastAsia="Times New Roman" w:hint="default"/>
          <w:spacing w:val="2"/>
        </w:rPr>
        <w:t>35,800</w:t>
      </w:r>
      <w:r>
        <w:rPr>
          <w:spacing w:val="2"/>
        </w:rPr>
        <w:t>亿元建成</w:t>
      </w:r>
      <w:r>
        <w:rPr>
          <w:rFonts w:ascii="Times New Roman" w:hAnsi="Times New Roman" w:cs="Times New Roman" w:eastAsia="Times New Roman" w:hint="default"/>
          <w:spacing w:val="2"/>
        </w:rPr>
        <w:t>3</w:t>
      </w:r>
      <w:r>
        <w:rPr>
          <w:spacing w:val="2"/>
        </w:rPr>
        <w:t>万公里铁路。随着中国大规模高铁建设，里</w:t>
      </w:r>
      <w:r>
        <w:rPr>
          <w:spacing w:val="-113"/>
        </w:rPr>
        <w:t> </w:t>
      </w:r>
      <w:r>
        <w:rPr>
          <w:spacing w:val="-113"/>
        </w:rPr>
      </w:r>
      <w:r>
        <w:rPr/>
        <w:t>程逐渐延长，高铁安全运行和维护日益重要。根据城市轨道交通协会的预测，到</w:t>
      </w:r>
      <w:r>
        <w:rPr>
          <w:rFonts w:ascii="Times New Roman" w:hAnsi="Times New Roman" w:cs="Times New Roman" w:eastAsia="Times New Roman" w:hint="default"/>
        </w:rPr>
        <w:t>2020</w:t>
      </w:r>
      <w:r>
        <w:rPr/>
        <w:t>年，我</w:t>
      </w:r>
      <w:r>
        <w:rPr>
          <w:spacing w:val="-110"/>
        </w:rPr>
        <w:t> </w:t>
      </w:r>
      <w:r>
        <w:rPr>
          <w:spacing w:val="-110"/>
        </w:rPr>
      </w:r>
      <w:r>
        <w:rPr/>
        <w:t>国城市轨道交通营业里程预计将达到</w:t>
      </w:r>
      <w:r>
        <w:rPr>
          <w:rFonts w:ascii="Times New Roman" w:hAnsi="Times New Roman" w:cs="Times New Roman" w:eastAsia="Times New Roman" w:hint="default"/>
        </w:rPr>
        <w:t>7,000</w:t>
      </w:r>
      <w:r>
        <w:rPr/>
        <w:t>公里，</w:t>
      </w:r>
      <w:r>
        <w:rPr>
          <w:rFonts w:ascii="Times New Roman" w:hAnsi="Times New Roman" w:cs="Times New Roman" w:eastAsia="Times New Roman" w:hint="default"/>
        </w:rPr>
        <w:t>2014-2020</w:t>
      </w:r>
      <w:r>
        <w:rPr/>
        <w:t>年年均复合增长率达到</w:t>
      </w:r>
      <w:r>
        <w:rPr>
          <w:rFonts w:ascii="Times New Roman" w:hAnsi="Times New Roman" w:cs="Times New Roman" w:eastAsia="Times New Roman" w:hint="default"/>
        </w:rPr>
        <w:t>16.3%</w:t>
      </w:r>
      <w:r>
        <w:rPr/>
        <w:t>，不</w:t>
      </w:r>
      <w:r>
        <w:rPr>
          <w:spacing w:val="-2"/>
        </w:rPr>
        <w:t> </w:t>
      </w:r>
      <w:r>
        <w:rPr/>
        <w:t>断增长的城市轨道交通线路投入运营，为了保障地铁运营的安全可靠，停运期间的检修维护</w:t>
      </w:r>
      <w:r>
        <w:rPr/>
        <w:t> 工作极为重要。</w:t>
      </w:r>
    </w:p>
    <w:p>
      <w:pPr>
        <w:pStyle w:val="BodyText"/>
        <w:spacing w:line="352" w:lineRule="auto" w:before="49"/>
        <w:ind w:right="1130" w:firstLine="600"/>
        <w:jc w:val="both"/>
      </w:pPr>
      <w:r>
        <w:rPr>
          <w:spacing w:val="-3"/>
        </w:rPr>
        <w:t>随着中国高速铁路和城市轨道交通线路的不断延展，中国高铁及城市轨道交通信号主设</w:t>
      </w:r>
      <w:r>
        <w:rPr/>
        <w:t> 备、调度运营指挥系统的技术水平已达国际先进水平，但与之对应的基础设备维护装备依然</w:t>
      </w:r>
      <w:r>
        <w:rPr>
          <w:spacing w:val="-111"/>
        </w:rPr>
        <w:t> </w:t>
      </w:r>
      <w:r>
        <w:rPr>
          <w:spacing w:val="-111"/>
        </w:rPr>
      </w:r>
      <w:r>
        <w:rPr/>
        <w:t>比较简陋，基础设备维护水平还相对低下。针对各类基础设备在线监测、维护的系统及大型 装备需求已经形成了巨量的高铁</w:t>
      </w:r>
      <w:r>
        <w:rPr>
          <w:rFonts w:ascii="Times New Roman" w:hAnsi="Times New Roman" w:cs="Times New Roman" w:eastAsia="Times New Roman" w:hint="default"/>
        </w:rPr>
        <w:t>/</w:t>
      </w:r>
      <w:r>
        <w:rPr/>
        <w:t>城轨后市场。</w:t>
      </w:r>
    </w:p>
    <w:p>
      <w:pPr>
        <w:spacing w:line="352" w:lineRule="auto" w:before="2"/>
        <w:ind w:left="633" w:right="996" w:firstLine="2"/>
        <w:jc w:val="left"/>
        <w:rPr>
          <w:rFonts w:ascii="宋体" w:hAnsi="宋体" w:cs="宋体" w:eastAsia="宋体" w:hint="default"/>
          <w:sz w:val="24"/>
          <w:szCs w:val="24"/>
        </w:rPr>
      </w:pPr>
      <w:bookmarkStart w:name="2、基于交通WiFi的装备制造、商业开发和大数据管理" w:id="67"/>
      <w:bookmarkEnd w:id="67"/>
      <w:r>
        <w:rPr/>
      </w:r>
      <w:r>
        <w:rPr>
          <w:rFonts w:ascii="宋体" w:hAnsi="宋体" w:cs="宋体" w:eastAsia="宋体" w:hint="default"/>
          <w:b/>
          <w:bCs/>
          <w:sz w:val="24"/>
          <w:szCs w:val="24"/>
        </w:rPr>
        <w:t>2</w:t>
      </w:r>
      <w:r>
        <w:rPr>
          <w:rFonts w:ascii="宋体" w:hAnsi="宋体" w:cs="宋体" w:eastAsia="宋体" w:hint="default"/>
          <w:b/>
          <w:bCs/>
          <w:sz w:val="24"/>
          <w:szCs w:val="24"/>
        </w:rPr>
        <w:t>、基于交通</w:t>
      </w:r>
      <w:r>
        <w:rPr>
          <w:rFonts w:ascii="宋体" w:hAnsi="宋体" w:cs="宋体" w:eastAsia="宋体" w:hint="default"/>
          <w:b/>
          <w:bCs/>
          <w:spacing w:val="-60"/>
          <w:sz w:val="24"/>
          <w:szCs w:val="24"/>
        </w:rPr>
        <w:t> </w:t>
      </w:r>
      <w:r>
        <w:rPr>
          <w:rFonts w:ascii="宋体" w:hAnsi="宋体" w:cs="宋体" w:eastAsia="宋体" w:hint="default"/>
          <w:b/>
          <w:bCs/>
          <w:sz w:val="24"/>
          <w:szCs w:val="24"/>
        </w:rPr>
        <w:t>WiFi</w:t>
      </w:r>
      <w:r>
        <w:rPr>
          <w:rFonts w:ascii="宋体" w:hAnsi="宋体" w:cs="宋体" w:eastAsia="宋体" w:hint="default"/>
          <w:b/>
          <w:bCs/>
          <w:spacing w:val="-61"/>
          <w:sz w:val="24"/>
          <w:szCs w:val="24"/>
        </w:rPr>
        <w:t> </w:t>
      </w:r>
      <w:r>
        <w:rPr>
          <w:rFonts w:ascii="宋体" w:hAnsi="宋体" w:cs="宋体" w:eastAsia="宋体" w:hint="default"/>
          <w:b/>
          <w:bCs/>
          <w:sz w:val="24"/>
          <w:szCs w:val="24"/>
        </w:rPr>
        <w:t>的装备制造、商业开发和大数据管理</w:t>
      </w:r>
      <w:r>
        <w:rPr>
          <w:rFonts w:ascii="宋体" w:hAnsi="宋体" w:cs="宋体" w:eastAsia="宋体" w:hint="default"/>
          <w:b/>
          <w:bCs/>
          <w:w w:val="99"/>
          <w:sz w:val="24"/>
          <w:szCs w:val="24"/>
        </w:rPr>
        <w:t> </w:t>
      </w:r>
      <w:r>
        <w:rPr>
          <w:rFonts w:ascii="宋体" w:hAnsi="宋体" w:cs="宋体" w:eastAsia="宋体" w:hint="default"/>
          <w:spacing w:val="5"/>
          <w:sz w:val="24"/>
          <w:szCs w:val="24"/>
        </w:rPr>
        <w:t>高速移动场景下的交通</w:t>
      </w:r>
      <w:r>
        <w:rPr>
          <w:rFonts w:ascii="Times New Roman" w:hAnsi="Times New Roman" w:cs="Times New Roman" w:eastAsia="Times New Roman" w:hint="default"/>
          <w:spacing w:val="5"/>
          <w:sz w:val="24"/>
          <w:szCs w:val="24"/>
        </w:rPr>
        <w:t>WiFi</w:t>
      </w:r>
      <w:r>
        <w:rPr>
          <w:rFonts w:ascii="宋体" w:hAnsi="宋体" w:cs="宋体" w:eastAsia="宋体" w:hint="default"/>
          <w:spacing w:val="5"/>
          <w:sz w:val="24"/>
          <w:szCs w:val="24"/>
        </w:rPr>
        <w:t>主要是指列车</w:t>
      </w:r>
      <w:r>
        <w:rPr>
          <w:rFonts w:ascii="Times New Roman" w:hAnsi="Times New Roman" w:cs="Times New Roman" w:eastAsia="Times New Roman" w:hint="default"/>
          <w:spacing w:val="5"/>
          <w:sz w:val="24"/>
          <w:szCs w:val="24"/>
        </w:rPr>
        <w:t>WiFi</w:t>
      </w:r>
      <w:r>
        <w:rPr>
          <w:rFonts w:ascii="宋体" w:hAnsi="宋体" w:cs="宋体" w:eastAsia="宋体" w:hint="default"/>
          <w:spacing w:val="5"/>
          <w:sz w:val="24"/>
          <w:szCs w:val="24"/>
        </w:rPr>
        <w:t>和航空</w:t>
      </w:r>
      <w:r>
        <w:rPr>
          <w:rFonts w:ascii="Times New Roman" w:hAnsi="Times New Roman" w:cs="Times New Roman" w:eastAsia="Times New Roman" w:hint="default"/>
          <w:spacing w:val="5"/>
          <w:sz w:val="24"/>
          <w:szCs w:val="24"/>
        </w:rPr>
        <w:t>WiFi</w:t>
      </w:r>
      <w:r>
        <w:rPr>
          <w:rFonts w:ascii="宋体" w:hAnsi="宋体" w:cs="宋体" w:eastAsia="宋体" w:hint="default"/>
          <w:spacing w:val="5"/>
          <w:sz w:val="24"/>
          <w:szCs w:val="24"/>
        </w:rPr>
        <w:t>等运行速度较高的交通工具</w:t>
      </w:r>
      <w:r>
        <w:rPr>
          <w:rFonts w:ascii="宋体" w:hAnsi="宋体" w:cs="宋体" w:eastAsia="宋体" w:hint="default"/>
          <w:sz w:val="24"/>
          <w:szCs w:val="24"/>
        </w:rPr>
      </w:r>
    </w:p>
    <w:p>
      <w:pPr>
        <w:pStyle w:val="BodyText"/>
        <w:spacing w:line="340" w:lineRule="auto" w:before="2"/>
        <w:ind w:right="1133"/>
        <w:jc w:val="both"/>
      </w:pPr>
      <w:r>
        <w:rPr/>
        <w:t>中</w:t>
      </w:r>
      <w:r>
        <w:rPr>
          <w:rFonts w:ascii="Times New Roman" w:hAnsi="Times New Roman" w:cs="Times New Roman" w:eastAsia="Times New Roman" w:hint="default"/>
        </w:rPr>
        <w:t>WiFi</w:t>
      </w:r>
      <w:r>
        <w:rPr/>
        <w:t>网络的接入和使用。在城际长途出行领域中，由于旅行时间较长，乘客的娱乐需求、 商务需求对互联网的覆盖有着强烈的需求，但在高速移动状态下和相对封闭的环境下，公众 </w:t>
      </w:r>
      <w:r>
        <w:rPr>
          <w:spacing w:val="6"/>
        </w:rPr>
        <w:t>通信网络往往难以实现较好的网络覆盖，因此针对列车和飞机加装具有高通量数据接口的</w:t>
      </w:r>
      <w:r>
        <w:rPr>
          <w:spacing w:val="-86"/>
        </w:rPr>
        <w:t> </w:t>
      </w:r>
      <w:r>
        <w:rPr>
          <w:spacing w:val="-86"/>
        </w:rPr>
      </w:r>
      <w:r>
        <w:rPr>
          <w:rFonts w:ascii="Times New Roman" w:hAnsi="Times New Roman" w:cs="Times New Roman" w:eastAsia="Times New Roman" w:hint="default"/>
        </w:rPr>
        <w:t>WiFi</w:t>
      </w:r>
      <w:r>
        <w:rPr/>
        <w:t>设备，为旅客提供高速移动场景</w:t>
      </w:r>
      <w:r>
        <w:rPr>
          <w:rFonts w:ascii="Times New Roman" w:hAnsi="Times New Roman" w:cs="Times New Roman" w:eastAsia="Times New Roman" w:hint="default"/>
        </w:rPr>
        <w:t>WiFi</w:t>
      </w:r>
      <w:r>
        <w:rPr/>
        <w:t>网络接入点，是解决广大旅客出行上网难的关键一 环。</w:t>
      </w:r>
    </w:p>
    <w:p>
      <w:pPr>
        <w:pStyle w:val="BodyText"/>
        <w:spacing w:line="240" w:lineRule="auto" w:before="46"/>
        <w:ind w:left="874" w:right="996"/>
        <w:jc w:val="left"/>
      </w:pPr>
      <w:r>
        <w:rPr>
          <w:rFonts w:ascii="Times New Roman" w:hAnsi="Times New Roman" w:cs="Times New Roman" w:eastAsia="Times New Roman" w:hint="default"/>
          <w:spacing w:val="17"/>
        </w:rPr>
        <w:t>2017</w:t>
      </w:r>
      <w:r>
        <w:rPr>
          <w:spacing w:val="17"/>
        </w:rPr>
        <w:t>年</w:t>
      </w:r>
      <w:r>
        <w:rPr>
          <w:rFonts w:ascii="Times New Roman" w:hAnsi="Times New Roman" w:cs="Times New Roman" w:eastAsia="Times New Roman" w:hint="default"/>
          <w:spacing w:val="17"/>
        </w:rPr>
        <w:t>9</w:t>
      </w:r>
      <w:r>
        <w:rPr>
          <w:spacing w:val="17"/>
        </w:rPr>
        <w:t>月，中国民航局对《大型飞机公共航空运输承运人运行合格审定规则》</w:t>
      </w:r>
    </w:p>
    <w:p>
      <w:pPr>
        <w:pStyle w:val="BodyText"/>
        <w:spacing w:line="331" w:lineRule="auto" w:before="127"/>
        <w:ind w:right="1076"/>
        <w:jc w:val="both"/>
      </w:pPr>
      <w:r>
        <w:rPr/>
        <w:t>（</w:t>
      </w:r>
      <w:r>
        <w:rPr>
          <w:rFonts w:ascii="Times New Roman" w:hAnsi="Times New Roman" w:cs="Times New Roman" w:eastAsia="Times New Roman" w:hint="default"/>
        </w:rPr>
        <w:t>CCAR</w:t>
      </w:r>
      <w:r>
        <w:rPr>
          <w:rFonts w:ascii="Times New Roman" w:hAnsi="Times New Roman" w:cs="Times New Roman" w:eastAsia="Times New Roman" w:hint="default"/>
        </w:rPr>
        <w:t>—</w:t>
      </w:r>
      <w:r>
        <w:rPr>
          <w:rFonts w:ascii="Times New Roman" w:hAnsi="Times New Roman" w:cs="Times New Roman" w:eastAsia="Times New Roman" w:hint="default"/>
        </w:rPr>
        <w:t>121</w:t>
      </w:r>
      <w:r>
        <w:rPr/>
        <w:t>部）进行了修订，放宽了对于机上便携式电子设备的管理规定，允许航空公司 为主体对便携式电子设备的影响进行评估，为发展航空机载</w:t>
      </w:r>
      <w:r>
        <w:rPr>
          <w:rFonts w:ascii="Times New Roman" w:hAnsi="Times New Roman" w:cs="Times New Roman" w:eastAsia="Times New Roman" w:hint="default"/>
        </w:rPr>
        <w:t>Wi-Fi</w:t>
      </w:r>
      <w:r>
        <w:rPr/>
        <w:t>应用设备扫除了政策限制。 空地联网使用</w:t>
      </w:r>
      <w:r>
        <w:rPr>
          <w:rFonts w:ascii="Times New Roman" w:hAnsi="Times New Roman" w:cs="Times New Roman" w:eastAsia="Times New Roman" w:hint="default"/>
        </w:rPr>
        <w:t>WiFi</w:t>
      </w:r>
      <w:r>
        <w:rPr/>
        <w:t>上网，意味着要对飞机进行相应的改造，形成航空机载</w:t>
      </w:r>
      <w:r>
        <w:rPr>
          <w:rFonts w:ascii="Times New Roman" w:hAnsi="Times New Roman" w:cs="Times New Roman" w:eastAsia="Times New Roman" w:hint="default"/>
        </w:rPr>
        <w:t>WiFi</w:t>
      </w:r>
      <w:r>
        <w:rPr/>
        <w:t>设备的迫切市 场需求。</w:t>
      </w:r>
    </w:p>
    <w:p>
      <w:pPr>
        <w:pStyle w:val="BodyText"/>
        <w:spacing w:line="333" w:lineRule="auto" w:before="54"/>
        <w:ind w:right="996" w:firstLine="600"/>
        <w:jc w:val="left"/>
      </w:pPr>
      <w:r>
        <w:rPr>
          <w:spacing w:val="-3"/>
          <w:w w:val="99"/>
        </w:rPr>
        <w:t>在列车和飞机实现</w:t>
      </w:r>
      <w:r>
        <w:rPr>
          <w:rFonts w:ascii="Times New Roman" w:hAnsi="Times New Roman" w:cs="Times New Roman" w:eastAsia="Times New Roman" w:hint="default"/>
          <w:spacing w:val="-3"/>
          <w:w w:val="99"/>
        </w:rPr>
        <w:t>WiFi</w:t>
      </w:r>
      <w:r>
        <w:rPr>
          <w:spacing w:val="-3"/>
          <w:w w:val="99"/>
        </w:rPr>
        <w:t>网络覆盖，不仅弥补了整个公众</w:t>
      </w:r>
      <w:r>
        <w:rPr>
          <w:rFonts w:ascii="Times New Roman" w:hAnsi="Times New Roman" w:cs="Times New Roman" w:eastAsia="Times New Roman" w:hint="default"/>
          <w:spacing w:val="-3"/>
          <w:w w:val="99"/>
        </w:rPr>
        <w:t>WiFi</w:t>
      </w:r>
      <w:r>
        <w:rPr>
          <w:spacing w:val="-3"/>
          <w:w w:val="99"/>
        </w:rPr>
        <w:t>网络在交通领域覆盖面积不</w:t>
      </w:r>
      <w:r>
        <w:rPr/>
        <w:t> 足的问题，满足了用户在出行时的联网需求，同时将交通</w:t>
      </w:r>
      <w:r>
        <w:rPr>
          <w:rFonts w:ascii="Times New Roman" w:hAnsi="Times New Roman" w:cs="Times New Roman" w:eastAsia="Times New Roman" w:hint="default"/>
        </w:rPr>
        <w:t>WiFi</w:t>
      </w:r>
      <w:r>
        <w:rPr/>
        <w:t>作为用户上网的底层入口，在</w:t>
      </w:r>
    </w:p>
    <w:p>
      <w:pPr>
        <w:spacing w:after="0" w:line="333"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340" w:lineRule="auto" w:before="199"/>
        <w:ind w:right="1131"/>
        <w:jc w:val="both"/>
      </w:pPr>
      <w:r>
        <w:rPr/>
        <w:t>商业上也具有广阔的发展前景。建立基于交通</w:t>
      </w:r>
      <w:r>
        <w:rPr>
          <w:rFonts w:ascii="Times New Roman" w:hAnsi="Times New Roman" w:cs="Times New Roman" w:eastAsia="Times New Roman" w:hint="default"/>
        </w:rPr>
        <w:t>WiFi</w:t>
      </w:r>
      <w:r>
        <w:rPr/>
        <w:t>的交通出行云数据平台存储、分析和挖掘 交通</w:t>
      </w:r>
      <w:r>
        <w:rPr>
          <w:rFonts w:ascii="Times New Roman" w:hAnsi="Times New Roman" w:cs="Times New Roman" w:eastAsia="Times New Roman" w:hint="default"/>
        </w:rPr>
        <w:t>WiFi</w:t>
      </w:r>
      <w:r>
        <w:rPr/>
        <w:t>产生的大数据，可进一步提升交通</w:t>
      </w:r>
      <w:r>
        <w:rPr>
          <w:rFonts w:ascii="Times New Roman" w:hAnsi="Times New Roman" w:cs="Times New Roman" w:eastAsia="Times New Roman" w:hint="default"/>
        </w:rPr>
        <w:t>WiFi</w:t>
      </w:r>
      <w:r>
        <w:rPr/>
        <w:t>作为移动出行人群上网入口的价值。目前，</w:t>
      </w:r>
      <w:r>
        <w:rPr>
          <w:spacing w:val="-118"/>
        </w:rPr>
        <w:t> </w:t>
      </w:r>
      <w:r>
        <w:rPr>
          <w:spacing w:val="-118"/>
        </w:rPr>
      </w:r>
      <w:r>
        <w:rPr>
          <w:spacing w:val="-1"/>
        </w:rPr>
        <w:t>从</w:t>
      </w:r>
      <w:r>
        <w:rPr>
          <w:rFonts w:ascii="Times New Roman" w:hAnsi="Times New Roman" w:cs="Times New Roman" w:eastAsia="Times New Roman" w:hint="default"/>
          <w:spacing w:val="-1"/>
        </w:rPr>
        <w:t>IT</w:t>
      </w:r>
      <w:r>
        <w:rPr>
          <w:spacing w:val="-1"/>
        </w:rPr>
        <w:t>信息时代已逐渐转向</w:t>
      </w:r>
      <w:r>
        <w:rPr>
          <w:rFonts w:ascii="Times New Roman" w:hAnsi="Times New Roman" w:cs="Times New Roman" w:eastAsia="Times New Roman" w:hint="default"/>
          <w:spacing w:val="-1"/>
        </w:rPr>
        <w:t>DT</w:t>
      </w:r>
      <w:r>
        <w:rPr>
          <w:spacing w:val="-1"/>
        </w:rPr>
        <w:t>数据时代，各行各业都在积累自己的数据，依靠数据指导未来发</w:t>
      </w:r>
      <w:r>
        <w:rPr>
          <w:spacing w:val="-112"/>
        </w:rPr>
        <w:t> </w:t>
      </w:r>
      <w:r>
        <w:rPr>
          <w:spacing w:val="-112"/>
        </w:rPr>
      </w:r>
      <w:r>
        <w:rPr/>
        <w:t>展已成必然趋势。从打车软件、智能公交到航班预测，无处不在的交通大数据，正在改变人 们的出行方式。大数据已成为轨道交通创新发展的重要资源，轨道交通行业与大数据的融合 发展已成为大势所趋。</w:t>
      </w:r>
    </w:p>
    <w:p>
      <w:pPr>
        <w:pStyle w:val="BodyText"/>
        <w:spacing w:line="336" w:lineRule="auto" w:before="44"/>
        <w:ind w:right="996" w:firstLine="600"/>
        <w:jc w:val="left"/>
      </w:pPr>
      <w:r>
        <w:rPr>
          <w:spacing w:val="-3"/>
        </w:rPr>
        <w:t>基于交通</w:t>
      </w:r>
      <w:r>
        <w:rPr>
          <w:rFonts w:ascii="Times New Roman" w:hAnsi="Times New Roman" w:cs="Times New Roman" w:eastAsia="Times New Roman" w:hint="default"/>
          <w:spacing w:val="-3"/>
        </w:rPr>
        <w:t>WiFi</w:t>
      </w:r>
      <w:r>
        <w:rPr>
          <w:spacing w:val="-3"/>
        </w:rPr>
        <w:t>海量的用户群体、足够的使用时长、线上线下的丰富数据，通过大数据的</w:t>
      </w:r>
      <w:r>
        <w:rPr/>
        <w:t> 人群画像技术，为不同用户提供个性化的感兴趣的应用和服务，还能根据不同城市、不同区 </w:t>
      </w:r>
      <w:r>
        <w:rPr>
          <w:spacing w:val="-3"/>
        </w:rPr>
        <w:t>域进行行为需求的分析，便于服务商更准确地把握市场趋势。基于交通</w:t>
      </w:r>
      <w:r>
        <w:rPr>
          <w:rFonts w:ascii="Times New Roman" w:hAnsi="Times New Roman" w:cs="Times New Roman" w:eastAsia="Times New Roman" w:hint="default"/>
          <w:spacing w:val="-3"/>
        </w:rPr>
        <w:t>WiFi</w:t>
      </w:r>
      <w:r>
        <w:rPr>
          <w:spacing w:val="-3"/>
        </w:rPr>
        <w:t>的广泛布点应用，</w:t>
      </w:r>
      <w:r>
        <w:rPr>
          <w:spacing w:val="-88"/>
        </w:rPr>
        <w:t> </w:t>
      </w:r>
      <w:r>
        <w:rPr/>
        <w:t>不但可以为交通</w:t>
      </w:r>
      <w:r>
        <w:rPr>
          <w:rFonts w:ascii="Times New Roman" w:hAnsi="Times New Roman" w:cs="Times New Roman" w:eastAsia="Times New Roman" w:hint="default"/>
        </w:rPr>
        <w:t>WiFi</w:t>
      </w:r>
      <w:r>
        <w:rPr/>
        <w:t>的底层数据采集提供了精确的定位信息，为数据传输提供了通道，还可 以通过连接</w:t>
      </w:r>
      <w:r>
        <w:rPr>
          <w:rFonts w:ascii="Times New Roman" w:hAnsi="Times New Roman" w:cs="Times New Roman" w:eastAsia="Times New Roman" w:hint="default"/>
        </w:rPr>
        <w:t>WiFi</w:t>
      </w:r>
      <w:r>
        <w:rPr/>
        <w:t>热点的无线终端直接收发运营公司提供的服务信息。</w:t>
      </w:r>
    </w:p>
    <w:p>
      <w:pPr>
        <w:pStyle w:val="BodyText"/>
        <w:spacing w:line="331" w:lineRule="auto" w:before="22"/>
        <w:ind w:right="996" w:firstLine="600"/>
        <w:jc w:val="left"/>
      </w:pPr>
      <w:r>
        <w:rPr>
          <w:spacing w:val="-3"/>
        </w:rPr>
        <w:t>基于交通</w:t>
      </w:r>
      <w:r>
        <w:rPr>
          <w:rFonts w:ascii="Times New Roman" w:hAnsi="Times New Roman" w:cs="Times New Roman" w:eastAsia="Times New Roman" w:hint="default"/>
          <w:spacing w:val="-3"/>
        </w:rPr>
        <w:t>WiFi</w:t>
      </w:r>
      <w:r>
        <w:rPr>
          <w:spacing w:val="-3"/>
        </w:rPr>
        <w:t>获取的海量数据，可以积极发挥数据资源优势，实现数据价值变现，应用</w:t>
      </w:r>
      <w:r>
        <w:rPr/>
        <w:t> </w:t>
      </w:r>
      <w:r>
        <w:rPr>
          <w:spacing w:val="-2"/>
        </w:rPr>
        <w:t>于</w:t>
      </w:r>
      <w:r>
        <w:rPr>
          <w:rFonts w:ascii="Times New Roman" w:hAnsi="Times New Roman" w:cs="Times New Roman" w:eastAsia="Times New Roman" w:hint="default"/>
          <w:spacing w:val="-2"/>
        </w:rPr>
        <w:t>O2O</w:t>
      </w:r>
      <w:r>
        <w:rPr>
          <w:spacing w:val="-2"/>
        </w:rPr>
        <w:t>便捷生活服务、智慧城市、智能交通、电商、互联网金融等领域，行业市场空间巨大。</w:t>
      </w:r>
    </w:p>
    <w:p>
      <w:pPr>
        <w:spacing w:line="352" w:lineRule="auto" w:before="26"/>
        <w:ind w:left="634" w:right="996" w:firstLine="2"/>
        <w:jc w:val="left"/>
        <w:rPr>
          <w:rFonts w:ascii="宋体" w:hAnsi="宋体" w:cs="宋体" w:eastAsia="宋体" w:hint="default"/>
          <w:sz w:val="24"/>
          <w:szCs w:val="24"/>
        </w:rPr>
      </w:pPr>
      <w:bookmarkStart w:name="3、国家经济体制改革为高端制造业提供的机会与支持" w:id="68"/>
      <w:bookmarkEnd w:id="68"/>
      <w:r>
        <w:rPr/>
      </w:r>
      <w:r>
        <w:rPr>
          <w:rFonts w:ascii="宋体" w:hAnsi="宋体" w:cs="宋体" w:eastAsia="宋体" w:hint="default"/>
          <w:b/>
          <w:bCs/>
          <w:sz w:val="24"/>
          <w:szCs w:val="24"/>
        </w:rPr>
        <w:t>3</w:t>
      </w:r>
      <w:r>
        <w:rPr>
          <w:rFonts w:ascii="宋体" w:hAnsi="宋体" w:cs="宋体" w:eastAsia="宋体" w:hint="default"/>
          <w:b/>
          <w:bCs/>
          <w:sz w:val="24"/>
          <w:szCs w:val="24"/>
        </w:rPr>
        <w:t>、国家经济体制改革为高端制造业提供的机会与支持</w:t>
      </w:r>
      <w:r>
        <w:rPr>
          <w:rFonts w:ascii="宋体" w:hAnsi="宋体" w:cs="宋体" w:eastAsia="宋体" w:hint="default"/>
          <w:b/>
          <w:bCs/>
          <w:w w:val="99"/>
          <w:sz w:val="24"/>
          <w:szCs w:val="24"/>
        </w:rPr>
        <w:t> </w:t>
      </w:r>
      <w:r>
        <w:rPr>
          <w:rFonts w:ascii="宋体" w:hAnsi="宋体" w:cs="宋体" w:eastAsia="宋体" w:hint="default"/>
          <w:sz w:val="24"/>
          <w:szCs w:val="24"/>
        </w:rPr>
        <w:t>十九大报告中提出，深化国有企业改革，发展混合所有制经济要全面实施市场准入负面</w:t>
      </w:r>
    </w:p>
    <w:p>
      <w:pPr>
        <w:pStyle w:val="BodyText"/>
        <w:spacing w:line="350" w:lineRule="auto" w:before="33"/>
        <w:ind w:left="154" w:right="1139"/>
        <w:jc w:val="both"/>
      </w:pPr>
      <w:r>
        <w:rPr/>
        <w:t>清单制度，清理废除妨碍统一市场和公平竞争的各种规定和做法，支持民营企业发展，激发 各类市场主体活力。因此，随着国家推进国企混合所有制改革逐步深入和延展，也造就了民 营经济的重要机会，在适宜的领域，民营资本可以借助国企的资本与技术、经验积累，快速 提高高端制造能力，做大做强民营企业，实现国民共进。</w:t>
      </w:r>
    </w:p>
    <w:p>
      <w:pPr>
        <w:pStyle w:val="Heading2"/>
        <w:spacing w:line="240" w:lineRule="auto" w:before="35"/>
        <w:ind w:right="996"/>
        <w:jc w:val="left"/>
        <w:rPr>
          <w:b w:val="0"/>
          <w:bCs w:val="0"/>
        </w:rPr>
      </w:pPr>
      <w:bookmarkStart w:name="（二）公司发展战略" w:id="69"/>
      <w:bookmarkEnd w:id="69"/>
      <w:r>
        <w:rPr>
          <w:b w:val="0"/>
          <w:bCs w:val="0"/>
        </w:rPr>
      </w:r>
      <w:r>
        <w:rPr/>
        <w:t>（二）公司发展战略</w:t>
      </w:r>
      <w:r>
        <w:rPr>
          <w:b w:val="0"/>
          <w:bCs w:val="0"/>
        </w:rPr>
      </w:r>
    </w:p>
    <w:p>
      <w:pPr>
        <w:pStyle w:val="BodyText"/>
        <w:spacing w:line="331" w:lineRule="auto" w:before="146"/>
        <w:ind w:right="996" w:firstLine="600"/>
        <w:jc w:val="left"/>
      </w:pPr>
      <w:r>
        <w:rPr>
          <w:rFonts w:ascii="Times New Roman" w:hAnsi="Times New Roman" w:cs="Times New Roman" w:eastAsia="Times New Roman" w:hint="default"/>
          <w:spacing w:val="-3"/>
        </w:rPr>
        <w:t>2018</w:t>
      </w:r>
      <w:r>
        <w:rPr>
          <w:spacing w:val="-3"/>
        </w:rPr>
        <w:t>年，将是公司实现新战略的关键落实之年，公司将从多个方面科学的促进业务协同</w:t>
      </w:r>
      <w:r>
        <w:rPr/>
        <w:t> 发展：</w:t>
      </w:r>
    </w:p>
    <w:p>
      <w:pPr>
        <w:pStyle w:val="BodyText"/>
        <w:spacing w:line="333" w:lineRule="auto" w:before="54"/>
        <w:ind w:right="1129" w:firstLine="480"/>
        <w:jc w:val="both"/>
      </w:pPr>
      <w:r>
        <w:rPr>
          <w:rFonts w:ascii="Times New Roman" w:hAnsi="Times New Roman" w:cs="Times New Roman" w:eastAsia="Times New Roman" w:hint="default"/>
          <w:spacing w:val="-2"/>
        </w:rPr>
        <w:t>1</w:t>
      </w:r>
      <w:r>
        <w:rPr>
          <w:spacing w:val="-2"/>
        </w:rPr>
        <w:t>、聚焦轨道交通，围绕</w:t>
      </w:r>
      <w:r>
        <w:rPr>
          <w:rFonts w:ascii="Times New Roman" w:hAnsi="Times New Roman" w:cs="Times New Roman" w:eastAsia="Times New Roman" w:hint="default"/>
          <w:spacing w:val="-2"/>
        </w:rPr>
        <w:t>“</w:t>
      </w:r>
      <w:r>
        <w:rPr>
          <w:spacing w:val="-2"/>
        </w:rPr>
        <w:t>轨道交通运营维护一体化解决方案及高端装备</w:t>
      </w:r>
      <w:r>
        <w:rPr>
          <w:rFonts w:ascii="Times New Roman" w:hAnsi="Times New Roman" w:cs="Times New Roman" w:eastAsia="Times New Roman" w:hint="default"/>
          <w:spacing w:val="-2"/>
        </w:rPr>
        <w:t>”</w:t>
      </w:r>
      <w:r>
        <w:rPr>
          <w:spacing w:val="-2"/>
        </w:rPr>
        <w:t>的主营业务，扩</w:t>
      </w:r>
      <w:r>
        <w:rPr/>
        <w:t> </w:t>
      </w:r>
      <w:r>
        <w:rPr>
          <w:spacing w:val="-2"/>
        </w:rPr>
        <w:t>大市场领域、延伸产业链条、加强能力支撑，推进</w:t>
      </w:r>
      <w:r>
        <w:rPr>
          <w:rFonts w:ascii="Times New Roman" w:hAnsi="Times New Roman" w:cs="Times New Roman" w:eastAsia="Times New Roman" w:hint="default"/>
          <w:spacing w:val="-2"/>
        </w:rPr>
        <w:t>“</w:t>
      </w:r>
      <w:r>
        <w:rPr>
          <w:spacing w:val="-2"/>
        </w:rPr>
        <w:t>产业</w:t>
      </w:r>
      <w:r>
        <w:rPr>
          <w:rFonts w:ascii="Times New Roman" w:hAnsi="Times New Roman" w:cs="Times New Roman" w:eastAsia="Times New Roman" w:hint="default"/>
          <w:spacing w:val="-2"/>
        </w:rPr>
        <w:t>+</w:t>
      </w:r>
      <w:r>
        <w:rPr>
          <w:spacing w:val="-2"/>
        </w:rPr>
        <w:t>资本</w:t>
      </w:r>
      <w:r>
        <w:rPr>
          <w:rFonts w:ascii="Times New Roman" w:hAnsi="Times New Roman" w:cs="Times New Roman" w:eastAsia="Times New Roman" w:hint="default"/>
          <w:spacing w:val="-2"/>
        </w:rPr>
        <w:t>”</w:t>
      </w:r>
      <w:r>
        <w:rPr>
          <w:spacing w:val="-2"/>
        </w:rPr>
        <w:t>双轮驱动战略，打造高端制造</w:t>
      </w:r>
      <w:r>
        <w:rPr>
          <w:spacing w:val="-108"/>
        </w:rPr>
        <w:t> </w:t>
      </w:r>
      <w:r>
        <w:rPr>
          <w:spacing w:val="-108"/>
        </w:rPr>
      </w:r>
      <w:r>
        <w:rPr/>
        <w:t>系统平台，提升轨道交通智能运维解决方案及综合服务能力。</w:t>
      </w:r>
    </w:p>
    <w:p>
      <w:pPr>
        <w:pStyle w:val="BodyText"/>
        <w:spacing w:line="333" w:lineRule="auto" w:before="52"/>
        <w:ind w:right="1132" w:firstLine="480"/>
        <w:jc w:val="both"/>
      </w:pPr>
      <w:r>
        <w:rPr>
          <w:rFonts w:ascii="Times New Roman" w:hAnsi="Times New Roman" w:cs="Times New Roman" w:eastAsia="Times New Roman" w:hint="default"/>
        </w:rPr>
        <w:t>2</w:t>
      </w:r>
      <w:r>
        <w:rPr/>
        <w:t>、积极响应国家及产业政策，创新服务需要，优化商业模式，推进并参与城轨</w:t>
      </w:r>
      <w:r>
        <w:rPr>
          <w:rFonts w:ascii="Times New Roman" w:hAnsi="Times New Roman" w:cs="Times New Roman" w:eastAsia="Times New Roman" w:hint="default"/>
        </w:rPr>
        <w:t>PPP</w:t>
      </w:r>
      <w:r>
        <w:rPr/>
        <w:t>模式</w:t>
      </w:r>
      <w:r>
        <w:rPr>
          <w:spacing w:val="1"/>
        </w:rPr>
        <w:t> </w:t>
      </w:r>
      <w:r>
        <w:rPr/>
        <w:t>建设项目，扩大业务规模，为长远可持续发展奠定基础。</w:t>
      </w:r>
    </w:p>
    <w:p>
      <w:pPr>
        <w:pStyle w:val="BodyText"/>
        <w:spacing w:line="331" w:lineRule="auto" w:before="52"/>
        <w:ind w:right="1137" w:firstLine="480"/>
        <w:jc w:val="both"/>
      </w:pPr>
      <w:r>
        <w:rPr>
          <w:rFonts w:ascii="Times New Roman" w:hAnsi="Times New Roman" w:cs="Times New Roman" w:eastAsia="Times New Roman" w:hint="default"/>
        </w:rPr>
        <w:t>3</w:t>
      </w:r>
      <w:r>
        <w:rPr/>
        <w:t>、加大互联网</w:t>
      </w:r>
      <w:r>
        <w:rPr>
          <w:rFonts w:ascii="Times New Roman" w:hAnsi="Times New Roman" w:cs="Times New Roman" w:eastAsia="Times New Roman" w:hint="default"/>
        </w:rPr>
        <w:t>+</w:t>
      </w:r>
      <w:r>
        <w:rPr/>
        <w:t>、智慧交通大数据应用、生物识别等新技术的引进，顺应国家信息产业 发展规划，不断扩展并优化智慧交通新领域的布局，形成新的业务增长平台。</w:t>
      </w:r>
    </w:p>
    <w:p>
      <w:pPr>
        <w:spacing w:after="0" w:line="331" w:lineRule="auto"/>
        <w:jc w:val="both"/>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Heading2"/>
        <w:spacing w:line="240" w:lineRule="auto" w:before="199"/>
        <w:ind w:right="996"/>
        <w:jc w:val="left"/>
        <w:rPr>
          <w:b w:val="0"/>
          <w:bCs w:val="0"/>
        </w:rPr>
      </w:pPr>
      <w:bookmarkStart w:name="（三）经营计划" w:id="70"/>
      <w:bookmarkEnd w:id="70"/>
      <w:r>
        <w:rPr>
          <w:b w:val="0"/>
          <w:bCs w:val="0"/>
        </w:rPr>
      </w:r>
      <w:r>
        <w:rPr/>
        <w:t>（三）经营计划</w:t>
      </w:r>
      <w:r>
        <w:rPr>
          <w:b w:val="0"/>
          <w:bCs w:val="0"/>
        </w:rPr>
      </w:r>
    </w:p>
    <w:p>
      <w:pPr>
        <w:pStyle w:val="BodyText"/>
        <w:spacing w:line="333" w:lineRule="auto" w:before="145"/>
        <w:ind w:right="1135" w:firstLine="480"/>
        <w:jc w:val="both"/>
      </w:pPr>
      <w:r>
        <w:rPr>
          <w:rFonts w:ascii="Times New Roman" w:hAnsi="Times New Roman" w:cs="Times New Roman" w:eastAsia="Times New Roman" w:hint="default"/>
        </w:rPr>
        <w:t>2018</w:t>
      </w:r>
      <w:r>
        <w:rPr/>
        <w:t>年度，公司将加大战略落地实施力度，使公司</w:t>
      </w:r>
      <w:r>
        <w:rPr>
          <w:rFonts w:ascii="Times New Roman" w:hAnsi="Times New Roman" w:cs="Times New Roman" w:eastAsia="Times New Roman" w:hint="default"/>
        </w:rPr>
        <w:t>2018</w:t>
      </w:r>
      <w:r>
        <w:rPr/>
        <w:t>年度经营取得更好业绩，重点做 好以下几个方面的工作。</w:t>
      </w:r>
    </w:p>
    <w:p>
      <w:pPr>
        <w:pStyle w:val="BodyText"/>
        <w:spacing w:line="240" w:lineRule="auto" w:before="52"/>
        <w:ind w:left="633" w:right="996"/>
        <w:jc w:val="left"/>
      </w:pPr>
      <w:bookmarkStart w:name="1、内生业务持续性发展发面" w:id="71"/>
      <w:bookmarkEnd w:id="71"/>
      <w:r>
        <w:rPr/>
      </w:r>
      <w:r>
        <w:rPr>
          <w:rFonts w:ascii="宋体" w:hAnsi="宋体" w:cs="宋体" w:eastAsia="宋体" w:hint="default"/>
        </w:rPr>
        <w:t>1</w:t>
      </w:r>
      <w:r>
        <w:rPr/>
        <w:t>、内生业务持续性发展发面</w:t>
      </w:r>
    </w:p>
    <w:p>
      <w:pPr>
        <w:pStyle w:val="BodyText"/>
        <w:spacing w:line="348" w:lineRule="auto" w:before="145"/>
        <w:ind w:right="1132" w:firstLine="480"/>
        <w:jc w:val="both"/>
      </w:pPr>
      <w:r>
        <w:rPr>
          <w:rFonts w:ascii="Times New Roman" w:hAnsi="Times New Roman" w:cs="Times New Roman" w:eastAsia="Times New Roman" w:hint="default"/>
          <w:spacing w:val="-3"/>
        </w:rPr>
        <w:t>1</w:t>
      </w:r>
      <w:r>
        <w:rPr>
          <w:spacing w:val="-3"/>
        </w:rPr>
        <w:t>）整合打造一体化业务平台，拓展国铁存量业务。保持信号集中监测产品竞争优势的基</w:t>
      </w:r>
      <w:r>
        <w:rPr/>
        <w:t> 础上，通过在监测领域横、纵向扩展业务范围，打造电务设备维护大监测生态平台；在防灾 安全监控系统的基础上，通过在地震监测预警、视频监控、周界入侵等业务方面扩展，打造 高铁灾害监测应急处理平台；整合生产指挥信息化、办公信息化业务平台，为国铁客户提供</w:t>
      </w:r>
      <w:r>
        <w:rPr>
          <w:spacing w:val="-114"/>
        </w:rPr>
        <w:t> </w:t>
      </w:r>
      <w:r>
        <w:rPr>
          <w:spacing w:val="-114"/>
        </w:rPr>
      </w:r>
      <w:r>
        <w:rPr/>
        <w:t>更全面、更智能、更高效的运维解决方案。</w:t>
      </w:r>
    </w:p>
    <w:p>
      <w:pPr>
        <w:pStyle w:val="BodyText"/>
        <w:spacing w:line="343" w:lineRule="auto" w:before="37"/>
        <w:ind w:left="154" w:right="1013" w:firstLine="480"/>
        <w:jc w:val="both"/>
      </w:pPr>
      <w:r>
        <w:rPr>
          <w:rFonts w:ascii="Times New Roman" w:hAnsi="Times New Roman" w:cs="Times New Roman" w:eastAsia="Times New Roman" w:hint="default"/>
          <w:spacing w:val="-3"/>
        </w:rPr>
        <w:t>2</w:t>
      </w:r>
      <w:r>
        <w:rPr>
          <w:spacing w:val="-3"/>
        </w:rPr>
        <w:t>）深耕城轨市场，升级产品集成方案，高效高质量完成项目交付，稳步扩大城轨业务收</w:t>
      </w:r>
      <w:r>
        <w:rPr/>
        <w:t> 入占比。继续加大研发投入，推进城轨综合监控核心软件平台的研发和现场验证工作，结合 </w:t>
      </w:r>
      <w:r>
        <w:rPr>
          <w:spacing w:val="-3"/>
        </w:rPr>
        <w:t>国密技术、智慧决策、大数据处理技术，实现在城轨综合监控领域由跟随到引领的升级转变。</w:t>
      </w:r>
    </w:p>
    <w:p>
      <w:pPr>
        <w:pStyle w:val="BodyText"/>
        <w:spacing w:line="240" w:lineRule="auto" w:before="42"/>
        <w:ind w:left="634" w:right="996"/>
        <w:jc w:val="left"/>
      </w:pPr>
      <w:bookmarkStart w:name="2、外延业务方面" w:id="72"/>
      <w:bookmarkEnd w:id="72"/>
      <w:r>
        <w:rPr/>
      </w:r>
      <w:r>
        <w:rPr>
          <w:rFonts w:ascii="宋体" w:hAnsi="宋体" w:cs="宋体" w:eastAsia="宋体" w:hint="default"/>
        </w:rPr>
        <w:t>2</w:t>
      </w:r>
      <w:r>
        <w:rPr/>
        <w:t>、外延业务方面</w:t>
      </w:r>
    </w:p>
    <w:p>
      <w:pPr>
        <w:pStyle w:val="BodyText"/>
        <w:spacing w:line="345" w:lineRule="auto" w:before="145"/>
        <w:ind w:left="154" w:right="1032" w:firstLine="480"/>
        <w:jc w:val="left"/>
      </w:pPr>
      <w:r>
        <w:rPr>
          <w:rFonts w:ascii="Times New Roman" w:hAnsi="Times New Roman" w:cs="Times New Roman" w:eastAsia="Times New Roman" w:hint="default"/>
        </w:rPr>
        <w:t>1</w:t>
      </w:r>
      <w:r>
        <w:rPr/>
        <w:t>）健全对各子公司及业务板块的目标管控，加强新业务板块的市场突破、开拓和交付。 深挖智能电源技术的市场应用，加快技术升级，拓展信号器材及设备的市场，确保经营目标 实现；加大轨道交通工电专业大型运维装备的拓展力度，扩大在大型运维装备方面的市场占</w:t>
      </w:r>
      <w:r>
        <w:rPr>
          <w:spacing w:val="-116"/>
        </w:rPr>
        <w:t> </w:t>
      </w:r>
      <w:r>
        <w:rPr>
          <w:spacing w:val="-116"/>
        </w:rPr>
      </w:r>
      <w:r>
        <w:rPr/>
        <w:t>比，进一步完善线路、供电、机车、车辆、信号的全产业链布局。</w:t>
      </w:r>
    </w:p>
    <w:p>
      <w:pPr>
        <w:pStyle w:val="BodyText"/>
        <w:spacing w:line="340" w:lineRule="auto" w:before="41"/>
        <w:ind w:right="1132" w:firstLine="480"/>
        <w:jc w:val="both"/>
      </w:pPr>
      <w:r>
        <w:rPr>
          <w:rFonts w:ascii="Times New Roman" w:hAnsi="Times New Roman" w:cs="Times New Roman" w:eastAsia="Times New Roman" w:hint="default"/>
          <w:spacing w:val="-3"/>
        </w:rPr>
        <w:t>2</w:t>
      </w:r>
      <w:r>
        <w:rPr>
          <w:spacing w:val="-3"/>
        </w:rPr>
        <w:t>）继续加强对已完成的交通</w:t>
      </w:r>
      <w:r>
        <w:rPr>
          <w:rFonts w:ascii="Times New Roman" w:hAnsi="Times New Roman" w:cs="Times New Roman" w:eastAsia="Times New Roman" w:hint="default"/>
          <w:spacing w:val="-3"/>
        </w:rPr>
        <w:t>WiFi</w:t>
      </w:r>
      <w:r>
        <w:rPr>
          <w:spacing w:val="-3"/>
        </w:rPr>
        <w:t>布局业务的规划和管理，把控风险，及时整合资源，促</w:t>
      </w:r>
      <w:r>
        <w:rPr/>
        <w:t> 进外延业务线快速发展壮大，形成业务增长点；把握民用航空互联网的发展机遇，稳步切入 智慧交通新领域，实现新领域的引领与突破。</w:t>
      </w:r>
    </w:p>
    <w:p>
      <w:pPr>
        <w:pStyle w:val="BodyText"/>
        <w:spacing w:line="240" w:lineRule="auto" w:before="46"/>
        <w:ind w:left="634" w:right="996"/>
        <w:jc w:val="left"/>
      </w:pPr>
      <w:bookmarkStart w:name="3、企业管理方面" w:id="73"/>
      <w:bookmarkEnd w:id="73"/>
      <w:r>
        <w:rPr/>
      </w:r>
      <w:r>
        <w:rPr>
          <w:rFonts w:ascii="宋体" w:hAnsi="宋体" w:cs="宋体" w:eastAsia="宋体" w:hint="default"/>
        </w:rPr>
        <w:t>3</w:t>
      </w:r>
      <w:r>
        <w:rPr/>
        <w:t>、企业管理方面</w:t>
      </w:r>
    </w:p>
    <w:p>
      <w:pPr>
        <w:pStyle w:val="BodyText"/>
        <w:spacing w:line="331" w:lineRule="auto" w:before="145"/>
        <w:ind w:left="154" w:right="1133" w:firstLine="480"/>
        <w:jc w:val="both"/>
      </w:pPr>
      <w:r>
        <w:rPr>
          <w:rFonts w:ascii="Times New Roman" w:hAnsi="Times New Roman" w:cs="Times New Roman" w:eastAsia="Times New Roman" w:hint="default"/>
          <w:spacing w:val="-2"/>
        </w:rPr>
        <w:t>1</w:t>
      </w:r>
      <w:r>
        <w:rPr>
          <w:spacing w:val="-2"/>
        </w:rPr>
        <w:t>）稳步夯实和扩展</w:t>
      </w:r>
      <w:r>
        <w:rPr>
          <w:rFonts w:ascii="Times New Roman" w:hAnsi="Times New Roman" w:cs="Times New Roman" w:eastAsia="Times New Roman" w:hint="default"/>
          <w:spacing w:val="-2"/>
        </w:rPr>
        <w:t>IRIS</w:t>
      </w:r>
      <w:r>
        <w:rPr>
          <w:spacing w:val="-2"/>
        </w:rPr>
        <w:t>质量管理体系在公司的覆盖范围，从研发设计、项目管理、生产</w:t>
      </w:r>
      <w:r>
        <w:rPr/>
        <w:t> 控制等多个维度不断增强质量管理水平，为打造行业领先的产品质量与品牌建立基础。</w:t>
      </w:r>
    </w:p>
    <w:p>
      <w:pPr>
        <w:pStyle w:val="BodyText"/>
        <w:spacing w:line="340" w:lineRule="auto" w:before="55"/>
        <w:ind w:right="1131" w:firstLine="480"/>
        <w:jc w:val="both"/>
      </w:pPr>
      <w:r>
        <w:rPr>
          <w:rFonts w:ascii="Times New Roman" w:hAnsi="Times New Roman" w:cs="Times New Roman" w:eastAsia="Times New Roman" w:hint="default"/>
          <w:spacing w:val="-3"/>
        </w:rPr>
        <w:t>2</w:t>
      </w:r>
      <w:r>
        <w:rPr>
          <w:spacing w:val="-3"/>
        </w:rPr>
        <w:t>）加强人力资源建设，广揽行业内优秀人才；深入推进企业文化的宣贯工作，妥善处理</w:t>
      </w:r>
      <w:r>
        <w:rPr/>
        <w:t> 公司首期员工持股计划结果的影响，适时推进更适宜的激励政策，稳定人才队伍，充分调动 员工的积极性和创造性。</w:t>
      </w:r>
    </w:p>
    <w:p>
      <w:pPr>
        <w:pStyle w:val="BodyText"/>
        <w:spacing w:line="331" w:lineRule="auto" w:before="46"/>
        <w:ind w:left="154" w:right="1131" w:firstLine="480"/>
        <w:jc w:val="both"/>
      </w:pPr>
      <w:r>
        <w:rPr>
          <w:rFonts w:ascii="Times New Roman" w:hAnsi="Times New Roman" w:cs="Times New Roman" w:eastAsia="Times New Roman" w:hint="default"/>
          <w:spacing w:val="-3"/>
        </w:rPr>
        <w:t>3</w:t>
      </w:r>
      <w:r>
        <w:rPr>
          <w:spacing w:val="-3"/>
        </w:rPr>
        <w:t>）继续健全公司各项内部控制制度，加强人才的综合性要求，优化人员结构，通过技术</w:t>
      </w:r>
      <w:r>
        <w:rPr/>
        <w:t> 方案的升级和管理体系的改进提升人均效率，有效保障公司长远发展与持续的竞争力。</w:t>
      </w:r>
    </w:p>
    <w:p>
      <w:pPr>
        <w:pStyle w:val="BodyText"/>
        <w:spacing w:line="352" w:lineRule="auto" w:before="54"/>
        <w:ind w:left="633" w:right="996" w:firstLine="2"/>
        <w:jc w:val="left"/>
      </w:pPr>
      <w:bookmarkStart w:name="（四）资金需求计划" w:id="74"/>
      <w:bookmarkEnd w:id="74"/>
      <w:r>
        <w:rPr/>
      </w:r>
      <w:r>
        <w:rPr>
          <w:rFonts w:ascii="宋体" w:hAnsi="宋体" w:cs="宋体" w:eastAsia="宋体" w:hint="default"/>
          <w:b/>
          <w:bCs/>
        </w:rPr>
        <w:t>（四）资金需求计划</w:t>
      </w:r>
      <w:r>
        <w:rPr>
          <w:rFonts w:ascii="宋体" w:hAnsi="宋体" w:cs="宋体" w:eastAsia="宋体" w:hint="default"/>
          <w:b/>
          <w:bCs/>
          <w:w w:val="99"/>
        </w:rPr>
        <w:t> </w:t>
      </w:r>
      <w:r>
        <w:rPr/>
        <w:t>针对</w:t>
      </w:r>
      <w:r>
        <w:rPr>
          <w:rFonts w:ascii="Times New Roman" w:hAnsi="Times New Roman" w:cs="Times New Roman" w:eastAsia="Times New Roman" w:hint="default"/>
        </w:rPr>
        <w:t>2018</w:t>
      </w:r>
      <w:r>
        <w:rPr/>
        <w:t>年的资金使用及需求，公司将严格按照中国证监会和深圳证券交易所对募集资</w:t>
      </w:r>
    </w:p>
    <w:p>
      <w:pPr>
        <w:spacing w:after="0" w:line="352"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331" w:lineRule="auto" w:before="199"/>
        <w:ind w:left="633" w:right="996" w:hanging="480"/>
        <w:jc w:val="left"/>
      </w:pPr>
      <w:r>
        <w:rPr/>
        <w:t>金的各项要求，规范公司</w:t>
      </w:r>
      <w:r>
        <w:rPr>
          <w:rFonts w:ascii="Times New Roman" w:hAnsi="Times New Roman" w:cs="Times New Roman" w:eastAsia="Times New Roman" w:hint="default"/>
        </w:rPr>
        <w:t>2013</w:t>
      </w:r>
      <w:r>
        <w:rPr/>
        <w:t>年度非公开发行募集资金的使用。 未来，公司将结合发展目标，制定切实可行的资金使用和筹措计划，不排除利用信贷、</w:t>
      </w:r>
    </w:p>
    <w:p>
      <w:pPr>
        <w:pStyle w:val="BodyText"/>
        <w:spacing w:line="240" w:lineRule="auto" w:before="55"/>
        <w:ind w:right="996"/>
        <w:jc w:val="left"/>
      </w:pPr>
      <w:r>
        <w:rPr/>
        <w:t>债券等多种方式筹措资金。</w:t>
      </w:r>
    </w:p>
    <w:p>
      <w:pPr>
        <w:pStyle w:val="Heading2"/>
        <w:spacing w:line="240" w:lineRule="auto" w:before="146"/>
        <w:ind w:right="996"/>
        <w:jc w:val="left"/>
        <w:rPr>
          <w:b w:val="0"/>
          <w:bCs w:val="0"/>
        </w:rPr>
      </w:pPr>
      <w:bookmarkStart w:name="（五）可能面对的风险" w:id="75"/>
      <w:bookmarkEnd w:id="75"/>
      <w:r>
        <w:rPr>
          <w:b w:val="0"/>
          <w:bCs w:val="0"/>
        </w:rPr>
      </w:r>
      <w:r>
        <w:rPr/>
        <w:t>（五）可能面对的风险</w:t>
      </w:r>
      <w:r>
        <w:rPr>
          <w:b w:val="0"/>
          <w:bCs w:val="0"/>
        </w:rPr>
      </w:r>
    </w:p>
    <w:p>
      <w:pPr>
        <w:spacing w:line="484" w:lineRule="auto" w:before="145"/>
        <w:ind w:left="153" w:right="4153" w:firstLine="480"/>
        <w:jc w:val="left"/>
        <w:rPr>
          <w:rFonts w:ascii="宋体" w:hAnsi="宋体" w:cs="宋体" w:eastAsia="宋体" w:hint="default"/>
          <w:sz w:val="24"/>
          <w:szCs w:val="24"/>
        </w:rPr>
      </w:pPr>
      <w:r>
        <w:rPr>
          <w:rFonts w:ascii="宋体" w:hAnsi="宋体" w:cs="宋体" w:eastAsia="宋体" w:hint="default"/>
          <w:sz w:val="24"/>
          <w:szCs w:val="24"/>
        </w:rPr>
        <w:t>详见“第一节 重要提示、目录和释义”中所列风险因素。 </w:t>
      </w:r>
      <w:bookmarkStart w:name="十、接待调研、沟通、采访等活动" w:id="76"/>
      <w:bookmarkEnd w:id="76"/>
      <w:r>
        <w:rPr>
          <w:rFonts w:ascii="宋体" w:hAnsi="宋体" w:cs="宋体" w:eastAsia="宋体" w:hint="default"/>
          <w:sz w:val="24"/>
          <w:szCs w:val="24"/>
        </w:rPr>
      </w:r>
      <w:r>
        <w:rPr>
          <w:rFonts w:ascii="宋体" w:hAnsi="宋体" w:cs="宋体" w:eastAsia="宋体" w:hint="default"/>
          <w:b/>
          <w:bCs/>
          <w:sz w:val="24"/>
          <w:szCs w:val="24"/>
        </w:rPr>
        <w:t>十、接待调研、沟通、采访等活动</w:t>
      </w:r>
      <w:r>
        <w:rPr>
          <w:rFonts w:ascii="宋体" w:hAnsi="宋体" w:cs="宋体" w:eastAsia="宋体" w:hint="default"/>
          <w:sz w:val="24"/>
          <w:szCs w:val="24"/>
        </w:rPr>
      </w:r>
    </w:p>
    <w:p>
      <w:pPr>
        <w:pStyle w:val="Heading2"/>
        <w:spacing w:line="240" w:lineRule="auto" w:before="180"/>
        <w:ind w:right="996"/>
        <w:jc w:val="left"/>
        <w:rPr>
          <w:b w:val="0"/>
          <w:bCs w:val="0"/>
        </w:rPr>
      </w:pPr>
      <w:bookmarkStart w:name="1、报告期内接待调研、沟通、采访等活动登记表" w:id="77"/>
      <w:bookmarkEnd w:id="77"/>
      <w:r>
        <w:rPr>
          <w:b w:val="0"/>
          <w:bCs w:val="0"/>
        </w:rPr>
      </w:r>
      <w:r>
        <w:rPr>
          <w:rFonts w:ascii="Times New Roman" w:hAnsi="Times New Roman" w:cs="Times New Roman" w:eastAsia="Times New Roman" w:hint="default"/>
        </w:rPr>
        <w:t>1</w:t>
      </w:r>
      <w:r>
        <w:rPr/>
        <w:t>、报告期内接待调研、沟通、采访等活动登记表</w:t>
      </w:r>
      <w:r>
        <w:rPr>
          <w:b w:val="0"/>
          <w:bCs w:val="0"/>
        </w:rPr>
      </w:r>
    </w:p>
    <w:p>
      <w:pPr>
        <w:pStyle w:val="BodyText"/>
        <w:spacing w:line="240" w:lineRule="auto" w:before="127"/>
        <w:ind w:left="633" w:right="996"/>
        <w:jc w:val="left"/>
      </w:pPr>
      <w:r>
        <w:rPr/>
        <w:t>√ 适用 □ 不适用</w:t>
      </w:r>
    </w:p>
    <w:p>
      <w:pPr>
        <w:spacing w:line="240" w:lineRule="auto" w:before="5"/>
        <w:rPr>
          <w:rFonts w:ascii="宋体" w:hAnsi="宋体" w:cs="宋体" w:eastAsia="宋体" w:hint="default"/>
          <w:sz w:val="4"/>
          <w:szCs w:val="4"/>
        </w:rPr>
      </w:pPr>
    </w:p>
    <w:tbl>
      <w:tblPr>
        <w:tblW w:w="0" w:type="auto"/>
        <w:jc w:val="left"/>
        <w:tblInd w:w="149" w:type="dxa"/>
        <w:tblLayout w:type="fixed"/>
        <w:tblCellMar>
          <w:top w:w="0" w:type="dxa"/>
          <w:left w:w="0" w:type="dxa"/>
          <w:bottom w:w="0" w:type="dxa"/>
          <w:right w:w="0" w:type="dxa"/>
        </w:tblCellMar>
        <w:tblLook w:val="01E0"/>
      </w:tblPr>
      <w:tblGrid>
        <w:gridCol w:w="1844"/>
        <w:gridCol w:w="1276"/>
        <w:gridCol w:w="1418"/>
        <w:gridCol w:w="5033"/>
      </w:tblGrid>
      <w:tr>
        <w:trPr>
          <w:trHeight w:val="402" w:hRule="exact"/>
        </w:trPr>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right="1"/>
              <w:jc w:val="center"/>
              <w:rPr>
                <w:rFonts w:ascii="宋体" w:hAnsi="宋体" w:cs="宋体" w:eastAsia="宋体" w:hint="default"/>
                <w:sz w:val="21"/>
                <w:szCs w:val="21"/>
              </w:rPr>
            </w:pPr>
            <w:r>
              <w:rPr>
                <w:rFonts w:ascii="宋体" w:hAnsi="宋体" w:cs="宋体" w:eastAsia="宋体" w:hint="default"/>
                <w:sz w:val="21"/>
                <w:szCs w:val="21"/>
              </w:rPr>
              <w:t>接待时间</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212" w:right="0"/>
              <w:jc w:val="left"/>
              <w:rPr>
                <w:rFonts w:ascii="宋体" w:hAnsi="宋体" w:cs="宋体" w:eastAsia="宋体" w:hint="default"/>
                <w:sz w:val="21"/>
                <w:szCs w:val="21"/>
              </w:rPr>
            </w:pPr>
            <w:r>
              <w:rPr>
                <w:rFonts w:ascii="宋体" w:hAnsi="宋体" w:cs="宋体" w:eastAsia="宋体" w:hint="default"/>
                <w:sz w:val="21"/>
                <w:szCs w:val="21"/>
              </w:rPr>
              <w:t>接待方式</w:t>
            </w:r>
          </w:p>
        </w:tc>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73" w:right="0"/>
              <w:jc w:val="left"/>
              <w:rPr>
                <w:rFonts w:ascii="宋体" w:hAnsi="宋体" w:cs="宋体" w:eastAsia="宋体" w:hint="default"/>
                <w:sz w:val="21"/>
                <w:szCs w:val="21"/>
              </w:rPr>
            </w:pPr>
            <w:r>
              <w:rPr>
                <w:rFonts w:ascii="宋体" w:hAnsi="宋体" w:cs="宋体" w:eastAsia="宋体" w:hint="default"/>
                <w:sz w:val="21"/>
                <w:szCs w:val="21"/>
              </w:rPr>
              <w:t>接待对象类型</w:t>
            </w:r>
          </w:p>
        </w:tc>
        <w:tc>
          <w:tcPr>
            <w:tcW w:w="50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1565" w:right="0"/>
              <w:jc w:val="left"/>
              <w:rPr>
                <w:rFonts w:ascii="宋体" w:hAnsi="宋体" w:cs="宋体" w:eastAsia="宋体" w:hint="default"/>
                <w:sz w:val="21"/>
                <w:szCs w:val="21"/>
              </w:rPr>
            </w:pPr>
            <w:r>
              <w:rPr>
                <w:rFonts w:ascii="宋体" w:hAnsi="宋体" w:cs="宋体" w:eastAsia="宋体" w:hint="default"/>
                <w:sz w:val="21"/>
                <w:szCs w:val="21"/>
              </w:rPr>
              <w:t>调研的基本情况索引</w:t>
            </w:r>
          </w:p>
        </w:tc>
      </w:tr>
      <w:tr>
        <w:trPr>
          <w:trHeight w:val="714"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3"/>
              <w:ind w:right="53"/>
              <w:jc w:val="center"/>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01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05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实地调研</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机构</w:t>
            </w:r>
          </w:p>
        </w:tc>
        <w:tc>
          <w:tcPr>
            <w:tcW w:w="503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7"/>
              <w:ind w:left="22" w:right="22"/>
              <w:jc w:val="left"/>
              <w:rPr>
                <w:rFonts w:ascii="宋体" w:hAnsi="宋体" w:cs="宋体" w:eastAsia="宋体" w:hint="default"/>
                <w:sz w:val="21"/>
                <w:szCs w:val="21"/>
              </w:rPr>
            </w:pPr>
            <w:r>
              <w:rPr>
                <w:rFonts w:ascii="宋体" w:hAnsi="宋体" w:cs="宋体" w:eastAsia="宋体" w:hint="default"/>
                <w:spacing w:val="-3"/>
                <w:sz w:val="21"/>
                <w:szCs w:val="21"/>
              </w:rPr>
              <w:t>详见深交所投资者关系互动平台《投资者关系活动记录</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pacing w:val="-9"/>
                <w:sz w:val="21"/>
                <w:szCs w:val="21"/>
              </w:rPr>
              <w:t>表》（</w:t>
            </w:r>
            <w:r>
              <w:rPr>
                <w:rFonts w:ascii="Times New Roman" w:hAnsi="Times New Roman" w:cs="Times New Roman" w:eastAsia="Times New Roman" w:hint="default"/>
                <w:spacing w:val="-9"/>
                <w:sz w:val="21"/>
                <w:szCs w:val="21"/>
              </w:rPr>
              <w:t>2017-001</w:t>
            </w:r>
            <w:r>
              <w:rPr>
                <w:rFonts w:ascii="宋体" w:hAnsi="宋体" w:cs="宋体" w:eastAsia="宋体" w:hint="default"/>
                <w:spacing w:val="-9"/>
                <w:sz w:val="21"/>
                <w:szCs w:val="21"/>
              </w:rPr>
              <w:t>）</w:t>
            </w:r>
          </w:p>
        </w:tc>
      </w:tr>
      <w:tr>
        <w:trPr>
          <w:trHeight w:val="715"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3"/>
              <w:ind w:right="53"/>
              <w:jc w:val="center"/>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04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实地调研</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机构</w:t>
            </w:r>
          </w:p>
        </w:tc>
        <w:tc>
          <w:tcPr>
            <w:tcW w:w="503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7"/>
              <w:ind w:left="22" w:right="22"/>
              <w:jc w:val="left"/>
              <w:rPr>
                <w:rFonts w:ascii="宋体" w:hAnsi="宋体" w:cs="宋体" w:eastAsia="宋体" w:hint="default"/>
                <w:sz w:val="21"/>
                <w:szCs w:val="21"/>
              </w:rPr>
            </w:pPr>
            <w:r>
              <w:rPr>
                <w:rFonts w:ascii="宋体" w:hAnsi="宋体" w:cs="宋体" w:eastAsia="宋体" w:hint="default"/>
                <w:spacing w:val="-3"/>
                <w:sz w:val="21"/>
                <w:szCs w:val="21"/>
              </w:rPr>
              <w:t>详见深交所投资者关系互动平台《投资者关系活动记录</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pacing w:val="-9"/>
                <w:sz w:val="21"/>
                <w:szCs w:val="21"/>
              </w:rPr>
              <w:t>表》（</w:t>
            </w:r>
            <w:r>
              <w:rPr>
                <w:rFonts w:ascii="Times New Roman" w:hAnsi="Times New Roman" w:cs="Times New Roman" w:eastAsia="Times New Roman" w:hint="default"/>
                <w:spacing w:val="-9"/>
                <w:sz w:val="21"/>
                <w:szCs w:val="21"/>
              </w:rPr>
              <w:t>2017-002</w:t>
            </w:r>
            <w:r>
              <w:rPr>
                <w:rFonts w:ascii="宋体" w:hAnsi="宋体" w:cs="宋体" w:eastAsia="宋体" w:hint="default"/>
                <w:spacing w:val="-9"/>
                <w:sz w:val="21"/>
                <w:szCs w:val="21"/>
              </w:rPr>
              <w:t>）</w:t>
            </w:r>
          </w:p>
        </w:tc>
      </w:tr>
    </w:tbl>
    <w:p>
      <w:pPr>
        <w:spacing w:after="0" w:line="273" w:lineRule="auto"/>
        <w:jc w:val="left"/>
        <w:rPr>
          <w:rFonts w:ascii="宋体" w:hAnsi="宋体" w:cs="宋体" w:eastAsia="宋体" w:hint="default"/>
          <w:sz w:val="21"/>
          <w:szCs w:val="21"/>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right="993"/>
        <w:jc w:val="center"/>
        <w:rPr>
          <w:b w:val="0"/>
          <w:bCs w:val="0"/>
        </w:rPr>
      </w:pPr>
      <w:bookmarkStart w:name="第五节 重要事项" w:id="78"/>
      <w:bookmarkEnd w:id="78"/>
      <w:r>
        <w:rPr>
          <w:b w:val="0"/>
          <w:bCs w:val="0"/>
        </w:rPr>
      </w:r>
      <w:bookmarkStart w:name="_bookmark5" w:id="79"/>
      <w:bookmarkEnd w:id="79"/>
      <w:r>
        <w:rPr>
          <w:b w:val="0"/>
          <w:bCs w:val="0"/>
        </w:rPr>
      </w:r>
      <w:r>
        <w:rPr/>
        <w:t>第五节</w:t>
      </w:r>
      <w:r>
        <w:rPr>
          <w:spacing w:val="-5"/>
        </w:rPr>
        <w:t> </w:t>
      </w:r>
      <w:r>
        <w:rPr/>
        <w:t>重要事项</w:t>
      </w:r>
      <w:r>
        <w:rPr>
          <w:b w:val="0"/>
          <w:bCs w:val="0"/>
        </w:rPr>
      </w:r>
    </w:p>
    <w:p>
      <w:pPr>
        <w:spacing w:line="240" w:lineRule="auto" w:before="9"/>
        <w:rPr>
          <w:rFonts w:ascii="宋体" w:hAnsi="宋体" w:cs="宋体" w:eastAsia="宋体" w:hint="default"/>
          <w:b/>
          <w:bCs/>
          <w:sz w:val="38"/>
          <w:szCs w:val="38"/>
        </w:rPr>
      </w:pPr>
    </w:p>
    <w:p>
      <w:pPr>
        <w:pStyle w:val="Heading2"/>
        <w:spacing w:line="240" w:lineRule="auto" w:before="0"/>
        <w:ind w:left="153" w:right="996"/>
        <w:jc w:val="left"/>
        <w:rPr>
          <w:b w:val="0"/>
          <w:bCs w:val="0"/>
        </w:rPr>
      </w:pPr>
      <w:bookmarkStart w:name="一、公司普通股利润分配及资本公积金转增股本情况" w:id="80"/>
      <w:bookmarkEnd w:id="80"/>
      <w:r>
        <w:rPr>
          <w:b w:val="0"/>
          <w:bCs w:val="0"/>
        </w:rPr>
      </w:r>
      <w:r>
        <w:rPr/>
        <w:t>一、公司普通股利润分配及资本公积金转增股本情况</w:t>
      </w:r>
      <w:r>
        <w:rPr>
          <w:b w:val="0"/>
          <w:bCs w:val="0"/>
        </w:rPr>
      </w:r>
    </w:p>
    <w:p>
      <w:pPr>
        <w:spacing w:line="240" w:lineRule="auto" w:before="6"/>
        <w:rPr>
          <w:rFonts w:ascii="宋体" w:hAnsi="宋体" w:cs="宋体" w:eastAsia="宋体" w:hint="default"/>
          <w:b/>
          <w:bCs/>
          <w:sz w:val="32"/>
          <w:szCs w:val="32"/>
        </w:rPr>
      </w:pPr>
    </w:p>
    <w:p>
      <w:pPr>
        <w:pStyle w:val="BodyText"/>
        <w:spacing w:line="350" w:lineRule="auto" w:before="0"/>
        <w:ind w:left="633" w:right="996"/>
        <w:jc w:val="left"/>
      </w:pPr>
      <w:r>
        <w:rPr/>
        <w:t>报告期内普通股利润分配政策，特别是现金分红政策的制定、执行或调整情况 报告期内，公司实行持续、稳定的利润分配政策，分红政策的制定、执行符合公司章程</w:t>
      </w:r>
    </w:p>
    <w:p>
      <w:pPr>
        <w:pStyle w:val="BodyText"/>
        <w:spacing w:line="350" w:lineRule="auto"/>
        <w:ind w:right="995"/>
        <w:jc w:val="left"/>
      </w:pPr>
      <w:r>
        <w:rPr/>
        <w:t>的规定及股东大会决议的要求，分红标准明确，分红比例清晰，决策程序完备。独立董事对 </w:t>
      </w:r>
      <w:r>
        <w:rPr>
          <w:spacing w:val="-2"/>
        </w:rPr>
        <w:t>分红事项充分发表了意见，利润分配政策均提交股东大会审议，中小股东权益得到充分保护，</w:t>
      </w:r>
      <w:r>
        <w:rPr/>
        <w:t> 促进公司更好的发展。</w:t>
      </w:r>
    </w:p>
    <w:p>
      <w:pPr>
        <w:pStyle w:val="BodyText"/>
        <w:spacing w:line="350" w:lineRule="auto"/>
        <w:ind w:right="1128" w:firstLine="480"/>
        <w:jc w:val="both"/>
      </w:pPr>
      <w:r>
        <w:rPr/>
        <w:pict>
          <v:shape style="position:absolute;margin-left:57.029999pt;margin-top:112.385605pt;width:478.6pt;height:141.2pt;mso-position-horizontal-relative:page;mso-position-vertical-relative:paragraph;z-index:140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7633"/>
                    <w:gridCol w:w="1924"/>
                  </w:tblGrid>
                  <w:tr>
                    <w:trPr>
                      <w:trHeight w:val="402"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 w:right="9"/>
                          <w:jc w:val="center"/>
                          <w:rPr>
                            <w:rFonts w:ascii="宋体" w:hAnsi="宋体" w:cs="宋体" w:eastAsia="宋体" w:hint="default"/>
                            <w:sz w:val="21"/>
                            <w:szCs w:val="21"/>
                          </w:rPr>
                        </w:pPr>
                        <w:r>
                          <w:rPr>
                            <w:rFonts w:ascii="宋体" w:hAnsi="宋体" w:cs="宋体" w:eastAsia="宋体" w:hint="default"/>
                            <w:sz w:val="21"/>
                            <w:szCs w:val="21"/>
                          </w:rPr>
                          <w:t>现金分红政策的专项说明</w:t>
                        </w:r>
                      </w:p>
                    </w:tc>
                  </w:tr>
                  <w:tr>
                    <w:trPr>
                      <w:trHeight w:val="402" w:hRule="exact"/>
                    </w:trPr>
                    <w:tc>
                      <w:tcPr>
                        <w:tcW w:w="76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是否符合公司章程的规定或股东大会决议的要求：</w:t>
                        </w:r>
                      </w:p>
                    </w:tc>
                    <w:tc>
                      <w:tcPr>
                        <w:tcW w:w="19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是</w:t>
                        </w:r>
                      </w:p>
                    </w:tc>
                  </w:tr>
                  <w:tr>
                    <w:trPr>
                      <w:trHeight w:val="402" w:hRule="exact"/>
                    </w:trPr>
                    <w:tc>
                      <w:tcPr>
                        <w:tcW w:w="76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分红标准和比例是否明确和清晰：</w:t>
                        </w:r>
                      </w:p>
                    </w:tc>
                    <w:tc>
                      <w:tcPr>
                        <w:tcW w:w="19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是</w:t>
                        </w:r>
                      </w:p>
                    </w:tc>
                  </w:tr>
                  <w:tr>
                    <w:trPr>
                      <w:trHeight w:val="402" w:hRule="exact"/>
                    </w:trPr>
                    <w:tc>
                      <w:tcPr>
                        <w:tcW w:w="76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相关的决策程序和机制是否完备：</w:t>
                        </w:r>
                      </w:p>
                    </w:tc>
                    <w:tc>
                      <w:tcPr>
                        <w:tcW w:w="19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是</w:t>
                        </w:r>
                      </w:p>
                    </w:tc>
                  </w:tr>
                  <w:tr>
                    <w:trPr>
                      <w:trHeight w:val="402" w:hRule="exact"/>
                    </w:trPr>
                    <w:tc>
                      <w:tcPr>
                        <w:tcW w:w="76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独立董事是否履职尽责并发挥了应有的作用：</w:t>
                        </w:r>
                      </w:p>
                    </w:tc>
                    <w:tc>
                      <w:tcPr>
                        <w:tcW w:w="19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是</w:t>
                        </w:r>
                      </w:p>
                    </w:tc>
                  </w:tr>
                  <w:tr>
                    <w:trPr>
                      <w:trHeight w:val="402" w:hRule="exact"/>
                    </w:trPr>
                    <w:tc>
                      <w:tcPr>
                        <w:tcW w:w="76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中小股东是否有充分表达意见和诉求的机会，其合法权益是否得到了充分保护：</w:t>
                        </w:r>
                      </w:p>
                    </w:tc>
                    <w:tc>
                      <w:tcPr>
                        <w:tcW w:w="19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是</w:t>
                        </w:r>
                      </w:p>
                    </w:tc>
                  </w:tr>
                  <w:tr>
                    <w:trPr>
                      <w:trHeight w:val="402" w:hRule="exact"/>
                    </w:trPr>
                    <w:tc>
                      <w:tcPr>
                        <w:tcW w:w="76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现金分红政策进行调整或变更的，条件及程序是否合规、透明：</w:t>
                        </w:r>
                      </w:p>
                    </w:tc>
                    <w:tc>
                      <w:tcPr>
                        <w:tcW w:w="19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是</w:t>
                        </w:r>
                      </w:p>
                    </w:tc>
                  </w:tr>
                </w:tbl>
                <w:p>
                  <w:pPr/>
                </w:p>
              </w:txbxContent>
            </v:textbox>
            <w10:wrap type="none"/>
          </v:shape>
        </w:pict>
      </w:r>
      <w:r>
        <w:rPr>
          <w:spacing w:val="-2"/>
        </w:rPr>
        <w:t>报告期内，公司共实施了一次利润分配。《</w:t>
      </w:r>
      <w:r>
        <w:rPr>
          <w:rFonts w:ascii="宋体" w:hAnsi="宋体" w:cs="宋体" w:eastAsia="宋体" w:hint="default"/>
          <w:spacing w:val="-2"/>
        </w:rPr>
        <w:t>2016</w:t>
      </w:r>
      <w:r>
        <w:rPr>
          <w:spacing w:val="-2"/>
        </w:rPr>
        <w:t>年度利润分配预案》于</w:t>
      </w:r>
      <w:r>
        <w:rPr>
          <w:rFonts w:ascii="宋体" w:hAnsi="宋体" w:cs="宋体" w:eastAsia="宋体" w:hint="default"/>
          <w:spacing w:val="-2"/>
        </w:rPr>
        <w:t>2017</w:t>
      </w:r>
      <w:r>
        <w:rPr>
          <w:spacing w:val="-2"/>
        </w:rPr>
        <w:t>年</w:t>
      </w:r>
      <w:r>
        <w:rPr>
          <w:rFonts w:ascii="宋体" w:hAnsi="宋体" w:cs="宋体" w:eastAsia="宋体" w:hint="default"/>
          <w:spacing w:val="-2"/>
        </w:rPr>
        <w:t>4</w:t>
      </w:r>
      <w:r>
        <w:rPr>
          <w:spacing w:val="-2"/>
        </w:rPr>
        <w:t>月</w:t>
      </w:r>
      <w:r>
        <w:rPr>
          <w:rFonts w:ascii="宋体" w:hAnsi="宋体" w:cs="宋体" w:eastAsia="宋体" w:hint="default"/>
          <w:spacing w:val="-2"/>
        </w:rPr>
        <w:t>11</w:t>
      </w:r>
      <w:r>
        <w:rPr>
          <w:spacing w:val="-2"/>
        </w:rPr>
        <w:t>日召</w:t>
      </w:r>
      <w:r>
        <w:rPr/>
        <w:t> 开的第六届董事会第二次会议、</w:t>
      </w:r>
      <w:r>
        <w:rPr>
          <w:rFonts w:ascii="宋体" w:hAnsi="宋体" w:cs="宋体" w:eastAsia="宋体" w:hint="default"/>
        </w:rPr>
        <w:t>2017</w:t>
      </w:r>
      <w:r>
        <w:rPr/>
        <w:t>年</w:t>
      </w:r>
      <w:r>
        <w:rPr>
          <w:rFonts w:ascii="宋体" w:hAnsi="宋体" w:cs="宋体" w:eastAsia="宋体" w:hint="default"/>
        </w:rPr>
        <w:t>5</w:t>
      </w:r>
      <w:r>
        <w:rPr/>
        <w:t>月</w:t>
      </w:r>
      <w:r>
        <w:rPr>
          <w:rFonts w:ascii="宋体" w:hAnsi="宋体" w:cs="宋体" w:eastAsia="宋体" w:hint="default"/>
        </w:rPr>
        <w:t>3</w:t>
      </w:r>
      <w:r>
        <w:rPr/>
        <w:t>日的</w:t>
      </w:r>
      <w:r>
        <w:rPr>
          <w:rFonts w:ascii="宋体" w:hAnsi="宋体" w:cs="宋体" w:eastAsia="宋体" w:hint="default"/>
        </w:rPr>
        <w:t>2016</w:t>
      </w:r>
      <w:r>
        <w:rPr/>
        <w:t>年度股东大会审议通过。根据公司的未</w:t>
      </w:r>
      <w:r>
        <w:rPr>
          <w:spacing w:val="-110"/>
        </w:rPr>
        <w:t> </w:t>
      </w:r>
      <w:r>
        <w:rPr>
          <w:spacing w:val="-110"/>
        </w:rPr>
      </w:r>
      <w:r>
        <w:rPr/>
        <w:t>来的发展需要及结合公司的实际情况，公司</w:t>
      </w:r>
      <w:r>
        <w:rPr>
          <w:rFonts w:ascii="宋体" w:hAnsi="宋体" w:cs="宋体" w:eastAsia="宋体" w:hint="default"/>
        </w:rPr>
        <w:t>2016</w:t>
      </w:r>
      <w:r>
        <w:rPr/>
        <w:t>年度利润分配方案为：以</w:t>
      </w:r>
      <w:r>
        <w:rPr>
          <w:rFonts w:ascii="宋体" w:hAnsi="宋体" w:cs="宋体" w:eastAsia="宋体" w:hint="default"/>
        </w:rPr>
        <w:t>2016</w:t>
      </w:r>
      <w:r>
        <w:rPr/>
        <w:t>年</w:t>
      </w:r>
      <w:r>
        <w:rPr>
          <w:rFonts w:ascii="宋体" w:hAnsi="宋体" w:cs="宋体" w:eastAsia="宋体" w:hint="default"/>
        </w:rPr>
        <w:t>12</w:t>
      </w:r>
      <w:r>
        <w:rPr/>
        <w:t>月</w:t>
      </w:r>
      <w:r>
        <w:rPr>
          <w:rFonts w:ascii="宋体" w:hAnsi="宋体" w:cs="宋体" w:eastAsia="宋体" w:hint="default"/>
        </w:rPr>
        <w:t>31</w:t>
      </w:r>
      <w:r>
        <w:rPr/>
        <w:t>日的</w:t>
      </w:r>
      <w:r>
        <w:rPr>
          <w:spacing w:val="-105"/>
        </w:rPr>
        <w:t> </w:t>
      </w:r>
      <w:r>
        <w:rPr/>
        <w:t>公司总股本</w:t>
      </w:r>
      <w:r>
        <w:rPr>
          <w:rFonts w:ascii="宋体" w:hAnsi="宋体" w:cs="宋体" w:eastAsia="宋体" w:hint="default"/>
        </w:rPr>
        <w:t>376,656,420</w:t>
      </w:r>
      <w:r>
        <w:rPr/>
        <w:t>股为基数，向全体股东每</w:t>
      </w:r>
      <w:r>
        <w:rPr>
          <w:rFonts w:ascii="宋体" w:hAnsi="宋体" w:cs="宋体" w:eastAsia="宋体" w:hint="default"/>
        </w:rPr>
        <w:t>10</w:t>
      </w:r>
      <w:r>
        <w:rPr/>
        <w:t>股派发现金红利</w:t>
      </w:r>
      <w:r>
        <w:rPr>
          <w:rFonts w:ascii="宋体" w:hAnsi="宋体" w:cs="宋体" w:eastAsia="宋体" w:hint="default"/>
        </w:rPr>
        <w:t>0.1</w:t>
      </w:r>
      <w:r>
        <w:rPr/>
        <w:t>元（含税），不送红</w:t>
      </w:r>
      <w:r>
        <w:rPr>
          <w:spacing w:val="-88"/>
        </w:rPr>
        <w:t> </w:t>
      </w:r>
      <w:r>
        <w:rPr>
          <w:spacing w:val="-88"/>
        </w:rPr>
      </w:r>
      <w:r>
        <w:rPr/>
        <w:t>股，不以公积金转增股本。</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6"/>
          <w:szCs w:val="16"/>
        </w:rPr>
      </w:pPr>
    </w:p>
    <w:p>
      <w:pPr>
        <w:pStyle w:val="BodyText"/>
        <w:spacing w:line="240" w:lineRule="auto" w:before="26"/>
        <w:ind w:left="634" w:right="996"/>
        <w:jc w:val="left"/>
      </w:pPr>
      <w:r>
        <w:rPr>
          <w:spacing w:val="-3"/>
        </w:rPr>
        <w:t>公司近</w:t>
      </w:r>
      <w:r>
        <w:rPr>
          <w:rFonts w:ascii="宋体" w:hAnsi="宋体" w:cs="宋体" w:eastAsia="宋体" w:hint="default"/>
          <w:spacing w:val="-3"/>
        </w:rPr>
        <w:t>3</w:t>
      </w:r>
      <w:r>
        <w:rPr>
          <w:spacing w:val="-3"/>
        </w:rPr>
        <w:t>年（包括本报告期）的普通股股利分配方案（预案）、资本公积金转增股本方案</w:t>
      </w:r>
    </w:p>
    <w:p>
      <w:pPr>
        <w:pStyle w:val="BodyText"/>
        <w:spacing w:line="240" w:lineRule="auto" w:before="145"/>
        <w:ind w:left="154" w:right="996"/>
        <w:jc w:val="left"/>
      </w:pPr>
      <w:r>
        <w:rPr/>
        <w:t>（预案）情况</w:t>
      </w:r>
    </w:p>
    <w:p>
      <w:pPr>
        <w:pStyle w:val="BodyText"/>
        <w:spacing w:line="352" w:lineRule="auto" w:before="145"/>
        <w:ind w:right="996" w:firstLine="480"/>
        <w:jc w:val="left"/>
      </w:pPr>
      <w:r>
        <w:rPr>
          <w:rFonts w:ascii="宋体" w:hAnsi="宋体" w:cs="宋体" w:eastAsia="宋体" w:hint="default"/>
        </w:rPr>
        <w:t>1</w:t>
      </w:r>
      <w:r>
        <w:rPr/>
        <w:t>、</w:t>
      </w:r>
      <w:r>
        <w:rPr>
          <w:rFonts w:ascii="宋体" w:hAnsi="宋体" w:cs="宋体" w:eastAsia="宋体" w:hint="default"/>
        </w:rPr>
        <w:t>2015</w:t>
      </w:r>
      <w:r>
        <w:rPr/>
        <w:t>年度利润分配方案为：以公司</w:t>
      </w:r>
      <w:r>
        <w:rPr>
          <w:rFonts w:ascii="宋体" w:hAnsi="宋体" w:cs="宋体" w:eastAsia="宋体" w:hint="default"/>
        </w:rPr>
        <w:t>2015</w:t>
      </w:r>
      <w:r>
        <w:rPr/>
        <w:t>年</w:t>
      </w:r>
      <w:r>
        <w:rPr>
          <w:rFonts w:ascii="宋体" w:hAnsi="宋体" w:cs="宋体" w:eastAsia="宋体" w:hint="default"/>
        </w:rPr>
        <w:t>12</w:t>
      </w:r>
      <w:r>
        <w:rPr/>
        <w:t>月</w:t>
      </w:r>
      <w:r>
        <w:rPr>
          <w:rFonts w:ascii="宋体" w:hAnsi="宋体" w:cs="宋体" w:eastAsia="宋体" w:hint="default"/>
        </w:rPr>
        <w:t>31</w:t>
      </w:r>
      <w:r>
        <w:rPr/>
        <w:t>日总股本</w:t>
      </w:r>
      <w:r>
        <w:rPr>
          <w:rFonts w:ascii="宋体" w:hAnsi="宋体" w:cs="宋体" w:eastAsia="宋体" w:hint="default"/>
        </w:rPr>
        <w:t>376,656,420</w:t>
      </w:r>
      <w:r>
        <w:rPr/>
        <w:t>股为基数，向</w:t>
      </w:r>
      <w:r>
        <w:rPr>
          <w:spacing w:val="1"/>
        </w:rPr>
        <w:t> </w:t>
      </w:r>
      <w:r>
        <w:rPr/>
        <w:t>全体股东每</w:t>
      </w:r>
      <w:r>
        <w:rPr>
          <w:rFonts w:ascii="宋体" w:hAnsi="宋体" w:cs="宋体" w:eastAsia="宋体" w:hint="default"/>
        </w:rPr>
        <w:t>10</w:t>
      </w:r>
      <w:r>
        <w:rPr/>
        <w:t>股派发现金红利</w:t>
      </w:r>
      <w:r>
        <w:rPr>
          <w:rFonts w:ascii="宋体" w:hAnsi="宋体" w:cs="宋体" w:eastAsia="宋体" w:hint="default"/>
        </w:rPr>
        <w:t>0.30</w:t>
      </w:r>
      <w:r>
        <w:rPr/>
        <w:t>元（含税），不送红股，不以公积金转增股本。</w:t>
      </w:r>
    </w:p>
    <w:p>
      <w:pPr>
        <w:pStyle w:val="BodyText"/>
        <w:spacing w:line="350" w:lineRule="auto" w:before="32"/>
        <w:ind w:right="996" w:firstLine="480"/>
        <w:jc w:val="left"/>
      </w:pPr>
      <w:r>
        <w:rPr>
          <w:rFonts w:ascii="宋体" w:hAnsi="宋体" w:cs="宋体" w:eastAsia="宋体" w:hint="default"/>
        </w:rPr>
        <w:t>2</w:t>
      </w:r>
      <w:r>
        <w:rPr/>
        <w:t>、</w:t>
      </w:r>
      <w:r>
        <w:rPr>
          <w:rFonts w:ascii="宋体" w:hAnsi="宋体" w:cs="宋体" w:eastAsia="宋体" w:hint="default"/>
        </w:rPr>
        <w:t>2016</w:t>
      </w:r>
      <w:r>
        <w:rPr/>
        <w:t>年度利润分配方案为：以公司</w:t>
      </w:r>
      <w:r>
        <w:rPr>
          <w:rFonts w:ascii="宋体" w:hAnsi="宋体" w:cs="宋体" w:eastAsia="宋体" w:hint="default"/>
        </w:rPr>
        <w:t>2016</w:t>
      </w:r>
      <w:r>
        <w:rPr/>
        <w:t>年</w:t>
      </w:r>
      <w:r>
        <w:rPr>
          <w:rFonts w:ascii="宋体" w:hAnsi="宋体" w:cs="宋体" w:eastAsia="宋体" w:hint="default"/>
        </w:rPr>
        <w:t>12</w:t>
      </w:r>
      <w:r>
        <w:rPr/>
        <w:t>月</w:t>
      </w:r>
      <w:r>
        <w:rPr>
          <w:rFonts w:ascii="宋体" w:hAnsi="宋体" w:cs="宋体" w:eastAsia="宋体" w:hint="default"/>
        </w:rPr>
        <w:t>31</w:t>
      </w:r>
      <w:r>
        <w:rPr/>
        <w:t>日总股本</w:t>
      </w:r>
      <w:r>
        <w:rPr>
          <w:rFonts w:ascii="宋体" w:hAnsi="宋体" w:cs="宋体" w:eastAsia="宋体" w:hint="default"/>
        </w:rPr>
        <w:t>376,656,420</w:t>
      </w:r>
      <w:r>
        <w:rPr/>
        <w:t>股为基数，向</w:t>
      </w:r>
      <w:r>
        <w:rPr>
          <w:spacing w:val="1"/>
        </w:rPr>
        <w:t> </w:t>
      </w:r>
      <w:r>
        <w:rPr/>
        <w:t>全体股东每</w:t>
      </w:r>
      <w:r>
        <w:rPr>
          <w:rFonts w:ascii="宋体" w:hAnsi="宋体" w:cs="宋体" w:eastAsia="宋体" w:hint="default"/>
        </w:rPr>
        <w:t>10</w:t>
      </w:r>
      <w:r>
        <w:rPr/>
        <w:t>股派发现金红利</w:t>
      </w:r>
      <w:r>
        <w:rPr>
          <w:rFonts w:ascii="宋体" w:hAnsi="宋体" w:cs="宋体" w:eastAsia="宋体" w:hint="default"/>
        </w:rPr>
        <w:t>0.10</w:t>
      </w:r>
      <w:r>
        <w:rPr/>
        <w:t>元（含税），不送红股，不以公积金转增股本。</w:t>
      </w:r>
    </w:p>
    <w:p>
      <w:pPr>
        <w:pStyle w:val="BodyText"/>
        <w:spacing w:line="350" w:lineRule="auto"/>
        <w:ind w:right="1119" w:firstLine="480"/>
        <w:jc w:val="left"/>
      </w:pPr>
      <w:r>
        <w:rPr>
          <w:rFonts w:ascii="宋体" w:hAnsi="宋体" w:cs="宋体" w:eastAsia="宋体" w:hint="default"/>
          <w:spacing w:val="-2"/>
        </w:rPr>
        <w:t>3</w:t>
      </w:r>
      <w:r>
        <w:rPr>
          <w:spacing w:val="-2"/>
        </w:rPr>
        <w:t>、</w:t>
      </w:r>
      <w:r>
        <w:rPr>
          <w:rFonts w:ascii="宋体" w:hAnsi="宋体" w:cs="宋体" w:eastAsia="宋体" w:hint="default"/>
          <w:spacing w:val="-2"/>
        </w:rPr>
        <w:t>2017</w:t>
      </w:r>
      <w:r>
        <w:rPr>
          <w:spacing w:val="-2"/>
        </w:rPr>
        <w:t>年度利润分配方案为：</w:t>
      </w:r>
      <w:r>
        <w:rPr>
          <w:rFonts w:ascii="宋体" w:hAnsi="宋体" w:cs="宋体" w:eastAsia="宋体" w:hint="default"/>
          <w:spacing w:val="-2"/>
        </w:rPr>
        <w:t>2017</w:t>
      </w:r>
      <w:r>
        <w:rPr>
          <w:spacing w:val="-2"/>
        </w:rPr>
        <w:t>年度不进行利润分配，不以公积金转增股本，未分配</w:t>
      </w:r>
      <w:r>
        <w:rPr/>
        <w:t> 利润结转下一年度。</w:t>
      </w:r>
    </w:p>
    <w:p>
      <w:pPr>
        <w:pStyle w:val="BodyText"/>
        <w:spacing w:line="240" w:lineRule="auto" w:before="35"/>
        <w:ind w:left="633" w:right="996"/>
        <w:jc w:val="left"/>
      </w:pPr>
      <w:r>
        <w:rPr/>
        <w:t>公司近三年（包括本报告期）普通股现金分红情况表</w:t>
      </w:r>
    </w:p>
    <w:p>
      <w:pPr>
        <w:spacing w:before="84"/>
        <w:ind w:left="0" w:right="1130" w:firstLine="0"/>
        <w:jc w:val="right"/>
        <w:rPr>
          <w:rFonts w:ascii="宋体" w:hAnsi="宋体" w:cs="宋体" w:eastAsia="宋体" w:hint="default"/>
          <w:sz w:val="21"/>
          <w:szCs w:val="21"/>
        </w:rPr>
      </w:pPr>
      <w:r>
        <w:rPr>
          <w:rFonts w:ascii="宋体" w:hAnsi="宋体" w:cs="宋体" w:eastAsia="宋体" w:hint="default"/>
          <w:sz w:val="21"/>
          <w:szCs w:val="21"/>
        </w:rPr>
        <w:t>单位：元</w:t>
      </w:r>
    </w:p>
    <w:p>
      <w:pPr>
        <w:spacing w:after="0"/>
        <w:jc w:val="right"/>
        <w:rPr>
          <w:rFonts w:ascii="宋体" w:hAnsi="宋体" w:cs="宋体" w:eastAsia="宋体" w:hint="default"/>
          <w:sz w:val="21"/>
          <w:szCs w:val="21"/>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134"/>
        <w:gridCol w:w="1560"/>
        <w:gridCol w:w="2091"/>
        <w:gridCol w:w="1594"/>
        <w:gridCol w:w="1594"/>
        <w:gridCol w:w="1595"/>
      </w:tblGrid>
      <w:tr>
        <w:trPr>
          <w:trHeight w:val="161" w:hRule="exact"/>
        </w:trPr>
        <w:tc>
          <w:tcPr>
            <w:tcW w:w="1134" w:type="dxa"/>
            <w:vMerge w:val="restart"/>
            <w:tcBorders>
              <w:top w:val="single" w:sz="4" w:space="0" w:color="000000"/>
              <w:left w:val="single" w:sz="4" w:space="0" w:color="000000"/>
              <w:right w:val="single" w:sz="4" w:space="0" w:color="000000"/>
            </w:tcBorders>
            <w:shd w:val="clear" w:color="auto" w:fill="D2D2D2"/>
          </w:tcPr>
          <w:p>
            <w:pPr/>
          </w:p>
        </w:tc>
        <w:tc>
          <w:tcPr>
            <w:tcW w:w="1560" w:type="dxa"/>
            <w:vMerge w:val="restart"/>
            <w:tcBorders>
              <w:top w:val="single" w:sz="4" w:space="0" w:color="000000"/>
              <w:left w:val="single" w:sz="4" w:space="0" w:color="000000"/>
              <w:right w:val="single" w:sz="4" w:space="0" w:color="000000"/>
            </w:tcBorders>
            <w:shd w:val="clear" w:color="auto" w:fill="D2D2D2"/>
          </w:tcPr>
          <w:p>
            <w:pPr/>
          </w:p>
        </w:tc>
        <w:tc>
          <w:tcPr>
            <w:tcW w:w="2091"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26"/>
              <w:ind w:left="56" w:right="55"/>
              <w:jc w:val="center"/>
              <w:rPr>
                <w:rFonts w:ascii="宋体" w:hAnsi="宋体" w:cs="宋体" w:eastAsia="宋体" w:hint="default"/>
                <w:sz w:val="21"/>
                <w:szCs w:val="21"/>
              </w:rPr>
            </w:pPr>
            <w:r>
              <w:rPr>
                <w:rFonts w:ascii="宋体" w:hAnsi="宋体" w:cs="宋体" w:eastAsia="宋体" w:hint="default"/>
                <w:sz w:val="21"/>
                <w:szCs w:val="21"/>
              </w:rPr>
              <w:t>占合并报表中归 属于上市公司普 通股股东的净利 润的比率</w:t>
            </w:r>
          </w:p>
        </w:tc>
        <w:tc>
          <w:tcPr>
            <w:tcW w:w="1594" w:type="dxa"/>
            <w:vMerge w:val="restart"/>
            <w:tcBorders>
              <w:top w:val="single" w:sz="4" w:space="0" w:color="000000"/>
              <w:left w:val="single" w:sz="4" w:space="0" w:color="000000"/>
              <w:right w:val="single" w:sz="4" w:space="0" w:color="000000"/>
            </w:tcBorders>
            <w:shd w:val="clear" w:color="auto" w:fill="D2D2D2"/>
          </w:tcPr>
          <w:p>
            <w:pPr/>
          </w:p>
        </w:tc>
        <w:tc>
          <w:tcPr>
            <w:tcW w:w="1595" w:type="dxa"/>
            <w:vMerge w:val="restart"/>
            <w:tcBorders>
              <w:top w:val="single" w:sz="4" w:space="0" w:color="000000"/>
              <w:left w:val="single" w:sz="4" w:space="0" w:color="000000"/>
              <w:right w:val="single" w:sz="4" w:space="0" w:color="000000"/>
            </w:tcBorders>
            <w:shd w:val="clear" w:color="auto" w:fill="D2D2D2"/>
          </w:tcPr>
          <w:p>
            <w:pPr/>
          </w:p>
        </w:tc>
      </w:tr>
      <w:tr>
        <w:trPr>
          <w:trHeight w:val="156" w:hRule="exact"/>
        </w:trPr>
        <w:tc>
          <w:tcPr>
            <w:tcW w:w="1134" w:type="dxa"/>
            <w:vMerge/>
            <w:tcBorders>
              <w:left w:val="single" w:sz="4" w:space="0" w:color="000000"/>
              <w:right w:val="single" w:sz="4" w:space="0" w:color="000000"/>
            </w:tcBorders>
            <w:shd w:val="clear" w:color="auto" w:fill="D2D2D2"/>
          </w:tcPr>
          <w:p>
            <w:pPr/>
          </w:p>
        </w:tc>
        <w:tc>
          <w:tcPr>
            <w:tcW w:w="1560" w:type="dxa"/>
            <w:vMerge/>
            <w:tcBorders>
              <w:left w:val="single" w:sz="4" w:space="0" w:color="000000"/>
              <w:bottom w:val="nil" w:sz="6" w:space="0" w:color="auto"/>
              <w:right w:val="single" w:sz="4" w:space="0" w:color="000000"/>
            </w:tcBorders>
            <w:shd w:val="clear" w:color="auto" w:fill="D2D2D2"/>
          </w:tcPr>
          <w:p>
            <w:pPr/>
          </w:p>
        </w:tc>
        <w:tc>
          <w:tcPr>
            <w:tcW w:w="2091" w:type="dxa"/>
            <w:vMerge w:val="restart"/>
            <w:tcBorders>
              <w:top w:val="nil" w:sz="6" w:space="0" w:color="auto"/>
              <w:left w:val="single" w:sz="4" w:space="0" w:color="000000"/>
              <w:right w:val="single" w:sz="4" w:space="0" w:color="000000"/>
            </w:tcBorders>
            <w:shd w:val="clear" w:color="auto" w:fill="D2D2D2"/>
          </w:tcPr>
          <w:p>
            <w:pPr>
              <w:pStyle w:val="TableParagraph"/>
              <w:spacing w:line="273" w:lineRule="auto" w:before="26"/>
              <w:ind w:left="94" w:right="94"/>
              <w:jc w:val="center"/>
              <w:rPr>
                <w:rFonts w:ascii="宋体" w:hAnsi="宋体" w:cs="宋体" w:eastAsia="宋体" w:hint="default"/>
                <w:sz w:val="21"/>
                <w:szCs w:val="21"/>
              </w:rPr>
            </w:pPr>
            <w:r>
              <w:rPr>
                <w:rFonts w:ascii="宋体" w:hAnsi="宋体" w:cs="宋体" w:eastAsia="宋体" w:hint="default"/>
                <w:sz w:val="21"/>
                <w:szCs w:val="21"/>
              </w:rPr>
              <w:t>分红年度合并报表中 归属于上市公司普通 股股东的净利润</w:t>
            </w:r>
          </w:p>
        </w:tc>
        <w:tc>
          <w:tcPr>
            <w:tcW w:w="1594"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bottom w:val="nil" w:sz="6" w:space="0" w:color="auto"/>
              <w:right w:val="single" w:sz="4" w:space="0" w:color="000000"/>
            </w:tcBorders>
            <w:shd w:val="clear" w:color="auto" w:fill="D2D2D2"/>
          </w:tcPr>
          <w:p>
            <w:pPr/>
          </w:p>
        </w:tc>
        <w:tc>
          <w:tcPr>
            <w:tcW w:w="1595" w:type="dxa"/>
            <w:vMerge/>
            <w:tcBorders>
              <w:left w:val="single" w:sz="4" w:space="0" w:color="000000"/>
              <w:bottom w:val="nil" w:sz="6" w:space="0" w:color="auto"/>
              <w:right w:val="single" w:sz="4" w:space="0" w:color="000000"/>
            </w:tcBorders>
            <w:shd w:val="clear" w:color="auto" w:fill="D2D2D2"/>
          </w:tcPr>
          <w:p>
            <w:pPr/>
          </w:p>
        </w:tc>
      </w:tr>
      <w:tr>
        <w:trPr>
          <w:trHeight w:val="156" w:hRule="exact"/>
        </w:trPr>
        <w:tc>
          <w:tcPr>
            <w:tcW w:w="1134" w:type="dxa"/>
            <w:vMerge/>
            <w:tcBorders>
              <w:left w:val="single" w:sz="4" w:space="0" w:color="000000"/>
              <w:bottom w:val="nil" w:sz="6" w:space="0" w:color="auto"/>
              <w:right w:val="single" w:sz="4" w:space="0" w:color="000000"/>
            </w:tcBorders>
            <w:shd w:val="clear" w:color="auto" w:fill="D2D2D2"/>
          </w:tcPr>
          <w:p>
            <w:pPr/>
          </w:p>
        </w:tc>
        <w:tc>
          <w:tcPr>
            <w:tcW w:w="156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现金分红金额</w:t>
            </w:r>
          </w:p>
          <w:p>
            <w:pPr>
              <w:pStyle w:val="TableParagraph"/>
              <w:spacing w:line="240" w:lineRule="auto" w:before="38"/>
              <w:ind w:right="0"/>
              <w:jc w:val="center"/>
              <w:rPr>
                <w:rFonts w:ascii="宋体" w:hAnsi="宋体" w:cs="宋体" w:eastAsia="宋体" w:hint="default"/>
                <w:sz w:val="21"/>
                <w:szCs w:val="21"/>
              </w:rPr>
            </w:pPr>
            <w:r>
              <w:rPr>
                <w:rFonts w:ascii="宋体" w:hAnsi="宋体" w:cs="宋体" w:eastAsia="宋体" w:hint="default"/>
                <w:sz w:val="21"/>
                <w:szCs w:val="21"/>
              </w:rPr>
              <w:t>（含税）</w:t>
            </w:r>
          </w:p>
        </w:tc>
        <w:tc>
          <w:tcPr>
            <w:tcW w:w="2091"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4" w:type="dxa"/>
            <w:vMerge w:val="restart"/>
            <w:tcBorders>
              <w:top w:val="nil" w:sz="6" w:space="0" w:color="auto"/>
              <w:left w:val="single" w:sz="4" w:space="0" w:color="000000"/>
              <w:right w:val="single" w:sz="4" w:space="0" w:color="000000"/>
            </w:tcBorders>
            <w:shd w:val="clear" w:color="auto" w:fill="D2D2D2"/>
          </w:tcPr>
          <w:p>
            <w:pPr>
              <w:pStyle w:val="TableParagraph"/>
              <w:spacing w:line="273" w:lineRule="auto" w:before="26"/>
              <w:ind w:left="266" w:right="57" w:hanging="210"/>
              <w:jc w:val="left"/>
              <w:rPr>
                <w:rFonts w:ascii="宋体" w:hAnsi="宋体" w:cs="宋体" w:eastAsia="宋体" w:hint="default"/>
                <w:sz w:val="21"/>
                <w:szCs w:val="21"/>
              </w:rPr>
            </w:pPr>
            <w:r>
              <w:rPr>
                <w:rFonts w:ascii="宋体" w:hAnsi="宋体" w:cs="宋体" w:eastAsia="宋体" w:hint="default"/>
                <w:sz w:val="21"/>
                <w:szCs w:val="21"/>
              </w:rPr>
              <w:t>以其他方式现金 分红的金额</w:t>
            </w:r>
          </w:p>
        </w:tc>
        <w:tc>
          <w:tcPr>
            <w:tcW w:w="1595" w:type="dxa"/>
            <w:vMerge w:val="restart"/>
            <w:tcBorders>
              <w:top w:val="nil" w:sz="6" w:space="0" w:color="auto"/>
              <w:left w:val="single" w:sz="4" w:space="0" w:color="000000"/>
              <w:right w:val="single" w:sz="4" w:space="0" w:color="000000"/>
            </w:tcBorders>
            <w:shd w:val="clear" w:color="auto" w:fill="D2D2D2"/>
          </w:tcPr>
          <w:p>
            <w:pPr>
              <w:pStyle w:val="TableParagraph"/>
              <w:spacing w:line="273" w:lineRule="auto" w:before="26"/>
              <w:ind w:left="267" w:right="55" w:hanging="210"/>
              <w:jc w:val="left"/>
              <w:rPr>
                <w:rFonts w:ascii="宋体" w:hAnsi="宋体" w:cs="宋体" w:eastAsia="宋体" w:hint="default"/>
                <w:sz w:val="21"/>
                <w:szCs w:val="21"/>
              </w:rPr>
            </w:pPr>
            <w:r>
              <w:rPr>
                <w:rFonts w:ascii="宋体" w:hAnsi="宋体" w:cs="宋体" w:eastAsia="宋体" w:hint="default"/>
                <w:sz w:val="21"/>
                <w:szCs w:val="21"/>
              </w:rPr>
              <w:t>以其他方式现金 分红的比例</w:t>
            </w:r>
          </w:p>
        </w:tc>
      </w:tr>
      <w:tr>
        <w:trPr>
          <w:trHeight w:val="392" w:hRule="exact"/>
        </w:trPr>
        <w:tc>
          <w:tcPr>
            <w:tcW w:w="113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6"/>
              <w:ind w:left="141" w:right="0"/>
              <w:jc w:val="left"/>
              <w:rPr>
                <w:rFonts w:ascii="宋体" w:hAnsi="宋体" w:cs="宋体" w:eastAsia="宋体" w:hint="default"/>
                <w:sz w:val="21"/>
                <w:szCs w:val="21"/>
              </w:rPr>
            </w:pPr>
            <w:r>
              <w:rPr>
                <w:rFonts w:ascii="宋体" w:hAnsi="宋体" w:cs="宋体" w:eastAsia="宋体" w:hint="default"/>
                <w:sz w:val="21"/>
                <w:szCs w:val="21"/>
              </w:rPr>
              <w:t>分红年度</w:t>
            </w:r>
          </w:p>
        </w:tc>
        <w:tc>
          <w:tcPr>
            <w:tcW w:w="1560" w:type="dxa"/>
            <w:vMerge/>
            <w:tcBorders>
              <w:left w:val="single" w:sz="4" w:space="0" w:color="000000"/>
              <w:right w:val="single" w:sz="4" w:space="0" w:color="000000"/>
            </w:tcBorders>
            <w:shd w:val="clear" w:color="auto" w:fill="D2D2D2"/>
          </w:tcPr>
          <w:p>
            <w:pPr/>
          </w:p>
        </w:tc>
        <w:tc>
          <w:tcPr>
            <w:tcW w:w="2091"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5" w:type="dxa"/>
            <w:vMerge/>
            <w:tcBorders>
              <w:left w:val="single" w:sz="4" w:space="0" w:color="000000"/>
              <w:right w:val="single" w:sz="4" w:space="0" w:color="000000"/>
            </w:tcBorders>
            <w:shd w:val="clear" w:color="auto" w:fill="D2D2D2"/>
          </w:tcPr>
          <w:p>
            <w:pPr/>
          </w:p>
        </w:tc>
      </w:tr>
      <w:tr>
        <w:trPr>
          <w:trHeight w:val="156" w:hRule="exact"/>
        </w:trPr>
        <w:tc>
          <w:tcPr>
            <w:tcW w:w="1134" w:type="dxa"/>
            <w:vMerge w:val="restart"/>
            <w:tcBorders>
              <w:top w:val="nil" w:sz="6" w:space="0" w:color="auto"/>
              <w:left w:val="single" w:sz="4" w:space="0" w:color="000000"/>
              <w:right w:val="single" w:sz="4" w:space="0" w:color="000000"/>
            </w:tcBorders>
            <w:shd w:val="clear" w:color="auto" w:fill="D2D2D2"/>
          </w:tcPr>
          <w:p>
            <w:pPr/>
          </w:p>
        </w:tc>
        <w:tc>
          <w:tcPr>
            <w:tcW w:w="1560" w:type="dxa"/>
            <w:vMerge/>
            <w:tcBorders>
              <w:left w:val="single" w:sz="4" w:space="0" w:color="000000"/>
              <w:bottom w:val="nil" w:sz="6" w:space="0" w:color="auto"/>
              <w:right w:val="single" w:sz="4" w:space="0" w:color="000000"/>
            </w:tcBorders>
            <w:shd w:val="clear" w:color="auto" w:fill="D2D2D2"/>
          </w:tcPr>
          <w:p>
            <w:pPr/>
          </w:p>
        </w:tc>
        <w:tc>
          <w:tcPr>
            <w:tcW w:w="2091"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bottom w:val="nil" w:sz="6" w:space="0" w:color="auto"/>
              <w:right w:val="single" w:sz="4" w:space="0" w:color="000000"/>
            </w:tcBorders>
            <w:shd w:val="clear" w:color="auto" w:fill="D2D2D2"/>
          </w:tcPr>
          <w:p>
            <w:pPr/>
          </w:p>
        </w:tc>
        <w:tc>
          <w:tcPr>
            <w:tcW w:w="1595" w:type="dxa"/>
            <w:vMerge/>
            <w:tcBorders>
              <w:left w:val="single" w:sz="4" w:space="0" w:color="000000"/>
              <w:bottom w:val="nil" w:sz="6" w:space="0" w:color="auto"/>
              <w:right w:val="single" w:sz="4" w:space="0" w:color="000000"/>
            </w:tcBorders>
            <w:shd w:val="clear" w:color="auto" w:fill="D2D2D2"/>
          </w:tcPr>
          <w:p>
            <w:pPr/>
          </w:p>
        </w:tc>
      </w:tr>
      <w:tr>
        <w:trPr>
          <w:trHeight w:val="156" w:hRule="exact"/>
        </w:trPr>
        <w:tc>
          <w:tcPr>
            <w:tcW w:w="1134" w:type="dxa"/>
            <w:vMerge/>
            <w:tcBorders>
              <w:left w:val="single" w:sz="4" w:space="0" w:color="000000"/>
              <w:right w:val="single" w:sz="4" w:space="0" w:color="000000"/>
            </w:tcBorders>
            <w:shd w:val="clear" w:color="auto" w:fill="D2D2D2"/>
          </w:tcPr>
          <w:p>
            <w:pPr/>
          </w:p>
        </w:tc>
        <w:tc>
          <w:tcPr>
            <w:tcW w:w="1560" w:type="dxa"/>
            <w:vMerge w:val="restart"/>
            <w:tcBorders>
              <w:top w:val="nil" w:sz="6" w:space="0" w:color="auto"/>
              <w:left w:val="single" w:sz="4" w:space="0" w:color="000000"/>
              <w:right w:val="single" w:sz="4" w:space="0" w:color="000000"/>
            </w:tcBorders>
            <w:shd w:val="clear" w:color="auto" w:fill="D2D2D2"/>
          </w:tcPr>
          <w:p>
            <w:pPr/>
          </w:p>
        </w:tc>
        <w:tc>
          <w:tcPr>
            <w:tcW w:w="2091" w:type="dxa"/>
            <w:vMerge/>
            <w:tcBorders>
              <w:left w:val="single" w:sz="4" w:space="0" w:color="000000"/>
              <w:bottom w:val="nil" w:sz="6" w:space="0" w:color="auto"/>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4" w:type="dxa"/>
            <w:vMerge w:val="restart"/>
            <w:tcBorders>
              <w:top w:val="nil" w:sz="6" w:space="0" w:color="auto"/>
              <w:left w:val="single" w:sz="4" w:space="0" w:color="000000"/>
              <w:right w:val="single" w:sz="4" w:space="0" w:color="000000"/>
            </w:tcBorders>
            <w:shd w:val="clear" w:color="auto" w:fill="D2D2D2"/>
          </w:tcPr>
          <w:p>
            <w:pPr/>
          </w:p>
        </w:tc>
        <w:tc>
          <w:tcPr>
            <w:tcW w:w="1595"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134" w:type="dxa"/>
            <w:vMerge/>
            <w:tcBorders>
              <w:left w:val="single" w:sz="4" w:space="0" w:color="000000"/>
              <w:bottom w:val="single" w:sz="4" w:space="0" w:color="000000"/>
              <w:right w:val="single" w:sz="4" w:space="0" w:color="000000"/>
            </w:tcBorders>
            <w:shd w:val="clear" w:color="auto" w:fill="D2D2D2"/>
          </w:tcPr>
          <w:p>
            <w:pPr/>
          </w:p>
        </w:tc>
        <w:tc>
          <w:tcPr>
            <w:tcW w:w="1560" w:type="dxa"/>
            <w:vMerge/>
            <w:tcBorders>
              <w:left w:val="single" w:sz="4" w:space="0" w:color="000000"/>
              <w:bottom w:val="single" w:sz="4" w:space="0" w:color="000000"/>
              <w:right w:val="single" w:sz="4" w:space="0" w:color="000000"/>
            </w:tcBorders>
            <w:shd w:val="clear" w:color="auto" w:fill="D2D2D2"/>
          </w:tcPr>
          <w:p>
            <w:pPr/>
          </w:p>
        </w:tc>
        <w:tc>
          <w:tcPr>
            <w:tcW w:w="2091"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5"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1"/>
                <w:sz w:val="21"/>
                <w:szCs w:val="21"/>
              </w:rPr>
              <w:t> </w:t>
            </w:r>
            <w:r>
              <w:rPr>
                <w:rFonts w:ascii="宋体" w:hAnsi="宋体" w:cs="宋体" w:eastAsia="宋体" w:hint="default"/>
                <w:sz w:val="21"/>
                <w:szCs w:val="21"/>
              </w:rPr>
              <w:t>年</w:t>
            </w:r>
          </w:p>
        </w:tc>
        <w:tc>
          <w:tcPr>
            <w:tcW w:w="156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11"/>
              <w:jc w:val="center"/>
              <w:rPr>
                <w:rFonts w:ascii="宋体" w:hAnsi="宋体" w:cs="宋体" w:eastAsia="宋体" w:hint="default"/>
                <w:sz w:val="21"/>
                <w:szCs w:val="21"/>
              </w:rPr>
            </w:pPr>
            <w:r>
              <w:rPr>
                <w:rFonts w:ascii="宋体"/>
                <w:sz w:val="21"/>
              </w:rPr>
              <w:t>0.00</w:t>
            </w:r>
          </w:p>
        </w:tc>
        <w:tc>
          <w:tcPr>
            <w:tcW w:w="2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
              <w:jc w:val="center"/>
              <w:rPr>
                <w:rFonts w:ascii="宋体" w:hAnsi="宋体" w:cs="宋体" w:eastAsia="宋体" w:hint="default"/>
                <w:sz w:val="20"/>
                <w:szCs w:val="20"/>
              </w:rPr>
            </w:pPr>
            <w:r>
              <w:rPr>
                <w:rFonts w:ascii="宋体"/>
                <w:sz w:val="20"/>
              </w:rPr>
              <w:t>-151,742,824.19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529" w:right="0"/>
              <w:jc w:val="left"/>
              <w:rPr>
                <w:rFonts w:ascii="宋体" w:hAnsi="宋体" w:cs="宋体" w:eastAsia="宋体" w:hint="default"/>
                <w:sz w:val="21"/>
                <w:szCs w:val="21"/>
              </w:rPr>
            </w:pPr>
            <w:r>
              <w:rPr>
                <w:rFonts w:ascii="宋体"/>
                <w:sz w:val="21"/>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582" w:right="0"/>
              <w:jc w:val="left"/>
              <w:rPr>
                <w:rFonts w:ascii="宋体" w:hAnsi="宋体" w:cs="宋体" w:eastAsia="宋体" w:hint="default"/>
                <w:sz w:val="21"/>
                <w:szCs w:val="21"/>
              </w:rPr>
            </w:pPr>
            <w:r>
              <w:rPr>
                <w:rFonts w:ascii="宋体"/>
                <w:sz w:val="21"/>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sz w:val="21"/>
              </w:rPr>
              <w:t>0.00%</w:t>
            </w: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1"/>
                <w:sz w:val="21"/>
                <w:szCs w:val="21"/>
              </w:rPr>
              <w:t> </w:t>
            </w:r>
            <w:r>
              <w:rPr>
                <w:rFonts w:ascii="宋体" w:hAnsi="宋体" w:cs="宋体" w:eastAsia="宋体" w:hint="default"/>
                <w:sz w:val="21"/>
                <w:szCs w:val="21"/>
              </w:rPr>
              <w:t>年</w:t>
            </w:r>
          </w:p>
        </w:tc>
        <w:tc>
          <w:tcPr>
            <w:tcW w:w="156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left="133" w:right="0"/>
              <w:jc w:val="left"/>
              <w:rPr>
                <w:rFonts w:ascii="宋体" w:hAnsi="宋体" w:cs="宋体" w:eastAsia="宋体" w:hint="default"/>
                <w:sz w:val="21"/>
                <w:szCs w:val="21"/>
              </w:rPr>
            </w:pPr>
            <w:r>
              <w:rPr>
                <w:rFonts w:ascii="宋体"/>
                <w:sz w:val="21"/>
              </w:rPr>
              <w:t>3,766,564.20</w:t>
            </w:r>
          </w:p>
        </w:tc>
        <w:tc>
          <w:tcPr>
            <w:tcW w:w="2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sz w:val="21"/>
              </w:rPr>
              <w:t>85,070,143.95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529" w:right="0"/>
              <w:jc w:val="left"/>
              <w:rPr>
                <w:rFonts w:ascii="宋体" w:hAnsi="宋体" w:cs="宋体" w:eastAsia="宋体" w:hint="default"/>
                <w:sz w:val="21"/>
                <w:szCs w:val="21"/>
              </w:rPr>
            </w:pPr>
            <w:r>
              <w:rPr>
                <w:rFonts w:ascii="宋体"/>
                <w:sz w:val="21"/>
              </w:rPr>
              <w:t>4.43%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582" w:right="0"/>
              <w:jc w:val="left"/>
              <w:rPr>
                <w:rFonts w:ascii="宋体" w:hAnsi="宋体" w:cs="宋体" w:eastAsia="宋体" w:hint="default"/>
                <w:sz w:val="21"/>
                <w:szCs w:val="21"/>
              </w:rPr>
            </w:pPr>
            <w:r>
              <w:rPr>
                <w:rFonts w:ascii="宋体"/>
                <w:sz w:val="21"/>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sz w:val="21"/>
              </w:rPr>
              <w:t>0.00%</w:t>
            </w: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1"/>
                <w:sz w:val="21"/>
                <w:szCs w:val="21"/>
              </w:rPr>
              <w:t> </w:t>
            </w:r>
            <w:r>
              <w:rPr>
                <w:rFonts w:ascii="宋体" w:hAnsi="宋体" w:cs="宋体" w:eastAsia="宋体" w:hint="default"/>
                <w:sz w:val="21"/>
                <w:szCs w:val="21"/>
              </w:rPr>
              <w:t>年</w:t>
            </w:r>
          </w:p>
        </w:tc>
        <w:tc>
          <w:tcPr>
            <w:tcW w:w="156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left="80" w:right="0"/>
              <w:jc w:val="left"/>
              <w:rPr>
                <w:rFonts w:ascii="宋体" w:hAnsi="宋体" w:cs="宋体" w:eastAsia="宋体" w:hint="default"/>
                <w:sz w:val="21"/>
                <w:szCs w:val="21"/>
              </w:rPr>
            </w:pPr>
            <w:r>
              <w:rPr>
                <w:rFonts w:ascii="宋体"/>
                <w:sz w:val="21"/>
              </w:rPr>
              <w:t>11,299,692.60</w:t>
            </w:r>
          </w:p>
        </w:tc>
        <w:tc>
          <w:tcPr>
            <w:tcW w:w="2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sz w:val="21"/>
              </w:rPr>
              <w:t>74,923,796.86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476" w:right="0"/>
              <w:jc w:val="left"/>
              <w:rPr>
                <w:rFonts w:ascii="宋体" w:hAnsi="宋体" w:cs="宋体" w:eastAsia="宋体" w:hint="default"/>
                <w:sz w:val="21"/>
                <w:szCs w:val="21"/>
              </w:rPr>
            </w:pPr>
            <w:r>
              <w:rPr>
                <w:rFonts w:ascii="宋体"/>
                <w:sz w:val="21"/>
              </w:rPr>
              <w:t>15.08%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582" w:right="0"/>
              <w:jc w:val="left"/>
              <w:rPr>
                <w:rFonts w:ascii="宋体" w:hAnsi="宋体" w:cs="宋体" w:eastAsia="宋体" w:hint="default"/>
                <w:sz w:val="21"/>
                <w:szCs w:val="21"/>
              </w:rPr>
            </w:pPr>
            <w:r>
              <w:rPr>
                <w:rFonts w:ascii="宋体"/>
                <w:sz w:val="21"/>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sz w:val="21"/>
              </w:rPr>
              <w:t>0.00%</w:t>
            </w:r>
          </w:p>
        </w:tc>
      </w:tr>
    </w:tbl>
    <w:p>
      <w:pPr>
        <w:spacing w:line="240" w:lineRule="auto" w:before="10"/>
        <w:rPr>
          <w:rFonts w:ascii="宋体" w:hAnsi="宋体" w:cs="宋体" w:eastAsia="宋体" w:hint="default"/>
          <w:sz w:val="4"/>
          <w:szCs w:val="4"/>
        </w:rPr>
      </w:pPr>
    </w:p>
    <w:p>
      <w:pPr>
        <w:pStyle w:val="BodyText"/>
        <w:spacing w:line="352" w:lineRule="auto" w:before="26"/>
        <w:ind w:left="154" w:right="996" w:firstLine="480"/>
        <w:jc w:val="left"/>
      </w:pPr>
      <w:r>
        <w:rPr/>
        <w:t>公司报告期内盈利且母公司可供普通股股东分配利润为正但未提出普通股现金红利分配 预案</w:t>
      </w:r>
    </w:p>
    <w:p>
      <w:pPr>
        <w:spacing w:line="482" w:lineRule="auto" w:before="32"/>
        <w:ind w:left="153" w:right="3433" w:firstLine="480"/>
        <w:jc w:val="left"/>
        <w:rPr>
          <w:rFonts w:ascii="宋体" w:hAnsi="宋体" w:cs="宋体" w:eastAsia="宋体" w:hint="default"/>
          <w:sz w:val="24"/>
          <w:szCs w:val="24"/>
        </w:rPr>
      </w:pPr>
      <w:r>
        <w:rPr>
          <w:rFonts w:ascii="宋体" w:hAnsi="宋体" w:cs="宋体" w:eastAsia="宋体" w:hint="default"/>
          <w:sz w:val="24"/>
          <w:szCs w:val="24"/>
        </w:rPr>
        <w:t>□ 适用 √ 不适用 </w:t>
      </w:r>
      <w:bookmarkStart w:name="二、本报告期利润分配及资本公积金转增股本预案" w:id="81"/>
      <w:bookmarkEnd w:id="81"/>
      <w:r>
        <w:rPr>
          <w:rFonts w:ascii="宋体" w:hAnsi="宋体" w:cs="宋体" w:eastAsia="宋体" w:hint="default"/>
          <w:sz w:val="24"/>
          <w:szCs w:val="24"/>
        </w:rPr>
      </w:r>
      <w:r>
        <w:rPr>
          <w:rFonts w:ascii="宋体" w:hAnsi="宋体" w:cs="宋体" w:eastAsia="宋体" w:hint="default"/>
          <w:b/>
          <w:bCs/>
          <w:w w:val="95"/>
          <w:sz w:val="24"/>
          <w:szCs w:val="24"/>
        </w:rPr>
        <w:t>二、本报告期利润分配及资本公积金转增股本预案</w:t>
      </w:r>
      <w:r>
        <w:rPr>
          <w:rFonts w:ascii="宋体" w:hAnsi="宋体" w:cs="宋体" w:eastAsia="宋体" w:hint="default"/>
          <w:sz w:val="24"/>
          <w:szCs w:val="24"/>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2"/>
          <w:szCs w:val="22"/>
        </w:rPr>
      </w:pPr>
    </w:p>
    <w:p>
      <w:pPr>
        <w:spacing w:before="35"/>
        <w:ind w:left="0" w:right="1124" w:firstLine="0"/>
        <w:jc w:val="right"/>
        <w:rPr>
          <w:rFonts w:ascii="宋体" w:hAnsi="宋体" w:cs="宋体" w:eastAsia="宋体" w:hint="default"/>
          <w:sz w:val="21"/>
          <w:szCs w:val="21"/>
        </w:rPr>
      </w:pPr>
      <w:r>
        <w:rPr/>
        <w:pict>
          <v:shape style="position:absolute;margin-left:56.459999pt;margin-top:-232.246338pt;width:479.2pt;height:284.1pt;mso-position-horizontal-relative:page;mso-position-vertical-relative:paragraph;z-index:143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784"/>
                    <w:gridCol w:w="5784"/>
                  </w:tblGrid>
                  <w:tr>
                    <w:trPr>
                      <w:trHeight w:val="403" w:hRule="exact"/>
                    </w:trPr>
                    <w:tc>
                      <w:tcPr>
                        <w:tcW w:w="3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55"/>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股送红股数（股）</w:t>
                        </w:r>
                      </w:p>
                    </w:tc>
                    <w:tc>
                      <w:tcPr>
                        <w:tcW w:w="57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7"/>
                          <w:ind w:right="20"/>
                          <w:jc w:val="right"/>
                          <w:rPr>
                            <w:rFonts w:ascii="宋体" w:hAnsi="宋体" w:cs="宋体" w:eastAsia="宋体" w:hint="default"/>
                            <w:sz w:val="21"/>
                            <w:szCs w:val="21"/>
                          </w:rPr>
                        </w:pPr>
                        <w:r>
                          <w:rPr>
                            <w:rFonts w:ascii="宋体"/>
                            <w:sz w:val="21"/>
                          </w:rPr>
                          <w:t>0</w:t>
                        </w:r>
                      </w:p>
                    </w:tc>
                  </w:tr>
                  <w:tr>
                    <w:trPr>
                      <w:trHeight w:val="402" w:hRule="exact"/>
                    </w:trPr>
                    <w:tc>
                      <w:tcPr>
                        <w:tcW w:w="3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53"/>
                            <w:sz w:val="21"/>
                            <w:szCs w:val="21"/>
                          </w:rPr>
                          <w:t> </w:t>
                        </w:r>
                        <w:r>
                          <w:rPr>
                            <w:rFonts w:ascii="宋体" w:hAnsi="宋体" w:cs="宋体" w:eastAsia="宋体" w:hint="default"/>
                            <w:spacing w:val="-1"/>
                            <w:sz w:val="21"/>
                            <w:szCs w:val="21"/>
                          </w:rPr>
                          <w:t>1</w:t>
                        </w:r>
                        <w:r>
                          <w:rPr>
                            <w:rFonts w:ascii="宋体" w:hAnsi="宋体" w:cs="宋体" w:eastAsia="宋体" w:hint="default"/>
                            <w:sz w:val="21"/>
                            <w:szCs w:val="21"/>
                          </w:rPr>
                          <w:t>0</w:t>
                        </w:r>
                        <w:r>
                          <w:rPr>
                            <w:rFonts w:ascii="宋体" w:hAnsi="宋体" w:cs="宋体" w:eastAsia="宋体" w:hint="default"/>
                            <w:spacing w:val="-52"/>
                            <w:sz w:val="21"/>
                            <w:szCs w:val="21"/>
                          </w:rPr>
                          <w:t> </w:t>
                        </w:r>
                        <w:r>
                          <w:rPr>
                            <w:rFonts w:ascii="宋体" w:hAnsi="宋体" w:cs="宋体" w:eastAsia="宋体" w:hint="default"/>
                            <w:sz w:val="21"/>
                            <w:szCs w:val="21"/>
                          </w:rPr>
                          <w:t>股派</w:t>
                        </w:r>
                        <w:r>
                          <w:rPr>
                            <w:rFonts w:ascii="宋体" w:hAnsi="宋体" w:cs="宋体" w:eastAsia="宋体" w:hint="default"/>
                            <w:spacing w:val="-2"/>
                            <w:sz w:val="21"/>
                            <w:szCs w:val="21"/>
                          </w:rPr>
                          <w:t>息</w:t>
                        </w:r>
                        <w:r>
                          <w:rPr>
                            <w:rFonts w:ascii="宋体" w:hAnsi="宋体" w:cs="宋体" w:eastAsia="宋体" w:hint="default"/>
                            <w:sz w:val="21"/>
                            <w:szCs w:val="21"/>
                          </w:rPr>
                          <w:t>数（元</w:t>
                        </w:r>
                        <w:r>
                          <w:rPr>
                            <w:rFonts w:ascii="宋体" w:hAnsi="宋体" w:cs="宋体" w:eastAsia="宋体" w:hint="default"/>
                            <w:spacing w:val="-105"/>
                            <w:sz w:val="21"/>
                            <w:szCs w:val="21"/>
                          </w:rPr>
                          <w:t>）</w:t>
                        </w:r>
                        <w:r>
                          <w:rPr>
                            <w:rFonts w:ascii="宋体" w:hAnsi="宋体" w:cs="宋体" w:eastAsia="宋体" w:hint="default"/>
                            <w:sz w:val="21"/>
                            <w:szCs w:val="21"/>
                          </w:rPr>
                          <w:t>（</w:t>
                        </w:r>
                        <w:r>
                          <w:rPr>
                            <w:rFonts w:ascii="宋体" w:hAnsi="宋体" w:cs="宋体" w:eastAsia="宋体" w:hint="default"/>
                            <w:spacing w:val="-2"/>
                            <w:sz w:val="21"/>
                            <w:szCs w:val="21"/>
                          </w:rPr>
                          <w:t>含</w:t>
                        </w:r>
                        <w:r>
                          <w:rPr>
                            <w:rFonts w:ascii="宋体" w:hAnsi="宋体" w:cs="宋体" w:eastAsia="宋体" w:hint="default"/>
                            <w:sz w:val="21"/>
                            <w:szCs w:val="21"/>
                          </w:rPr>
                          <w:t>税）</w:t>
                        </w:r>
                      </w:p>
                    </w:tc>
                    <w:tc>
                      <w:tcPr>
                        <w:tcW w:w="57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0.00</w:t>
                        </w:r>
                      </w:p>
                    </w:tc>
                  </w:tr>
                  <w:tr>
                    <w:trPr>
                      <w:trHeight w:val="402" w:hRule="exact"/>
                    </w:trPr>
                    <w:tc>
                      <w:tcPr>
                        <w:tcW w:w="3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55"/>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股转增数（股）</w:t>
                        </w:r>
                      </w:p>
                    </w:tc>
                    <w:tc>
                      <w:tcPr>
                        <w:tcW w:w="57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0</w:t>
                        </w:r>
                      </w:p>
                    </w:tc>
                  </w:tr>
                  <w:tr>
                    <w:trPr>
                      <w:trHeight w:val="402" w:hRule="exact"/>
                    </w:trPr>
                    <w:tc>
                      <w:tcPr>
                        <w:tcW w:w="3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分配预案的股本基数（股）</w:t>
                        </w:r>
                      </w:p>
                    </w:tc>
                    <w:tc>
                      <w:tcPr>
                        <w:tcW w:w="57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pacing w:val="-1"/>
                            <w:sz w:val="21"/>
                          </w:rPr>
                          <w:t>376,656,420</w:t>
                        </w:r>
                        <w:r>
                          <w:rPr>
                            <w:rFonts w:ascii="宋体"/>
                            <w:sz w:val="21"/>
                          </w:rPr>
                        </w:r>
                      </w:p>
                    </w:tc>
                  </w:tr>
                  <w:tr>
                    <w:trPr>
                      <w:trHeight w:val="402" w:hRule="exact"/>
                    </w:trPr>
                    <w:tc>
                      <w:tcPr>
                        <w:tcW w:w="3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现金分红总额（元</w:t>
                        </w:r>
                        <w:r>
                          <w:rPr>
                            <w:rFonts w:ascii="宋体" w:hAnsi="宋体" w:cs="宋体" w:eastAsia="宋体" w:hint="default"/>
                            <w:spacing w:val="-105"/>
                            <w:sz w:val="21"/>
                            <w:szCs w:val="21"/>
                          </w:rPr>
                          <w:t>）</w:t>
                        </w:r>
                        <w:r>
                          <w:rPr>
                            <w:rFonts w:ascii="宋体" w:hAnsi="宋体" w:cs="宋体" w:eastAsia="宋体" w:hint="default"/>
                            <w:sz w:val="21"/>
                            <w:szCs w:val="21"/>
                          </w:rPr>
                          <w:t>（</w:t>
                        </w:r>
                        <w:r>
                          <w:rPr>
                            <w:rFonts w:ascii="宋体" w:hAnsi="宋体" w:cs="宋体" w:eastAsia="宋体" w:hint="default"/>
                            <w:spacing w:val="-2"/>
                            <w:sz w:val="21"/>
                            <w:szCs w:val="21"/>
                          </w:rPr>
                          <w:t>含</w:t>
                        </w:r>
                        <w:r>
                          <w:rPr>
                            <w:rFonts w:ascii="宋体" w:hAnsi="宋体" w:cs="宋体" w:eastAsia="宋体" w:hint="default"/>
                            <w:sz w:val="21"/>
                            <w:szCs w:val="21"/>
                          </w:rPr>
                          <w:t>税）</w:t>
                        </w:r>
                      </w:p>
                    </w:tc>
                    <w:tc>
                      <w:tcPr>
                        <w:tcW w:w="57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0</w:t>
                        </w:r>
                      </w:p>
                    </w:tc>
                  </w:tr>
                  <w:tr>
                    <w:trPr>
                      <w:trHeight w:val="402" w:hRule="exact"/>
                    </w:trPr>
                    <w:tc>
                      <w:tcPr>
                        <w:tcW w:w="3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可分配利润（元）</w:t>
                        </w:r>
                      </w:p>
                    </w:tc>
                    <w:tc>
                      <w:tcPr>
                        <w:tcW w:w="57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7"/>
                          <w:ind w:right="19"/>
                          <w:jc w:val="right"/>
                          <w:rPr>
                            <w:rFonts w:ascii="宋体" w:hAnsi="宋体" w:cs="宋体" w:eastAsia="宋体" w:hint="default"/>
                            <w:sz w:val="21"/>
                            <w:szCs w:val="21"/>
                          </w:rPr>
                        </w:pPr>
                        <w:r>
                          <w:rPr>
                            <w:rFonts w:ascii="宋体"/>
                            <w:sz w:val="21"/>
                          </w:rPr>
                          <w:t>312,019,530.09</w:t>
                        </w:r>
                      </w:p>
                    </w:tc>
                  </w:tr>
                  <w:tr>
                    <w:trPr>
                      <w:trHeight w:val="402" w:hRule="exact"/>
                    </w:trPr>
                    <w:tc>
                      <w:tcPr>
                        <w:tcW w:w="3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现金分红占利润分配总额的比例</w:t>
                        </w:r>
                      </w:p>
                    </w:tc>
                    <w:tc>
                      <w:tcPr>
                        <w:tcW w:w="57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0%</w:t>
                        </w:r>
                      </w:p>
                    </w:tc>
                  </w:tr>
                  <w:tr>
                    <w:trPr>
                      <w:trHeight w:val="401"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本次现金分红情况</w:t>
                        </w:r>
                      </w:p>
                    </w:tc>
                  </w:tr>
                  <w:tr>
                    <w:trPr>
                      <w:trHeight w:val="403" w:hRule="exact"/>
                    </w:trPr>
                    <w:tc>
                      <w:tcPr>
                        <w:tcW w:w="95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其他</w:t>
                        </w:r>
                      </w:p>
                    </w:tc>
                  </w:tr>
                  <w:tr>
                    <w:trPr>
                      <w:trHeight w:val="401"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574" w:right="0"/>
                          <w:jc w:val="left"/>
                          <w:rPr>
                            <w:rFonts w:ascii="宋体" w:hAnsi="宋体" w:cs="宋体" w:eastAsia="宋体" w:hint="default"/>
                            <w:sz w:val="21"/>
                            <w:szCs w:val="21"/>
                          </w:rPr>
                        </w:pPr>
                        <w:r>
                          <w:rPr>
                            <w:rFonts w:ascii="宋体" w:hAnsi="宋体" w:cs="宋体" w:eastAsia="宋体" w:hint="default"/>
                            <w:sz w:val="21"/>
                            <w:szCs w:val="21"/>
                          </w:rPr>
                          <w:t>利润分配或资本公积金转增预案的详细情况说明</w:t>
                        </w:r>
                      </w:p>
                    </w:tc>
                  </w:tr>
                  <w:tr>
                    <w:trPr>
                      <w:trHeight w:val="1651" w:hRule="exact"/>
                    </w:trPr>
                    <w:tc>
                      <w:tcPr>
                        <w:tcW w:w="95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71" w:lineRule="auto" w:before="27"/>
                          <w:ind w:left="22" w:right="31"/>
                          <w:jc w:val="left"/>
                          <w:rPr>
                            <w:rFonts w:ascii="宋体" w:hAnsi="宋体" w:cs="宋体" w:eastAsia="宋体" w:hint="default"/>
                            <w:sz w:val="21"/>
                            <w:szCs w:val="21"/>
                          </w:rPr>
                        </w:pPr>
                        <w:r>
                          <w:rPr>
                            <w:rFonts w:ascii="宋体" w:hAnsi="宋体" w:cs="宋体" w:eastAsia="宋体" w:hint="default"/>
                            <w:sz w:val="21"/>
                            <w:szCs w:val="21"/>
                          </w:rPr>
                          <w:t>经大华会计师事务所（特殊普通合伙）审计，</w:t>
                        </w:r>
                        <w:r>
                          <w:rPr>
                            <w:rFonts w:ascii="宋体" w:hAnsi="宋体" w:cs="宋体" w:eastAsia="宋体" w:hint="default"/>
                            <w:sz w:val="21"/>
                            <w:szCs w:val="21"/>
                          </w:rPr>
                          <w:t>2017</w:t>
                        </w:r>
                        <w:r>
                          <w:rPr>
                            <w:rFonts w:ascii="宋体" w:hAnsi="宋体" w:cs="宋体" w:eastAsia="宋体" w:hint="default"/>
                            <w:spacing w:val="-55"/>
                            <w:sz w:val="21"/>
                            <w:szCs w:val="21"/>
                          </w:rPr>
                          <w:t> </w:t>
                        </w:r>
                        <w:r>
                          <w:rPr>
                            <w:rFonts w:ascii="宋体" w:hAnsi="宋体" w:cs="宋体" w:eastAsia="宋体" w:hint="default"/>
                            <w:sz w:val="21"/>
                            <w:szCs w:val="21"/>
                          </w:rPr>
                          <w:t>年度母公司实现净利润</w:t>
                        </w:r>
                        <w:r>
                          <w:rPr>
                            <w:rFonts w:ascii="宋体" w:hAnsi="宋体" w:cs="宋体" w:eastAsia="宋体" w:hint="default"/>
                            <w:spacing w:val="-55"/>
                            <w:sz w:val="21"/>
                            <w:szCs w:val="21"/>
                          </w:rPr>
                          <w:t> </w:t>
                        </w:r>
                        <w:r>
                          <w:rPr>
                            <w:rFonts w:ascii="宋体" w:hAnsi="宋体" w:cs="宋体" w:eastAsia="宋体" w:hint="default"/>
                            <w:sz w:val="21"/>
                            <w:szCs w:val="21"/>
                          </w:rPr>
                          <w:t>34,424,203.26</w:t>
                        </w:r>
                        <w:r>
                          <w:rPr>
                            <w:rFonts w:ascii="宋体" w:hAnsi="宋体" w:cs="宋体" w:eastAsia="宋体" w:hint="default"/>
                            <w:spacing w:val="-54"/>
                            <w:sz w:val="21"/>
                            <w:szCs w:val="21"/>
                          </w:rPr>
                          <w:t> </w:t>
                        </w:r>
                        <w:r>
                          <w:rPr>
                            <w:rFonts w:ascii="宋体" w:hAnsi="宋体" w:cs="宋体" w:eastAsia="宋体" w:hint="default"/>
                            <w:sz w:val="21"/>
                            <w:szCs w:val="21"/>
                          </w:rPr>
                          <w:t>元。根据《公 司章程》规定，按</w:t>
                        </w:r>
                        <w:r>
                          <w:rPr>
                            <w:rFonts w:ascii="宋体" w:hAnsi="宋体" w:cs="宋体" w:eastAsia="宋体" w:hint="default"/>
                            <w:spacing w:val="-54"/>
                            <w:sz w:val="21"/>
                            <w:szCs w:val="21"/>
                          </w:rPr>
                          <w:t> </w:t>
                        </w:r>
                        <w:r>
                          <w:rPr>
                            <w:rFonts w:ascii="宋体" w:hAnsi="宋体" w:cs="宋体" w:eastAsia="宋体" w:hint="default"/>
                            <w:sz w:val="21"/>
                            <w:szCs w:val="21"/>
                          </w:rPr>
                          <w:t>10%</w:t>
                        </w:r>
                        <w:r>
                          <w:rPr>
                            <w:rFonts w:ascii="宋体" w:hAnsi="宋体" w:cs="宋体" w:eastAsia="宋体" w:hint="default"/>
                            <w:sz w:val="21"/>
                            <w:szCs w:val="21"/>
                          </w:rPr>
                          <w:t>提取法定公积金</w:t>
                        </w:r>
                        <w:r>
                          <w:rPr>
                            <w:rFonts w:ascii="宋体" w:hAnsi="宋体" w:cs="宋体" w:eastAsia="宋体" w:hint="default"/>
                            <w:spacing w:val="-55"/>
                            <w:sz w:val="21"/>
                            <w:szCs w:val="21"/>
                          </w:rPr>
                          <w:t> </w:t>
                        </w:r>
                        <w:r>
                          <w:rPr>
                            <w:rFonts w:ascii="宋体" w:hAnsi="宋体" w:cs="宋体" w:eastAsia="宋体" w:hint="default"/>
                            <w:sz w:val="21"/>
                            <w:szCs w:val="21"/>
                          </w:rPr>
                          <w:t>3</w:t>
                        </w:r>
                        <w:r>
                          <w:rPr>
                            <w:rFonts w:ascii="宋体" w:hAnsi="宋体" w:cs="宋体" w:eastAsia="宋体" w:hint="default"/>
                            <w:sz w:val="21"/>
                            <w:szCs w:val="21"/>
                          </w:rPr>
                          <w:t>，</w:t>
                        </w:r>
                        <w:r>
                          <w:rPr>
                            <w:rFonts w:ascii="宋体" w:hAnsi="宋体" w:cs="宋体" w:eastAsia="宋体" w:hint="default"/>
                            <w:sz w:val="21"/>
                            <w:szCs w:val="21"/>
                          </w:rPr>
                          <w:t>442</w:t>
                        </w:r>
                        <w:r>
                          <w:rPr>
                            <w:rFonts w:ascii="宋体" w:hAnsi="宋体" w:cs="宋体" w:eastAsia="宋体" w:hint="default"/>
                            <w:sz w:val="21"/>
                            <w:szCs w:val="21"/>
                          </w:rPr>
                          <w:t>，</w:t>
                        </w:r>
                        <w:r>
                          <w:rPr>
                            <w:rFonts w:ascii="宋体" w:hAnsi="宋体" w:cs="宋体" w:eastAsia="宋体" w:hint="default"/>
                            <w:sz w:val="21"/>
                            <w:szCs w:val="21"/>
                          </w:rPr>
                          <w:t>420.33</w:t>
                        </w:r>
                        <w:r>
                          <w:rPr>
                            <w:rFonts w:ascii="宋体" w:hAnsi="宋体" w:cs="宋体" w:eastAsia="宋体" w:hint="default"/>
                            <w:spacing w:val="-55"/>
                            <w:sz w:val="21"/>
                            <w:szCs w:val="21"/>
                          </w:rPr>
                          <w:t> </w:t>
                        </w:r>
                        <w:r>
                          <w:rPr>
                            <w:rFonts w:ascii="宋体" w:hAnsi="宋体" w:cs="宋体" w:eastAsia="宋体" w:hint="default"/>
                            <w:sz w:val="21"/>
                            <w:szCs w:val="21"/>
                          </w:rPr>
                          <w:t>元；加上以前年度未分配利润</w:t>
                        </w:r>
                        <w:r>
                          <w:rPr>
                            <w:rFonts w:ascii="宋体" w:hAnsi="宋体" w:cs="宋体" w:eastAsia="宋体" w:hint="default"/>
                            <w:spacing w:val="-54"/>
                            <w:sz w:val="21"/>
                            <w:szCs w:val="21"/>
                          </w:rPr>
                          <w:t> </w:t>
                        </w:r>
                        <w:r>
                          <w:rPr>
                            <w:rFonts w:ascii="宋体" w:hAnsi="宋体" w:cs="宋体" w:eastAsia="宋体" w:hint="default"/>
                            <w:sz w:val="21"/>
                            <w:szCs w:val="21"/>
                          </w:rPr>
                          <w:t>284,804,311.36 </w:t>
                        </w:r>
                        <w:r>
                          <w:rPr>
                            <w:rFonts w:ascii="宋体" w:hAnsi="宋体" w:cs="宋体" w:eastAsia="宋体" w:hint="default"/>
                            <w:sz w:val="21"/>
                            <w:szCs w:val="21"/>
                          </w:rPr>
                          <w:t>元，减去已分配的现金股利</w:t>
                        </w:r>
                        <w:r>
                          <w:rPr>
                            <w:rFonts w:ascii="宋体" w:hAnsi="宋体" w:cs="宋体" w:eastAsia="宋体" w:hint="default"/>
                            <w:spacing w:val="-65"/>
                            <w:sz w:val="21"/>
                            <w:szCs w:val="21"/>
                          </w:rPr>
                          <w:t> </w:t>
                        </w:r>
                        <w:r>
                          <w:rPr>
                            <w:rFonts w:ascii="宋体" w:hAnsi="宋体" w:cs="宋体" w:eastAsia="宋体" w:hint="default"/>
                            <w:sz w:val="21"/>
                            <w:szCs w:val="21"/>
                          </w:rPr>
                          <w:t>3,766,564.20</w:t>
                        </w:r>
                        <w:r>
                          <w:rPr>
                            <w:rFonts w:ascii="宋体" w:hAnsi="宋体" w:cs="宋体" w:eastAsia="宋体" w:hint="default"/>
                            <w:spacing w:val="-65"/>
                            <w:sz w:val="21"/>
                            <w:szCs w:val="21"/>
                          </w:rPr>
                          <w:t> </w:t>
                        </w:r>
                        <w:r>
                          <w:rPr>
                            <w:rFonts w:ascii="宋体" w:hAnsi="宋体" w:cs="宋体" w:eastAsia="宋体" w:hint="default"/>
                            <w:sz w:val="21"/>
                            <w:szCs w:val="21"/>
                          </w:rPr>
                          <w:t>元，本年度实际可供投资者分配的利润为</w:t>
                        </w:r>
                        <w:r>
                          <w:rPr>
                            <w:rFonts w:ascii="宋体" w:hAnsi="宋体" w:cs="宋体" w:eastAsia="宋体" w:hint="default"/>
                            <w:spacing w:val="-65"/>
                            <w:sz w:val="21"/>
                            <w:szCs w:val="21"/>
                          </w:rPr>
                          <w:t> </w:t>
                        </w:r>
                        <w:r>
                          <w:rPr>
                            <w:rFonts w:ascii="宋体" w:hAnsi="宋体" w:cs="宋体" w:eastAsia="宋体" w:hint="default"/>
                            <w:sz w:val="21"/>
                            <w:szCs w:val="21"/>
                          </w:rPr>
                          <w:t>312,019,530.09</w:t>
                        </w:r>
                        <w:r>
                          <w:rPr>
                            <w:rFonts w:ascii="宋体" w:hAnsi="宋体" w:cs="宋体" w:eastAsia="宋体" w:hint="default"/>
                            <w:spacing w:val="-64"/>
                            <w:sz w:val="21"/>
                            <w:szCs w:val="21"/>
                          </w:rPr>
                          <w:t> </w:t>
                        </w:r>
                        <w:r>
                          <w:rPr>
                            <w:rFonts w:ascii="宋体" w:hAnsi="宋体" w:cs="宋体" w:eastAsia="宋体" w:hint="default"/>
                            <w:sz w:val="21"/>
                            <w:szCs w:val="21"/>
                          </w:rPr>
                          <w:t>元</w:t>
                        </w:r>
                      </w:p>
                      <w:p>
                        <w:pPr>
                          <w:pStyle w:val="TableParagraph"/>
                          <w:spacing w:line="240" w:lineRule="auto" w:before="10"/>
                          <w:ind w:left="22" w:right="-19"/>
                          <w:jc w:val="left"/>
                          <w:rPr>
                            <w:rFonts w:ascii="宋体" w:hAnsi="宋体" w:cs="宋体" w:eastAsia="宋体" w:hint="default"/>
                            <w:sz w:val="21"/>
                            <w:szCs w:val="21"/>
                          </w:rPr>
                        </w:pPr>
                        <w:r>
                          <w:rPr>
                            <w:rFonts w:ascii="宋体" w:hAnsi="宋体" w:cs="宋体" w:eastAsia="宋体" w:hint="default"/>
                            <w:sz w:val="21"/>
                            <w:szCs w:val="21"/>
                          </w:rPr>
                          <w:t>资本公积期末余额为</w:t>
                        </w:r>
                        <w:r>
                          <w:rPr>
                            <w:rFonts w:ascii="宋体" w:hAnsi="宋体" w:cs="宋体" w:eastAsia="宋体" w:hint="default"/>
                            <w:spacing w:val="-52"/>
                            <w:sz w:val="21"/>
                            <w:szCs w:val="21"/>
                          </w:rPr>
                          <w:t> </w:t>
                        </w:r>
                        <w:r>
                          <w:rPr>
                            <w:rFonts w:ascii="宋体" w:hAnsi="宋体" w:cs="宋体" w:eastAsia="宋体" w:hint="default"/>
                            <w:sz w:val="21"/>
                            <w:szCs w:val="21"/>
                          </w:rPr>
                          <w:t>533,365,302.04</w:t>
                        </w:r>
                        <w:r>
                          <w:rPr>
                            <w:rFonts w:ascii="宋体" w:hAnsi="宋体" w:cs="宋体" w:eastAsia="宋体" w:hint="default"/>
                            <w:spacing w:val="-54"/>
                            <w:sz w:val="21"/>
                            <w:szCs w:val="21"/>
                          </w:rPr>
                          <w:t> </w:t>
                        </w:r>
                        <w:r>
                          <w:rPr>
                            <w:rFonts w:ascii="宋体" w:hAnsi="宋体" w:cs="宋体" w:eastAsia="宋体" w:hint="default"/>
                            <w:sz w:val="21"/>
                            <w:szCs w:val="21"/>
                          </w:rPr>
                          <w:t>元。根据公司未来的发展需要，结合目前的经营现状、资金状况，</w:t>
                        </w:r>
                      </w:p>
                      <w:p>
                        <w:pPr>
                          <w:pStyle w:val="TableParagraph"/>
                          <w:spacing w:line="240" w:lineRule="auto" w:before="38"/>
                          <w:ind w:left="22" w:right="-19"/>
                          <w:jc w:val="left"/>
                          <w:rPr>
                            <w:rFonts w:ascii="宋体" w:hAnsi="宋体" w:cs="宋体" w:eastAsia="宋体" w:hint="default"/>
                            <w:sz w:val="21"/>
                            <w:szCs w:val="21"/>
                          </w:rPr>
                        </w:pPr>
                        <w:r>
                          <w:rPr>
                            <w:rFonts w:ascii="宋体" w:hAnsi="宋体" w:cs="宋体" w:eastAsia="宋体" w:hint="default"/>
                            <w:sz w:val="21"/>
                            <w:szCs w:val="21"/>
                          </w:rPr>
                          <w:t>公司董事会决定</w:t>
                        </w:r>
                        <w:r>
                          <w:rPr>
                            <w:rFonts w:ascii="宋体" w:hAnsi="宋体" w:cs="宋体" w:eastAsia="宋体" w:hint="default"/>
                            <w:spacing w:val="-53"/>
                            <w:sz w:val="21"/>
                            <w:szCs w:val="21"/>
                          </w:rPr>
                          <w:t> </w:t>
                        </w: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年度利润分配预案为：本年度不派发现金红利，不送红股，不以公积金转增股本。</w:t>
                        </w:r>
                      </w:p>
                    </w:tc>
                  </w:tr>
                </w:tbl>
                <w:p>
                  <w:pPr/>
                </w:p>
              </w:txbxContent>
            </v:textbox>
            <w10:wrap type="none"/>
          </v:shape>
        </w:pict>
      </w:r>
      <w:r>
        <w:rPr>
          <w:rFonts w:ascii="宋体" w:hAnsi="宋体" w:cs="宋体" w:eastAsia="宋体" w:hint="default"/>
          <w:sz w:val="21"/>
          <w:szCs w:val="21"/>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2"/>
        <w:spacing w:line="240" w:lineRule="auto" w:before="202"/>
        <w:ind w:left="154" w:right="996"/>
        <w:jc w:val="left"/>
        <w:rPr>
          <w:b w:val="0"/>
          <w:bCs w:val="0"/>
        </w:rPr>
      </w:pPr>
      <w:bookmarkStart w:name="三、承诺事项履行情况" w:id="82"/>
      <w:bookmarkEnd w:id="82"/>
      <w:r>
        <w:rPr>
          <w:b w:val="0"/>
          <w:bCs w:val="0"/>
        </w:rPr>
      </w:r>
      <w:r>
        <w:rPr/>
        <w:t>三、承诺事项履行情况</w:t>
      </w:r>
      <w:r>
        <w:rPr>
          <w:b w:val="0"/>
          <w:bCs w:val="0"/>
        </w:rPr>
      </w:r>
    </w:p>
    <w:p>
      <w:pPr>
        <w:spacing w:line="240" w:lineRule="auto" w:before="6"/>
        <w:rPr>
          <w:rFonts w:ascii="宋体" w:hAnsi="宋体" w:cs="宋体" w:eastAsia="宋体" w:hint="default"/>
          <w:b/>
          <w:bCs/>
          <w:sz w:val="32"/>
          <w:szCs w:val="32"/>
        </w:rPr>
      </w:pPr>
    </w:p>
    <w:p>
      <w:pPr>
        <w:pStyle w:val="Heading2"/>
        <w:spacing w:line="350" w:lineRule="auto" w:before="0"/>
        <w:ind w:left="154" w:right="996" w:firstLine="482"/>
        <w:jc w:val="left"/>
        <w:rPr>
          <w:b w:val="0"/>
          <w:bCs w:val="0"/>
        </w:rPr>
      </w:pPr>
      <w:bookmarkStart w:name="1、公司实际控制人、股东、关联方、收购人以及公司等承诺相关方在报告期内履行完毕及" w:id="83"/>
      <w:bookmarkEnd w:id="83"/>
      <w:r>
        <w:rPr>
          <w:b w:val="0"/>
          <w:bCs w:val="0"/>
        </w:rPr>
      </w:r>
      <w:r>
        <w:rPr>
          <w:rFonts w:ascii="宋体" w:hAnsi="宋体" w:cs="宋体" w:eastAsia="宋体" w:hint="default"/>
          <w:spacing w:val="3"/>
          <w:w w:val="95"/>
        </w:rPr>
        <w:t>1</w:t>
      </w:r>
      <w:r>
        <w:rPr>
          <w:spacing w:val="3"/>
          <w:w w:val="95"/>
        </w:rPr>
        <w:t>、公司实际控制人、股东、关联方、收购人以及公司等承诺相关方在报告期内履行完</w:t>
      </w:r>
      <w:r>
        <w:rPr>
          <w:w w:val="99"/>
        </w:rPr>
        <w:t> </w:t>
      </w:r>
      <w:r>
        <w:rPr/>
        <w:t>毕及截至报告期末尚未履行完毕的承诺事项</w:t>
      </w:r>
      <w:r>
        <w:rPr>
          <w:b w:val="0"/>
          <w:bCs w:val="0"/>
        </w:rPr>
      </w:r>
    </w:p>
    <w:p>
      <w:pPr>
        <w:pStyle w:val="BodyText"/>
        <w:spacing w:line="240" w:lineRule="auto" w:before="35"/>
        <w:ind w:left="633" w:right="996"/>
        <w:jc w:val="left"/>
      </w:pPr>
      <w:r>
        <w:rPr/>
        <w:t>√ 适用 □ 不适用</w:t>
      </w:r>
    </w:p>
    <w:p>
      <w:pPr>
        <w:spacing w:line="240" w:lineRule="auto" w:before="6"/>
        <w:rPr>
          <w:rFonts w:ascii="宋体" w:hAnsi="宋体" w:cs="宋体" w:eastAsia="宋体" w:hint="default"/>
          <w:sz w:val="4"/>
          <w:szCs w:val="4"/>
        </w:rPr>
      </w:pPr>
    </w:p>
    <w:tbl>
      <w:tblPr>
        <w:tblW w:w="0" w:type="auto"/>
        <w:jc w:val="left"/>
        <w:tblInd w:w="160" w:type="dxa"/>
        <w:tblLayout w:type="fixed"/>
        <w:tblCellMar>
          <w:top w:w="0" w:type="dxa"/>
          <w:left w:w="0" w:type="dxa"/>
          <w:bottom w:w="0" w:type="dxa"/>
          <w:right w:w="0" w:type="dxa"/>
        </w:tblCellMar>
        <w:tblLook w:val="01E0"/>
      </w:tblPr>
      <w:tblGrid>
        <w:gridCol w:w="1202"/>
        <w:gridCol w:w="666"/>
        <w:gridCol w:w="877"/>
        <w:gridCol w:w="3891"/>
        <w:gridCol w:w="609"/>
        <w:gridCol w:w="1319"/>
        <w:gridCol w:w="1093"/>
      </w:tblGrid>
      <w:tr>
        <w:trPr>
          <w:trHeight w:val="161" w:hRule="exact"/>
        </w:trPr>
        <w:tc>
          <w:tcPr>
            <w:tcW w:w="1202" w:type="dxa"/>
            <w:tcBorders>
              <w:top w:val="single" w:sz="4" w:space="0" w:color="000000"/>
              <w:left w:val="single" w:sz="4" w:space="0" w:color="000000"/>
              <w:bottom w:val="nil" w:sz="6" w:space="0" w:color="auto"/>
              <w:right w:val="single" w:sz="4" w:space="0" w:color="000000"/>
            </w:tcBorders>
            <w:shd w:val="clear" w:color="auto" w:fill="D2D2D2"/>
          </w:tcPr>
          <w:p>
            <w:pPr/>
          </w:p>
        </w:tc>
        <w:tc>
          <w:tcPr>
            <w:tcW w:w="666"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26"/>
              <w:ind w:left="222" w:right="116" w:hanging="105"/>
              <w:jc w:val="left"/>
              <w:rPr>
                <w:rFonts w:ascii="宋体" w:hAnsi="宋体" w:cs="宋体" w:eastAsia="宋体" w:hint="default"/>
                <w:sz w:val="21"/>
                <w:szCs w:val="21"/>
              </w:rPr>
            </w:pPr>
            <w:r>
              <w:rPr>
                <w:rFonts w:ascii="宋体" w:hAnsi="宋体" w:cs="宋体" w:eastAsia="宋体" w:hint="default"/>
                <w:sz w:val="21"/>
                <w:szCs w:val="21"/>
              </w:rPr>
              <w:t>承诺 方</w:t>
            </w:r>
          </w:p>
        </w:tc>
        <w:tc>
          <w:tcPr>
            <w:tcW w:w="877"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26"/>
              <w:ind w:left="328" w:right="116" w:hanging="210"/>
              <w:jc w:val="left"/>
              <w:rPr>
                <w:rFonts w:ascii="宋体" w:hAnsi="宋体" w:cs="宋体" w:eastAsia="宋体" w:hint="default"/>
                <w:sz w:val="21"/>
                <w:szCs w:val="21"/>
              </w:rPr>
            </w:pPr>
            <w:r>
              <w:rPr>
                <w:rFonts w:ascii="宋体" w:hAnsi="宋体" w:cs="宋体" w:eastAsia="宋体" w:hint="default"/>
                <w:sz w:val="21"/>
                <w:szCs w:val="21"/>
              </w:rPr>
              <w:t>承诺类 型</w:t>
            </w:r>
          </w:p>
        </w:tc>
        <w:tc>
          <w:tcPr>
            <w:tcW w:w="38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承诺内容</w:t>
            </w:r>
          </w:p>
        </w:tc>
        <w:tc>
          <w:tcPr>
            <w:tcW w:w="609"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26"/>
              <w:ind w:left="90" w:right="87"/>
              <w:jc w:val="left"/>
              <w:rPr>
                <w:rFonts w:ascii="宋体" w:hAnsi="宋体" w:cs="宋体" w:eastAsia="宋体" w:hint="default"/>
                <w:sz w:val="21"/>
                <w:szCs w:val="21"/>
              </w:rPr>
            </w:pPr>
            <w:r>
              <w:rPr>
                <w:rFonts w:ascii="宋体" w:hAnsi="宋体" w:cs="宋体" w:eastAsia="宋体" w:hint="default"/>
                <w:sz w:val="21"/>
                <w:szCs w:val="21"/>
              </w:rPr>
              <w:t>承诺 时间</w:t>
            </w:r>
          </w:p>
        </w:tc>
        <w:tc>
          <w:tcPr>
            <w:tcW w:w="131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33" w:right="0"/>
              <w:jc w:val="left"/>
              <w:rPr>
                <w:rFonts w:ascii="宋体" w:hAnsi="宋体" w:cs="宋体" w:eastAsia="宋体" w:hint="default"/>
                <w:sz w:val="21"/>
                <w:szCs w:val="21"/>
              </w:rPr>
            </w:pPr>
            <w:r>
              <w:rPr>
                <w:rFonts w:ascii="宋体" w:hAnsi="宋体" w:cs="宋体" w:eastAsia="宋体" w:hint="default"/>
                <w:sz w:val="21"/>
                <w:szCs w:val="21"/>
              </w:rPr>
              <w:t>承诺期限</w:t>
            </w:r>
          </w:p>
        </w:tc>
        <w:tc>
          <w:tcPr>
            <w:tcW w:w="10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121" w:right="0"/>
              <w:jc w:val="left"/>
              <w:rPr>
                <w:rFonts w:ascii="宋体" w:hAnsi="宋体" w:cs="宋体" w:eastAsia="宋体" w:hint="default"/>
                <w:sz w:val="21"/>
                <w:szCs w:val="21"/>
              </w:rPr>
            </w:pPr>
            <w:r>
              <w:rPr>
                <w:rFonts w:ascii="宋体" w:hAnsi="宋体" w:cs="宋体" w:eastAsia="宋体" w:hint="default"/>
                <w:sz w:val="21"/>
                <w:szCs w:val="21"/>
              </w:rPr>
              <w:t>履行情况</w:t>
            </w:r>
          </w:p>
        </w:tc>
      </w:tr>
      <w:tr>
        <w:trPr>
          <w:trHeight w:val="392" w:hRule="exact"/>
        </w:trPr>
        <w:tc>
          <w:tcPr>
            <w:tcW w:w="120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6"/>
              <w:ind w:left="169" w:right="0"/>
              <w:jc w:val="left"/>
              <w:rPr>
                <w:rFonts w:ascii="宋体" w:hAnsi="宋体" w:cs="宋体" w:eastAsia="宋体" w:hint="default"/>
                <w:sz w:val="21"/>
                <w:szCs w:val="21"/>
              </w:rPr>
            </w:pPr>
            <w:r>
              <w:rPr>
                <w:rFonts w:ascii="宋体" w:hAnsi="宋体" w:cs="宋体" w:eastAsia="宋体" w:hint="default"/>
                <w:sz w:val="21"/>
                <w:szCs w:val="21"/>
              </w:rPr>
              <w:t>承诺事由</w:t>
            </w:r>
          </w:p>
        </w:tc>
        <w:tc>
          <w:tcPr>
            <w:tcW w:w="666" w:type="dxa"/>
            <w:vMerge/>
            <w:tcBorders>
              <w:left w:val="single" w:sz="4" w:space="0" w:color="000000"/>
              <w:right w:val="single" w:sz="4" w:space="0" w:color="000000"/>
            </w:tcBorders>
            <w:shd w:val="clear" w:color="auto" w:fill="D2D2D2"/>
          </w:tcPr>
          <w:p>
            <w:pPr/>
          </w:p>
        </w:tc>
        <w:tc>
          <w:tcPr>
            <w:tcW w:w="877" w:type="dxa"/>
            <w:vMerge/>
            <w:tcBorders>
              <w:left w:val="single" w:sz="4" w:space="0" w:color="000000"/>
              <w:right w:val="single" w:sz="4" w:space="0" w:color="000000"/>
            </w:tcBorders>
            <w:shd w:val="clear" w:color="auto" w:fill="D2D2D2"/>
          </w:tcPr>
          <w:p>
            <w:pPr/>
          </w:p>
        </w:tc>
        <w:tc>
          <w:tcPr>
            <w:tcW w:w="3891" w:type="dxa"/>
            <w:vMerge/>
            <w:tcBorders>
              <w:left w:val="single" w:sz="4" w:space="0" w:color="000000"/>
              <w:right w:val="single" w:sz="4" w:space="0" w:color="000000"/>
            </w:tcBorders>
            <w:shd w:val="clear" w:color="auto" w:fill="D2D2D2"/>
          </w:tcPr>
          <w:p>
            <w:pPr/>
          </w:p>
        </w:tc>
        <w:tc>
          <w:tcPr>
            <w:tcW w:w="609" w:type="dxa"/>
            <w:vMerge/>
            <w:tcBorders>
              <w:left w:val="single" w:sz="4" w:space="0" w:color="000000"/>
              <w:right w:val="single" w:sz="4" w:space="0" w:color="000000"/>
            </w:tcBorders>
            <w:shd w:val="clear" w:color="auto" w:fill="D2D2D2"/>
          </w:tcPr>
          <w:p>
            <w:pPr/>
          </w:p>
        </w:tc>
        <w:tc>
          <w:tcPr>
            <w:tcW w:w="1319" w:type="dxa"/>
            <w:vMerge/>
            <w:tcBorders>
              <w:left w:val="single" w:sz="4" w:space="0" w:color="000000"/>
              <w:right w:val="single" w:sz="4" w:space="0" w:color="000000"/>
            </w:tcBorders>
            <w:shd w:val="clear" w:color="auto" w:fill="D2D2D2"/>
          </w:tcPr>
          <w:p>
            <w:pPr/>
          </w:p>
        </w:tc>
        <w:tc>
          <w:tcPr>
            <w:tcW w:w="1093" w:type="dxa"/>
            <w:vMerge/>
            <w:tcBorders>
              <w:left w:val="single" w:sz="4" w:space="0" w:color="000000"/>
              <w:right w:val="single" w:sz="4" w:space="0" w:color="000000"/>
            </w:tcBorders>
            <w:shd w:val="clear" w:color="auto" w:fill="D2D2D2"/>
          </w:tcPr>
          <w:p>
            <w:pPr/>
          </w:p>
        </w:tc>
      </w:tr>
      <w:tr>
        <w:trPr>
          <w:trHeight w:val="161" w:hRule="exact"/>
        </w:trPr>
        <w:tc>
          <w:tcPr>
            <w:tcW w:w="1202" w:type="dxa"/>
            <w:tcBorders>
              <w:top w:val="nil" w:sz="6" w:space="0" w:color="auto"/>
              <w:left w:val="single" w:sz="4" w:space="0" w:color="000000"/>
              <w:bottom w:val="single" w:sz="4" w:space="0" w:color="000000"/>
              <w:right w:val="single" w:sz="4" w:space="0" w:color="000000"/>
            </w:tcBorders>
            <w:shd w:val="clear" w:color="auto" w:fill="D2D2D2"/>
          </w:tcPr>
          <w:p>
            <w:pPr/>
          </w:p>
        </w:tc>
        <w:tc>
          <w:tcPr>
            <w:tcW w:w="666" w:type="dxa"/>
            <w:vMerge/>
            <w:tcBorders>
              <w:left w:val="single" w:sz="4" w:space="0" w:color="000000"/>
              <w:bottom w:val="single" w:sz="4" w:space="0" w:color="000000"/>
              <w:right w:val="single" w:sz="4" w:space="0" w:color="000000"/>
            </w:tcBorders>
            <w:shd w:val="clear" w:color="auto" w:fill="D2D2D2"/>
          </w:tcPr>
          <w:p>
            <w:pPr/>
          </w:p>
        </w:tc>
        <w:tc>
          <w:tcPr>
            <w:tcW w:w="877" w:type="dxa"/>
            <w:vMerge/>
            <w:tcBorders>
              <w:left w:val="single" w:sz="4" w:space="0" w:color="000000"/>
              <w:bottom w:val="single" w:sz="4" w:space="0" w:color="000000"/>
              <w:right w:val="single" w:sz="4" w:space="0" w:color="000000"/>
            </w:tcBorders>
            <w:shd w:val="clear" w:color="auto" w:fill="D2D2D2"/>
          </w:tcPr>
          <w:p>
            <w:pPr/>
          </w:p>
        </w:tc>
        <w:tc>
          <w:tcPr>
            <w:tcW w:w="3891" w:type="dxa"/>
            <w:vMerge/>
            <w:tcBorders>
              <w:left w:val="single" w:sz="4" w:space="0" w:color="000000"/>
              <w:bottom w:val="single" w:sz="4" w:space="0" w:color="000000"/>
              <w:right w:val="single" w:sz="4" w:space="0" w:color="000000"/>
            </w:tcBorders>
            <w:shd w:val="clear" w:color="auto" w:fill="D2D2D2"/>
          </w:tcPr>
          <w:p>
            <w:pPr/>
          </w:p>
        </w:tc>
        <w:tc>
          <w:tcPr>
            <w:tcW w:w="609" w:type="dxa"/>
            <w:vMerge/>
            <w:tcBorders>
              <w:left w:val="single" w:sz="4" w:space="0" w:color="000000"/>
              <w:bottom w:val="single" w:sz="4" w:space="0" w:color="000000"/>
              <w:right w:val="single" w:sz="4" w:space="0" w:color="000000"/>
            </w:tcBorders>
            <w:shd w:val="clear" w:color="auto" w:fill="D2D2D2"/>
          </w:tcPr>
          <w:p>
            <w:pPr/>
          </w:p>
        </w:tc>
        <w:tc>
          <w:tcPr>
            <w:tcW w:w="1319" w:type="dxa"/>
            <w:vMerge/>
            <w:tcBorders>
              <w:left w:val="single" w:sz="4" w:space="0" w:color="000000"/>
              <w:bottom w:val="single" w:sz="4" w:space="0" w:color="000000"/>
              <w:right w:val="single" w:sz="4" w:space="0" w:color="000000"/>
            </w:tcBorders>
            <w:shd w:val="clear" w:color="auto" w:fill="D2D2D2"/>
          </w:tcPr>
          <w:p>
            <w:pPr/>
          </w:p>
        </w:tc>
        <w:tc>
          <w:tcPr>
            <w:tcW w:w="1093"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股改承诺</w:t>
            </w:r>
          </w:p>
        </w:tc>
        <w:tc>
          <w:tcPr>
            <w:tcW w:w="666" w:type="dxa"/>
            <w:tcBorders>
              <w:top w:val="single" w:sz="4" w:space="0" w:color="000000"/>
              <w:left w:val="single" w:sz="13" w:space="0" w:color="D2D2D2"/>
              <w:bottom w:val="single" w:sz="4" w:space="0" w:color="000000"/>
              <w:right w:val="single" w:sz="4" w:space="0" w:color="000000"/>
            </w:tcBorders>
          </w:tcPr>
          <w:p>
            <w:pPr/>
          </w:p>
        </w:tc>
        <w:tc>
          <w:tcPr>
            <w:tcW w:w="877" w:type="dxa"/>
            <w:tcBorders>
              <w:top w:val="single" w:sz="4" w:space="0" w:color="000000"/>
              <w:left w:val="single" w:sz="4" w:space="0" w:color="000000"/>
              <w:bottom w:val="single" w:sz="4" w:space="0" w:color="000000"/>
              <w:right w:val="single" w:sz="4" w:space="0" w:color="000000"/>
            </w:tcBorders>
          </w:tcPr>
          <w:p>
            <w:pPr/>
          </w:p>
        </w:tc>
        <w:tc>
          <w:tcPr>
            <w:tcW w:w="3891" w:type="dxa"/>
            <w:tcBorders>
              <w:top w:val="single" w:sz="4" w:space="0" w:color="000000"/>
              <w:left w:val="single" w:sz="4" w:space="0" w:color="000000"/>
              <w:bottom w:val="single" w:sz="4" w:space="0" w:color="000000"/>
              <w:right w:val="single" w:sz="4" w:space="0" w:color="000000"/>
            </w:tcBorders>
          </w:tcPr>
          <w:p>
            <w:pPr/>
          </w:p>
        </w:tc>
        <w:tc>
          <w:tcPr>
            <w:tcW w:w="609" w:type="dxa"/>
            <w:tcBorders>
              <w:top w:val="single" w:sz="4" w:space="0" w:color="000000"/>
              <w:left w:val="single" w:sz="4" w:space="0" w:color="000000"/>
              <w:bottom w:val="single" w:sz="4" w:space="0" w:color="000000"/>
              <w:right w:val="single" w:sz="4" w:space="0" w:color="000000"/>
            </w:tcBorders>
          </w:tcPr>
          <w:p>
            <w:pPr/>
          </w:p>
        </w:tc>
        <w:tc>
          <w:tcPr>
            <w:tcW w:w="1319" w:type="dxa"/>
            <w:tcBorders>
              <w:top w:val="single" w:sz="4" w:space="0" w:color="000000"/>
              <w:left w:val="single" w:sz="4" w:space="0" w:color="000000"/>
              <w:bottom w:val="single" w:sz="4" w:space="0" w:color="000000"/>
              <w:right w:val="single" w:sz="4" w:space="0" w:color="000000"/>
            </w:tcBorders>
          </w:tcPr>
          <w:p>
            <w:pPr/>
          </w:p>
        </w:tc>
        <w:tc>
          <w:tcPr>
            <w:tcW w:w="109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214"/>
        <w:gridCol w:w="666"/>
        <w:gridCol w:w="876"/>
        <w:gridCol w:w="3891"/>
        <w:gridCol w:w="609"/>
        <w:gridCol w:w="1319"/>
        <w:gridCol w:w="1093"/>
      </w:tblGrid>
      <w:tr>
        <w:trPr>
          <w:trHeight w:val="4770" w:hRule="exact"/>
        </w:trPr>
        <w:tc>
          <w:tcPr>
            <w:tcW w:w="12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3" w:lineRule="auto" w:before="132"/>
              <w:ind w:left="22" w:right="128"/>
              <w:jc w:val="both"/>
              <w:rPr>
                <w:rFonts w:ascii="宋体" w:hAnsi="宋体" w:cs="宋体" w:eastAsia="宋体" w:hint="default"/>
                <w:sz w:val="21"/>
                <w:szCs w:val="21"/>
              </w:rPr>
            </w:pPr>
            <w:r>
              <w:rPr>
                <w:rFonts w:ascii="宋体" w:hAnsi="宋体" w:cs="宋体" w:eastAsia="宋体" w:hint="default"/>
                <w:sz w:val="21"/>
                <w:szCs w:val="21"/>
              </w:rPr>
              <w:t>收购报告书 或权益变动 报告书中所 作承诺</w:t>
            </w:r>
          </w:p>
        </w:tc>
        <w:tc>
          <w:tcPr>
            <w:tcW w:w="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5"/>
                <w:szCs w:val="25"/>
              </w:rPr>
            </w:pPr>
          </w:p>
          <w:p>
            <w:pPr>
              <w:pStyle w:val="TableParagraph"/>
              <w:spacing w:line="273" w:lineRule="auto"/>
              <w:ind w:left="22" w:right="21"/>
              <w:jc w:val="left"/>
              <w:rPr>
                <w:rFonts w:ascii="宋体" w:hAnsi="宋体" w:cs="宋体" w:eastAsia="宋体" w:hint="default"/>
                <w:sz w:val="21"/>
                <w:szCs w:val="21"/>
              </w:rPr>
            </w:pPr>
            <w:r>
              <w:rPr>
                <w:rFonts w:ascii="宋体" w:hAnsi="宋体" w:cs="宋体" w:eastAsia="宋体" w:hint="default"/>
                <w:sz w:val="21"/>
                <w:szCs w:val="21"/>
              </w:rPr>
              <w:t>李海 </w:t>
            </w:r>
            <w:r>
              <w:rPr>
                <w:rFonts w:ascii="宋体" w:hAnsi="宋体" w:cs="宋体" w:eastAsia="宋体" w:hint="default"/>
                <w:spacing w:val="-7"/>
                <w:sz w:val="21"/>
                <w:szCs w:val="21"/>
              </w:rPr>
              <w:t>鹰、袁</w:t>
            </w:r>
            <w:r>
              <w:rPr>
                <w:rFonts w:ascii="宋体" w:hAnsi="宋体" w:cs="宋体" w:eastAsia="宋体" w:hint="default"/>
                <w:sz w:val="21"/>
                <w:szCs w:val="21"/>
              </w:rPr>
              <w:t> 亚琴</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3" w:lineRule="auto" w:before="124"/>
              <w:ind w:left="22" w:right="1"/>
              <w:jc w:val="left"/>
              <w:rPr>
                <w:rFonts w:ascii="宋体" w:hAnsi="宋体" w:cs="宋体" w:eastAsia="宋体" w:hint="default"/>
                <w:sz w:val="21"/>
                <w:szCs w:val="21"/>
              </w:rPr>
            </w:pPr>
            <w:r>
              <w:rPr>
                <w:rFonts w:ascii="宋体" w:hAnsi="宋体" w:cs="宋体" w:eastAsia="宋体" w:hint="default"/>
                <w:sz w:val="21"/>
                <w:szCs w:val="21"/>
              </w:rPr>
              <w:t>关于同 业竞争、 关联交 </w:t>
            </w:r>
            <w:r>
              <w:rPr>
                <w:rFonts w:ascii="宋体" w:hAnsi="宋体" w:cs="宋体" w:eastAsia="宋体" w:hint="default"/>
                <w:spacing w:val="-6"/>
                <w:sz w:val="21"/>
                <w:szCs w:val="21"/>
              </w:rPr>
              <w:t>易、资金</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占用方 面的承</w:t>
            </w:r>
          </w:p>
          <w:p>
            <w:pPr>
              <w:pStyle w:val="TableParagraph"/>
              <w:spacing w:line="240" w:lineRule="auto" w:before="9"/>
              <w:ind w:left="22" w:right="0"/>
              <w:jc w:val="left"/>
              <w:rPr>
                <w:rFonts w:ascii="宋体" w:hAnsi="宋体" w:cs="宋体" w:eastAsia="宋体" w:hint="default"/>
                <w:sz w:val="21"/>
                <w:szCs w:val="21"/>
              </w:rPr>
            </w:pPr>
            <w:r>
              <w:rPr>
                <w:rFonts w:ascii="宋体" w:hAnsi="宋体" w:cs="宋体" w:eastAsia="宋体" w:hint="default"/>
                <w:sz w:val="21"/>
                <w:szCs w:val="21"/>
              </w:rPr>
              <w:t>诺</w:t>
            </w:r>
          </w:p>
        </w:tc>
        <w:tc>
          <w:tcPr>
            <w:tcW w:w="3891" w:type="dxa"/>
            <w:tcBorders>
              <w:top w:val="single" w:sz="4" w:space="0" w:color="000000"/>
              <w:left w:val="single" w:sz="4" w:space="0" w:color="000000"/>
              <w:bottom w:val="single" w:sz="4" w:space="0" w:color="000000"/>
              <w:right w:val="single" w:sz="13" w:space="0" w:color="FFFFFF"/>
            </w:tcBorders>
          </w:tcPr>
          <w:p>
            <w:pPr>
              <w:pStyle w:val="TableParagraph"/>
              <w:spacing w:line="273" w:lineRule="auto" w:before="26"/>
              <w:ind w:left="22" w:right="7"/>
              <w:jc w:val="left"/>
              <w:rPr>
                <w:rFonts w:ascii="宋体" w:hAnsi="宋体" w:cs="宋体" w:eastAsia="宋体" w:hint="default"/>
                <w:sz w:val="21"/>
                <w:szCs w:val="21"/>
              </w:rPr>
            </w:pPr>
            <w:r>
              <w:rPr>
                <w:rFonts w:ascii="宋体" w:hAnsi="宋体" w:cs="宋体" w:eastAsia="宋体" w:hint="default"/>
                <w:spacing w:val="-3"/>
                <w:sz w:val="21"/>
                <w:szCs w:val="21"/>
              </w:rPr>
              <w:t>1</w:t>
            </w:r>
            <w:r>
              <w:rPr>
                <w:rFonts w:ascii="宋体" w:hAnsi="宋体" w:cs="宋体" w:eastAsia="宋体" w:hint="default"/>
                <w:spacing w:val="-3"/>
                <w:sz w:val="21"/>
                <w:szCs w:val="21"/>
              </w:rPr>
              <w:t>、在持有辉煌科技股权或担任辉煌科技董</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事、监事、高级管理人员或核心技术人员 期间及法定期限内，不经营或投资于任何 与辉煌科技主营业务构成同业竞争的企 </w:t>
            </w:r>
            <w:r>
              <w:rPr>
                <w:rFonts w:ascii="宋体" w:hAnsi="宋体" w:cs="宋体" w:eastAsia="宋体" w:hint="default"/>
                <w:spacing w:val="-3"/>
                <w:sz w:val="21"/>
                <w:szCs w:val="21"/>
              </w:rPr>
              <w:t>业。</w:t>
            </w:r>
            <w:r>
              <w:rPr>
                <w:rFonts w:ascii="宋体" w:hAnsi="宋体" w:cs="宋体" w:eastAsia="宋体" w:hint="default"/>
                <w:spacing w:val="-3"/>
                <w:sz w:val="21"/>
                <w:szCs w:val="21"/>
              </w:rPr>
              <w:t>2</w:t>
            </w:r>
            <w:r>
              <w:rPr>
                <w:rFonts w:ascii="宋体" w:hAnsi="宋体" w:cs="宋体" w:eastAsia="宋体" w:hint="default"/>
                <w:spacing w:val="-3"/>
                <w:sz w:val="21"/>
                <w:szCs w:val="21"/>
              </w:rPr>
              <w:t>、如果本人（包括本人近亲属）与辉</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煌科技不可避免地出现关联交易，将根据</w:t>
            </w:r>
          </w:p>
          <w:p>
            <w:pPr>
              <w:pStyle w:val="TableParagraph"/>
              <w:spacing w:line="273" w:lineRule="auto" w:before="7"/>
              <w:ind w:left="22" w:right="-39"/>
              <w:jc w:val="left"/>
              <w:rPr>
                <w:rFonts w:ascii="宋体" w:hAnsi="宋体" w:cs="宋体" w:eastAsia="宋体" w:hint="default"/>
                <w:sz w:val="21"/>
                <w:szCs w:val="21"/>
              </w:rPr>
            </w:pPr>
            <w:r>
              <w:rPr>
                <w:rFonts w:ascii="宋体" w:hAnsi="宋体" w:cs="宋体" w:eastAsia="宋体" w:hint="default"/>
                <w:sz w:val="21"/>
                <w:szCs w:val="21"/>
              </w:rPr>
              <w:t>《公司法》和辉煌科技《公司章程》的规 定，依照市场规则，本着一般商业原则， </w:t>
            </w:r>
            <w:r>
              <w:rPr>
                <w:rFonts w:ascii="宋体" w:hAnsi="宋体" w:cs="宋体" w:eastAsia="宋体" w:hint="default"/>
                <w:spacing w:val="-3"/>
                <w:sz w:val="21"/>
                <w:szCs w:val="21"/>
              </w:rPr>
              <w:t>通过签订书面协议，公平合理地进行交易</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以维护辉煌科技及所有股东的利益，将不 利用本人在辉煌科技中的地位，为本人及 本人近亲属在与辉煌科技的关联交易中谋 取不正当利益。</w:t>
            </w:r>
            <w:r>
              <w:rPr>
                <w:rFonts w:ascii="宋体" w:hAnsi="宋体" w:cs="宋体" w:eastAsia="宋体" w:hint="default"/>
                <w:sz w:val="21"/>
                <w:szCs w:val="21"/>
              </w:rPr>
              <w:t>3</w:t>
            </w:r>
            <w:r>
              <w:rPr>
                <w:rFonts w:ascii="宋体" w:hAnsi="宋体" w:cs="宋体" w:eastAsia="宋体" w:hint="default"/>
                <w:sz w:val="21"/>
                <w:szCs w:val="21"/>
              </w:rPr>
              <w:t>、作为辉煌科技的股东， 本人及本人的关联方不存在违规占用辉煌 科技资金、资产和其他资源的情形。</w:t>
            </w:r>
          </w:p>
        </w:tc>
        <w:tc>
          <w:tcPr>
            <w:tcW w:w="609"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2"/>
              <w:ind w:left="11" w:right="0"/>
              <w:jc w:val="left"/>
              <w:rPr>
                <w:rFonts w:ascii="宋体" w:hAnsi="宋体" w:cs="宋体" w:eastAsia="宋体" w:hint="default"/>
                <w:sz w:val="21"/>
                <w:szCs w:val="21"/>
              </w:rPr>
            </w:pPr>
            <w:r>
              <w:rPr>
                <w:rFonts w:ascii="宋体"/>
                <w:sz w:val="21"/>
              </w:rPr>
              <w:t>2015</w:t>
            </w:r>
          </w:p>
          <w:p>
            <w:pPr>
              <w:pStyle w:val="TableParagraph"/>
              <w:spacing w:line="240" w:lineRule="auto" w:before="37"/>
              <w:ind w:left="11" w:right="0"/>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11</w:t>
            </w:r>
          </w:p>
          <w:p>
            <w:pPr>
              <w:pStyle w:val="TableParagraph"/>
              <w:spacing w:line="215" w:lineRule="exact" w:before="37"/>
              <w:ind w:left="11"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17</w:t>
            </w:r>
          </w:p>
          <w:p>
            <w:pPr>
              <w:pStyle w:val="TableParagraph"/>
              <w:spacing w:line="157" w:lineRule="exact"/>
              <w:ind w:left="-151" w:right="0"/>
              <w:jc w:val="left"/>
              <w:rPr>
                <w:rFonts w:ascii="宋体" w:hAnsi="宋体" w:cs="宋体" w:eastAsia="宋体" w:hint="default"/>
                <w:sz w:val="21"/>
                <w:szCs w:val="21"/>
              </w:rPr>
            </w:pPr>
            <w:r>
              <w:rPr>
                <w:rFonts w:ascii="宋体" w:hAnsi="宋体" w:cs="宋体" w:eastAsia="宋体" w:hint="default"/>
                <w:sz w:val="21"/>
                <w:szCs w:val="21"/>
              </w:rPr>
              <w:t>，</w:t>
            </w:r>
          </w:p>
          <w:p>
            <w:pPr>
              <w:pStyle w:val="TableParagraph"/>
              <w:spacing w:line="216" w:lineRule="exact"/>
              <w:ind w:left="11" w:right="0"/>
              <w:jc w:val="left"/>
              <w:rPr>
                <w:rFonts w:ascii="宋体" w:hAnsi="宋体" w:cs="宋体" w:eastAsia="宋体" w:hint="default"/>
                <w:sz w:val="21"/>
                <w:szCs w:val="21"/>
              </w:rPr>
            </w:pPr>
            <w:r>
              <w:rPr>
                <w:rFonts w:ascii="宋体" w:hAnsi="宋体" w:cs="宋体" w:eastAsia="宋体" w:hint="default"/>
                <w:sz w:val="21"/>
                <w:szCs w:val="21"/>
              </w:rPr>
              <w:t>日</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7"/>
                <w:szCs w:val="27"/>
              </w:rPr>
            </w:pPr>
          </w:p>
          <w:p>
            <w:pPr>
              <w:pStyle w:val="TableParagraph"/>
              <w:spacing w:line="663" w:lineRule="exact"/>
              <w:ind w:left="12" w:right="-28"/>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2"/>
                <w:sz w:val="20"/>
                <w:szCs w:val="20"/>
              </w:rPr>
              <w:pict>
                <v:group style="width:27.65pt;height:33.2pt;mso-position-horizontal-relative:char;mso-position-vertical-relative:line" coordorigin="0,0" coordsize="553,664">
                  <v:group style="position:absolute;left:0;top:0;width:553;height:312" coordorigin="0,0" coordsize="553,312">
                    <v:shape style="position:absolute;left:0;top:0;width:553;height:312" coordorigin="0,0" coordsize="553,312" path="m0,312l552,312,552,0,0,0,0,312xe" filled="true" fillcolor="#ffffff" stroked="false">
                      <v:path arrowok="t"/>
                      <v:fill type="solid"/>
                    </v:shape>
                  </v:group>
                  <v:group style="position:absolute;left:0;top:312;width:553;height:352" coordorigin="0,312" coordsize="553,352">
                    <v:shape style="position:absolute;left:0;top:312;width:553;height:352" coordorigin="0,312" coordsize="553,352" path="m0,664l552,664,552,312,0,312,0,664xe" filled="true" fillcolor="#ffffff" stroked="false">
                      <v:path arrowok="t"/>
                      <v:fill type="solid"/>
                    </v:shape>
                  </v:group>
                </v:group>
              </w:pict>
            </w:r>
            <w:r>
              <w:rPr>
                <w:rFonts w:ascii="Times New Roman" w:hAnsi="Times New Roman" w:cs="Times New Roman" w:eastAsia="Times New Roman" w:hint="default"/>
                <w:position w:val="-12"/>
                <w:sz w:val="20"/>
                <w:szCs w:val="20"/>
              </w:rPr>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9"/>
                <w:szCs w:val="29"/>
              </w:rPr>
            </w:pPr>
          </w:p>
        </w:tc>
        <w:tc>
          <w:tcPr>
            <w:tcW w:w="1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3" w:lineRule="auto" w:before="132"/>
              <w:ind w:left="22" w:right="24"/>
              <w:jc w:val="left"/>
              <w:rPr>
                <w:rFonts w:ascii="宋体" w:hAnsi="宋体" w:cs="宋体" w:eastAsia="宋体" w:hint="default"/>
                <w:sz w:val="21"/>
                <w:szCs w:val="21"/>
              </w:rPr>
            </w:pPr>
            <w:r>
              <w:rPr>
                <w:rFonts w:ascii="宋体" w:hAnsi="宋体" w:cs="宋体" w:eastAsia="宋体" w:hint="default"/>
                <w:sz w:val="21"/>
                <w:szCs w:val="21"/>
              </w:rPr>
              <w:t>认购辉煌科技 </w:t>
            </w:r>
            <w:r>
              <w:rPr>
                <w:rFonts w:ascii="宋体" w:hAnsi="宋体" w:cs="宋体" w:eastAsia="宋体" w:hint="default"/>
                <w:sz w:val="21"/>
                <w:szCs w:val="21"/>
              </w:rPr>
              <w:t>2015</w:t>
            </w:r>
            <w:r>
              <w:rPr>
                <w:rFonts w:ascii="宋体" w:hAnsi="宋体" w:cs="宋体" w:eastAsia="宋体" w:hint="default"/>
                <w:spacing w:val="-51"/>
                <w:sz w:val="21"/>
                <w:szCs w:val="21"/>
              </w:rPr>
              <w:t> </w:t>
            </w:r>
            <w:r>
              <w:rPr>
                <w:rFonts w:ascii="宋体" w:hAnsi="宋体" w:cs="宋体" w:eastAsia="宋体" w:hint="default"/>
                <w:sz w:val="21"/>
                <w:szCs w:val="21"/>
              </w:rPr>
              <w:t>年非公 开发行股份完 成后。</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73" w:lineRule="auto"/>
              <w:ind w:left="22" w:right="22"/>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1"/>
                <w:sz w:val="21"/>
                <w:szCs w:val="21"/>
              </w:rPr>
              <w:t> </w:t>
            </w:r>
            <w:r>
              <w:rPr>
                <w:rFonts w:ascii="宋体" w:hAnsi="宋体" w:cs="宋体" w:eastAsia="宋体" w:hint="default"/>
                <w:sz w:val="21"/>
                <w:szCs w:val="21"/>
              </w:rPr>
              <w:t>年非 公开发行 股票发行 事项报告 期内已终 </w:t>
            </w:r>
            <w:r>
              <w:rPr>
                <w:rFonts w:ascii="宋体" w:hAnsi="宋体" w:cs="宋体" w:eastAsia="宋体" w:hint="default"/>
                <w:spacing w:val="-3"/>
                <w:sz w:val="21"/>
                <w:szCs w:val="21"/>
              </w:rPr>
              <w:t>止，该承诺</w:t>
            </w:r>
            <w:r>
              <w:rPr>
                <w:rFonts w:ascii="宋体" w:hAnsi="宋体" w:cs="宋体" w:eastAsia="宋体" w:hint="default"/>
                <w:sz w:val="21"/>
                <w:szCs w:val="21"/>
              </w:rPr>
              <w:t> 已履行完 毕。</w:t>
            </w:r>
          </w:p>
        </w:tc>
      </w:tr>
      <w:tr>
        <w:trPr>
          <w:trHeight w:val="714" w:hRule="exact"/>
        </w:trPr>
        <w:tc>
          <w:tcPr>
            <w:tcW w:w="12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22" w:right="129"/>
              <w:jc w:val="left"/>
              <w:rPr>
                <w:rFonts w:ascii="宋体" w:hAnsi="宋体" w:cs="宋体" w:eastAsia="宋体" w:hint="default"/>
                <w:sz w:val="21"/>
                <w:szCs w:val="21"/>
              </w:rPr>
            </w:pPr>
            <w:r>
              <w:rPr>
                <w:rFonts w:ascii="宋体" w:hAnsi="宋体" w:cs="宋体" w:eastAsia="宋体" w:hint="default"/>
                <w:sz w:val="21"/>
                <w:szCs w:val="21"/>
              </w:rPr>
              <w:t>资产重组时 所作承诺</w:t>
            </w:r>
          </w:p>
        </w:tc>
        <w:tc>
          <w:tcPr>
            <w:tcW w:w="666"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3891" w:type="dxa"/>
            <w:tcBorders>
              <w:top w:val="single" w:sz="4" w:space="0" w:color="000000"/>
              <w:left w:val="single" w:sz="4" w:space="0" w:color="000000"/>
              <w:bottom w:val="single" w:sz="4" w:space="0" w:color="000000"/>
              <w:right w:val="single" w:sz="4" w:space="0" w:color="000000"/>
            </w:tcBorders>
          </w:tcPr>
          <w:p>
            <w:pPr/>
          </w:p>
        </w:tc>
        <w:tc>
          <w:tcPr>
            <w:tcW w:w="609" w:type="dxa"/>
            <w:tcBorders>
              <w:top w:val="single" w:sz="4" w:space="0" w:color="000000"/>
              <w:left w:val="single" w:sz="4" w:space="0" w:color="000000"/>
              <w:bottom w:val="single" w:sz="4" w:space="0" w:color="000000"/>
              <w:right w:val="single" w:sz="4" w:space="0" w:color="000000"/>
            </w:tcBorders>
          </w:tcPr>
          <w:p>
            <w:pPr/>
          </w:p>
        </w:tc>
        <w:tc>
          <w:tcPr>
            <w:tcW w:w="1319" w:type="dxa"/>
            <w:tcBorders>
              <w:top w:val="single" w:sz="4" w:space="0" w:color="000000"/>
              <w:left w:val="single" w:sz="4" w:space="0" w:color="000000"/>
              <w:bottom w:val="single" w:sz="4" w:space="0" w:color="000000"/>
              <w:right w:val="single" w:sz="4" w:space="0" w:color="000000"/>
            </w:tcBorders>
          </w:tcPr>
          <w:p>
            <w:pPr/>
          </w:p>
        </w:tc>
        <w:tc>
          <w:tcPr>
            <w:tcW w:w="1093" w:type="dxa"/>
            <w:tcBorders>
              <w:top w:val="single" w:sz="4" w:space="0" w:color="000000"/>
              <w:left w:val="single" w:sz="4" w:space="0" w:color="000000"/>
              <w:bottom w:val="single" w:sz="4" w:space="0" w:color="000000"/>
              <w:right w:val="single" w:sz="4" w:space="0" w:color="000000"/>
            </w:tcBorders>
          </w:tcPr>
          <w:p>
            <w:pPr/>
          </w:p>
        </w:tc>
      </w:tr>
      <w:tr>
        <w:trPr>
          <w:trHeight w:val="2274" w:hRule="exact"/>
        </w:trPr>
        <w:tc>
          <w:tcPr>
            <w:tcW w:w="12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4"/>
                <w:szCs w:val="24"/>
              </w:rPr>
            </w:pPr>
          </w:p>
          <w:p>
            <w:pPr>
              <w:pStyle w:val="TableParagraph"/>
              <w:spacing w:line="273" w:lineRule="auto"/>
              <w:ind w:left="22" w:right="129"/>
              <w:jc w:val="both"/>
              <w:rPr>
                <w:rFonts w:ascii="宋体" w:hAnsi="宋体" w:cs="宋体" w:eastAsia="宋体" w:hint="default"/>
                <w:sz w:val="21"/>
                <w:szCs w:val="21"/>
              </w:rPr>
            </w:pPr>
            <w:r>
              <w:rPr>
                <w:rFonts w:ascii="宋体" w:hAnsi="宋体" w:cs="宋体" w:eastAsia="宋体" w:hint="default"/>
                <w:sz w:val="21"/>
                <w:szCs w:val="21"/>
              </w:rPr>
              <w:t>首次公开发 行或再融资 时所作承诺</w:t>
            </w:r>
          </w:p>
        </w:tc>
        <w:tc>
          <w:tcPr>
            <w:tcW w:w="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3" w:lineRule="auto" w:before="116"/>
              <w:ind w:left="22" w:right="211"/>
              <w:jc w:val="left"/>
              <w:rPr>
                <w:rFonts w:ascii="宋体" w:hAnsi="宋体" w:cs="宋体" w:eastAsia="宋体" w:hint="default"/>
                <w:sz w:val="21"/>
                <w:szCs w:val="21"/>
              </w:rPr>
            </w:pPr>
            <w:r>
              <w:rPr>
                <w:rFonts w:ascii="宋体" w:hAnsi="宋体" w:cs="宋体" w:eastAsia="宋体" w:hint="default"/>
                <w:sz w:val="21"/>
                <w:szCs w:val="21"/>
              </w:rPr>
              <w:t>李海 鹰</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3" w:lineRule="auto" w:before="116"/>
              <w:ind w:left="22" w:right="211"/>
              <w:jc w:val="left"/>
              <w:rPr>
                <w:rFonts w:ascii="宋体" w:hAnsi="宋体" w:cs="宋体" w:eastAsia="宋体" w:hint="default"/>
                <w:sz w:val="21"/>
                <w:szCs w:val="21"/>
              </w:rPr>
            </w:pPr>
            <w:r>
              <w:rPr>
                <w:rFonts w:ascii="宋体" w:hAnsi="宋体" w:cs="宋体" w:eastAsia="宋体" w:hint="default"/>
                <w:sz w:val="21"/>
                <w:szCs w:val="21"/>
              </w:rPr>
              <w:t>关于同 业竞争</w:t>
            </w:r>
          </w:p>
        </w:tc>
        <w:tc>
          <w:tcPr>
            <w:tcW w:w="3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9"/>
                <w:szCs w:val="29"/>
              </w:rPr>
            </w:pPr>
          </w:p>
          <w:p>
            <w:pPr>
              <w:pStyle w:val="TableParagraph"/>
              <w:spacing w:line="273" w:lineRule="auto"/>
              <w:ind w:left="22" w:right="76"/>
              <w:jc w:val="left"/>
              <w:rPr>
                <w:rFonts w:ascii="宋体" w:hAnsi="宋体" w:cs="宋体" w:eastAsia="宋体" w:hint="default"/>
                <w:sz w:val="21"/>
                <w:szCs w:val="21"/>
              </w:rPr>
            </w:pPr>
            <w:r>
              <w:rPr>
                <w:rFonts w:ascii="宋体" w:hAnsi="宋体" w:cs="宋体" w:eastAsia="宋体" w:hint="default"/>
                <w:sz w:val="21"/>
                <w:szCs w:val="21"/>
              </w:rPr>
              <w:t>在持有辉煌科技股权或担任辉煌科技董 事、监事、高级管理人员或核心技术人员 期间及法定期限内，不经营或投资于任何 与辉煌科技主营业务构成同业竞争的企 业。</w:t>
            </w:r>
          </w:p>
        </w:tc>
        <w:tc>
          <w:tcPr>
            <w:tcW w:w="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21"/>
                <w:szCs w:val="21"/>
              </w:rPr>
            </w:pPr>
            <w:r>
              <w:rPr>
                <w:rFonts w:ascii="宋体"/>
                <w:sz w:val="21"/>
              </w:rPr>
              <w:t>2009</w:t>
            </w:r>
          </w:p>
          <w:p>
            <w:pPr>
              <w:pStyle w:val="TableParagraph"/>
              <w:spacing w:line="240" w:lineRule="auto" w:before="37"/>
              <w:ind w:left="23" w:right="0"/>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09</w:t>
            </w:r>
          </w:p>
          <w:p>
            <w:pPr>
              <w:pStyle w:val="TableParagraph"/>
              <w:spacing w:line="273" w:lineRule="auto" w:before="37"/>
              <w:ind w:left="23" w:right="99"/>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29 </w:t>
            </w:r>
            <w:r>
              <w:rPr>
                <w:rFonts w:ascii="宋体" w:hAnsi="宋体" w:cs="宋体" w:eastAsia="宋体" w:hint="default"/>
                <w:sz w:val="21"/>
                <w:szCs w:val="21"/>
              </w:rPr>
              <w:t>日</w:t>
            </w:r>
          </w:p>
        </w:tc>
        <w:tc>
          <w:tcPr>
            <w:tcW w:w="131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2" w:right="24"/>
              <w:jc w:val="both"/>
              <w:rPr>
                <w:rFonts w:ascii="宋体" w:hAnsi="宋体" w:cs="宋体" w:eastAsia="宋体" w:hint="default"/>
                <w:sz w:val="21"/>
                <w:szCs w:val="21"/>
              </w:rPr>
            </w:pPr>
            <w:r>
              <w:rPr>
                <w:rFonts w:ascii="宋体" w:hAnsi="宋体" w:cs="宋体" w:eastAsia="宋体" w:hint="default"/>
                <w:sz w:val="21"/>
                <w:szCs w:val="21"/>
              </w:rPr>
              <w:t>持有辉煌科技 股权或担任辉 煌科技董事、 监事、高级管 理人员或核心 技术人员期间 及法定期限内</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正常履行。</w:t>
            </w:r>
          </w:p>
        </w:tc>
      </w:tr>
      <w:tr>
        <w:trPr>
          <w:trHeight w:val="2586" w:hRule="exact"/>
        </w:trPr>
        <w:tc>
          <w:tcPr>
            <w:tcW w:w="1214" w:type="dxa"/>
            <w:vMerge/>
            <w:tcBorders>
              <w:left w:val="single" w:sz="4" w:space="0" w:color="000000"/>
              <w:right w:val="single" w:sz="4" w:space="0" w:color="000000"/>
            </w:tcBorders>
            <w:shd w:val="clear" w:color="auto" w:fill="D2D2D2"/>
          </w:tcPr>
          <w:p>
            <w:pPr/>
          </w:p>
        </w:tc>
        <w:tc>
          <w:tcPr>
            <w:tcW w:w="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3" w:lineRule="auto" w:before="116"/>
              <w:ind w:left="22" w:right="21"/>
              <w:jc w:val="left"/>
              <w:rPr>
                <w:rFonts w:ascii="宋体" w:hAnsi="宋体" w:cs="宋体" w:eastAsia="宋体" w:hint="default"/>
                <w:sz w:val="21"/>
                <w:szCs w:val="21"/>
              </w:rPr>
            </w:pPr>
            <w:r>
              <w:rPr>
                <w:rFonts w:ascii="宋体" w:hAnsi="宋体" w:cs="宋体" w:eastAsia="宋体" w:hint="default"/>
                <w:sz w:val="21"/>
                <w:szCs w:val="21"/>
              </w:rPr>
              <w:t>李海 </w:t>
            </w:r>
            <w:r>
              <w:rPr>
                <w:rFonts w:ascii="宋体" w:hAnsi="宋体" w:cs="宋体" w:eastAsia="宋体" w:hint="default"/>
                <w:spacing w:val="-7"/>
                <w:sz w:val="21"/>
                <w:szCs w:val="21"/>
              </w:rPr>
              <w:t>鹰、袁</w:t>
            </w:r>
            <w:r>
              <w:rPr>
                <w:rFonts w:ascii="宋体" w:hAnsi="宋体" w:cs="宋体" w:eastAsia="宋体" w:hint="default"/>
                <w:sz w:val="21"/>
                <w:szCs w:val="21"/>
              </w:rPr>
              <w:t> 亚琴</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73" w:lineRule="auto"/>
              <w:ind w:left="22" w:right="211"/>
              <w:jc w:val="left"/>
              <w:rPr>
                <w:rFonts w:ascii="宋体" w:hAnsi="宋体" w:cs="宋体" w:eastAsia="宋体" w:hint="default"/>
                <w:sz w:val="21"/>
                <w:szCs w:val="21"/>
              </w:rPr>
            </w:pPr>
            <w:r>
              <w:rPr>
                <w:rFonts w:ascii="宋体" w:hAnsi="宋体" w:cs="宋体" w:eastAsia="宋体" w:hint="default"/>
                <w:sz w:val="21"/>
                <w:szCs w:val="21"/>
              </w:rPr>
              <w:t>股份限 售承诺</w:t>
            </w:r>
          </w:p>
        </w:tc>
        <w:tc>
          <w:tcPr>
            <w:tcW w:w="3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73" w:lineRule="auto"/>
              <w:ind w:left="22" w:right="22"/>
              <w:jc w:val="left"/>
              <w:rPr>
                <w:rFonts w:ascii="宋体" w:hAnsi="宋体" w:cs="宋体" w:eastAsia="宋体" w:hint="default"/>
                <w:sz w:val="21"/>
                <w:szCs w:val="21"/>
              </w:rPr>
            </w:pPr>
            <w:r>
              <w:rPr>
                <w:rFonts w:ascii="宋体" w:hAnsi="宋体" w:cs="宋体" w:eastAsia="宋体" w:hint="default"/>
                <w:sz w:val="21"/>
                <w:szCs w:val="21"/>
              </w:rPr>
              <w:t>认购股份自</w:t>
            </w:r>
            <w:r>
              <w:rPr>
                <w:rFonts w:ascii="宋体" w:hAnsi="宋体" w:cs="宋体" w:eastAsia="宋体" w:hint="default"/>
                <w:spacing w:val="-78"/>
                <w:sz w:val="21"/>
                <w:szCs w:val="21"/>
              </w:rPr>
              <w:t> </w:t>
            </w:r>
            <w:r>
              <w:rPr>
                <w:rFonts w:ascii="宋体" w:hAnsi="宋体" w:cs="宋体" w:eastAsia="宋体" w:hint="default"/>
                <w:sz w:val="21"/>
                <w:szCs w:val="21"/>
              </w:rPr>
              <w:t>2015</w:t>
            </w:r>
            <w:r>
              <w:rPr>
                <w:rFonts w:ascii="宋体" w:hAnsi="宋体" w:cs="宋体" w:eastAsia="宋体" w:hint="default"/>
                <w:spacing w:val="-79"/>
                <w:sz w:val="21"/>
                <w:szCs w:val="21"/>
              </w:rPr>
              <w:t> </w:t>
            </w:r>
            <w:r>
              <w:rPr>
                <w:rFonts w:ascii="宋体" w:hAnsi="宋体" w:cs="宋体" w:eastAsia="宋体" w:hint="default"/>
                <w:sz w:val="21"/>
                <w:szCs w:val="21"/>
              </w:rPr>
              <w:t>年非公开发行股票结束之 日起，三十六个月内不转让。</w:t>
            </w:r>
          </w:p>
        </w:tc>
        <w:tc>
          <w:tcPr>
            <w:tcW w:w="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宋体" w:hAnsi="宋体" w:cs="宋体" w:eastAsia="宋体" w:hint="default"/>
                <w:sz w:val="21"/>
                <w:szCs w:val="21"/>
              </w:rPr>
            </w:pPr>
            <w:r>
              <w:rPr>
                <w:rFonts w:ascii="宋体"/>
                <w:sz w:val="21"/>
              </w:rPr>
              <w:t>2015</w:t>
            </w:r>
          </w:p>
          <w:p>
            <w:pPr>
              <w:pStyle w:val="TableParagraph"/>
              <w:spacing w:line="240" w:lineRule="auto" w:before="37"/>
              <w:ind w:left="23" w:right="0"/>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11</w:t>
            </w:r>
          </w:p>
          <w:p>
            <w:pPr>
              <w:pStyle w:val="TableParagraph"/>
              <w:spacing w:line="273" w:lineRule="auto" w:before="37"/>
              <w:ind w:left="23" w:right="99"/>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17 </w:t>
            </w:r>
            <w:r>
              <w:rPr>
                <w:rFonts w:ascii="宋体" w:hAnsi="宋体" w:cs="宋体" w:eastAsia="宋体" w:hint="default"/>
                <w:sz w:val="21"/>
                <w:szCs w:val="21"/>
              </w:rPr>
              <w:t>日</w:t>
            </w:r>
          </w:p>
        </w:tc>
        <w:tc>
          <w:tcPr>
            <w:tcW w:w="1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73" w:lineRule="auto"/>
              <w:ind w:left="22" w:right="24"/>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1"/>
                <w:sz w:val="21"/>
                <w:szCs w:val="21"/>
              </w:rPr>
              <w:t> </w:t>
            </w:r>
            <w:r>
              <w:rPr>
                <w:rFonts w:ascii="宋体" w:hAnsi="宋体" w:cs="宋体" w:eastAsia="宋体" w:hint="default"/>
                <w:sz w:val="21"/>
                <w:szCs w:val="21"/>
              </w:rPr>
              <w:t>年非公 开发行股票完 成之日起三十 六个月内</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2" w:right="22"/>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1"/>
                <w:sz w:val="21"/>
                <w:szCs w:val="21"/>
              </w:rPr>
              <w:t> </w:t>
            </w:r>
            <w:r>
              <w:rPr>
                <w:rFonts w:ascii="宋体" w:hAnsi="宋体" w:cs="宋体" w:eastAsia="宋体" w:hint="default"/>
                <w:sz w:val="21"/>
                <w:szCs w:val="21"/>
              </w:rPr>
              <w:t>年非 公开发行 股票发行 事项报告 期内已终 </w:t>
            </w:r>
            <w:r>
              <w:rPr>
                <w:rFonts w:ascii="宋体" w:hAnsi="宋体" w:cs="宋体" w:eastAsia="宋体" w:hint="default"/>
                <w:spacing w:val="-3"/>
                <w:sz w:val="21"/>
                <w:szCs w:val="21"/>
              </w:rPr>
              <w:t>止，该承诺</w:t>
            </w:r>
            <w:r>
              <w:rPr>
                <w:rFonts w:ascii="宋体" w:hAnsi="宋体" w:cs="宋体" w:eastAsia="宋体" w:hint="default"/>
                <w:sz w:val="21"/>
                <w:szCs w:val="21"/>
              </w:rPr>
              <w:t> 已履行完 毕。</w:t>
            </w:r>
          </w:p>
        </w:tc>
      </w:tr>
      <w:tr>
        <w:trPr>
          <w:trHeight w:val="3210" w:hRule="exact"/>
        </w:trPr>
        <w:tc>
          <w:tcPr>
            <w:tcW w:w="1214" w:type="dxa"/>
            <w:vMerge/>
            <w:tcBorders>
              <w:left w:val="single" w:sz="4" w:space="0" w:color="000000"/>
              <w:right w:val="single" w:sz="4" w:space="0" w:color="000000"/>
            </w:tcBorders>
            <w:shd w:val="clear" w:color="auto" w:fill="D2D2D2"/>
          </w:tcPr>
          <w:p>
            <w:pPr/>
          </w:p>
        </w:tc>
        <w:tc>
          <w:tcPr>
            <w:tcW w:w="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73" w:lineRule="auto"/>
              <w:ind w:left="22" w:right="211"/>
              <w:jc w:val="both"/>
              <w:rPr>
                <w:rFonts w:ascii="宋体" w:hAnsi="宋体" w:cs="宋体" w:eastAsia="宋体" w:hint="default"/>
                <w:sz w:val="21"/>
                <w:szCs w:val="21"/>
              </w:rPr>
            </w:pPr>
            <w:r>
              <w:rPr>
                <w:rFonts w:ascii="宋体" w:hAnsi="宋体" w:cs="宋体" w:eastAsia="宋体" w:hint="default"/>
                <w:sz w:val="21"/>
                <w:szCs w:val="21"/>
              </w:rPr>
              <w:t>公司 董事 及高 级管 理人 员</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3" w:lineRule="auto" w:before="124"/>
              <w:ind w:left="22" w:right="211"/>
              <w:jc w:val="left"/>
              <w:rPr>
                <w:rFonts w:ascii="宋体" w:hAnsi="宋体" w:cs="宋体" w:eastAsia="宋体" w:hint="default"/>
                <w:sz w:val="21"/>
                <w:szCs w:val="21"/>
              </w:rPr>
            </w:pPr>
            <w:r>
              <w:rPr>
                <w:rFonts w:ascii="宋体" w:hAnsi="宋体" w:cs="宋体" w:eastAsia="宋体" w:hint="default"/>
                <w:sz w:val="21"/>
                <w:szCs w:val="21"/>
              </w:rPr>
              <w:t>其他承 诺</w:t>
            </w:r>
          </w:p>
        </w:tc>
        <w:tc>
          <w:tcPr>
            <w:tcW w:w="389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2" w:right="20"/>
              <w:jc w:val="left"/>
              <w:rPr>
                <w:rFonts w:ascii="宋体" w:hAnsi="宋体" w:cs="宋体" w:eastAsia="宋体" w:hint="default"/>
                <w:sz w:val="21"/>
                <w:szCs w:val="21"/>
              </w:rPr>
            </w:pPr>
            <w:r>
              <w:rPr>
                <w:rFonts w:ascii="宋体" w:hAnsi="宋体" w:cs="宋体" w:eastAsia="宋体" w:hint="default"/>
                <w:spacing w:val="-3"/>
                <w:sz w:val="21"/>
                <w:szCs w:val="21"/>
              </w:rPr>
              <w:t>1</w:t>
            </w:r>
            <w:r>
              <w:rPr>
                <w:rFonts w:ascii="宋体" w:hAnsi="宋体" w:cs="宋体" w:eastAsia="宋体" w:hint="default"/>
                <w:spacing w:val="-3"/>
                <w:sz w:val="21"/>
                <w:szCs w:val="21"/>
              </w:rPr>
              <w:t>、承诺不无偿或以不公平条件向其他单位</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或者个人输送利益，也不采用其他方式损 </w:t>
            </w:r>
            <w:r>
              <w:rPr>
                <w:rFonts w:ascii="宋体" w:hAnsi="宋体" w:cs="宋体" w:eastAsia="宋体" w:hint="default"/>
                <w:spacing w:val="-3"/>
                <w:sz w:val="21"/>
                <w:szCs w:val="21"/>
              </w:rPr>
              <w:t>害公司利益。</w:t>
            </w:r>
            <w:r>
              <w:rPr>
                <w:rFonts w:ascii="宋体" w:hAnsi="宋体" w:cs="宋体" w:eastAsia="宋体" w:hint="default"/>
                <w:spacing w:val="-3"/>
                <w:sz w:val="21"/>
                <w:szCs w:val="21"/>
              </w:rPr>
              <w:t>2</w:t>
            </w:r>
            <w:r>
              <w:rPr>
                <w:rFonts w:ascii="宋体" w:hAnsi="宋体" w:cs="宋体" w:eastAsia="宋体" w:hint="default"/>
                <w:spacing w:val="-3"/>
                <w:sz w:val="21"/>
                <w:szCs w:val="21"/>
              </w:rPr>
              <w:t>、承诺对董事和高级管理人</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pacing w:val="-3"/>
                <w:sz w:val="21"/>
                <w:szCs w:val="21"/>
              </w:rPr>
              <w:t>员的职务消费行为进行约束。</w:t>
            </w:r>
            <w:r>
              <w:rPr>
                <w:rFonts w:ascii="宋体" w:hAnsi="宋体" w:cs="宋体" w:eastAsia="宋体" w:hint="default"/>
                <w:spacing w:val="-3"/>
                <w:sz w:val="21"/>
                <w:szCs w:val="21"/>
              </w:rPr>
              <w:t>3</w:t>
            </w:r>
            <w:r>
              <w:rPr>
                <w:rFonts w:ascii="宋体" w:hAnsi="宋体" w:cs="宋体" w:eastAsia="宋体" w:hint="default"/>
                <w:spacing w:val="-3"/>
                <w:sz w:val="21"/>
                <w:szCs w:val="21"/>
              </w:rPr>
              <w:t>、承诺不动</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用公司资产从事与其履行职责无关的投 资、消费活动。</w:t>
            </w:r>
            <w:r>
              <w:rPr>
                <w:rFonts w:ascii="宋体" w:hAnsi="宋体" w:cs="宋体" w:eastAsia="宋体" w:hint="default"/>
                <w:spacing w:val="-1"/>
                <w:sz w:val="21"/>
                <w:szCs w:val="21"/>
              </w:rPr>
              <w:t> </w:t>
            </w:r>
            <w:r>
              <w:rPr>
                <w:rFonts w:ascii="宋体" w:hAnsi="宋体" w:cs="宋体" w:eastAsia="宋体" w:hint="default"/>
                <w:sz w:val="21"/>
                <w:szCs w:val="21"/>
              </w:rPr>
              <w:t>4</w:t>
            </w:r>
            <w:r>
              <w:rPr>
                <w:rFonts w:ascii="宋体" w:hAnsi="宋体" w:cs="宋体" w:eastAsia="宋体" w:hint="default"/>
                <w:sz w:val="21"/>
                <w:szCs w:val="21"/>
              </w:rPr>
              <w:t>、承诺由董事会或薪酬 委员会制定的薪酬制度与公司填补回报措 </w:t>
            </w:r>
            <w:r>
              <w:rPr>
                <w:rFonts w:ascii="宋体" w:hAnsi="宋体" w:cs="宋体" w:eastAsia="宋体" w:hint="default"/>
                <w:spacing w:val="-3"/>
                <w:sz w:val="21"/>
                <w:szCs w:val="21"/>
              </w:rPr>
              <w:t>施的执行情况相挂钩。</w:t>
            </w:r>
            <w:r>
              <w:rPr>
                <w:rFonts w:ascii="宋体" w:hAnsi="宋体" w:cs="宋体" w:eastAsia="宋体" w:hint="default"/>
                <w:spacing w:val="-3"/>
                <w:sz w:val="21"/>
                <w:szCs w:val="21"/>
              </w:rPr>
              <w:t>5</w:t>
            </w:r>
            <w:r>
              <w:rPr>
                <w:rFonts w:ascii="宋体" w:hAnsi="宋体" w:cs="宋体" w:eastAsia="宋体" w:hint="default"/>
                <w:spacing w:val="-3"/>
                <w:sz w:val="21"/>
                <w:szCs w:val="21"/>
              </w:rPr>
              <w:t>、承诺拟公布的公</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司股权激励的行权条件与公司填补回报措 施的执行情况相挂钩。</w:t>
            </w:r>
          </w:p>
        </w:tc>
        <w:tc>
          <w:tcPr>
            <w:tcW w:w="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21"/>
                <w:szCs w:val="21"/>
              </w:rPr>
            </w:pPr>
            <w:r>
              <w:rPr>
                <w:rFonts w:ascii="宋体"/>
                <w:sz w:val="21"/>
              </w:rPr>
              <w:t>2016</w:t>
            </w:r>
          </w:p>
          <w:p>
            <w:pPr>
              <w:pStyle w:val="TableParagraph"/>
              <w:spacing w:line="240" w:lineRule="auto" w:before="37"/>
              <w:ind w:left="23" w:right="0"/>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06</w:t>
            </w:r>
          </w:p>
          <w:p>
            <w:pPr>
              <w:pStyle w:val="TableParagraph"/>
              <w:spacing w:line="273" w:lineRule="auto" w:before="37"/>
              <w:ind w:left="23" w:right="99"/>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01 </w:t>
            </w:r>
            <w:r>
              <w:rPr>
                <w:rFonts w:ascii="宋体" w:hAnsi="宋体" w:cs="宋体" w:eastAsia="宋体" w:hint="default"/>
                <w:sz w:val="21"/>
                <w:szCs w:val="21"/>
              </w:rPr>
              <w:t>日</w:t>
            </w:r>
          </w:p>
        </w:tc>
        <w:tc>
          <w:tcPr>
            <w:tcW w:w="1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22" w:right="0"/>
              <w:jc w:val="both"/>
              <w:rPr>
                <w:rFonts w:ascii="宋体" w:hAnsi="宋体" w:cs="宋体" w:eastAsia="宋体" w:hint="default"/>
                <w:sz w:val="21"/>
                <w:szCs w:val="21"/>
              </w:rPr>
            </w:pPr>
            <w:r>
              <w:rPr>
                <w:rFonts w:ascii="宋体" w:hAnsi="宋体" w:cs="宋体" w:eastAsia="宋体" w:hint="default"/>
                <w:sz w:val="21"/>
                <w:szCs w:val="21"/>
              </w:rPr>
              <w:t>自</w:t>
            </w:r>
            <w:r>
              <w:rPr>
                <w:rFonts w:ascii="宋体" w:hAnsi="宋体" w:cs="宋体" w:eastAsia="宋体" w:hint="default"/>
                <w:spacing w:val="-53"/>
                <w:sz w:val="21"/>
                <w:szCs w:val="21"/>
              </w:rPr>
              <w:t> </w:t>
            </w:r>
            <w:r>
              <w:rPr>
                <w:rFonts w:ascii="宋体" w:hAnsi="宋体" w:cs="宋体" w:eastAsia="宋体" w:hint="default"/>
                <w:sz w:val="21"/>
                <w:szCs w:val="21"/>
              </w:rPr>
              <w:t>2016</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6</w:t>
            </w:r>
          </w:p>
          <w:p>
            <w:pPr>
              <w:pStyle w:val="TableParagraph"/>
              <w:spacing w:line="273" w:lineRule="auto" w:before="37"/>
              <w:ind w:left="22" w:right="20"/>
              <w:jc w:val="both"/>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69"/>
                <w:sz w:val="21"/>
                <w:szCs w:val="21"/>
              </w:rPr>
              <w:t> </w:t>
            </w:r>
            <w:r>
              <w:rPr>
                <w:rFonts w:ascii="宋体" w:hAnsi="宋体" w:cs="宋体" w:eastAsia="宋体" w:hint="default"/>
                <w:sz w:val="21"/>
                <w:szCs w:val="21"/>
              </w:rPr>
              <w:t>1</w:t>
            </w:r>
            <w:r>
              <w:rPr>
                <w:rFonts w:ascii="宋体" w:hAnsi="宋体" w:cs="宋体" w:eastAsia="宋体" w:hint="default"/>
                <w:spacing w:val="-69"/>
                <w:sz w:val="21"/>
                <w:szCs w:val="21"/>
              </w:rPr>
              <w:t> </w:t>
            </w:r>
            <w:r>
              <w:rPr>
                <w:rFonts w:ascii="宋体" w:hAnsi="宋体" w:cs="宋体" w:eastAsia="宋体" w:hint="default"/>
                <w:sz w:val="21"/>
                <w:szCs w:val="21"/>
              </w:rPr>
              <w:t>日至</w:t>
            </w:r>
            <w:r>
              <w:rPr>
                <w:rFonts w:ascii="宋体" w:hAnsi="宋体" w:cs="宋体" w:eastAsia="宋体" w:hint="default"/>
                <w:spacing w:val="-69"/>
                <w:sz w:val="21"/>
                <w:szCs w:val="21"/>
              </w:rPr>
              <w:t> </w:t>
            </w:r>
            <w:r>
              <w:rPr>
                <w:rFonts w:ascii="宋体" w:hAnsi="宋体" w:cs="宋体" w:eastAsia="宋体" w:hint="default"/>
                <w:sz w:val="21"/>
                <w:szCs w:val="21"/>
              </w:rPr>
              <w:t>2015 </w:t>
            </w:r>
            <w:r>
              <w:rPr>
                <w:rFonts w:ascii="宋体" w:hAnsi="宋体" w:cs="宋体" w:eastAsia="宋体" w:hint="default"/>
                <w:sz w:val="21"/>
                <w:szCs w:val="21"/>
              </w:rPr>
              <w:t>年度非公开发 行</w:t>
            </w:r>
            <w:r>
              <w:rPr>
                <w:rFonts w:ascii="宋体" w:hAnsi="宋体" w:cs="宋体" w:eastAsia="宋体" w:hint="default"/>
                <w:spacing w:val="-54"/>
                <w:sz w:val="21"/>
                <w:szCs w:val="21"/>
              </w:rPr>
              <w:t> </w:t>
            </w:r>
            <w:r>
              <w:rPr>
                <w:rFonts w:ascii="宋体" w:hAnsi="宋体" w:cs="宋体" w:eastAsia="宋体" w:hint="default"/>
                <w:sz w:val="21"/>
                <w:szCs w:val="21"/>
              </w:rPr>
              <w:t>A</w:t>
            </w:r>
            <w:r>
              <w:rPr>
                <w:rFonts w:ascii="宋体" w:hAnsi="宋体" w:cs="宋体" w:eastAsia="宋体" w:hint="default"/>
                <w:spacing w:val="-53"/>
                <w:sz w:val="21"/>
                <w:szCs w:val="21"/>
              </w:rPr>
              <w:t> </w:t>
            </w:r>
            <w:r>
              <w:rPr>
                <w:rFonts w:ascii="宋体" w:hAnsi="宋体" w:cs="宋体" w:eastAsia="宋体" w:hint="default"/>
                <w:sz w:val="21"/>
                <w:szCs w:val="21"/>
              </w:rPr>
              <w:t>股股票摊 薄即期回报填 补措施实施期 间</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9"/>
                <w:szCs w:val="29"/>
              </w:rPr>
            </w:pPr>
          </w:p>
          <w:p>
            <w:pPr>
              <w:pStyle w:val="TableParagraph"/>
              <w:spacing w:line="273" w:lineRule="auto"/>
              <w:ind w:left="22" w:right="22"/>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1"/>
                <w:sz w:val="21"/>
                <w:szCs w:val="21"/>
              </w:rPr>
              <w:t> </w:t>
            </w:r>
            <w:r>
              <w:rPr>
                <w:rFonts w:ascii="宋体" w:hAnsi="宋体" w:cs="宋体" w:eastAsia="宋体" w:hint="default"/>
                <w:sz w:val="21"/>
                <w:szCs w:val="21"/>
              </w:rPr>
              <w:t>年非 公开发行 股票发行 事项报告 期内已终 </w:t>
            </w:r>
            <w:r>
              <w:rPr>
                <w:rFonts w:ascii="宋体" w:hAnsi="宋体" w:cs="宋体" w:eastAsia="宋体" w:hint="default"/>
                <w:spacing w:val="-3"/>
                <w:sz w:val="21"/>
                <w:szCs w:val="21"/>
              </w:rPr>
              <w:t>止，该承诺</w:t>
            </w:r>
            <w:r>
              <w:rPr>
                <w:rFonts w:ascii="宋体" w:hAnsi="宋体" w:cs="宋体" w:eastAsia="宋体" w:hint="default"/>
                <w:sz w:val="21"/>
                <w:szCs w:val="21"/>
              </w:rPr>
              <w:t> 已履行完 毕。</w:t>
            </w:r>
          </w:p>
        </w:tc>
      </w:tr>
      <w:tr>
        <w:trPr>
          <w:trHeight w:val="362" w:hRule="exact"/>
        </w:trPr>
        <w:tc>
          <w:tcPr>
            <w:tcW w:w="1214" w:type="dxa"/>
            <w:vMerge/>
            <w:tcBorders>
              <w:left w:val="single" w:sz="4" w:space="0" w:color="000000"/>
              <w:bottom w:val="single" w:sz="4" w:space="0" w:color="000000"/>
              <w:right w:val="single" w:sz="4" w:space="0" w:color="000000"/>
            </w:tcBorders>
            <w:shd w:val="clear" w:color="auto" w:fill="D2D2D2"/>
          </w:tcPr>
          <w:p>
            <w:pPr/>
          </w:p>
        </w:tc>
        <w:tc>
          <w:tcPr>
            <w:tcW w:w="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李海</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股份减</w:t>
            </w:r>
          </w:p>
        </w:tc>
        <w:tc>
          <w:tcPr>
            <w:tcW w:w="3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pacing w:val="-3"/>
                <w:sz w:val="21"/>
                <w:szCs w:val="21"/>
              </w:rPr>
              <w:t>1</w:t>
            </w:r>
            <w:r>
              <w:rPr>
                <w:rFonts w:ascii="宋体" w:hAnsi="宋体" w:cs="宋体" w:eastAsia="宋体" w:hint="default"/>
                <w:spacing w:val="-3"/>
                <w:sz w:val="21"/>
                <w:szCs w:val="21"/>
              </w:rPr>
              <w:t>、自本次辉煌科技非公开发行股票定价基</w:t>
            </w:r>
          </w:p>
        </w:tc>
        <w:tc>
          <w:tcPr>
            <w:tcW w:w="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3" w:right="0"/>
              <w:jc w:val="left"/>
              <w:rPr>
                <w:rFonts w:ascii="宋体" w:hAnsi="宋体" w:cs="宋体" w:eastAsia="宋体" w:hint="default"/>
                <w:sz w:val="21"/>
                <w:szCs w:val="21"/>
              </w:rPr>
            </w:pPr>
            <w:r>
              <w:rPr>
                <w:rFonts w:ascii="宋体"/>
                <w:sz w:val="21"/>
              </w:rPr>
              <w:t>2016</w:t>
            </w:r>
          </w:p>
        </w:tc>
        <w:tc>
          <w:tcPr>
            <w:tcW w:w="1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79"/>
                <w:sz w:val="21"/>
                <w:szCs w:val="21"/>
              </w:rPr>
              <w:t> </w:t>
            </w:r>
            <w:r>
              <w:rPr>
                <w:rFonts w:ascii="宋体" w:hAnsi="宋体" w:cs="宋体" w:eastAsia="宋体" w:hint="default"/>
                <w:sz w:val="21"/>
                <w:szCs w:val="21"/>
              </w:rPr>
              <w:t>年</w:t>
            </w:r>
            <w:r>
              <w:rPr>
                <w:rFonts w:ascii="宋体" w:hAnsi="宋体" w:cs="宋体" w:eastAsia="宋体" w:hint="default"/>
                <w:spacing w:val="-80"/>
                <w:sz w:val="21"/>
                <w:szCs w:val="21"/>
              </w:rPr>
              <w:t> </w:t>
            </w:r>
            <w:r>
              <w:rPr>
                <w:rFonts w:ascii="宋体" w:hAnsi="宋体" w:cs="宋体" w:eastAsia="宋体" w:hint="default"/>
                <w:sz w:val="21"/>
                <w:szCs w:val="21"/>
              </w:rPr>
              <w:t>5</w:t>
            </w:r>
            <w:r>
              <w:rPr>
                <w:rFonts w:ascii="宋体" w:hAnsi="宋体" w:cs="宋体" w:eastAsia="宋体" w:hint="default"/>
                <w:spacing w:val="-79"/>
                <w:sz w:val="21"/>
                <w:szCs w:val="21"/>
              </w:rPr>
              <w:t> </w:t>
            </w:r>
            <w:r>
              <w:rPr>
                <w:rFonts w:ascii="宋体" w:hAnsi="宋体" w:cs="宋体" w:eastAsia="宋体" w:hint="default"/>
                <w:sz w:val="21"/>
                <w:szCs w:val="21"/>
              </w:rPr>
              <w:t>月</w:t>
            </w:r>
            <w:r>
              <w:rPr>
                <w:rFonts w:ascii="宋体" w:hAnsi="宋体" w:cs="宋体" w:eastAsia="宋体" w:hint="default"/>
                <w:spacing w:val="-79"/>
                <w:sz w:val="21"/>
                <w:szCs w:val="21"/>
              </w:rPr>
              <w:t> </w:t>
            </w:r>
            <w:r>
              <w:rPr>
                <w:rFonts w:ascii="宋体" w:hAnsi="宋体" w:cs="宋体" w:eastAsia="宋体" w:hint="default"/>
                <w:sz w:val="21"/>
                <w:szCs w:val="21"/>
              </w:rPr>
              <w:t>18</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1"/>
                <w:sz w:val="21"/>
                <w:szCs w:val="21"/>
              </w:rPr>
              <w:t> </w:t>
            </w:r>
            <w:r>
              <w:rPr>
                <w:rFonts w:ascii="宋体" w:hAnsi="宋体" w:cs="宋体" w:eastAsia="宋体" w:hint="default"/>
                <w:sz w:val="21"/>
                <w:szCs w:val="21"/>
              </w:rPr>
              <w:t>年非</w:t>
            </w:r>
          </w:p>
        </w:tc>
      </w:tr>
    </w:tbl>
    <w:p>
      <w:pPr>
        <w:spacing w:after="0" w:line="240" w:lineRule="auto"/>
        <w:jc w:val="left"/>
        <w:rPr>
          <w:rFonts w:ascii="宋体" w:hAnsi="宋体" w:cs="宋体" w:eastAsia="宋体" w:hint="default"/>
          <w:sz w:val="21"/>
          <w:szCs w:val="21"/>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214"/>
        <w:gridCol w:w="666"/>
        <w:gridCol w:w="876"/>
        <w:gridCol w:w="3891"/>
        <w:gridCol w:w="609"/>
        <w:gridCol w:w="1319"/>
        <w:gridCol w:w="1093"/>
      </w:tblGrid>
      <w:tr>
        <w:trPr>
          <w:trHeight w:val="8787" w:hRule="exact"/>
        </w:trPr>
        <w:tc>
          <w:tcPr>
            <w:tcW w:w="1214" w:type="dxa"/>
            <w:vMerge w:val="restart"/>
            <w:tcBorders>
              <w:top w:val="single" w:sz="4" w:space="0" w:color="000000"/>
              <w:left w:val="single" w:sz="4" w:space="0" w:color="000000"/>
              <w:right w:val="single" w:sz="4" w:space="0" w:color="000000"/>
            </w:tcBorders>
            <w:shd w:val="clear" w:color="auto" w:fill="D2D2D2"/>
          </w:tcPr>
          <w:p>
            <w:pPr/>
          </w:p>
        </w:tc>
        <w:tc>
          <w:tcPr>
            <w:tcW w:w="66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pacing w:val="-7"/>
                <w:sz w:val="21"/>
                <w:szCs w:val="21"/>
              </w:rPr>
              <w:t>鹰、袁</w:t>
            </w:r>
          </w:p>
          <w:p>
            <w:pPr>
              <w:pStyle w:val="TableParagraph"/>
              <w:spacing w:line="240" w:lineRule="auto" w:before="38"/>
              <w:ind w:left="22" w:right="0"/>
              <w:jc w:val="left"/>
              <w:rPr>
                <w:rFonts w:ascii="宋体" w:hAnsi="宋体" w:cs="宋体" w:eastAsia="宋体" w:hint="default"/>
                <w:sz w:val="21"/>
                <w:szCs w:val="21"/>
              </w:rPr>
            </w:pPr>
            <w:r>
              <w:rPr>
                <w:rFonts w:ascii="宋体" w:hAnsi="宋体" w:cs="宋体" w:eastAsia="宋体" w:hint="default"/>
                <w:sz w:val="21"/>
                <w:szCs w:val="21"/>
              </w:rPr>
              <w:t>亚琴</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22" w:right="0"/>
              <w:jc w:val="left"/>
              <w:rPr>
                <w:rFonts w:ascii="宋体" w:hAnsi="宋体" w:cs="宋体" w:eastAsia="宋体" w:hint="default"/>
                <w:sz w:val="21"/>
                <w:szCs w:val="21"/>
              </w:rPr>
            </w:pPr>
            <w:r>
              <w:rPr>
                <w:rFonts w:ascii="宋体" w:hAnsi="宋体" w:cs="宋体" w:eastAsia="宋体" w:hint="default"/>
                <w:sz w:val="21"/>
                <w:szCs w:val="21"/>
              </w:rPr>
              <w:t>持承诺</w:t>
            </w:r>
          </w:p>
        </w:tc>
        <w:tc>
          <w:tcPr>
            <w:tcW w:w="389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2" w:right="0"/>
              <w:jc w:val="both"/>
              <w:rPr>
                <w:rFonts w:ascii="宋体" w:hAnsi="宋体" w:cs="宋体" w:eastAsia="宋体" w:hint="default"/>
                <w:sz w:val="21"/>
                <w:szCs w:val="21"/>
              </w:rPr>
            </w:pPr>
            <w:r>
              <w:rPr>
                <w:rFonts w:ascii="宋体" w:hAnsi="宋体" w:cs="宋体" w:eastAsia="宋体" w:hint="default"/>
                <w:sz w:val="21"/>
                <w:szCs w:val="21"/>
              </w:rPr>
              <w:t>准日（辉煌科技第五届董事会第十四次会</w:t>
            </w:r>
          </w:p>
          <w:p>
            <w:pPr>
              <w:pStyle w:val="TableParagraph"/>
              <w:spacing w:line="240" w:lineRule="auto" w:before="37"/>
              <w:ind w:left="22" w:right="0"/>
              <w:jc w:val="both"/>
              <w:rPr>
                <w:rFonts w:ascii="宋体" w:hAnsi="宋体" w:cs="宋体" w:eastAsia="宋体" w:hint="default"/>
                <w:sz w:val="21"/>
                <w:szCs w:val="21"/>
              </w:rPr>
            </w:pPr>
            <w:r>
              <w:rPr>
                <w:rFonts w:ascii="宋体" w:hAnsi="宋体" w:cs="宋体" w:eastAsia="宋体" w:hint="default"/>
                <w:spacing w:val="-4"/>
                <w:sz w:val="21"/>
                <w:szCs w:val="21"/>
              </w:rPr>
              <w:t>议决议公告日，即</w:t>
            </w:r>
            <w:r>
              <w:rPr>
                <w:rFonts w:ascii="宋体" w:hAnsi="宋体" w:cs="宋体" w:eastAsia="宋体" w:hint="default"/>
                <w:spacing w:val="-52"/>
                <w:sz w:val="21"/>
                <w:szCs w:val="21"/>
              </w:rPr>
              <w:t> </w:t>
            </w:r>
            <w:r>
              <w:rPr>
                <w:rFonts w:ascii="宋体" w:hAnsi="宋体" w:cs="宋体" w:eastAsia="宋体" w:hint="default"/>
                <w:sz w:val="21"/>
                <w:szCs w:val="21"/>
              </w:rPr>
              <w:t>2015</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11</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18</w:t>
            </w:r>
            <w:r>
              <w:rPr>
                <w:rFonts w:ascii="宋体" w:hAnsi="宋体" w:cs="宋体" w:eastAsia="宋体" w:hint="default"/>
                <w:spacing w:val="-53"/>
                <w:sz w:val="21"/>
                <w:szCs w:val="21"/>
              </w:rPr>
              <w:t> </w:t>
            </w:r>
            <w:r>
              <w:rPr>
                <w:rFonts w:ascii="宋体" w:hAnsi="宋体" w:cs="宋体" w:eastAsia="宋体" w:hint="default"/>
                <w:spacing w:val="-9"/>
                <w:sz w:val="21"/>
                <w:szCs w:val="21"/>
              </w:rPr>
              <w:t>日）前</w:t>
            </w:r>
          </w:p>
          <w:p>
            <w:pPr>
              <w:pStyle w:val="TableParagraph"/>
              <w:spacing w:line="273" w:lineRule="auto" w:before="37"/>
              <w:ind w:left="22" w:right="20"/>
              <w:jc w:val="both"/>
              <w:rPr>
                <w:rFonts w:ascii="宋体" w:hAnsi="宋体" w:cs="宋体" w:eastAsia="宋体" w:hint="default"/>
                <w:sz w:val="21"/>
                <w:szCs w:val="21"/>
              </w:rPr>
            </w:pPr>
            <w:r>
              <w:rPr>
                <w:rFonts w:ascii="宋体" w:hAnsi="宋体" w:cs="宋体" w:eastAsia="宋体" w:hint="default"/>
                <w:sz w:val="21"/>
                <w:szCs w:val="21"/>
              </w:rPr>
              <w:t>六个月至</w:t>
            </w:r>
            <w:r>
              <w:rPr>
                <w:rFonts w:ascii="宋体" w:hAnsi="宋体" w:cs="宋体" w:eastAsia="宋体" w:hint="default"/>
                <w:spacing w:val="-53"/>
                <w:sz w:val="21"/>
                <w:szCs w:val="21"/>
              </w:rPr>
              <w:t> </w:t>
            </w:r>
            <w:r>
              <w:rPr>
                <w:rFonts w:ascii="宋体" w:hAnsi="宋体" w:cs="宋体" w:eastAsia="宋体" w:hint="default"/>
                <w:sz w:val="21"/>
                <w:szCs w:val="21"/>
              </w:rPr>
              <w:t>2016</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6</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21</w:t>
            </w:r>
            <w:r>
              <w:rPr>
                <w:rFonts w:ascii="宋体" w:hAnsi="宋体" w:cs="宋体" w:eastAsia="宋体" w:hint="default"/>
                <w:spacing w:val="-53"/>
                <w:sz w:val="21"/>
                <w:szCs w:val="21"/>
              </w:rPr>
              <w:t> </w:t>
            </w:r>
            <w:r>
              <w:rPr>
                <w:rFonts w:ascii="宋体" w:hAnsi="宋体" w:cs="宋体" w:eastAsia="宋体" w:hint="default"/>
                <w:sz w:val="21"/>
                <w:szCs w:val="21"/>
              </w:rPr>
              <w:t>日，本人及本人 关联方不存在减持辉煌科技股票的情形； 自</w:t>
            </w:r>
            <w:r>
              <w:rPr>
                <w:rFonts w:ascii="宋体" w:hAnsi="宋体" w:cs="宋体" w:eastAsia="宋体" w:hint="default"/>
                <w:spacing w:val="-54"/>
                <w:sz w:val="21"/>
                <w:szCs w:val="21"/>
              </w:rPr>
              <w:t> </w:t>
            </w: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21</w:t>
            </w:r>
            <w:r>
              <w:rPr>
                <w:rFonts w:ascii="宋体" w:hAnsi="宋体" w:cs="宋体" w:eastAsia="宋体" w:hint="default"/>
                <w:spacing w:val="-53"/>
                <w:sz w:val="21"/>
                <w:szCs w:val="21"/>
              </w:rPr>
              <w:t> </w:t>
            </w:r>
            <w:r>
              <w:rPr>
                <w:rFonts w:ascii="宋体" w:hAnsi="宋体" w:cs="宋体" w:eastAsia="宋体" w:hint="default"/>
                <w:sz w:val="21"/>
                <w:szCs w:val="21"/>
              </w:rPr>
              <w:t>日至本次非公开发行股 票完成后的六个月内，本人及本人关联方 将不以任何方式减持所持有的辉煌科技股 票，亦不会做出减持辉煌科技股票的计划 </w:t>
            </w:r>
            <w:r>
              <w:rPr>
                <w:rFonts w:ascii="宋体" w:hAnsi="宋体" w:cs="宋体" w:eastAsia="宋体" w:hint="default"/>
                <w:spacing w:val="-8"/>
                <w:sz w:val="21"/>
                <w:szCs w:val="21"/>
              </w:rPr>
              <w:t>或安排。</w:t>
            </w:r>
            <w:r>
              <w:rPr>
                <w:rFonts w:ascii="宋体" w:hAnsi="宋体" w:cs="宋体" w:eastAsia="宋体" w:hint="default"/>
                <w:spacing w:val="-8"/>
                <w:sz w:val="21"/>
                <w:szCs w:val="21"/>
              </w:rPr>
              <w:t>2</w:t>
            </w:r>
            <w:r>
              <w:rPr>
                <w:rFonts w:ascii="宋体" w:hAnsi="宋体" w:cs="宋体" w:eastAsia="宋体" w:hint="default"/>
                <w:spacing w:val="-8"/>
                <w:sz w:val="21"/>
                <w:szCs w:val="21"/>
              </w:rPr>
              <w:t>、（</w:t>
            </w:r>
            <w:r>
              <w:rPr>
                <w:rFonts w:ascii="宋体" w:hAnsi="宋体" w:cs="宋体" w:eastAsia="宋体" w:hint="default"/>
                <w:spacing w:val="-8"/>
                <w:sz w:val="21"/>
                <w:szCs w:val="21"/>
              </w:rPr>
              <w:t>1</w:t>
            </w:r>
            <w:r>
              <w:rPr>
                <w:rFonts w:ascii="宋体" w:hAnsi="宋体" w:cs="宋体" w:eastAsia="宋体" w:hint="default"/>
                <w:spacing w:val="-8"/>
                <w:sz w:val="21"/>
                <w:szCs w:val="21"/>
              </w:rPr>
              <w:t>）本人是具有完全民事行为</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能力的自然人，中国国籍，具备法律、行 政法规规定的认购上市公司非公开发行股 </w:t>
            </w:r>
            <w:r>
              <w:rPr>
                <w:rFonts w:ascii="宋体" w:hAnsi="宋体" w:cs="宋体" w:eastAsia="宋体" w:hint="default"/>
                <w:spacing w:val="-6"/>
                <w:sz w:val="21"/>
                <w:szCs w:val="21"/>
              </w:rPr>
              <w:t>票的资格。（</w:t>
            </w:r>
            <w:r>
              <w:rPr>
                <w:rFonts w:ascii="宋体" w:hAnsi="宋体" w:cs="宋体" w:eastAsia="宋体" w:hint="default"/>
                <w:spacing w:val="-6"/>
                <w:sz w:val="21"/>
                <w:szCs w:val="21"/>
              </w:rPr>
              <w:t>2</w:t>
            </w:r>
            <w:r>
              <w:rPr>
                <w:rFonts w:ascii="宋体" w:hAnsi="宋体" w:cs="宋体" w:eastAsia="宋体" w:hint="default"/>
                <w:spacing w:val="-6"/>
                <w:sz w:val="21"/>
                <w:szCs w:val="21"/>
              </w:rPr>
              <w:t>）本人认购辉煌科技本次非</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公开发行股票的资金来源是本人自有或自 筹资金，本次认购资金来源合法、合规， 不存在由辉煌科技或其控股公司通过直接 或间接方式就本次认购对本人提供财务资 助或者补偿的情形；本人参与本次认购亦 不存在对外募集资金、股份代持、分级收 </w:t>
            </w:r>
            <w:r>
              <w:rPr>
                <w:rFonts w:ascii="宋体" w:hAnsi="宋体" w:cs="宋体" w:eastAsia="宋体" w:hint="default"/>
                <w:spacing w:val="-6"/>
                <w:sz w:val="21"/>
                <w:szCs w:val="21"/>
              </w:rPr>
              <w:t>益等结构化安排等行为。（</w:t>
            </w:r>
            <w:r>
              <w:rPr>
                <w:rFonts w:ascii="宋体" w:hAnsi="宋体" w:cs="宋体" w:eastAsia="宋体" w:hint="default"/>
                <w:spacing w:val="-6"/>
                <w:sz w:val="21"/>
                <w:szCs w:val="21"/>
              </w:rPr>
              <w:t>3</w:t>
            </w:r>
            <w:r>
              <w:rPr>
                <w:rFonts w:ascii="宋体" w:hAnsi="宋体" w:cs="宋体" w:eastAsia="宋体" w:hint="default"/>
                <w:spacing w:val="-6"/>
                <w:sz w:val="21"/>
                <w:szCs w:val="21"/>
              </w:rPr>
              <w:t>）本人保证在</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辉煌科技本次非公开发行股票获得中国证 监会核准后、非公开发行方案在中国证监 会备案前，确保认购辉煌科技本次非公开 发行股票的资金全部到位。若本人未能按 </w:t>
            </w:r>
            <w:r>
              <w:rPr>
                <w:rFonts w:ascii="宋体" w:hAnsi="宋体" w:cs="宋体" w:eastAsia="宋体" w:hint="default"/>
                <w:spacing w:val="-12"/>
                <w:sz w:val="21"/>
                <w:szCs w:val="21"/>
              </w:rPr>
              <w:t>照《附条件生效股份认购合同》、《附条件</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pacing w:val="-12"/>
                <w:sz w:val="21"/>
                <w:szCs w:val="21"/>
              </w:rPr>
              <w:t>生效股份认购合同之补充协议》、《附条件</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pacing w:val="-9"/>
                <w:sz w:val="21"/>
                <w:szCs w:val="21"/>
              </w:rPr>
              <w:t>生效股份认购合同之补充协议（二）》的约</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z w:val="21"/>
                <w:szCs w:val="21"/>
              </w:rPr>
              <w:t>定履行认购缴款义务，本人愿依据上述合 同的约定承担违约责任。</w:t>
            </w:r>
          </w:p>
        </w:tc>
        <w:tc>
          <w:tcPr>
            <w:tcW w:w="60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3" w:right="0"/>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06</w:t>
            </w:r>
          </w:p>
          <w:p>
            <w:pPr>
              <w:pStyle w:val="TableParagraph"/>
              <w:spacing w:line="273" w:lineRule="auto" w:before="37"/>
              <w:ind w:left="23" w:right="99"/>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21 </w:t>
            </w:r>
            <w:r>
              <w:rPr>
                <w:rFonts w:ascii="宋体" w:hAnsi="宋体" w:cs="宋体" w:eastAsia="宋体" w:hint="default"/>
                <w:sz w:val="21"/>
                <w:szCs w:val="21"/>
              </w:rPr>
              <w:t>日</w:t>
            </w:r>
          </w:p>
        </w:tc>
        <w:tc>
          <w:tcPr>
            <w:tcW w:w="131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2" w:right="0"/>
              <w:jc w:val="both"/>
              <w:rPr>
                <w:rFonts w:ascii="宋体" w:hAnsi="宋体" w:cs="宋体" w:eastAsia="宋体" w:hint="default"/>
                <w:sz w:val="21"/>
                <w:szCs w:val="21"/>
              </w:rPr>
            </w:pPr>
            <w:r>
              <w:rPr>
                <w:rFonts w:ascii="宋体" w:hAnsi="宋体" w:cs="宋体" w:eastAsia="宋体" w:hint="default"/>
                <w:sz w:val="21"/>
                <w:szCs w:val="21"/>
              </w:rPr>
              <w:t>日至</w:t>
            </w:r>
            <w:r>
              <w:rPr>
                <w:rFonts w:ascii="宋体" w:hAnsi="宋体" w:cs="宋体" w:eastAsia="宋体" w:hint="default"/>
                <w:spacing w:val="-53"/>
                <w:sz w:val="21"/>
                <w:szCs w:val="21"/>
              </w:rPr>
              <w:t> </w:t>
            </w:r>
            <w:r>
              <w:rPr>
                <w:rFonts w:ascii="宋体" w:hAnsi="宋体" w:cs="宋体" w:eastAsia="宋体" w:hint="default"/>
                <w:sz w:val="21"/>
                <w:szCs w:val="21"/>
              </w:rPr>
              <w:t>2015</w:t>
            </w:r>
            <w:r>
              <w:rPr>
                <w:rFonts w:ascii="宋体" w:hAnsi="宋体" w:cs="宋体" w:eastAsia="宋体" w:hint="default"/>
                <w:spacing w:val="-53"/>
                <w:sz w:val="21"/>
                <w:szCs w:val="21"/>
              </w:rPr>
              <w:t> </w:t>
            </w:r>
            <w:r>
              <w:rPr>
                <w:rFonts w:ascii="宋体" w:hAnsi="宋体" w:cs="宋体" w:eastAsia="宋体" w:hint="default"/>
                <w:sz w:val="21"/>
                <w:szCs w:val="21"/>
              </w:rPr>
              <w:t>年</w:t>
            </w:r>
          </w:p>
          <w:p>
            <w:pPr>
              <w:pStyle w:val="TableParagraph"/>
              <w:spacing w:line="273" w:lineRule="auto" w:before="37"/>
              <w:ind w:left="22" w:right="24"/>
              <w:jc w:val="both"/>
              <w:rPr>
                <w:rFonts w:ascii="宋体" w:hAnsi="宋体" w:cs="宋体" w:eastAsia="宋体" w:hint="default"/>
                <w:sz w:val="21"/>
                <w:szCs w:val="21"/>
              </w:rPr>
            </w:pPr>
            <w:r>
              <w:rPr>
                <w:rFonts w:ascii="宋体" w:hAnsi="宋体" w:cs="宋体" w:eastAsia="宋体" w:hint="default"/>
                <w:sz w:val="21"/>
                <w:szCs w:val="21"/>
              </w:rPr>
              <w:t>度非公开发行 股票完成之日 起六个月内</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z w:val="21"/>
                <w:szCs w:val="21"/>
              </w:rPr>
              <w:t>公开发行</w:t>
            </w:r>
          </w:p>
          <w:p>
            <w:pPr>
              <w:pStyle w:val="TableParagraph"/>
              <w:spacing w:line="273" w:lineRule="auto" w:before="37"/>
              <w:ind w:left="22" w:right="22"/>
              <w:jc w:val="left"/>
              <w:rPr>
                <w:rFonts w:ascii="宋体" w:hAnsi="宋体" w:cs="宋体" w:eastAsia="宋体" w:hint="default"/>
                <w:sz w:val="21"/>
                <w:szCs w:val="21"/>
              </w:rPr>
            </w:pPr>
            <w:r>
              <w:rPr>
                <w:rFonts w:ascii="宋体" w:hAnsi="宋体" w:cs="宋体" w:eastAsia="宋体" w:hint="default"/>
                <w:sz w:val="21"/>
                <w:szCs w:val="21"/>
              </w:rPr>
              <w:t>股票发行 事项报告 期内已终 </w:t>
            </w:r>
            <w:r>
              <w:rPr>
                <w:rFonts w:ascii="宋体" w:hAnsi="宋体" w:cs="宋体" w:eastAsia="宋体" w:hint="default"/>
                <w:spacing w:val="-3"/>
                <w:sz w:val="21"/>
                <w:szCs w:val="21"/>
              </w:rPr>
              <w:t>止，该承诺</w:t>
            </w:r>
            <w:r>
              <w:rPr>
                <w:rFonts w:ascii="宋体" w:hAnsi="宋体" w:cs="宋体" w:eastAsia="宋体" w:hint="default"/>
                <w:sz w:val="21"/>
                <w:szCs w:val="21"/>
              </w:rPr>
              <w:t> 已履行完 毕。</w:t>
            </w:r>
          </w:p>
        </w:tc>
      </w:tr>
      <w:tr>
        <w:trPr>
          <w:trHeight w:val="5043" w:hRule="exact"/>
        </w:trPr>
        <w:tc>
          <w:tcPr>
            <w:tcW w:w="1214" w:type="dxa"/>
            <w:vMerge/>
            <w:tcBorders>
              <w:left w:val="single" w:sz="4" w:space="0" w:color="000000"/>
              <w:bottom w:val="single" w:sz="4" w:space="0" w:color="000000"/>
              <w:right w:val="single" w:sz="4" w:space="0" w:color="000000"/>
            </w:tcBorders>
            <w:shd w:val="clear" w:color="auto" w:fill="D2D2D2"/>
          </w:tcPr>
          <w:p>
            <w:pPr/>
          </w:p>
        </w:tc>
        <w:tc>
          <w:tcPr>
            <w:tcW w:w="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73" w:lineRule="auto"/>
              <w:ind w:left="22" w:right="211"/>
              <w:jc w:val="both"/>
              <w:rPr>
                <w:rFonts w:ascii="宋体" w:hAnsi="宋体" w:cs="宋体" w:eastAsia="宋体" w:hint="default"/>
                <w:sz w:val="21"/>
                <w:szCs w:val="21"/>
              </w:rPr>
            </w:pPr>
            <w:r>
              <w:rPr>
                <w:rFonts w:ascii="宋体" w:hAnsi="宋体" w:cs="宋体" w:eastAsia="宋体" w:hint="default"/>
                <w:sz w:val="21"/>
                <w:szCs w:val="21"/>
              </w:rPr>
              <w:t>募集资 金使用 承诺</w:t>
            </w:r>
          </w:p>
        </w:tc>
        <w:tc>
          <w:tcPr>
            <w:tcW w:w="389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2" w:right="23"/>
              <w:jc w:val="both"/>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3"/>
                <w:sz w:val="21"/>
                <w:szCs w:val="21"/>
              </w:rPr>
              <w:t> </w:t>
            </w:r>
            <w:r>
              <w:rPr>
                <w:rFonts w:ascii="宋体" w:hAnsi="宋体" w:cs="宋体" w:eastAsia="宋体" w:hint="default"/>
                <w:sz w:val="21"/>
                <w:szCs w:val="21"/>
              </w:rPr>
              <w:t>年度非公开发行募集资金到位后，河 南辉煌科技股份有限公司将严格执行中国 证监会及深圳证券交易所有关规定及本公 司《募集资金管理制度》的规定，单独开 立募集资金专项账户，并与保荐机构、存 放募集资金的银行签订募集资金三方监管 协议，对该专门账户内的资金严格按照中 </w:t>
            </w:r>
            <w:r>
              <w:rPr>
                <w:rFonts w:ascii="宋体" w:hAnsi="宋体" w:cs="宋体" w:eastAsia="宋体" w:hint="default"/>
                <w:spacing w:val="-4"/>
                <w:sz w:val="21"/>
                <w:szCs w:val="21"/>
              </w:rPr>
              <w:t>国证监会《上市公司监管指引第</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号</w:t>
            </w:r>
            <w:r>
              <w:rPr>
                <w:rFonts w:ascii="宋体" w:hAnsi="宋体" w:cs="宋体" w:eastAsia="宋体" w:hint="default"/>
                <w:sz w:val="21"/>
                <w:szCs w:val="21"/>
              </w:rPr>
              <w:t>-</w:t>
            </w:r>
            <w:r>
              <w:rPr>
                <w:rFonts w:ascii="宋体" w:hAnsi="宋体" w:cs="宋体" w:eastAsia="宋体" w:hint="default"/>
                <w:sz w:val="21"/>
                <w:szCs w:val="21"/>
              </w:rPr>
              <w:t>上市 公司募集资金管理和使用的监管要求》中 有关募集资金专户管理的有关规定进行管 理。募集资金在实际投入前产生的利息或 其他潜在收益都将通过该专户进行集中管 理，专户不得存放非募集资金或用作其他 用途；同时本公司将按照信息披露的募集 资金投向和董事会、股东大会的审批和决 议使用募集资金，不变相通过本次募集资</w:t>
            </w:r>
          </w:p>
        </w:tc>
        <w:tc>
          <w:tcPr>
            <w:tcW w:w="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21"/>
                <w:szCs w:val="21"/>
              </w:rPr>
            </w:pPr>
            <w:r>
              <w:rPr>
                <w:rFonts w:ascii="宋体"/>
                <w:sz w:val="21"/>
              </w:rPr>
              <w:t>2016</w:t>
            </w:r>
          </w:p>
          <w:p>
            <w:pPr>
              <w:pStyle w:val="TableParagraph"/>
              <w:spacing w:line="240" w:lineRule="auto" w:before="37"/>
              <w:ind w:left="23" w:right="0"/>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06</w:t>
            </w:r>
          </w:p>
          <w:p>
            <w:pPr>
              <w:pStyle w:val="TableParagraph"/>
              <w:spacing w:line="273" w:lineRule="auto" w:before="37"/>
              <w:ind w:left="23" w:right="99"/>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30 </w:t>
            </w:r>
            <w:r>
              <w:rPr>
                <w:rFonts w:ascii="宋体" w:hAnsi="宋体" w:cs="宋体" w:eastAsia="宋体" w:hint="default"/>
                <w:sz w:val="21"/>
                <w:szCs w:val="21"/>
              </w:rPr>
              <w:t>日</w:t>
            </w:r>
          </w:p>
        </w:tc>
        <w:tc>
          <w:tcPr>
            <w:tcW w:w="1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73" w:lineRule="auto"/>
              <w:ind w:left="22" w:right="24"/>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1"/>
                <w:sz w:val="21"/>
                <w:szCs w:val="21"/>
              </w:rPr>
              <w:t> </w:t>
            </w:r>
            <w:r>
              <w:rPr>
                <w:rFonts w:ascii="宋体" w:hAnsi="宋体" w:cs="宋体" w:eastAsia="宋体" w:hint="default"/>
                <w:sz w:val="21"/>
                <w:szCs w:val="21"/>
              </w:rPr>
              <w:t>年度非 公开发行募集 资金使用期间</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9"/>
                <w:szCs w:val="29"/>
              </w:rPr>
            </w:pPr>
          </w:p>
          <w:p>
            <w:pPr>
              <w:pStyle w:val="TableParagraph"/>
              <w:spacing w:line="273" w:lineRule="auto"/>
              <w:ind w:left="22" w:right="23"/>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1"/>
                <w:sz w:val="21"/>
                <w:szCs w:val="21"/>
              </w:rPr>
              <w:t> </w:t>
            </w:r>
            <w:r>
              <w:rPr>
                <w:rFonts w:ascii="宋体" w:hAnsi="宋体" w:cs="宋体" w:eastAsia="宋体" w:hint="default"/>
                <w:sz w:val="21"/>
                <w:szCs w:val="21"/>
              </w:rPr>
              <w:t>年非 公开发行 股票发行 事项报告 期内已终 </w:t>
            </w:r>
            <w:r>
              <w:rPr>
                <w:rFonts w:ascii="宋体" w:hAnsi="宋体" w:cs="宋体" w:eastAsia="宋体" w:hint="default"/>
                <w:spacing w:val="-3"/>
                <w:sz w:val="21"/>
                <w:szCs w:val="21"/>
              </w:rPr>
              <w:t>止，该承诺</w:t>
            </w:r>
            <w:r>
              <w:rPr>
                <w:rFonts w:ascii="宋体" w:hAnsi="宋体" w:cs="宋体" w:eastAsia="宋体" w:hint="default"/>
                <w:sz w:val="21"/>
                <w:szCs w:val="21"/>
              </w:rPr>
              <w:t> 已履行完 毕。</w:t>
            </w:r>
          </w:p>
        </w:tc>
      </w:tr>
    </w:tbl>
    <w:p>
      <w:pPr>
        <w:spacing w:after="0" w:line="273" w:lineRule="auto"/>
        <w:jc w:val="left"/>
        <w:rPr>
          <w:rFonts w:ascii="宋体" w:hAnsi="宋体" w:cs="宋体" w:eastAsia="宋体" w:hint="default"/>
          <w:sz w:val="21"/>
          <w:szCs w:val="21"/>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382.339996pt;margin-top:72.47998pt;width:36.9pt;height:95.7pt;mso-position-horizontal-relative:page;mso-position-vertical-relative:page;z-index:-916168" type="#_x0000_t202" filled="false" stroked="false">
            <v:textbox inset="0,0,0,0">
              <w:txbxContent>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before="149"/>
                    <w:ind w:left="0" w:right="0" w:firstLine="0"/>
                    <w:jc w:val="left"/>
                    <w:rPr>
                      <w:rFonts w:ascii="宋体" w:hAnsi="宋体" w:cs="宋体" w:eastAsia="宋体" w:hint="default"/>
                      <w:sz w:val="21"/>
                      <w:szCs w:val="21"/>
                    </w:rPr>
                  </w:pPr>
                  <w:r>
                    <w:rPr>
                      <w:rFonts w:ascii="宋体" w:hAnsi="宋体" w:cs="宋体" w:eastAsia="宋体" w:hint="default"/>
                      <w:sz w:val="21"/>
                      <w:szCs w:val="21"/>
                    </w:rPr>
                    <w:t>。</w:t>
                  </w:r>
                </w:p>
              </w:txbxContent>
            </v:textbox>
            <w10:wrap type="none"/>
          </v:shape>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214"/>
        <w:gridCol w:w="666"/>
        <w:gridCol w:w="876"/>
        <w:gridCol w:w="3891"/>
        <w:gridCol w:w="609"/>
        <w:gridCol w:w="673"/>
        <w:gridCol w:w="646"/>
        <w:gridCol w:w="1093"/>
      </w:tblGrid>
      <w:tr>
        <w:trPr>
          <w:trHeight w:val="1923" w:hRule="exact"/>
        </w:trPr>
        <w:tc>
          <w:tcPr>
            <w:tcW w:w="12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389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2" w:right="0"/>
              <w:jc w:val="both"/>
              <w:rPr>
                <w:rFonts w:ascii="宋体" w:hAnsi="宋体" w:cs="宋体" w:eastAsia="宋体" w:hint="default"/>
                <w:sz w:val="21"/>
                <w:szCs w:val="21"/>
              </w:rPr>
            </w:pPr>
            <w:r>
              <w:rPr>
                <w:rFonts w:ascii="宋体" w:hAnsi="宋体" w:cs="宋体" w:eastAsia="宋体" w:hint="default"/>
                <w:sz w:val="21"/>
                <w:szCs w:val="21"/>
              </w:rPr>
              <w:t>金补充流动资金以实施重大投资或资产购</w:t>
            </w:r>
          </w:p>
          <w:p>
            <w:pPr>
              <w:pStyle w:val="TableParagraph"/>
              <w:spacing w:line="273" w:lineRule="auto" w:before="37"/>
              <w:ind w:left="22" w:right="76"/>
              <w:jc w:val="both"/>
              <w:rPr>
                <w:rFonts w:ascii="宋体" w:hAnsi="宋体" w:cs="宋体" w:eastAsia="宋体" w:hint="default"/>
                <w:sz w:val="21"/>
                <w:szCs w:val="21"/>
              </w:rPr>
            </w:pPr>
            <w:r>
              <w:rPr>
                <w:rFonts w:ascii="宋体" w:hAnsi="宋体" w:cs="宋体" w:eastAsia="宋体" w:hint="default"/>
                <w:sz w:val="21"/>
                <w:szCs w:val="21"/>
              </w:rPr>
              <w:t>买，本次募集资金中补充流动资金部分将 </w:t>
            </w:r>
            <w:r>
              <w:rPr>
                <w:rFonts w:ascii="宋体" w:hAnsi="宋体" w:cs="宋体" w:eastAsia="宋体" w:hint="default"/>
                <w:spacing w:val="-3"/>
                <w:sz w:val="21"/>
                <w:szCs w:val="21"/>
              </w:rPr>
              <w:t>用于主营业务发展，不会用于财务性投资</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本公司将严格规范与上市公司体系内各子 公司之间的关联交易和资金往来，确保合 理性和公允性。</w:t>
            </w:r>
          </w:p>
        </w:tc>
        <w:tc>
          <w:tcPr>
            <w:tcW w:w="609" w:type="dxa"/>
            <w:tcBorders>
              <w:top w:val="single" w:sz="4" w:space="0" w:color="000000"/>
              <w:left w:val="single" w:sz="4" w:space="0" w:color="000000"/>
              <w:bottom w:val="single" w:sz="4" w:space="0" w:color="000000"/>
              <w:right w:val="single" w:sz="4" w:space="0" w:color="000000"/>
            </w:tcBorders>
          </w:tcPr>
          <w:p>
            <w:pPr>
              <w:pStyle w:val="TableParagraph"/>
              <w:spacing w:line="1913" w:lineRule="exact"/>
              <w:ind w:left="1" w:right="-5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37"/>
                <w:sz w:val="20"/>
                <w:szCs w:val="20"/>
              </w:rPr>
              <w:pict>
                <v:group style="width:29.9pt;height:95.7pt;mso-position-horizontal-relative:char;mso-position-vertical-relative:line" coordorigin="0,0" coordsize="598,1914">
                  <v:group style="position:absolute;left:0;top:0;width:598;height:1914" coordorigin="0,0" coordsize="598,1914">
                    <v:shape style="position:absolute;left:0;top:0;width:598;height:1914" coordorigin="0,0" coordsize="598,1914" path="m0,1913l598,1913,598,0,0,0,0,1913xe" filled="true" fillcolor="#ffffff" stroked="false">
                      <v:path arrowok="t"/>
                      <v:fill type="solid"/>
                    </v:shape>
                  </v:group>
                </v:group>
              </w:pict>
            </w:r>
            <w:r>
              <w:rPr>
                <w:rFonts w:ascii="Times New Roman" w:hAnsi="Times New Roman" w:cs="Times New Roman" w:eastAsia="Times New Roman" w:hint="default"/>
                <w:position w:val="-37"/>
                <w:sz w:val="20"/>
                <w:szCs w:val="20"/>
              </w:rPr>
            </w:r>
          </w:p>
        </w:tc>
        <w:tc>
          <w:tcPr>
            <w:tcW w:w="1319" w:type="dxa"/>
            <w:gridSpan w:val="2"/>
            <w:tcBorders>
              <w:top w:val="single" w:sz="4" w:space="0" w:color="000000"/>
              <w:left w:val="single" w:sz="4" w:space="0" w:color="000000"/>
              <w:bottom w:val="single" w:sz="4" w:space="0" w:color="000000"/>
              <w:right w:val="single" w:sz="4" w:space="0" w:color="000000"/>
            </w:tcBorders>
          </w:tcPr>
          <w:p>
            <w:pPr/>
          </w:p>
        </w:tc>
        <w:tc>
          <w:tcPr>
            <w:tcW w:w="109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2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22" w:right="129"/>
              <w:jc w:val="left"/>
              <w:rPr>
                <w:rFonts w:ascii="宋体" w:hAnsi="宋体" w:cs="宋体" w:eastAsia="宋体" w:hint="default"/>
                <w:sz w:val="21"/>
                <w:szCs w:val="21"/>
              </w:rPr>
            </w:pPr>
            <w:r>
              <w:rPr>
                <w:rFonts w:ascii="宋体" w:hAnsi="宋体" w:cs="宋体" w:eastAsia="宋体" w:hint="default"/>
                <w:sz w:val="21"/>
                <w:szCs w:val="21"/>
              </w:rPr>
              <w:t>股权激励承 诺</w:t>
            </w:r>
          </w:p>
        </w:tc>
        <w:tc>
          <w:tcPr>
            <w:tcW w:w="666" w:type="dxa"/>
            <w:tcBorders>
              <w:top w:val="single" w:sz="4" w:space="0" w:color="000000"/>
              <w:left w:val="single" w:sz="13" w:space="0" w:color="D2D2D2"/>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3891" w:type="dxa"/>
            <w:tcBorders>
              <w:top w:val="single" w:sz="4" w:space="0" w:color="000000"/>
              <w:left w:val="single" w:sz="4" w:space="0" w:color="000000"/>
              <w:bottom w:val="single" w:sz="4" w:space="0" w:color="000000"/>
              <w:right w:val="single" w:sz="4" w:space="0" w:color="000000"/>
            </w:tcBorders>
          </w:tcPr>
          <w:p>
            <w:pPr/>
          </w:p>
        </w:tc>
        <w:tc>
          <w:tcPr>
            <w:tcW w:w="609" w:type="dxa"/>
            <w:tcBorders>
              <w:top w:val="single" w:sz="4" w:space="0" w:color="000000"/>
              <w:left w:val="single" w:sz="4" w:space="0" w:color="000000"/>
              <w:bottom w:val="single" w:sz="4" w:space="0" w:color="000000"/>
              <w:right w:val="single" w:sz="4" w:space="0" w:color="000000"/>
            </w:tcBorders>
          </w:tcPr>
          <w:p>
            <w:pPr/>
          </w:p>
        </w:tc>
        <w:tc>
          <w:tcPr>
            <w:tcW w:w="1319" w:type="dxa"/>
            <w:gridSpan w:val="2"/>
            <w:tcBorders>
              <w:top w:val="single" w:sz="4" w:space="0" w:color="000000"/>
              <w:left w:val="single" w:sz="4" w:space="0" w:color="000000"/>
              <w:bottom w:val="single" w:sz="4" w:space="0" w:color="000000"/>
              <w:right w:val="single" w:sz="4" w:space="0" w:color="000000"/>
            </w:tcBorders>
          </w:tcPr>
          <w:p>
            <w:pPr/>
          </w:p>
        </w:tc>
        <w:tc>
          <w:tcPr>
            <w:tcW w:w="1093"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1214" w:type="dxa"/>
            <w:vMerge w:val="restart"/>
            <w:tcBorders>
              <w:top w:val="single" w:sz="4" w:space="0" w:color="000000"/>
              <w:left w:val="single" w:sz="4" w:space="0" w:color="000000"/>
              <w:right w:val="single" w:sz="4" w:space="0" w:color="000000"/>
            </w:tcBorders>
            <w:shd w:val="clear" w:color="auto" w:fill="D2D2D2"/>
          </w:tcPr>
          <w:p>
            <w:pPr/>
          </w:p>
        </w:tc>
        <w:tc>
          <w:tcPr>
            <w:tcW w:w="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9"/>
                <w:szCs w:val="29"/>
              </w:rPr>
            </w:pPr>
          </w:p>
          <w:p>
            <w:pPr>
              <w:pStyle w:val="TableParagraph"/>
              <w:spacing w:line="273" w:lineRule="auto"/>
              <w:ind w:left="22" w:right="211"/>
              <w:jc w:val="both"/>
              <w:rPr>
                <w:rFonts w:ascii="宋体" w:hAnsi="宋体" w:cs="宋体" w:eastAsia="宋体" w:hint="default"/>
                <w:sz w:val="21"/>
                <w:szCs w:val="21"/>
              </w:rPr>
            </w:pPr>
            <w:r>
              <w:rPr>
                <w:rFonts w:ascii="宋体" w:hAnsi="宋体" w:cs="宋体" w:eastAsia="宋体" w:hint="default"/>
                <w:sz w:val="21"/>
                <w:szCs w:val="21"/>
              </w:rPr>
              <w:t>募集资 金使用 承诺</w:t>
            </w:r>
          </w:p>
        </w:tc>
        <w:tc>
          <w:tcPr>
            <w:tcW w:w="389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2" w:right="76"/>
              <w:jc w:val="both"/>
              <w:rPr>
                <w:rFonts w:ascii="宋体" w:hAnsi="宋体" w:cs="宋体" w:eastAsia="宋体" w:hint="default"/>
                <w:sz w:val="21"/>
                <w:szCs w:val="21"/>
              </w:rPr>
            </w:pPr>
            <w:r>
              <w:rPr>
                <w:rFonts w:ascii="宋体" w:hAnsi="宋体" w:cs="宋体" w:eastAsia="宋体" w:hint="default"/>
                <w:sz w:val="21"/>
                <w:szCs w:val="21"/>
              </w:rPr>
              <w:t>在丰图辉煌产业并购基金投资设立后的十 二个月内，不使用闲置募集资金暂时补充 流动资金、不将募集资金投向变更为永久 性补充流动资金、不将募集资金永久性用 于补充流动资金或归还银行贷款。</w:t>
            </w:r>
          </w:p>
        </w:tc>
        <w:tc>
          <w:tcPr>
            <w:tcW w:w="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23" w:right="0"/>
              <w:jc w:val="left"/>
              <w:rPr>
                <w:rFonts w:ascii="宋体" w:hAnsi="宋体" w:cs="宋体" w:eastAsia="宋体" w:hint="default"/>
                <w:sz w:val="21"/>
                <w:szCs w:val="21"/>
              </w:rPr>
            </w:pPr>
            <w:r>
              <w:rPr>
                <w:rFonts w:ascii="宋体"/>
                <w:sz w:val="21"/>
              </w:rPr>
              <w:t>2014</w:t>
            </w:r>
          </w:p>
          <w:p>
            <w:pPr>
              <w:pStyle w:val="TableParagraph"/>
              <w:spacing w:line="240" w:lineRule="auto" w:before="36"/>
              <w:ind w:left="23" w:right="0"/>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06</w:t>
            </w:r>
          </w:p>
          <w:p>
            <w:pPr>
              <w:pStyle w:val="TableParagraph"/>
              <w:spacing w:line="273" w:lineRule="auto" w:before="37"/>
              <w:ind w:left="23" w:right="99"/>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05 </w:t>
            </w:r>
            <w:r>
              <w:rPr>
                <w:rFonts w:ascii="宋体" w:hAnsi="宋体" w:cs="宋体" w:eastAsia="宋体" w:hint="default"/>
                <w:sz w:val="21"/>
                <w:szCs w:val="21"/>
              </w:rPr>
              <w:t>日</w:t>
            </w:r>
          </w:p>
        </w:tc>
        <w:tc>
          <w:tcPr>
            <w:tcW w:w="131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9"/>
                <w:szCs w:val="29"/>
              </w:rPr>
            </w:pPr>
          </w:p>
          <w:p>
            <w:pPr>
              <w:pStyle w:val="TableParagraph"/>
              <w:spacing w:line="273" w:lineRule="auto"/>
              <w:ind w:left="22" w:right="24"/>
              <w:jc w:val="both"/>
              <w:rPr>
                <w:rFonts w:ascii="宋体" w:hAnsi="宋体" w:cs="宋体" w:eastAsia="宋体" w:hint="default"/>
                <w:sz w:val="21"/>
                <w:szCs w:val="21"/>
              </w:rPr>
            </w:pPr>
            <w:r>
              <w:rPr>
                <w:rFonts w:ascii="宋体" w:hAnsi="宋体" w:cs="宋体" w:eastAsia="宋体" w:hint="default"/>
                <w:sz w:val="21"/>
                <w:szCs w:val="21"/>
              </w:rPr>
              <w:t>该产业并购基 金设立后十二 个月内</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73" w:lineRule="auto"/>
              <w:ind w:left="22" w:right="218"/>
              <w:jc w:val="left"/>
              <w:rPr>
                <w:rFonts w:ascii="宋体" w:hAnsi="宋体" w:cs="宋体" w:eastAsia="宋体" w:hint="default"/>
                <w:sz w:val="21"/>
                <w:szCs w:val="21"/>
              </w:rPr>
            </w:pPr>
            <w:r>
              <w:rPr>
                <w:rFonts w:ascii="宋体" w:hAnsi="宋体" w:cs="宋体" w:eastAsia="宋体" w:hint="default"/>
                <w:sz w:val="21"/>
                <w:szCs w:val="21"/>
              </w:rPr>
              <w:t>正常履行 中。</w:t>
            </w:r>
          </w:p>
        </w:tc>
      </w:tr>
      <w:tr>
        <w:trPr>
          <w:trHeight w:val="2924" w:hRule="exact"/>
        </w:trPr>
        <w:tc>
          <w:tcPr>
            <w:tcW w:w="1214" w:type="dxa"/>
            <w:vMerge/>
            <w:tcBorders>
              <w:left w:val="single" w:sz="4" w:space="0" w:color="000000"/>
              <w:bottom w:val="nil" w:sz="6" w:space="0" w:color="auto"/>
              <w:right w:val="single" w:sz="4" w:space="0" w:color="000000"/>
            </w:tcBorders>
            <w:shd w:val="clear" w:color="auto" w:fill="D2D2D2"/>
          </w:tcPr>
          <w:p>
            <w:pPr/>
          </w:p>
        </w:tc>
        <w:tc>
          <w:tcPr>
            <w:tcW w:w="666" w:type="dxa"/>
            <w:vMerge w:val="restart"/>
            <w:tcBorders>
              <w:top w:val="single" w:sz="4" w:space="0" w:color="000000"/>
              <w:left w:val="single" w:sz="10" w:space="0" w:color="D2D2D2"/>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2"/>
              <w:ind w:left="15"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87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27"/>
                <w:szCs w:val="27"/>
              </w:rPr>
            </w:pPr>
          </w:p>
          <w:p>
            <w:pPr>
              <w:pStyle w:val="TableParagraph"/>
              <w:spacing w:line="273" w:lineRule="auto"/>
              <w:ind w:left="22" w:right="211"/>
              <w:jc w:val="both"/>
              <w:rPr>
                <w:rFonts w:ascii="宋体" w:hAnsi="宋体" w:cs="宋体" w:eastAsia="宋体" w:hint="default"/>
                <w:sz w:val="21"/>
                <w:szCs w:val="21"/>
              </w:rPr>
            </w:pPr>
            <w:r>
              <w:rPr>
                <w:rFonts w:ascii="宋体" w:hAnsi="宋体" w:cs="宋体" w:eastAsia="宋体" w:hint="default"/>
                <w:sz w:val="21"/>
                <w:szCs w:val="21"/>
              </w:rPr>
              <w:t>募集资 金使用 承诺</w:t>
            </w:r>
          </w:p>
        </w:tc>
        <w:tc>
          <w:tcPr>
            <w:tcW w:w="3891" w:type="dxa"/>
            <w:vMerge w:val="restart"/>
            <w:tcBorders>
              <w:top w:val="single" w:sz="4" w:space="0" w:color="000000"/>
              <w:left w:val="single" w:sz="4" w:space="0" w:color="000000"/>
              <w:right w:val="single" w:sz="4" w:space="0" w:color="000000"/>
            </w:tcBorders>
          </w:tcPr>
          <w:p>
            <w:pPr>
              <w:pStyle w:val="TableParagraph"/>
              <w:spacing w:line="273" w:lineRule="auto" w:before="26"/>
              <w:ind w:left="22" w:right="20"/>
              <w:jc w:val="both"/>
              <w:rPr>
                <w:rFonts w:ascii="宋体" w:hAnsi="宋体" w:cs="宋体" w:eastAsia="宋体" w:hint="default"/>
                <w:sz w:val="21"/>
                <w:szCs w:val="21"/>
              </w:rPr>
            </w:pPr>
            <w:r>
              <w:rPr>
                <w:rFonts w:ascii="宋体" w:hAnsi="宋体" w:cs="宋体" w:eastAsia="宋体" w:hint="default"/>
                <w:sz w:val="21"/>
                <w:szCs w:val="21"/>
              </w:rPr>
              <w:t>本次闲置募集资金暂时补充流动资金的承 </w:t>
            </w:r>
            <w:r>
              <w:rPr>
                <w:rFonts w:ascii="宋体" w:hAnsi="宋体" w:cs="宋体" w:eastAsia="宋体" w:hint="default"/>
                <w:spacing w:val="-3"/>
                <w:sz w:val="21"/>
                <w:szCs w:val="21"/>
              </w:rPr>
              <w:t>诺：</w:t>
            </w:r>
            <w:r>
              <w:rPr>
                <w:rFonts w:ascii="宋体" w:hAnsi="宋体" w:cs="宋体" w:eastAsia="宋体" w:hint="default"/>
                <w:spacing w:val="-3"/>
                <w:sz w:val="21"/>
                <w:szCs w:val="21"/>
              </w:rPr>
              <w:t>1</w:t>
            </w:r>
            <w:r>
              <w:rPr>
                <w:rFonts w:ascii="宋体" w:hAnsi="宋体" w:cs="宋体" w:eastAsia="宋体" w:hint="default"/>
                <w:spacing w:val="-3"/>
                <w:sz w:val="21"/>
                <w:szCs w:val="21"/>
              </w:rPr>
              <w:t>、承诺在本次补充流动资金期限届满</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之前，公司将及时足额将资金归还至募集 </w:t>
            </w:r>
            <w:r>
              <w:rPr>
                <w:rFonts w:ascii="宋体" w:hAnsi="宋体" w:cs="宋体" w:eastAsia="宋体" w:hint="default"/>
                <w:spacing w:val="-3"/>
                <w:sz w:val="21"/>
                <w:szCs w:val="21"/>
              </w:rPr>
              <w:t>资金专户；</w:t>
            </w:r>
            <w:r>
              <w:rPr>
                <w:rFonts w:ascii="宋体" w:hAnsi="宋体" w:cs="宋体" w:eastAsia="宋体" w:hint="default"/>
                <w:spacing w:val="-3"/>
                <w:sz w:val="21"/>
                <w:szCs w:val="21"/>
              </w:rPr>
              <w:t>2</w:t>
            </w:r>
            <w:r>
              <w:rPr>
                <w:rFonts w:ascii="宋体" w:hAnsi="宋体" w:cs="宋体" w:eastAsia="宋体" w:hint="default"/>
                <w:spacing w:val="-3"/>
                <w:sz w:val="21"/>
                <w:szCs w:val="21"/>
              </w:rPr>
              <w:t>、承诺本次使用部分闲置募集</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资金暂时补充流动资金不会改变或变相改 </w:t>
            </w:r>
            <w:r>
              <w:rPr>
                <w:rFonts w:ascii="宋体" w:hAnsi="宋体" w:cs="宋体" w:eastAsia="宋体" w:hint="default"/>
                <w:spacing w:val="-3"/>
                <w:sz w:val="21"/>
                <w:szCs w:val="21"/>
              </w:rPr>
              <w:t>变募集资金用途；</w:t>
            </w:r>
            <w:r>
              <w:rPr>
                <w:rFonts w:ascii="宋体" w:hAnsi="宋体" w:cs="宋体" w:eastAsia="宋体" w:hint="default"/>
                <w:spacing w:val="-3"/>
                <w:sz w:val="21"/>
                <w:szCs w:val="21"/>
              </w:rPr>
              <w:t>3</w:t>
            </w:r>
            <w:r>
              <w:rPr>
                <w:rFonts w:ascii="宋体" w:hAnsi="宋体" w:cs="宋体" w:eastAsia="宋体" w:hint="default"/>
                <w:spacing w:val="-3"/>
                <w:sz w:val="21"/>
                <w:szCs w:val="21"/>
              </w:rPr>
              <w:t>、承诺本次使用部分闲</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置募集资金暂时补充流动资金不影响募集 资金投资项目正常进行；若原募集资金投 资项目因实施进度需要使用，公司将及时 归还资金至募集资金专户，以确保募集资 </w:t>
            </w:r>
            <w:r>
              <w:rPr>
                <w:rFonts w:ascii="宋体" w:hAnsi="宋体" w:cs="宋体" w:eastAsia="宋体" w:hint="default"/>
                <w:spacing w:val="-3"/>
                <w:sz w:val="21"/>
                <w:szCs w:val="21"/>
              </w:rPr>
              <w:t>金投资项目的正常进行；</w:t>
            </w:r>
            <w:r>
              <w:rPr>
                <w:rFonts w:ascii="宋体" w:hAnsi="宋体" w:cs="宋体" w:eastAsia="宋体" w:hint="default"/>
                <w:spacing w:val="-3"/>
                <w:sz w:val="21"/>
                <w:szCs w:val="21"/>
              </w:rPr>
              <w:t>4</w:t>
            </w:r>
            <w:r>
              <w:rPr>
                <w:rFonts w:ascii="宋体" w:hAnsi="宋体" w:cs="宋体" w:eastAsia="宋体" w:hint="default"/>
                <w:spacing w:val="-3"/>
                <w:sz w:val="21"/>
                <w:szCs w:val="21"/>
              </w:rPr>
              <w:t>、承诺本次使用</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闲置募集资金暂时补充流动资金前十二个 月内未进行风险投资；本次使用部分闲置 募集资金暂时补充流动资金后十二个月内 不进行风险投资、不对控股子公司以外的 </w:t>
            </w:r>
            <w:r>
              <w:rPr>
                <w:rFonts w:ascii="宋体" w:hAnsi="宋体" w:cs="宋体" w:eastAsia="宋体" w:hint="default"/>
                <w:spacing w:val="-3"/>
                <w:sz w:val="21"/>
                <w:szCs w:val="21"/>
              </w:rPr>
              <w:t>对象提供财务资助；</w:t>
            </w:r>
            <w:r>
              <w:rPr>
                <w:rFonts w:ascii="宋体" w:hAnsi="宋体" w:cs="宋体" w:eastAsia="宋体" w:hint="default"/>
                <w:spacing w:val="-3"/>
                <w:sz w:val="21"/>
                <w:szCs w:val="21"/>
              </w:rPr>
              <w:t>5</w:t>
            </w:r>
            <w:r>
              <w:rPr>
                <w:rFonts w:ascii="宋体" w:hAnsi="宋体" w:cs="宋体" w:eastAsia="宋体" w:hint="default"/>
                <w:spacing w:val="-3"/>
                <w:sz w:val="21"/>
                <w:szCs w:val="21"/>
              </w:rPr>
              <w:t>、承诺本次使用部分</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闲置募集资金暂时补充流动资金，仅限于 与主营业务相关的生产经营使用，不通过 直接或者间接安排用于新股配售、申购， 或用于股票及其衍生品种、可转换公司债 </w:t>
            </w:r>
            <w:r>
              <w:rPr>
                <w:rFonts w:ascii="宋体" w:hAnsi="宋体" w:cs="宋体" w:eastAsia="宋体" w:hint="default"/>
                <w:spacing w:val="-3"/>
                <w:sz w:val="21"/>
                <w:szCs w:val="21"/>
              </w:rPr>
              <w:t>券等的交易；</w:t>
            </w:r>
            <w:r>
              <w:rPr>
                <w:rFonts w:ascii="宋体" w:hAnsi="宋体" w:cs="宋体" w:eastAsia="宋体" w:hint="default"/>
                <w:spacing w:val="-3"/>
                <w:sz w:val="21"/>
                <w:szCs w:val="21"/>
              </w:rPr>
              <w:t>6</w:t>
            </w:r>
            <w:r>
              <w:rPr>
                <w:rFonts w:ascii="宋体" w:hAnsi="宋体" w:cs="宋体" w:eastAsia="宋体" w:hint="default"/>
                <w:spacing w:val="-3"/>
                <w:sz w:val="21"/>
                <w:szCs w:val="21"/>
              </w:rPr>
              <w:t>、本公司闲置募集资金暂时</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补充流动资金期间不进行交易性金融资产 和可供出售金融资产的投资、借予他人、 委托理财（购买商业银行安全性高、流动 性强的保本型现金管理产品除外）等财务 性投资，不直接或间接投资于以买卖有价 证券为主要业务的公司。</w:t>
            </w:r>
          </w:p>
        </w:tc>
        <w:tc>
          <w:tcPr>
            <w:tcW w:w="60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64"/>
              <w:ind w:left="23" w:right="0"/>
              <w:jc w:val="left"/>
              <w:rPr>
                <w:rFonts w:ascii="宋体" w:hAnsi="宋体" w:cs="宋体" w:eastAsia="宋体" w:hint="default"/>
                <w:sz w:val="21"/>
                <w:szCs w:val="21"/>
              </w:rPr>
            </w:pPr>
            <w:r>
              <w:rPr>
                <w:rFonts w:ascii="宋体"/>
                <w:sz w:val="21"/>
              </w:rPr>
              <w:t>2017</w:t>
            </w:r>
          </w:p>
          <w:p>
            <w:pPr>
              <w:pStyle w:val="TableParagraph"/>
              <w:spacing w:line="240" w:lineRule="auto" w:before="36"/>
              <w:ind w:left="23" w:right="0"/>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07</w:t>
            </w:r>
          </w:p>
          <w:p>
            <w:pPr>
              <w:pStyle w:val="TableParagraph"/>
              <w:spacing w:line="273" w:lineRule="auto" w:before="37"/>
              <w:ind w:left="23" w:right="99"/>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12 </w:t>
            </w:r>
            <w:r>
              <w:rPr>
                <w:rFonts w:ascii="宋体" w:hAnsi="宋体" w:cs="宋体" w:eastAsia="宋体" w:hint="default"/>
                <w:sz w:val="21"/>
                <w:szCs w:val="21"/>
              </w:rPr>
              <w:t>日</w:t>
            </w:r>
          </w:p>
        </w:tc>
        <w:tc>
          <w:tcPr>
            <w:tcW w:w="1319" w:type="dxa"/>
            <w:gridSpan w:val="2"/>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273" w:lineRule="auto"/>
              <w:ind w:left="22" w:right="24"/>
              <w:jc w:val="both"/>
              <w:rPr>
                <w:rFonts w:ascii="宋体" w:hAnsi="宋体" w:cs="宋体" w:eastAsia="宋体" w:hint="default"/>
                <w:sz w:val="21"/>
                <w:szCs w:val="21"/>
              </w:rPr>
            </w:pPr>
            <w:r>
              <w:rPr>
                <w:rFonts w:ascii="宋体" w:hAnsi="宋体" w:cs="宋体" w:eastAsia="宋体" w:hint="default"/>
                <w:sz w:val="21"/>
                <w:szCs w:val="21"/>
              </w:rPr>
              <w:t>本次使用部分 闲置募集资金 暂时补充流动 资金后十二个 月内</w:t>
            </w:r>
          </w:p>
        </w:tc>
        <w:tc>
          <w:tcPr>
            <w:tcW w:w="109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73" w:lineRule="auto"/>
              <w:ind w:left="22" w:right="218"/>
              <w:jc w:val="left"/>
              <w:rPr>
                <w:rFonts w:ascii="宋体" w:hAnsi="宋体" w:cs="宋体" w:eastAsia="宋体" w:hint="default"/>
                <w:sz w:val="21"/>
                <w:szCs w:val="21"/>
              </w:rPr>
            </w:pPr>
            <w:r>
              <w:rPr>
                <w:rFonts w:ascii="宋体" w:hAnsi="宋体" w:cs="宋体" w:eastAsia="宋体" w:hint="default"/>
                <w:sz w:val="21"/>
                <w:szCs w:val="21"/>
              </w:rPr>
              <w:t>正常履行 中。</w:t>
            </w:r>
          </w:p>
        </w:tc>
      </w:tr>
      <w:tr>
        <w:trPr>
          <w:trHeight w:val="1016" w:hRule="exact"/>
        </w:trPr>
        <w:tc>
          <w:tcPr>
            <w:tcW w:w="121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73" w:lineRule="auto" w:before="26"/>
              <w:ind w:left="22" w:right="129"/>
              <w:jc w:val="both"/>
              <w:rPr>
                <w:rFonts w:ascii="宋体" w:hAnsi="宋体" w:cs="宋体" w:eastAsia="宋体" w:hint="default"/>
                <w:sz w:val="21"/>
                <w:szCs w:val="21"/>
              </w:rPr>
            </w:pPr>
            <w:r>
              <w:rPr>
                <w:rFonts w:ascii="宋体" w:hAnsi="宋体" w:cs="宋体" w:eastAsia="宋体" w:hint="default"/>
                <w:sz w:val="21"/>
                <w:szCs w:val="21"/>
              </w:rPr>
              <w:t>其他对公司 中小股东所 作承诺</w:t>
            </w:r>
          </w:p>
        </w:tc>
        <w:tc>
          <w:tcPr>
            <w:tcW w:w="666" w:type="dxa"/>
            <w:vMerge/>
            <w:tcBorders>
              <w:left w:val="single" w:sz="10" w:space="0" w:color="D2D2D2"/>
              <w:right w:val="single" w:sz="4" w:space="0" w:color="000000"/>
            </w:tcBorders>
          </w:tcPr>
          <w:p>
            <w:pPr/>
          </w:p>
        </w:tc>
        <w:tc>
          <w:tcPr>
            <w:tcW w:w="876" w:type="dxa"/>
            <w:vMerge/>
            <w:tcBorders>
              <w:left w:val="single" w:sz="4" w:space="0" w:color="000000"/>
              <w:right w:val="single" w:sz="4" w:space="0" w:color="000000"/>
            </w:tcBorders>
          </w:tcPr>
          <w:p>
            <w:pPr/>
          </w:p>
        </w:tc>
        <w:tc>
          <w:tcPr>
            <w:tcW w:w="3891" w:type="dxa"/>
            <w:vMerge/>
            <w:tcBorders>
              <w:left w:val="single" w:sz="4" w:space="0" w:color="000000"/>
              <w:right w:val="single" w:sz="4" w:space="0" w:color="000000"/>
            </w:tcBorders>
          </w:tcPr>
          <w:p>
            <w:pPr/>
          </w:p>
        </w:tc>
        <w:tc>
          <w:tcPr>
            <w:tcW w:w="609" w:type="dxa"/>
            <w:vMerge/>
            <w:tcBorders>
              <w:left w:val="single" w:sz="4" w:space="0" w:color="000000"/>
              <w:right w:val="single" w:sz="4" w:space="0" w:color="000000"/>
            </w:tcBorders>
          </w:tcPr>
          <w:p>
            <w:pPr/>
          </w:p>
        </w:tc>
        <w:tc>
          <w:tcPr>
            <w:tcW w:w="1319" w:type="dxa"/>
            <w:gridSpan w:val="2"/>
            <w:vMerge/>
            <w:tcBorders>
              <w:left w:val="single" w:sz="4" w:space="0" w:color="000000"/>
              <w:right w:val="single" w:sz="4" w:space="0" w:color="000000"/>
            </w:tcBorders>
          </w:tcPr>
          <w:p>
            <w:pPr/>
          </w:p>
        </w:tc>
        <w:tc>
          <w:tcPr>
            <w:tcW w:w="1093" w:type="dxa"/>
            <w:vMerge/>
            <w:tcBorders>
              <w:left w:val="single" w:sz="4" w:space="0" w:color="000000"/>
              <w:right w:val="single" w:sz="4" w:space="0" w:color="000000"/>
            </w:tcBorders>
          </w:tcPr>
          <w:p>
            <w:pPr/>
          </w:p>
        </w:tc>
      </w:tr>
      <w:tr>
        <w:trPr>
          <w:trHeight w:val="4575" w:hRule="exact"/>
        </w:trPr>
        <w:tc>
          <w:tcPr>
            <w:tcW w:w="1214" w:type="dxa"/>
            <w:tcBorders>
              <w:top w:val="nil" w:sz="6" w:space="0" w:color="auto"/>
              <w:left w:val="single" w:sz="4" w:space="0" w:color="000000"/>
              <w:bottom w:val="single" w:sz="4" w:space="0" w:color="000000"/>
              <w:right w:val="single" w:sz="4" w:space="0" w:color="000000"/>
            </w:tcBorders>
            <w:shd w:val="clear" w:color="auto" w:fill="D2D2D2"/>
          </w:tcPr>
          <w:p>
            <w:pPr/>
          </w:p>
        </w:tc>
        <w:tc>
          <w:tcPr>
            <w:tcW w:w="666" w:type="dxa"/>
            <w:vMerge/>
            <w:tcBorders>
              <w:left w:val="single" w:sz="10" w:space="0" w:color="D2D2D2"/>
              <w:bottom w:val="single" w:sz="4" w:space="0" w:color="000000"/>
              <w:right w:val="single" w:sz="4" w:space="0" w:color="000000"/>
            </w:tcBorders>
          </w:tcPr>
          <w:p>
            <w:pPr/>
          </w:p>
        </w:tc>
        <w:tc>
          <w:tcPr>
            <w:tcW w:w="876" w:type="dxa"/>
            <w:vMerge/>
            <w:tcBorders>
              <w:left w:val="single" w:sz="4" w:space="0" w:color="000000"/>
              <w:bottom w:val="single" w:sz="4" w:space="0" w:color="000000"/>
              <w:right w:val="single" w:sz="4" w:space="0" w:color="000000"/>
            </w:tcBorders>
          </w:tcPr>
          <w:p>
            <w:pPr/>
          </w:p>
        </w:tc>
        <w:tc>
          <w:tcPr>
            <w:tcW w:w="3891" w:type="dxa"/>
            <w:vMerge/>
            <w:tcBorders>
              <w:left w:val="single" w:sz="4" w:space="0" w:color="000000"/>
              <w:bottom w:val="single" w:sz="4" w:space="0" w:color="000000"/>
              <w:right w:val="single" w:sz="4" w:space="0" w:color="000000"/>
            </w:tcBorders>
          </w:tcPr>
          <w:p>
            <w:pPr/>
          </w:p>
        </w:tc>
        <w:tc>
          <w:tcPr>
            <w:tcW w:w="609" w:type="dxa"/>
            <w:vMerge/>
            <w:tcBorders>
              <w:left w:val="single" w:sz="4" w:space="0" w:color="000000"/>
              <w:bottom w:val="single" w:sz="4" w:space="0" w:color="000000"/>
              <w:right w:val="single" w:sz="4" w:space="0" w:color="000000"/>
            </w:tcBorders>
          </w:tcPr>
          <w:p>
            <w:pPr/>
          </w:p>
        </w:tc>
        <w:tc>
          <w:tcPr>
            <w:tcW w:w="1319" w:type="dxa"/>
            <w:gridSpan w:val="2"/>
            <w:vMerge/>
            <w:tcBorders>
              <w:left w:val="single" w:sz="4" w:space="0" w:color="000000"/>
              <w:bottom w:val="single" w:sz="4" w:space="0" w:color="000000"/>
              <w:right w:val="single" w:sz="4" w:space="0" w:color="000000"/>
            </w:tcBorders>
          </w:tcPr>
          <w:p>
            <w:pPr/>
          </w:p>
        </w:tc>
        <w:tc>
          <w:tcPr>
            <w:tcW w:w="1093" w:type="dxa"/>
            <w:vMerge/>
            <w:tcBorders>
              <w:left w:val="single" w:sz="4" w:space="0" w:color="000000"/>
              <w:bottom w:val="single" w:sz="4" w:space="0" w:color="000000"/>
              <w:right w:val="single" w:sz="4" w:space="0" w:color="000000"/>
            </w:tcBorders>
          </w:tcPr>
          <w:p>
            <w:pPr/>
          </w:p>
        </w:tc>
      </w:tr>
      <w:tr>
        <w:trPr>
          <w:trHeight w:val="402" w:hRule="exact"/>
        </w:trPr>
        <w:tc>
          <w:tcPr>
            <w:tcW w:w="792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承诺是否按时履行</w:t>
            </w:r>
          </w:p>
        </w:tc>
        <w:tc>
          <w:tcPr>
            <w:tcW w:w="173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是</w:t>
            </w:r>
          </w:p>
        </w:tc>
      </w:tr>
      <w:tr>
        <w:trPr>
          <w:trHeight w:val="402" w:hRule="exact"/>
        </w:trPr>
        <w:tc>
          <w:tcPr>
            <w:tcW w:w="792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如承诺超期未履行完毕的，应当详细说明未完成履行的具体原因及下一步的工作计划</w:t>
            </w:r>
          </w:p>
        </w:tc>
        <w:tc>
          <w:tcPr>
            <w:tcW w:w="173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不适用</w:t>
            </w:r>
          </w:p>
        </w:tc>
      </w:tr>
    </w:tbl>
    <w:p>
      <w:pPr>
        <w:spacing w:after="0" w:line="240" w:lineRule="auto"/>
        <w:jc w:val="left"/>
        <w:rPr>
          <w:rFonts w:ascii="宋体" w:hAnsi="宋体" w:cs="宋体" w:eastAsia="宋体" w:hint="default"/>
          <w:sz w:val="21"/>
          <w:szCs w:val="21"/>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7"/>
          <w:szCs w:val="17"/>
        </w:rPr>
      </w:pPr>
    </w:p>
    <w:p>
      <w:pPr>
        <w:pStyle w:val="Heading2"/>
        <w:spacing w:line="350" w:lineRule="auto"/>
        <w:ind w:left="153" w:right="996" w:firstLine="482"/>
        <w:jc w:val="left"/>
        <w:rPr>
          <w:b w:val="0"/>
          <w:bCs w:val="0"/>
        </w:rPr>
      </w:pPr>
      <w:bookmarkStart w:name="2、公司资产或项目存在盈利预测，且报告期仍处在盈利预测期间，公司就资产或项目达到" w:id="84"/>
      <w:bookmarkEnd w:id="84"/>
      <w:r>
        <w:rPr>
          <w:b w:val="0"/>
          <w:bCs w:val="0"/>
        </w:rPr>
      </w:r>
      <w:r>
        <w:rPr>
          <w:rFonts w:ascii="宋体" w:hAnsi="宋体" w:cs="宋体" w:eastAsia="宋体" w:hint="default"/>
          <w:spacing w:val="3"/>
          <w:w w:val="95"/>
        </w:rPr>
        <w:t>2</w:t>
      </w:r>
      <w:r>
        <w:rPr>
          <w:spacing w:val="3"/>
          <w:w w:val="95"/>
        </w:rPr>
        <w:t>、公司资产或项目存在盈利预测，且报告期仍处在盈利预测期间，公司就资产或项目</w:t>
      </w:r>
      <w:r>
        <w:rPr>
          <w:w w:val="99"/>
        </w:rPr>
        <w:t> </w:t>
      </w:r>
      <w:r>
        <w:rPr/>
        <w:t>达到原盈利预测及其原因做出说明</w:t>
      </w:r>
      <w:r>
        <w:rPr>
          <w:b w:val="0"/>
          <w:bCs w:val="0"/>
        </w:rPr>
      </w:r>
    </w:p>
    <w:p>
      <w:pPr>
        <w:spacing w:line="482" w:lineRule="auto" w:before="36"/>
        <w:ind w:left="153" w:right="3433" w:firstLine="480"/>
        <w:jc w:val="left"/>
        <w:rPr>
          <w:rFonts w:ascii="宋体" w:hAnsi="宋体" w:cs="宋体" w:eastAsia="宋体" w:hint="default"/>
          <w:sz w:val="24"/>
          <w:szCs w:val="24"/>
        </w:rPr>
      </w:pPr>
      <w:r>
        <w:rPr>
          <w:rFonts w:ascii="宋体" w:hAnsi="宋体" w:cs="宋体" w:eastAsia="宋体" w:hint="default"/>
          <w:sz w:val="24"/>
          <w:szCs w:val="24"/>
        </w:rPr>
        <w:t>□ 适用 √ 不适用 </w:t>
      </w:r>
      <w:bookmarkStart w:name="四、控股股东及其关联方对上市公司的非经营性占用资金情况" w:id="85"/>
      <w:bookmarkEnd w:id="85"/>
      <w:r>
        <w:rPr>
          <w:rFonts w:ascii="宋体" w:hAnsi="宋体" w:cs="宋体" w:eastAsia="宋体" w:hint="default"/>
          <w:sz w:val="24"/>
          <w:szCs w:val="24"/>
        </w:rPr>
      </w:r>
      <w:r>
        <w:rPr>
          <w:rFonts w:ascii="宋体" w:hAnsi="宋体" w:cs="宋体" w:eastAsia="宋体" w:hint="default"/>
          <w:b/>
          <w:bCs/>
          <w:w w:val="95"/>
          <w:sz w:val="24"/>
          <w:szCs w:val="24"/>
        </w:rPr>
        <w:t>四、控股股东及其关联方对上市公司的非经营性占用资金情况</w:t>
      </w:r>
      <w:r>
        <w:rPr>
          <w:rFonts w:ascii="宋体" w:hAnsi="宋体" w:cs="宋体" w:eastAsia="宋体" w:hint="default"/>
          <w:sz w:val="24"/>
          <w:szCs w:val="24"/>
        </w:rPr>
      </w:r>
    </w:p>
    <w:p>
      <w:pPr>
        <w:pStyle w:val="BodyText"/>
        <w:spacing w:line="350" w:lineRule="auto" w:before="182"/>
        <w:ind w:left="634" w:right="2592"/>
        <w:jc w:val="left"/>
      </w:pPr>
      <w:r>
        <w:rPr/>
        <w:t>□ 适用 √ 不适用 公司报告期不存在控股股东及其关联方对上市公司的非经营性占用资金。</w:t>
      </w:r>
    </w:p>
    <w:p>
      <w:pPr>
        <w:pStyle w:val="Heading2"/>
        <w:spacing w:line="240" w:lineRule="auto" w:before="209"/>
        <w:ind w:left="153" w:right="996"/>
        <w:jc w:val="left"/>
        <w:rPr>
          <w:b w:val="0"/>
          <w:bCs w:val="0"/>
        </w:rPr>
      </w:pPr>
      <w:bookmarkStart w:name="五、董事会、监事会、独立董事（如有）对会计师事务所本报告期“非标准审计报告”的说" w:id="86"/>
      <w:bookmarkEnd w:id="86"/>
      <w:r>
        <w:rPr>
          <w:b w:val="0"/>
          <w:bCs w:val="0"/>
        </w:rPr>
      </w:r>
      <w:r>
        <w:rPr/>
        <w:t>五、董事会、监事会、独立董事（如有）对会计师事务所本报告期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1"/>
        <w:rPr>
          <w:rFonts w:ascii="宋体" w:hAnsi="宋体" w:cs="宋体" w:eastAsia="宋体" w:hint="default"/>
          <w:b/>
          <w:bCs/>
          <w:sz w:val="31"/>
          <w:szCs w:val="31"/>
        </w:rPr>
      </w:pPr>
    </w:p>
    <w:p>
      <w:pPr>
        <w:spacing w:line="482" w:lineRule="auto" w:before="0"/>
        <w:ind w:left="153" w:right="996" w:firstLine="480"/>
        <w:jc w:val="left"/>
        <w:rPr>
          <w:rFonts w:ascii="宋体" w:hAnsi="宋体" w:cs="宋体" w:eastAsia="宋体" w:hint="default"/>
          <w:sz w:val="24"/>
          <w:szCs w:val="24"/>
        </w:rPr>
      </w:pPr>
      <w:r>
        <w:rPr>
          <w:rFonts w:ascii="宋体" w:hAnsi="宋体" w:cs="宋体" w:eastAsia="宋体" w:hint="default"/>
          <w:sz w:val="24"/>
          <w:szCs w:val="24"/>
        </w:rPr>
        <w:t>□ 适用 √ 不适用 </w:t>
      </w:r>
      <w:bookmarkStart w:name="六、与上年度财务报告相比，会计政策、会计估计和核算方法发生变化的情况说明" w:id="87"/>
      <w:bookmarkEnd w:id="87"/>
      <w:r>
        <w:rPr>
          <w:rFonts w:ascii="宋体" w:hAnsi="宋体" w:cs="宋体" w:eastAsia="宋体" w:hint="default"/>
          <w:sz w:val="24"/>
          <w:szCs w:val="24"/>
        </w:rPr>
      </w:r>
      <w:r>
        <w:rPr>
          <w:rFonts w:ascii="宋体" w:hAnsi="宋体" w:cs="宋体" w:eastAsia="宋体" w:hint="default"/>
          <w:b/>
          <w:bCs/>
          <w:w w:val="95"/>
          <w:sz w:val="24"/>
          <w:szCs w:val="24"/>
        </w:rPr>
        <w:t>六、与上年度财务报告相比，会计政策、会计估计和核算方法发生变化的情况说明</w:t>
      </w:r>
      <w:r>
        <w:rPr>
          <w:rFonts w:ascii="宋体" w:hAnsi="宋体" w:cs="宋体" w:eastAsia="宋体" w:hint="default"/>
          <w:sz w:val="24"/>
          <w:szCs w:val="24"/>
        </w:rPr>
      </w:r>
    </w:p>
    <w:p>
      <w:pPr>
        <w:pStyle w:val="BodyText"/>
        <w:spacing w:line="350" w:lineRule="auto" w:before="182"/>
        <w:ind w:left="634" w:right="2592"/>
        <w:jc w:val="left"/>
      </w:pPr>
      <w:r>
        <w:rPr/>
        <w:t>√ 适用 □ 不适用 详见本报告第十一节财务报告中“重要会计政策和会计估计变更”一节。</w:t>
      </w:r>
    </w:p>
    <w:p>
      <w:pPr>
        <w:pStyle w:val="Heading2"/>
        <w:spacing w:line="240" w:lineRule="auto" w:before="209"/>
        <w:ind w:left="153" w:right="996"/>
        <w:jc w:val="left"/>
        <w:rPr>
          <w:b w:val="0"/>
          <w:bCs w:val="0"/>
        </w:rPr>
      </w:pPr>
      <w:bookmarkStart w:name="七、报告期内发生重大会计差错更正需追溯重述的情况说明" w:id="88"/>
      <w:bookmarkEnd w:id="88"/>
      <w:r>
        <w:rPr>
          <w:b w:val="0"/>
          <w:bCs w:val="0"/>
        </w:rPr>
      </w:r>
      <w:r>
        <w:rPr/>
        <w:t>七、报告期内发生重大会计差错更正需追溯重述的情况说明</w:t>
      </w:r>
      <w:r>
        <w:rPr>
          <w:b w:val="0"/>
          <w:bCs w:val="0"/>
        </w:rPr>
      </w:r>
    </w:p>
    <w:p>
      <w:pPr>
        <w:spacing w:line="240" w:lineRule="auto" w:before="7"/>
        <w:rPr>
          <w:rFonts w:ascii="宋体" w:hAnsi="宋体" w:cs="宋体" w:eastAsia="宋体" w:hint="default"/>
          <w:b/>
          <w:bCs/>
          <w:sz w:val="32"/>
          <w:szCs w:val="32"/>
        </w:rPr>
      </w:pPr>
    </w:p>
    <w:p>
      <w:pPr>
        <w:pStyle w:val="BodyText"/>
        <w:spacing w:line="350" w:lineRule="auto" w:before="0"/>
        <w:ind w:left="634" w:right="4752"/>
        <w:jc w:val="left"/>
      </w:pPr>
      <w:r>
        <w:rPr/>
        <w:t>□ 适用 √ 不适用 公司报告期无重大会计差错更正需追溯重述的情况。</w:t>
      </w:r>
    </w:p>
    <w:p>
      <w:pPr>
        <w:pStyle w:val="Heading2"/>
        <w:spacing w:line="240" w:lineRule="auto" w:before="208"/>
        <w:ind w:left="153" w:right="996"/>
        <w:jc w:val="left"/>
        <w:rPr>
          <w:b w:val="0"/>
          <w:bCs w:val="0"/>
        </w:rPr>
      </w:pPr>
      <w:bookmarkStart w:name="八、与上年度财务报告相比，合并报表范围发生变化的情况说明" w:id="89"/>
      <w:bookmarkEnd w:id="89"/>
      <w:r>
        <w:rPr>
          <w:b w:val="0"/>
          <w:bCs w:val="0"/>
        </w:rPr>
      </w:r>
      <w:r>
        <w:rPr/>
        <w:t>八、与上年度财务报告相比，合并报表范围发生变化的情况说明</w:t>
      </w:r>
      <w:r>
        <w:rPr>
          <w:b w:val="0"/>
          <w:bCs w:val="0"/>
        </w:rPr>
      </w:r>
    </w:p>
    <w:p>
      <w:pPr>
        <w:spacing w:line="240" w:lineRule="auto" w:before="6"/>
        <w:rPr>
          <w:rFonts w:ascii="宋体" w:hAnsi="宋体" w:cs="宋体" w:eastAsia="宋体" w:hint="default"/>
          <w:b/>
          <w:bCs/>
          <w:sz w:val="32"/>
          <w:szCs w:val="32"/>
        </w:rPr>
      </w:pPr>
    </w:p>
    <w:p>
      <w:pPr>
        <w:pStyle w:val="BodyText"/>
        <w:spacing w:line="240" w:lineRule="auto" w:before="0"/>
        <w:ind w:left="633" w:right="996"/>
        <w:jc w:val="left"/>
      </w:pPr>
      <w:r>
        <w:rPr/>
        <w:t>√ 适用 □ 不适用</w:t>
      </w:r>
    </w:p>
    <w:p>
      <w:pPr>
        <w:pStyle w:val="BodyText"/>
        <w:spacing w:line="240" w:lineRule="auto" w:before="146"/>
        <w:ind w:left="634" w:right="996"/>
        <w:jc w:val="left"/>
      </w:pPr>
      <w:r>
        <w:rPr/>
        <w:t>公司于</w:t>
      </w:r>
      <w:r>
        <w:rPr>
          <w:spacing w:val="-60"/>
        </w:rPr>
        <w:t> </w:t>
      </w:r>
      <w:r>
        <w:rPr>
          <w:rFonts w:ascii="宋体" w:hAnsi="宋体" w:cs="宋体" w:eastAsia="宋体" w:hint="default"/>
        </w:rPr>
        <w:t>2017</w:t>
      </w:r>
      <w:r>
        <w:rPr>
          <w:rFonts w:ascii="宋体" w:hAnsi="宋体" w:cs="宋体" w:eastAsia="宋体" w:hint="default"/>
          <w:spacing w:val="-60"/>
        </w:rPr>
        <w:t> </w:t>
      </w:r>
      <w:r>
        <w:rPr/>
        <w:t>年</w:t>
      </w:r>
      <w:r>
        <w:rPr>
          <w:spacing w:val="-60"/>
        </w:rPr>
        <w:t> </w:t>
      </w:r>
      <w:r>
        <w:rPr>
          <w:rFonts w:ascii="宋体" w:hAnsi="宋体" w:cs="宋体" w:eastAsia="宋体" w:hint="default"/>
        </w:rPr>
        <w:t>1</w:t>
      </w:r>
      <w:r>
        <w:rPr>
          <w:rFonts w:ascii="宋体" w:hAnsi="宋体" w:cs="宋体" w:eastAsia="宋体" w:hint="default"/>
          <w:spacing w:val="-60"/>
        </w:rPr>
        <w:t> </w:t>
      </w:r>
      <w:r>
        <w:rPr/>
        <w:t>月</w:t>
      </w:r>
      <w:r>
        <w:rPr>
          <w:spacing w:val="-60"/>
        </w:rPr>
        <w:t> </w:t>
      </w:r>
      <w:r>
        <w:rPr>
          <w:rFonts w:ascii="宋体" w:hAnsi="宋体" w:cs="宋体" w:eastAsia="宋体" w:hint="default"/>
        </w:rPr>
        <w:t>20</w:t>
      </w:r>
      <w:r>
        <w:rPr>
          <w:rFonts w:ascii="宋体" w:hAnsi="宋体" w:cs="宋体" w:eastAsia="宋体" w:hint="default"/>
          <w:spacing w:val="-60"/>
        </w:rPr>
        <w:t> </w:t>
      </w:r>
      <w:r>
        <w:rPr/>
        <w:t>日召开第五届董事会第二十八次会议审议通过《关于收购成都西</w:t>
      </w:r>
    </w:p>
    <w:p>
      <w:pPr>
        <w:pStyle w:val="BodyText"/>
        <w:spacing w:line="240" w:lineRule="auto" w:before="145"/>
        <w:ind w:right="0"/>
        <w:jc w:val="left"/>
      </w:pPr>
      <w:r>
        <w:rPr/>
        <w:t>南交大驱动技术有限责任公司</w:t>
      </w:r>
      <w:r>
        <w:rPr>
          <w:spacing w:val="-60"/>
        </w:rPr>
        <w:t> </w:t>
      </w:r>
      <w:r>
        <w:rPr>
          <w:rFonts w:ascii="宋体" w:hAnsi="宋体" w:cs="宋体" w:eastAsia="宋体" w:hint="default"/>
        </w:rPr>
        <w:t>51%</w:t>
      </w:r>
      <w:r>
        <w:rPr/>
        <w:t>股权的议案</w:t>
      </w:r>
      <w:r>
        <w:rPr>
          <w:spacing w:val="-120"/>
        </w:rPr>
        <w:t>》</w:t>
      </w:r>
      <w:r>
        <w:rPr>
          <w:spacing w:val="-11"/>
        </w:rPr>
        <w:t>，</w:t>
      </w:r>
      <w:r>
        <w:rPr/>
        <w:t>详见</w:t>
      </w:r>
      <w:r>
        <w:rPr>
          <w:spacing w:val="-60"/>
        </w:rPr>
        <w:t> </w:t>
      </w:r>
      <w:r>
        <w:rPr>
          <w:rFonts w:ascii="宋体" w:hAnsi="宋体" w:cs="宋体" w:eastAsia="宋体" w:hint="default"/>
        </w:rPr>
        <w:t>2017</w:t>
      </w:r>
      <w:r>
        <w:rPr>
          <w:rFonts w:ascii="宋体" w:hAnsi="宋体" w:cs="宋体" w:eastAsia="宋体" w:hint="default"/>
          <w:spacing w:val="-60"/>
        </w:rPr>
        <w:t> </w:t>
      </w:r>
      <w:r>
        <w:rPr/>
        <w:t>年</w:t>
      </w:r>
      <w:r>
        <w:rPr>
          <w:spacing w:val="-60"/>
        </w:rPr>
        <w:t> </w:t>
      </w:r>
      <w:r>
        <w:rPr>
          <w:rFonts w:ascii="宋体" w:hAnsi="宋体" w:cs="宋体" w:eastAsia="宋体" w:hint="default"/>
        </w:rPr>
        <w:t>1</w:t>
      </w:r>
      <w:r>
        <w:rPr>
          <w:rFonts w:ascii="宋体" w:hAnsi="宋体" w:cs="宋体" w:eastAsia="宋体" w:hint="default"/>
          <w:spacing w:val="-60"/>
        </w:rPr>
        <w:t> </w:t>
      </w:r>
      <w:r>
        <w:rPr/>
        <w:t>月</w:t>
      </w:r>
      <w:r>
        <w:rPr>
          <w:spacing w:val="-60"/>
        </w:rPr>
        <w:t> </w:t>
      </w:r>
      <w:r>
        <w:rPr>
          <w:rFonts w:ascii="宋体" w:hAnsi="宋体" w:cs="宋体" w:eastAsia="宋体" w:hint="default"/>
        </w:rPr>
        <w:t>21</w:t>
      </w:r>
      <w:r>
        <w:rPr>
          <w:rFonts w:ascii="宋体" w:hAnsi="宋体" w:cs="宋体" w:eastAsia="宋体" w:hint="default"/>
          <w:spacing w:val="-60"/>
        </w:rPr>
        <w:t> </w:t>
      </w:r>
      <w:r>
        <w:rPr/>
        <w:t>日刊登</w:t>
      </w:r>
      <w:r>
        <w:rPr>
          <w:spacing w:val="-11"/>
        </w:rPr>
        <w:t>在</w:t>
      </w:r>
      <w:r>
        <w:rPr/>
        <w:t>《证券时报</w:t>
      </w:r>
      <w:r>
        <w:rPr>
          <w:spacing w:val="-120"/>
        </w:rPr>
        <w:t>》</w:t>
      </w:r>
      <w:r>
        <w:rPr/>
        <w:t>、</w:t>
      </w:r>
    </w:p>
    <w:p>
      <w:pPr>
        <w:pStyle w:val="BodyText"/>
        <w:spacing w:line="352" w:lineRule="auto" w:before="145"/>
        <w:ind w:right="1094"/>
        <w:jc w:val="left"/>
      </w:pPr>
      <w:r>
        <w:rPr>
          <w:spacing w:val="-4"/>
        </w:rPr>
        <w:t>《中国证券报》、巨潮资讯网的相关公告；报告期内完成了对西南交大驱动</w:t>
      </w:r>
      <w:r>
        <w:rPr>
          <w:spacing w:val="-49"/>
        </w:rPr>
        <w:t> </w:t>
      </w:r>
      <w:r>
        <w:rPr>
          <w:rFonts w:ascii="宋体" w:hAnsi="宋体" w:cs="宋体" w:eastAsia="宋体" w:hint="default"/>
        </w:rPr>
        <w:t>51%</w:t>
      </w:r>
      <w:r>
        <w:rPr/>
        <w:t>股权的收购， 故合并报表范围增加了西南交大驱动及其全资子公司成都新一驱动科技有限责任公司。</w:t>
      </w:r>
    </w:p>
    <w:p>
      <w:pPr>
        <w:spacing w:line="564" w:lineRule="auto" w:before="205"/>
        <w:ind w:left="633" w:right="6192" w:hanging="480"/>
        <w:jc w:val="left"/>
        <w:rPr>
          <w:rFonts w:ascii="宋体" w:hAnsi="宋体" w:cs="宋体" w:eastAsia="宋体" w:hint="default"/>
          <w:sz w:val="24"/>
          <w:szCs w:val="24"/>
        </w:rPr>
      </w:pPr>
      <w:r>
        <w:rPr/>
        <w:pict>
          <v:shape style="position:absolute;margin-left:74.099998pt;margin-top:65.805634pt;width:447.4pt;height:40.75pt;mso-position-horizontal-relative:page;mso-position-vertical-relative:paragraph;z-index:152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5246"/>
                    <w:gridCol w:w="3687"/>
                  </w:tblGrid>
                  <w:tr>
                    <w:trPr>
                      <w:trHeight w:val="402" w:hRule="exact"/>
                    </w:trPr>
                    <w:tc>
                      <w:tcPr>
                        <w:tcW w:w="5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境内会计师事务所名称</w:t>
                        </w: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大华会计师事务所（特殊普通合伙）</w:t>
                        </w:r>
                      </w:p>
                    </w:tc>
                  </w:tr>
                  <w:tr>
                    <w:trPr>
                      <w:trHeight w:val="403" w:hRule="exact"/>
                    </w:trPr>
                    <w:tc>
                      <w:tcPr>
                        <w:tcW w:w="5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境内会计师事务所报酬（万元）</w:t>
                        </w: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sz w:val="21"/>
                          </w:rPr>
                          <w:t>70</w:t>
                        </w:r>
                      </w:p>
                    </w:tc>
                  </w:tr>
                </w:tbl>
                <w:p>
                  <w:pPr/>
                </w:p>
              </w:txbxContent>
            </v:textbox>
            <w10:wrap type="none"/>
          </v:shape>
        </w:pict>
      </w:r>
      <w:bookmarkStart w:name="九、聘任、解聘会计师事务所情况" w:id="90"/>
      <w:bookmarkEnd w:id="90"/>
      <w:r>
        <w:rPr/>
      </w:r>
      <w:r>
        <w:rPr>
          <w:rFonts w:ascii="宋体" w:hAnsi="宋体" w:cs="宋体" w:eastAsia="宋体" w:hint="default"/>
          <w:b/>
          <w:bCs/>
          <w:w w:val="95"/>
          <w:sz w:val="24"/>
          <w:szCs w:val="24"/>
        </w:rPr>
        <w:t>九、聘任、解聘会计师事务所情况</w:t>
      </w:r>
      <w:r>
        <w:rPr>
          <w:rFonts w:ascii="宋体" w:hAnsi="宋体" w:cs="宋体" w:eastAsia="宋体" w:hint="default"/>
          <w:b/>
          <w:bCs/>
          <w:spacing w:val="51"/>
          <w:w w:val="95"/>
          <w:sz w:val="24"/>
          <w:szCs w:val="24"/>
        </w:rPr>
        <w:t> </w:t>
      </w:r>
      <w:r>
        <w:rPr>
          <w:rFonts w:ascii="宋体" w:hAnsi="宋体" w:cs="宋体" w:eastAsia="宋体" w:hint="default"/>
          <w:sz w:val="24"/>
          <w:szCs w:val="24"/>
        </w:rPr>
        <w:t>现聘任的会计师事务所</w:t>
      </w:r>
    </w:p>
    <w:p>
      <w:pPr>
        <w:spacing w:after="0" w:line="564" w:lineRule="auto"/>
        <w:jc w:val="left"/>
        <w:rPr>
          <w:rFonts w:ascii="宋体" w:hAnsi="宋体" w:cs="宋体" w:eastAsia="宋体" w:hint="default"/>
          <w:sz w:val="24"/>
          <w:szCs w:val="24"/>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502" w:type="dxa"/>
        <w:tblLayout w:type="fixed"/>
        <w:tblCellMar>
          <w:top w:w="0" w:type="dxa"/>
          <w:left w:w="0" w:type="dxa"/>
          <w:bottom w:w="0" w:type="dxa"/>
          <w:right w:w="0" w:type="dxa"/>
        </w:tblCellMar>
        <w:tblLook w:val="01E0"/>
      </w:tblPr>
      <w:tblGrid>
        <w:gridCol w:w="5246"/>
        <w:gridCol w:w="3687"/>
      </w:tblGrid>
      <w:tr>
        <w:trPr>
          <w:trHeight w:val="402" w:hRule="exact"/>
        </w:trPr>
        <w:tc>
          <w:tcPr>
            <w:tcW w:w="5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境内会计师事务所审计服务的连续年限</w:t>
            </w: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16</w:t>
            </w:r>
            <w:r>
              <w:rPr>
                <w:rFonts w:ascii="宋体" w:hAnsi="宋体" w:cs="宋体" w:eastAsia="宋体" w:hint="default"/>
                <w:spacing w:val="-52"/>
                <w:sz w:val="21"/>
                <w:szCs w:val="21"/>
              </w:rPr>
              <w:t> </w:t>
            </w:r>
            <w:r>
              <w:rPr>
                <w:rFonts w:ascii="宋体" w:hAnsi="宋体" w:cs="宋体" w:eastAsia="宋体" w:hint="default"/>
                <w:sz w:val="21"/>
                <w:szCs w:val="21"/>
              </w:rPr>
              <w:t>年</w:t>
            </w:r>
          </w:p>
        </w:tc>
      </w:tr>
      <w:tr>
        <w:trPr>
          <w:trHeight w:val="402" w:hRule="exact"/>
        </w:trPr>
        <w:tc>
          <w:tcPr>
            <w:tcW w:w="5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境内会计师事务所注册会计师姓名</w:t>
            </w: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董超、李斌</w:t>
            </w:r>
          </w:p>
        </w:tc>
      </w:tr>
      <w:tr>
        <w:trPr>
          <w:trHeight w:val="402" w:hRule="exact"/>
        </w:trPr>
        <w:tc>
          <w:tcPr>
            <w:tcW w:w="5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境内会计师事务所注册会计师审计服务的连续年限</w:t>
            </w: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董超</w:t>
            </w:r>
            <w:r>
              <w:rPr>
                <w:rFonts w:ascii="宋体" w:hAnsi="宋体" w:cs="宋体" w:eastAsia="宋体" w:hint="default"/>
                <w:spacing w:val="-54"/>
                <w:sz w:val="21"/>
                <w:szCs w:val="21"/>
              </w:rPr>
              <w:t> </w:t>
            </w:r>
            <w:r>
              <w:rPr>
                <w:rFonts w:ascii="宋体" w:hAnsi="宋体" w:cs="宋体" w:eastAsia="宋体" w:hint="default"/>
                <w:sz w:val="21"/>
                <w:szCs w:val="21"/>
              </w:rPr>
              <w:t>5</w:t>
            </w:r>
            <w:r>
              <w:rPr>
                <w:rFonts w:ascii="宋体" w:hAnsi="宋体" w:cs="宋体" w:eastAsia="宋体" w:hint="default"/>
                <w:spacing w:val="-53"/>
                <w:sz w:val="21"/>
                <w:szCs w:val="21"/>
              </w:rPr>
              <w:t> </w:t>
            </w:r>
            <w:r>
              <w:rPr>
                <w:rFonts w:ascii="宋体" w:hAnsi="宋体" w:cs="宋体" w:eastAsia="宋体" w:hint="default"/>
                <w:sz w:val="21"/>
                <w:szCs w:val="21"/>
              </w:rPr>
              <w:t>年、李斌</w:t>
            </w:r>
            <w:r>
              <w:rPr>
                <w:rFonts w:ascii="宋体" w:hAnsi="宋体" w:cs="宋体" w:eastAsia="宋体" w:hint="default"/>
                <w:spacing w:val="-53"/>
                <w:sz w:val="21"/>
                <w:szCs w:val="21"/>
              </w:rPr>
              <w:t> </w:t>
            </w:r>
            <w:r>
              <w:rPr>
                <w:rFonts w:ascii="宋体" w:hAnsi="宋体" w:cs="宋体" w:eastAsia="宋体" w:hint="default"/>
                <w:sz w:val="21"/>
                <w:szCs w:val="21"/>
              </w:rPr>
              <w:t>2</w:t>
            </w:r>
            <w:r>
              <w:rPr>
                <w:rFonts w:ascii="宋体" w:hAnsi="宋体" w:cs="宋体" w:eastAsia="宋体" w:hint="default"/>
                <w:spacing w:val="-53"/>
                <w:sz w:val="21"/>
                <w:szCs w:val="21"/>
              </w:rPr>
              <w:t> </w:t>
            </w:r>
            <w:r>
              <w:rPr>
                <w:rFonts w:ascii="宋体" w:hAnsi="宋体" w:cs="宋体" w:eastAsia="宋体" w:hint="default"/>
                <w:sz w:val="21"/>
                <w:szCs w:val="21"/>
              </w:rPr>
              <w:t>年</w:t>
            </w:r>
          </w:p>
        </w:tc>
      </w:tr>
    </w:tbl>
    <w:p>
      <w:pPr>
        <w:spacing w:line="240" w:lineRule="auto" w:before="10"/>
        <w:rPr>
          <w:rFonts w:ascii="宋体" w:hAnsi="宋体" w:cs="宋体" w:eastAsia="宋体" w:hint="default"/>
          <w:sz w:val="4"/>
          <w:szCs w:val="4"/>
        </w:rPr>
      </w:pPr>
    </w:p>
    <w:p>
      <w:pPr>
        <w:pStyle w:val="BodyText"/>
        <w:spacing w:line="240" w:lineRule="auto" w:before="26"/>
        <w:ind w:left="634" w:right="996"/>
        <w:jc w:val="left"/>
      </w:pPr>
      <w:r>
        <w:rPr/>
        <w:t>当期是否改聘会计师事务所</w:t>
      </w:r>
    </w:p>
    <w:p>
      <w:pPr>
        <w:pStyle w:val="BodyText"/>
        <w:spacing w:line="350" w:lineRule="auto" w:before="146"/>
        <w:ind w:left="634" w:right="4272"/>
        <w:jc w:val="left"/>
      </w:pPr>
      <w:r>
        <w:rPr/>
        <w:t>□ 是 √ 否 聘请内部控制审计会计师事务所、财务顾问或保荐人情况</w:t>
      </w:r>
    </w:p>
    <w:p>
      <w:pPr>
        <w:pStyle w:val="BodyText"/>
        <w:spacing w:line="352" w:lineRule="auto" w:before="35"/>
        <w:ind w:left="634" w:right="996"/>
        <w:jc w:val="left"/>
      </w:pPr>
      <w:r>
        <w:rPr/>
        <w:t>√ 适用 □ 不适用 </w:t>
      </w:r>
      <w:r>
        <w:rPr>
          <w:rFonts w:ascii="宋体" w:hAnsi="宋体" w:cs="宋体" w:eastAsia="宋体" w:hint="default"/>
          <w:spacing w:val="-3"/>
        </w:rPr>
        <w:t>1</w:t>
      </w:r>
      <w:r>
        <w:rPr>
          <w:spacing w:val="-3"/>
        </w:rPr>
        <w:t>、报告期内，公司聘请大华会计师事务所（特殊普通合伙）担任公司的内部控制审计会</w:t>
      </w:r>
    </w:p>
    <w:p>
      <w:pPr>
        <w:pStyle w:val="BodyText"/>
        <w:spacing w:line="240" w:lineRule="auto" w:before="32"/>
        <w:ind w:left="154" w:right="996"/>
        <w:jc w:val="left"/>
      </w:pPr>
      <w:r>
        <w:rPr/>
        <w:t>计师，期间共支付其财务审计、内部控制审计及验资费用共计</w:t>
      </w:r>
      <w:r>
        <w:rPr>
          <w:spacing w:val="-60"/>
        </w:rPr>
        <w:t> </w:t>
      </w:r>
      <w:r>
        <w:rPr>
          <w:rFonts w:ascii="宋体" w:hAnsi="宋体" w:cs="宋体" w:eastAsia="宋体" w:hint="default"/>
        </w:rPr>
        <w:t>70</w:t>
      </w:r>
      <w:r>
        <w:rPr>
          <w:rFonts w:ascii="宋体" w:hAnsi="宋体" w:cs="宋体" w:eastAsia="宋体" w:hint="default"/>
          <w:spacing w:val="-60"/>
        </w:rPr>
        <w:t> </w:t>
      </w:r>
      <w:r>
        <w:rPr/>
        <w:t>万元。</w:t>
      </w:r>
    </w:p>
    <w:p>
      <w:pPr>
        <w:pStyle w:val="BodyText"/>
        <w:spacing w:line="240" w:lineRule="auto" w:before="145"/>
        <w:ind w:left="633" w:right="0"/>
        <w:jc w:val="left"/>
      </w:pPr>
      <w:r>
        <w:rPr>
          <w:rFonts w:ascii="宋体" w:hAnsi="宋体" w:cs="宋体" w:eastAsia="宋体" w:hint="default"/>
        </w:rPr>
        <w:t>2</w:t>
      </w:r>
      <w:r>
        <w:rPr>
          <w:spacing w:val="-101"/>
        </w:rPr>
        <w:t>、</w:t>
      </w:r>
      <w:r>
        <w:rPr/>
        <w:t>报告期内</w:t>
      </w:r>
      <w:r>
        <w:rPr>
          <w:spacing w:val="-101"/>
        </w:rPr>
        <w:t>，</w:t>
      </w:r>
      <w:r>
        <w:rPr/>
        <w:t>公司因</w:t>
      </w:r>
      <w:r>
        <w:rPr>
          <w:spacing w:val="-60"/>
        </w:rPr>
        <w:t> </w:t>
      </w:r>
      <w:r>
        <w:rPr>
          <w:rFonts w:ascii="宋体" w:hAnsi="宋体" w:cs="宋体" w:eastAsia="宋体" w:hint="default"/>
        </w:rPr>
        <w:t>2015</w:t>
      </w:r>
      <w:r>
        <w:rPr>
          <w:rFonts w:ascii="宋体" w:hAnsi="宋体" w:cs="宋体" w:eastAsia="宋体" w:hint="default"/>
          <w:spacing w:val="-60"/>
        </w:rPr>
        <w:t> </w:t>
      </w:r>
      <w:r>
        <w:rPr/>
        <w:t>年度非公开发行和</w:t>
      </w:r>
      <w:r>
        <w:rPr>
          <w:spacing w:val="-60"/>
        </w:rPr>
        <w:t> </w:t>
      </w:r>
      <w:r>
        <w:rPr>
          <w:rFonts w:ascii="宋体" w:hAnsi="宋体" w:cs="宋体" w:eastAsia="宋体" w:hint="default"/>
        </w:rPr>
        <w:t>2013</w:t>
      </w:r>
      <w:r>
        <w:rPr>
          <w:rFonts w:ascii="宋体" w:hAnsi="宋体" w:cs="宋体" w:eastAsia="宋体" w:hint="default"/>
          <w:spacing w:val="-60"/>
        </w:rPr>
        <w:t> </w:t>
      </w:r>
      <w:r>
        <w:rPr/>
        <w:t>年非公开发行募集资金三方监管事项，</w:t>
      </w:r>
    </w:p>
    <w:p>
      <w:pPr>
        <w:spacing w:line="482" w:lineRule="auto" w:before="146"/>
        <w:ind w:left="154" w:right="995" w:firstLine="0"/>
        <w:jc w:val="left"/>
        <w:rPr>
          <w:rFonts w:ascii="宋体" w:hAnsi="宋体" w:cs="宋体" w:eastAsia="宋体" w:hint="default"/>
          <w:sz w:val="24"/>
          <w:szCs w:val="24"/>
        </w:rPr>
      </w:pPr>
      <w:r>
        <w:rPr>
          <w:rFonts w:ascii="宋体" w:hAnsi="宋体" w:cs="宋体" w:eastAsia="宋体" w:hint="default"/>
          <w:spacing w:val="-3"/>
          <w:sz w:val="24"/>
          <w:szCs w:val="24"/>
        </w:rPr>
        <w:t>聘请申万宏源证券承销保荐有限责任公司为公司保荐机构，期间共支付承销保荐费 </w:t>
      </w:r>
      <w:r>
        <w:rPr>
          <w:rFonts w:ascii="宋体" w:hAnsi="宋体" w:cs="宋体" w:eastAsia="宋体" w:hint="default"/>
          <w:sz w:val="24"/>
          <w:szCs w:val="24"/>
        </w:rPr>
        <w:t>200</w:t>
      </w:r>
      <w:r>
        <w:rPr>
          <w:rFonts w:ascii="宋体" w:hAnsi="宋体" w:cs="宋体" w:eastAsia="宋体" w:hint="default"/>
          <w:spacing w:val="-92"/>
          <w:sz w:val="24"/>
          <w:szCs w:val="24"/>
        </w:rPr>
        <w:t> </w:t>
      </w:r>
      <w:r>
        <w:rPr>
          <w:rFonts w:ascii="宋体" w:hAnsi="宋体" w:cs="宋体" w:eastAsia="宋体" w:hint="default"/>
          <w:sz w:val="24"/>
          <w:szCs w:val="24"/>
        </w:rPr>
        <w:t>万元。 </w:t>
      </w:r>
      <w:bookmarkStart w:name="十、年度报告披露后面临暂停上市和终止上市情况" w:id="91"/>
      <w:bookmarkEnd w:id="91"/>
      <w:r>
        <w:rPr>
          <w:rFonts w:ascii="宋体" w:hAnsi="宋体" w:cs="宋体" w:eastAsia="宋体" w:hint="default"/>
          <w:sz w:val="24"/>
          <w:szCs w:val="24"/>
        </w:rPr>
      </w:r>
      <w:r>
        <w:rPr>
          <w:rFonts w:ascii="宋体" w:hAnsi="宋体" w:cs="宋体" w:eastAsia="宋体" w:hint="default"/>
          <w:b/>
          <w:bCs/>
          <w:sz w:val="24"/>
          <w:szCs w:val="24"/>
        </w:rPr>
        <w:t>十、年度报告披露后面临暂停上市和终止上市情况</w:t>
      </w:r>
      <w:r>
        <w:rPr>
          <w:rFonts w:ascii="宋体" w:hAnsi="宋体" w:cs="宋体" w:eastAsia="宋体" w:hint="default"/>
          <w:sz w:val="24"/>
          <w:szCs w:val="24"/>
        </w:rPr>
      </w:r>
    </w:p>
    <w:p>
      <w:pPr>
        <w:spacing w:line="482" w:lineRule="auto" w:before="182"/>
        <w:ind w:left="153" w:right="8113" w:firstLine="480"/>
        <w:jc w:val="left"/>
        <w:rPr>
          <w:rFonts w:ascii="宋体" w:hAnsi="宋体" w:cs="宋体" w:eastAsia="宋体" w:hint="default"/>
          <w:sz w:val="24"/>
          <w:szCs w:val="24"/>
        </w:rPr>
      </w:pPr>
      <w:r>
        <w:rPr>
          <w:rFonts w:ascii="宋体" w:hAnsi="宋体" w:cs="宋体" w:eastAsia="宋体" w:hint="default"/>
          <w:sz w:val="24"/>
          <w:szCs w:val="24"/>
        </w:rPr>
        <w:t>□ 适用 √ 不适用 </w:t>
      </w:r>
      <w:bookmarkStart w:name="十一、破产重整相关事项" w:id="92"/>
      <w:bookmarkEnd w:id="92"/>
      <w:r>
        <w:rPr>
          <w:rFonts w:ascii="宋体" w:hAnsi="宋体" w:cs="宋体" w:eastAsia="宋体" w:hint="default"/>
          <w:sz w:val="24"/>
          <w:szCs w:val="24"/>
        </w:rPr>
      </w:r>
      <w:r>
        <w:rPr>
          <w:rFonts w:ascii="宋体" w:hAnsi="宋体" w:cs="宋体" w:eastAsia="宋体" w:hint="default"/>
          <w:b/>
          <w:bCs/>
          <w:w w:val="95"/>
          <w:sz w:val="24"/>
          <w:szCs w:val="24"/>
        </w:rPr>
        <w:t>十一、破产重整相关事项</w:t>
      </w:r>
      <w:r>
        <w:rPr>
          <w:rFonts w:ascii="宋体" w:hAnsi="宋体" w:cs="宋体" w:eastAsia="宋体" w:hint="default"/>
          <w:sz w:val="24"/>
          <w:szCs w:val="24"/>
        </w:rPr>
      </w:r>
    </w:p>
    <w:p>
      <w:pPr>
        <w:spacing w:line="484" w:lineRule="auto" w:before="183"/>
        <w:ind w:left="154" w:right="6192" w:firstLine="480"/>
        <w:jc w:val="left"/>
        <w:rPr>
          <w:rFonts w:ascii="宋体" w:hAnsi="宋体" w:cs="宋体" w:eastAsia="宋体" w:hint="default"/>
          <w:sz w:val="24"/>
          <w:szCs w:val="24"/>
        </w:rPr>
      </w:pPr>
      <w:r>
        <w:rPr>
          <w:rFonts w:ascii="宋体" w:hAnsi="宋体" w:cs="宋体" w:eastAsia="宋体" w:hint="default"/>
          <w:sz w:val="24"/>
          <w:szCs w:val="24"/>
        </w:rPr>
        <w:t>公司报告期未发生破产重整相关事项。 </w:t>
      </w:r>
      <w:bookmarkStart w:name="十二、重大诉讼、仲裁事项" w:id="93"/>
      <w:bookmarkEnd w:id="93"/>
      <w:r>
        <w:rPr>
          <w:rFonts w:ascii="宋体" w:hAnsi="宋体" w:cs="宋体" w:eastAsia="宋体" w:hint="default"/>
          <w:sz w:val="24"/>
          <w:szCs w:val="24"/>
        </w:rPr>
      </w:r>
      <w:r>
        <w:rPr>
          <w:rFonts w:ascii="宋体" w:hAnsi="宋体" w:cs="宋体" w:eastAsia="宋体" w:hint="default"/>
          <w:b/>
          <w:bCs/>
          <w:sz w:val="24"/>
          <w:szCs w:val="24"/>
        </w:rPr>
        <w:t>十二、重大诉讼、仲裁事项</w:t>
      </w:r>
      <w:r>
        <w:rPr>
          <w:rFonts w:ascii="宋体" w:hAnsi="宋体" w:cs="宋体" w:eastAsia="宋体" w:hint="default"/>
          <w:sz w:val="24"/>
          <w:szCs w:val="24"/>
        </w:rPr>
      </w:r>
    </w:p>
    <w:p>
      <w:pPr>
        <w:spacing w:line="482" w:lineRule="auto" w:before="180"/>
        <w:ind w:left="154" w:right="6192" w:firstLine="480"/>
        <w:jc w:val="left"/>
        <w:rPr>
          <w:rFonts w:ascii="宋体" w:hAnsi="宋体" w:cs="宋体" w:eastAsia="宋体" w:hint="default"/>
          <w:sz w:val="24"/>
          <w:szCs w:val="24"/>
        </w:rPr>
      </w:pPr>
      <w:r>
        <w:rPr>
          <w:rFonts w:ascii="宋体" w:hAnsi="宋体" w:cs="宋体" w:eastAsia="宋体" w:hint="default"/>
          <w:sz w:val="24"/>
          <w:szCs w:val="24"/>
        </w:rPr>
        <w:t>本报告期公司无重大诉讼、仲裁事项。 </w:t>
      </w:r>
      <w:bookmarkStart w:name="十三、处罚及整改情况" w:id="94"/>
      <w:bookmarkEnd w:id="94"/>
      <w:r>
        <w:rPr>
          <w:rFonts w:ascii="宋体" w:hAnsi="宋体" w:cs="宋体" w:eastAsia="宋体" w:hint="default"/>
          <w:sz w:val="24"/>
          <w:szCs w:val="24"/>
        </w:rPr>
      </w:r>
      <w:r>
        <w:rPr>
          <w:rFonts w:ascii="宋体" w:hAnsi="宋体" w:cs="宋体" w:eastAsia="宋体" w:hint="default"/>
          <w:b/>
          <w:bCs/>
          <w:sz w:val="24"/>
          <w:szCs w:val="24"/>
        </w:rPr>
        <w:t>十三、处罚及整改情况</w:t>
      </w:r>
      <w:r>
        <w:rPr>
          <w:rFonts w:ascii="宋体" w:hAnsi="宋体" w:cs="宋体" w:eastAsia="宋体" w:hint="default"/>
          <w:sz w:val="24"/>
          <w:szCs w:val="24"/>
        </w:rPr>
      </w:r>
    </w:p>
    <w:p>
      <w:pPr>
        <w:spacing w:line="482" w:lineRule="auto" w:before="182"/>
        <w:ind w:left="154" w:right="1633" w:firstLine="480"/>
        <w:jc w:val="left"/>
        <w:rPr>
          <w:rFonts w:ascii="宋体" w:hAnsi="宋体" w:cs="宋体" w:eastAsia="宋体" w:hint="default"/>
          <w:sz w:val="24"/>
          <w:szCs w:val="24"/>
        </w:rPr>
      </w:pPr>
      <w:r>
        <w:rPr>
          <w:rFonts w:ascii="宋体" w:hAnsi="宋体" w:cs="宋体" w:eastAsia="宋体" w:hint="default"/>
          <w:sz w:val="24"/>
          <w:szCs w:val="24"/>
        </w:rPr>
        <w:t>公司报告期不存在处罚及整改情况。 </w:t>
      </w:r>
      <w:bookmarkStart w:name="十四、公司及其控股股东、实际控制人的诚信状况" w:id="95"/>
      <w:bookmarkEnd w:id="95"/>
      <w:r>
        <w:rPr>
          <w:rFonts w:ascii="宋体" w:hAnsi="宋体" w:cs="宋体" w:eastAsia="宋体" w:hint="default"/>
          <w:sz w:val="24"/>
          <w:szCs w:val="24"/>
        </w:rPr>
      </w:r>
      <w:r>
        <w:rPr>
          <w:rFonts w:ascii="宋体" w:hAnsi="宋体" w:cs="宋体" w:eastAsia="宋体" w:hint="default"/>
          <w:b/>
          <w:bCs/>
          <w:w w:val="95"/>
          <w:sz w:val="24"/>
          <w:szCs w:val="24"/>
        </w:rPr>
        <w:t>十四、公司及其控股股东、实际控制人的诚信状况</w:t>
      </w:r>
      <w:r>
        <w:rPr>
          <w:rFonts w:ascii="宋体" w:hAnsi="宋体" w:cs="宋体" w:eastAsia="宋体" w:hint="default"/>
          <w:sz w:val="24"/>
          <w:szCs w:val="24"/>
        </w:rPr>
      </w:r>
    </w:p>
    <w:p>
      <w:pPr>
        <w:pStyle w:val="BodyText"/>
        <w:spacing w:line="352" w:lineRule="auto" w:before="182"/>
        <w:ind w:left="154" w:right="1152" w:firstLine="480"/>
        <w:jc w:val="left"/>
      </w:pPr>
      <w:r>
        <w:rPr/>
        <w:t>报告期内，公司及公司第一大股东不存在未履行的法院生效判决、所负数额较大的债务 到期未清偿等情况。</w:t>
      </w:r>
    </w:p>
    <w:p>
      <w:pPr>
        <w:pStyle w:val="Heading2"/>
        <w:spacing w:line="240" w:lineRule="auto" w:before="206"/>
        <w:ind w:left="154" w:right="996"/>
        <w:jc w:val="left"/>
        <w:rPr>
          <w:b w:val="0"/>
          <w:bCs w:val="0"/>
        </w:rPr>
      </w:pPr>
      <w:bookmarkStart w:name="十五、公司股权激励计划、员工持股计划或其他员工激励措施的实施情况" w:id="96"/>
      <w:bookmarkEnd w:id="96"/>
      <w:r>
        <w:rPr>
          <w:b w:val="0"/>
          <w:bCs w:val="0"/>
        </w:rPr>
      </w:r>
      <w:r>
        <w:rPr/>
        <w:t>十五、公司股权激励计划、员工持股计划或其他员工激励措施的实施情况</w:t>
      </w:r>
      <w:r>
        <w:rPr>
          <w:b w:val="0"/>
          <w:bCs w:val="0"/>
        </w:rPr>
      </w:r>
    </w:p>
    <w:p>
      <w:pPr>
        <w:spacing w:line="240" w:lineRule="auto" w:before="6"/>
        <w:rPr>
          <w:rFonts w:ascii="宋体" w:hAnsi="宋体" w:cs="宋体" w:eastAsia="宋体" w:hint="default"/>
          <w:b/>
          <w:bCs/>
          <w:sz w:val="32"/>
          <w:szCs w:val="32"/>
        </w:rPr>
      </w:pPr>
    </w:p>
    <w:p>
      <w:pPr>
        <w:pStyle w:val="BodyText"/>
        <w:spacing w:line="240" w:lineRule="auto" w:before="0"/>
        <w:ind w:left="634" w:right="996"/>
        <w:jc w:val="left"/>
      </w:pPr>
      <w:r>
        <w:rPr>
          <w:rFonts w:ascii="宋体" w:hAnsi="宋体" w:cs="宋体" w:eastAsia="宋体" w:hint="default"/>
        </w:rPr>
        <w:t>1</w:t>
      </w:r>
      <w:r>
        <w:rPr/>
        <w:t>、公司于</w:t>
      </w:r>
      <w:r>
        <w:rPr>
          <w:spacing w:val="-60"/>
        </w:rPr>
        <w:t> </w:t>
      </w:r>
      <w:r>
        <w:rPr>
          <w:rFonts w:ascii="宋体" w:hAnsi="宋体" w:cs="宋体" w:eastAsia="宋体" w:hint="default"/>
        </w:rPr>
        <w:t>2015</w:t>
      </w:r>
      <w:r>
        <w:rPr>
          <w:rFonts w:ascii="宋体" w:hAnsi="宋体" w:cs="宋体" w:eastAsia="宋体" w:hint="default"/>
          <w:spacing w:val="-60"/>
        </w:rPr>
        <w:t> </w:t>
      </w:r>
      <w:r>
        <w:rPr/>
        <w:t>年</w:t>
      </w:r>
      <w:r>
        <w:rPr>
          <w:spacing w:val="-60"/>
        </w:rPr>
        <w:t> </w:t>
      </w:r>
      <w:r>
        <w:rPr>
          <w:rFonts w:ascii="宋体" w:hAnsi="宋体" w:cs="宋体" w:eastAsia="宋体" w:hint="default"/>
        </w:rPr>
        <w:t>12</w:t>
      </w:r>
      <w:r>
        <w:rPr>
          <w:rFonts w:ascii="宋体" w:hAnsi="宋体" w:cs="宋体" w:eastAsia="宋体" w:hint="default"/>
          <w:spacing w:val="-60"/>
        </w:rPr>
        <w:t> </w:t>
      </w:r>
      <w:r>
        <w:rPr/>
        <w:t>月</w:t>
      </w:r>
      <w:r>
        <w:rPr>
          <w:spacing w:val="-60"/>
        </w:rPr>
        <w:t> </w:t>
      </w:r>
      <w:r>
        <w:rPr>
          <w:rFonts w:ascii="宋体" w:hAnsi="宋体" w:cs="宋体" w:eastAsia="宋体" w:hint="default"/>
        </w:rPr>
        <w:t>28</w:t>
      </w:r>
      <w:r>
        <w:rPr>
          <w:rFonts w:ascii="宋体" w:hAnsi="宋体" w:cs="宋体" w:eastAsia="宋体" w:hint="default"/>
          <w:spacing w:val="-60"/>
        </w:rPr>
        <w:t> </w:t>
      </w:r>
      <w:r>
        <w:rPr/>
        <w:t>日召开的第五届董事会第十五次会议、于</w:t>
      </w:r>
      <w:r>
        <w:rPr>
          <w:spacing w:val="-60"/>
        </w:rPr>
        <w:t> </w:t>
      </w:r>
      <w:r>
        <w:rPr>
          <w:rFonts w:ascii="宋体" w:hAnsi="宋体" w:cs="宋体" w:eastAsia="宋体" w:hint="default"/>
        </w:rPr>
        <w:t>2016</w:t>
      </w:r>
      <w:r>
        <w:rPr>
          <w:rFonts w:ascii="宋体" w:hAnsi="宋体" w:cs="宋体" w:eastAsia="宋体" w:hint="default"/>
          <w:spacing w:val="-60"/>
        </w:rPr>
        <w:t> </w:t>
      </w:r>
      <w:r>
        <w:rPr/>
        <w:t>年</w:t>
      </w:r>
      <w:r>
        <w:rPr>
          <w:spacing w:val="-60"/>
        </w:rPr>
        <w:t> </w:t>
      </w:r>
      <w:r>
        <w:rPr>
          <w:rFonts w:ascii="宋体" w:hAnsi="宋体" w:cs="宋体" w:eastAsia="宋体" w:hint="default"/>
        </w:rPr>
        <w:t>1</w:t>
      </w:r>
      <w:r>
        <w:rPr>
          <w:rFonts w:ascii="宋体" w:hAnsi="宋体" w:cs="宋体" w:eastAsia="宋体" w:hint="default"/>
          <w:spacing w:val="-60"/>
        </w:rPr>
        <w:t> </w:t>
      </w:r>
      <w:r>
        <w:rPr/>
        <w:t>月</w:t>
      </w:r>
      <w:r>
        <w:rPr>
          <w:spacing w:val="-60"/>
        </w:rPr>
        <w:t> </w:t>
      </w:r>
      <w:r>
        <w:rPr>
          <w:rFonts w:ascii="宋体" w:hAnsi="宋体" w:cs="宋体" w:eastAsia="宋体" w:hint="default"/>
        </w:rPr>
        <w:t>13</w:t>
      </w:r>
      <w:r>
        <w:rPr>
          <w:rFonts w:ascii="宋体" w:hAnsi="宋体" w:cs="宋体" w:eastAsia="宋体" w:hint="default"/>
          <w:spacing w:val="-60"/>
        </w:rPr>
        <w:t> </w:t>
      </w:r>
      <w:r>
        <w:rPr/>
        <w:t>日</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240" w:lineRule="auto" w:before="199"/>
        <w:ind w:right="0"/>
        <w:jc w:val="both"/>
        <w:rPr>
          <w:rFonts w:ascii="宋体" w:hAnsi="宋体" w:cs="宋体" w:eastAsia="宋体" w:hint="default"/>
        </w:rPr>
      </w:pPr>
      <w:r>
        <w:rPr/>
        <w:t>召开的 </w:t>
      </w:r>
      <w:r>
        <w:rPr>
          <w:rFonts w:ascii="宋体" w:hAnsi="宋体" w:cs="宋体" w:eastAsia="宋体" w:hint="default"/>
        </w:rPr>
        <w:t>2016</w:t>
      </w:r>
      <w:r>
        <w:rPr>
          <w:rFonts w:ascii="宋体" w:hAnsi="宋体" w:cs="宋体" w:eastAsia="宋体" w:hint="default"/>
          <w:spacing w:val="-95"/>
        </w:rPr>
        <w:t> </w:t>
      </w:r>
      <w:r>
        <w:rPr>
          <w:spacing w:val="-3"/>
        </w:rPr>
        <w:t>年第一次临时股东大会，审议通过了《关于公司</w:t>
      </w:r>
      <w:r>
        <w:rPr>
          <w:rFonts w:ascii="宋体" w:hAnsi="宋体" w:cs="宋体" w:eastAsia="宋体" w:hint="default"/>
          <w:spacing w:val="-3"/>
        </w:rPr>
        <w:t>&lt;</w:t>
      </w:r>
      <w:r>
        <w:rPr>
          <w:spacing w:val="-3"/>
        </w:rPr>
        <w:t>第一期员工持股计划（草案）</w:t>
      </w:r>
      <w:r>
        <w:rPr>
          <w:rFonts w:ascii="宋体" w:hAnsi="宋体" w:cs="宋体" w:eastAsia="宋体" w:hint="default"/>
          <w:spacing w:val="-3"/>
        </w:rPr>
        <w:t>&gt;</w:t>
      </w:r>
    </w:p>
    <w:p>
      <w:pPr>
        <w:pStyle w:val="BodyText"/>
        <w:spacing w:line="352" w:lineRule="auto" w:before="145"/>
        <w:ind w:right="1130"/>
        <w:jc w:val="both"/>
      </w:pPr>
      <w:r>
        <w:rPr>
          <w:spacing w:val="-13"/>
        </w:rPr>
        <w:t>及摘要的议案》；截至</w:t>
      </w:r>
      <w:r>
        <w:rPr>
          <w:spacing w:val="-59"/>
        </w:rPr>
        <w:t> </w:t>
      </w:r>
      <w:r>
        <w:rPr>
          <w:rFonts w:ascii="宋体" w:hAnsi="宋体" w:cs="宋体" w:eastAsia="宋体" w:hint="default"/>
        </w:rPr>
        <w:t>2016</w:t>
      </w:r>
      <w:r>
        <w:rPr>
          <w:rFonts w:ascii="宋体" w:hAnsi="宋体" w:cs="宋体" w:eastAsia="宋体" w:hint="default"/>
          <w:spacing w:val="-59"/>
        </w:rPr>
        <w:t> </w:t>
      </w:r>
      <w:r>
        <w:rPr/>
        <w:t>年</w:t>
      </w:r>
      <w:r>
        <w:rPr>
          <w:spacing w:val="-59"/>
        </w:rPr>
        <w:t> </w:t>
      </w:r>
      <w:r>
        <w:rPr>
          <w:rFonts w:ascii="宋体" w:hAnsi="宋体" w:cs="宋体" w:eastAsia="宋体" w:hint="default"/>
        </w:rPr>
        <w:t>5</w:t>
      </w:r>
      <w:r>
        <w:rPr>
          <w:rFonts w:ascii="宋体" w:hAnsi="宋体" w:cs="宋体" w:eastAsia="宋体" w:hint="default"/>
          <w:spacing w:val="-59"/>
        </w:rPr>
        <w:t> </w:t>
      </w:r>
      <w:r>
        <w:rPr/>
        <w:t>月</w:t>
      </w:r>
      <w:r>
        <w:rPr>
          <w:spacing w:val="-59"/>
        </w:rPr>
        <w:t> </w:t>
      </w:r>
      <w:r>
        <w:rPr>
          <w:rFonts w:ascii="宋体" w:hAnsi="宋体" w:cs="宋体" w:eastAsia="宋体" w:hint="default"/>
        </w:rPr>
        <w:t>12</w:t>
      </w:r>
      <w:r>
        <w:rPr>
          <w:rFonts w:ascii="宋体" w:hAnsi="宋体" w:cs="宋体" w:eastAsia="宋体" w:hint="default"/>
          <w:spacing w:val="-59"/>
        </w:rPr>
        <w:t> </w:t>
      </w:r>
      <w:r>
        <w:rPr>
          <w:spacing w:val="-1"/>
        </w:rPr>
        <w:t>日，公司第一期员工持股计划认购的“红塔资产辉煌</w:t>
      </w:r>
      <w:r>
        <w:rPr>
          <w:spacing w:val="-59"/>
        </w:rPr>
        <w:t> </w:t>
      </w:r>
      <w:r>
        <w:rPr>
          <w:rFonts w:ascii="宋体" w:hAnsi="宋体" w:cs="宋体" w:eastAsia="宋体" w:hint="default"/>
        </w:rPr>
        <w:t>1 </w:t>
      </w:r>
      <w:r>
        <w:rPr/>
        <w:t>号特定多个客户资产管理计划”已通过深圳证券交易所交易系统完成公司股票的购买；公司 于</w:t>
      </w:r>
      <w:r>
        <w:rPr>
          <w:spacing w:val="-60"/>
        </w:rPr>
        <w:t> </w:t>
      </w:r>
      <w:r>
        <w:rPr>
          <w:rFonts w:ascii="宋体" w:hAnsi="宋体" w:cs="宋体" w:eastAsia="宋体" w:hint="default"/>
        </w:rPr>
        <w:t>2017</w:t>
      </w:r>
      <w:r>
        <w:rPr>
          <w:rFonts w:ascii="宋体" w:hAnsi="宋体" w:cs="宋体" w:eastAsia="宋体" w:hint="default"/>
          <w:spacing w:val="-60"/>
        </w:rPr>
        <w:t> </w:t>
      </w:r>
      <w:r>
        <w:rPr/>
        <w:t>年</w:t>
      </w:r>
      <w:r>
        <w:rPr>
          <w:spacing w:val="-60"/>
        </w:rPr>
        <w:t> </w:t>
      </w:r>
      <w:r>
        <w:rPr>
          <w:rFonts w:ascii="宋体" w:hAnsi="宋体" w:cs="宋体" w:eastAsia="宋体" w:hint="default"/>
        </w:rPr>
        <w:t>7</w:t>
      </w:r>
      <w:r>
        <w:rPr>
          <w:rFonts w:ascii="宋体" w:hAnsi="宋体" w:cs="宋体" w:eastAsia="宋体" w:hint="default"/>
          <w:spacing w:val="-60"/>
        </w:rPr>
        <w:t> </w:t>
      </w:r>
      <w:r>
        <w:rPr/>
        <w:t>月</w:t>
      </w:r>
      <w:r>
        <w:rPr>
          <w:spacing w:val="-60"/>
        </w:rPr>
        <w:t> </w:t>
      </w:r>
      <w:r>
        <w:rPr>
          <w:rFonts w:ascii="宋体" w:hAnsi="宋体" w:cs="宋体" w:eastAsia="宋体" w:hint="default"/>
        </w:rPr>
        <w:t>11</w:t>
      </w:r>
      <w:r>
        <w:rPr>
          <w:rFonts w:ascii="宋体" w:hAnsi="宋体" w:cs="宋体" w:eastAsia="宋体" w:hint="default"/>
          <w:spacing w:val="-60"/>
        </w:rPr>
        <w:t> </w:t>
      </w:r>
      <w:r>
        <w:rPr/>
        <w:t>日召开第六届董事会第三次会议审议通过了《关于公司第一期员工持股计</w:t>
      </w:r>
    </w:p>
    <w:p>
      <w:pPr>
        <w:pStyle w:val="BodyText"/>
        <w:spacing w:line="350" w:lineRule="auto" w:before="32"/>
        <w:ind w:right="1130"/>
        <w:jc w:val="both"/>
      </w:pPr>
      <w:r>
        <w:rPr>
          <w:spacing w:val="-10"/>
        </w:rPr>
        <w:t>划存续期展期的议案》；截至</w:t>
      </w:r>
      <w:r>
        <w:rPr>
          <w:spacing w:val="-59"/>
        </w:rPr>
        <w:t> </w:t>
      </w:r>
      <w:r>
        <w:rPr>
          <w:rFonts w:ascii="宋体" w:hAnsi="宋体" w:cs="宋体" w:eastAsia="宋体" w:hint="default"/>
        </w:rPr>
        <w:t>2017</w:t>
      </w:r>
      <w:r>
        <w:rPr>
          <w:rFonts w:ascii="宋体" w:hAnsi="宋体" w:cs="宋体" w:eastAsia="宋体" w:hint="default"/>
          <w:spacing w:val="-59"/>
        </w:rPr>
        <w:t> </w:t>
      </w:r>
      <w:r>
        <w:rPr/>
        <w:t>年</w:t>
      </w:r>
      <w:r>
        <w:rPr>
          <w:spacing w:val="-59"/>
        </w:rPr>
        <w:t> </w:t>
      </w:r>
      <w:r>
        <w:rPr>
          <w:rFonts w:ascii="宋体" w:hAnsi="宋体" w:cs="宋体" w:eastAsia="宋体" w:hint="default"/>
        </w:rPr>
        <w:t>8</w:t>
      </w:r>
      <w:r>
        <w:rPr>
          <w:rFonts w:ascii="宋体" w:hAnsi="宋体" w:cs="宋体" w:eastAsia="宋体" w:hint="default"/>
          <w:spacing w:val="-59"/>
        </w:rPr>
        <w:t> </w:t>
      </w:r>
      <w:r>
        <w:rPr/>
        <w:t>月</w:t>
      </w:r>
      <w:r>
        <w:rPr>
          <w:spacing w:val="-59"/>
        </w:rPr>
        <w:t> </w:t>
      </w:r>
      <w:r>
        <w:rPr>
          <w:rFonts w:ascii="宋体" w:hAnsi="宋体" w:cs="宋体" w:eastAsia="宋体" w:hint="default"/>
        </w:rPr>
        <w:t>28</w:t>
      </w:r>
      <w:r>
        <w:rPr>
          <w:rFonts w:ascii="宋体" w:hAnsi="宋体" w:cs="宋体" w:eastAsia="宋体" w:hint="default"/>
          <w:spacing w:val="-59"/>
        </w:rPr>
        <w:t> </w:t>
      </w:r>
      <w:r>
        <w:rPr>
          <w:spacing w:val="-1"/>
        </w:rPr>
        <w:t>日，公司第一期员工持股计划“红塔资产辉煌</w:t>
      </w:r>
      <w:r>
        <w:rPr>
          <w:spacing w:val="-59"/>
        </w:rPr>
        <w:t> </w:t>
      </w:r>
      <w:r>
        <w:rPr>
          <w:rFonts w:ascii="宋体" w:hAnsi="宋体" w:cs="宋体" w:eastAsia="宋体" w:hint="default"/>
        </w:rPr>
        <w:t>1 </w:t>
      </w:r>
      <w:r>
        <w:rPr/>
        <w:t>号特定多个客户资产管理计划”所持有的公司股票已全部出售完毕。上述具体情况详见公司 </w:t>
      </w:r>
      <w:r>
        <w:rPr>
          <w:rFonts w:ascii="宋体" w:hAnsi="宋体" w:cs="宋体" w:eastAsia="宋体" w:hint="default"/>
        </w:rPr>
        <w:t>2015</w:t>
      </w:r>
      <w:r>
        <w:rPr>
          <w:rFonts w:ascii="宋体" w:hAnsi="宋体" w:cs="宋体" w:eastAsia="宋体" w:hint="default"/>
          <w:spacing w:val="-60"/>
        </w:rPr>
        <w:t> </w:t>
      </w:r>
      <w:r>
        <w:rPr/>
        <w:t>年</w:t>
      </w:r>
      <w:r>
        <w:rPr>
          <w:spacing w:val="-60"/>
        </w:rPr>
        <w:t> </w:t>
      </w:r>
      <w:r>
        <w:rPr>
          <w:rFonts w:ascii="宋体" w:hAnsi="宋体" w:cs="宋体" w:eastAsia="宋体" w:hint="default"/>
        </w:rPr>
        <w:t>12</w:t>
      </w:r>
      <w:r>
        <w:rPr>
          <w:rFonts w:ascii="宋体" w:hAnsi="宋体" w:cs="宋体" w:eastAsia="宋体" w:hint="default"/>
          <w:spacing w:val="-60"/>
        </w:rPr>
        <w:t> </w:t>
      </w:r>
      <w:r>
        <w:rPr/>
        <w:t>月</w:t>
      </w:r>
      <w:r>
        <w:rPr>
          <w:spacing w:val="-60"/>
        </w:rPr>
        <w:t> </w:t>
      </w:r>
      <w:r>
        <w:rPr>
          <w:rFonts w:ascii="宋体" w:hAnsi="宋体" w:cs="宋体" w:eastAsia="宋体" w:hint="default"/>
        </w:rPr>
        <w:t>29</w:t>
      </w:r>
      <w:r>
        <w:rPr>
          <w:rFonts w:ascii="宋体" w:hAnsi="宋体" w:cs="宋体" w:eastAsia="宋体" w:hint="default"/>
          <w:spacing w:val="-60"/>
        </w:rPr>
        <w:t> </w:t>
      </w:r>
      <w:r>
        <w:rPr>
          <w:spacing w:val="-5"/>
        </w:rPr>
        <w:t>日、</w:t>
      </w:r>
      <w:r>
        <w:rPr>
          <w:rFonts w:ascii="宋体" w:hAnsi="宋体" w:cs="宋体" w:eastAsia="宋体" w:hint="default"/>
          <w:spacing w:val="-5"/>
        </w:rPr>
        <w:t>2016</w:t>
      </w:r>
      <w:r>
        <w:rPr>
          <w:rFonts w:ascii="宋体" w:hAnsi="宋体" w:cs="宋体" w:eastAsia="宋体" w:hint="default"/>
          <w:spacing w:val="-60"/>
        </w:rPr>
        <w:t> </w:t>
      </w:r>
      <w:r>
        <w:rPr/>
        <w:t>年</w:t>
      </w:r>
      <w:r>
        <w:rPr>
          <w:spacing w:val="-60"/>
        </w:rPr>
        <w:t> </w:t>
      </w:r>
      <w:r>
        <w:rPr>
          <w:rFonts w:ascii="宋体" w:hAnsi="宋体" w:cs="宋体" w:eastAsia="宋体" w:hint="default"/>
        </w:rPr>
        <w:t>5</w:t>
      </w:r>
      <w:r>
        <w:rPr>
          <w:rFonts w:ascii="宋体" w:hAnsi="宋体" w:cs="宋体" w:eastAsia="宋体" w:hint="default"/>
          <w:spacing w:val="-60"/>
        </w:rPr>
        <w:t> </w:t>
      </w:r>
      <w:r>
        <w:rPr/>
        <w:t>月</w:t>
      </w:r>
      <w:r>
        <w:rPr>
          <w:spacing w:val="-60"/>
        </w:rPr>
        <w:t> </w:t>
      </w:r>
      <w:r>
        <w:rPr>
          <w:rFonts w:ascii="宋体" w:hAnsi="宋体" w:cs="宋体" w:eastAsia="宋体" w:hint="default"/>
        </w:rPr>
        <w:t>13</w:t>
      </w:r>
      <w:r>
        <w:rPr>
          <w:rFonts w:ascii="宋体" w:hAnsi="宋体" w:cs="宋体" w:eastAsia="宋体" w:hint="default"/>
          <w:spacing w:val="-60"/>
        </w:rPr>
        <w:t> </w:t>
      </w:r>
      <w:r>
        <w:rPr>
          <w:spacing w:val="-5"/>
        </w:rPr>
        <w:t>日、</w:t>
      </w:r>
      <w:r>
        <w:rPr>
          <w:rFonts w:ascii="宋体" w:hAnsi="宋体" w:cs="宋体" w:eastAsia="宋体" w:hint="default"/>
          <w:spacing w:val="-5"/>
        </w:rPr>
        <w:t>2017</w:t>
      </w:r>
      <w:r>
        <w:rPr>
          <w:rFonts w:ascii="宋体" w:hAnsi="宋体" w:cs="宋体" w:eastAsia="宋体" w:hint="default"/>
          <w:spacing w:val="-60"/>
        </w:rPr>
        <w:t> </w:t>
      </w:r>
      <w:r>
        <w:rPr/>
        <w:t>年</w:t>
      </w:r>
      <w:r>
        <w:rPr>
          <w:spacing w:val="-60"/>
        </w:rPr>
        <w:t> </w:t>
      </w:r>
      <w:r>
        <w:rPr>
          <w:rFonts w:ascii="宋体" w:hAnsi="宋体" w:cs="宋体" w:eastAsia="宋体" w:hint="default"/>
        </w:rPr>
        <w:t>7</w:t>
      </w:r>
      <w:r>
        <w:rPr>
          <w:rFonts w:ascii="宋体" w:hAnsi="宋体" w:cs="宋体" w:eastAsia="宋体" w:hint="default"/>
          <w:spacing w:val="-60"/>
        </w:rPr>
        <w:t> </w:t>
      </w:r>
      <w:r>
        <w:rPr/>
        <w:t>月</w:t>
      </w:r>
      <w:r>
        <w:rPr>
          <w:spacing w:val="-60"/>
        </w:rPr>
        <w:t> </w:t>
      </w:r>
      <w:r>
        <w:rPr>
          <w:rFonts w:ascii="宋体" w:hAnsi="宋体" w:cs="宋体" w:eastAsia="宋体" w:hint="default"/>
        </w:rPr>
        <w:t>12</w:t>
      </w:r>
      <w:r>
        <w:rPr>
          <w:rFonts w:ascii="宋体" w:hAnsi="宋体" w:cs="宋体" w:eastAsia="宋体" w:hint="default"/>
          <w:spacing w:val="-60"/>
        </w:rPr>
        <w:t> </w:t>
      </w:r>
      <w:r>
        <w:rPr>
          <w:spacing w:val="-5"/>
        </w:rPr>
        <w:t>日、</w:t>
      </w:r>
      <w:r>
        <w:rPr>
          <w:rFonts w:ascii="宋体" w:hAnsi="宋体" w:cs="宋体" w:eastAsia="宋体" w:hint="default"/>
          <w:spacing w:val="-5"/>
        </w:rPr>
        <w:t>2017</w:t>
      </w:r>
      <w:r>
        <w:rPr>
          <w:rFonts w:ascii="宋体" w:hAnsi="宋体" w:cs="宋体" w:eastAsia="宋体" w:hint="default"/>
          <w:spacing w:val="-60"/>
        </w:rPr>
        <w:t> </w:t>
      </w:r>
      <w:r>
        <w:rPr/>
        <w:t>年</w:t>
      </w:r>
      <w:r>
        <w:rPr>
          <w:spacing w:val="-60"/>
        </w:rPr>
        <w:t> </w:t>
      </w:r>
      <w:r>
        <w:rPr>
          <w:rFonts w:ascii="宋体" w:hAnsi="宋体" w:cs="宋体" w:eastAsia="宋体" w:hint="default"/>
        </w:rPr>
        <w:t>8</w:t>
      </w:r>
      <w:r>
        <w:rPr>
          <w:rFonts w:ascii="宋体" w:hAnsi="宋体" w:cs="宋体" w:eastAsia="宋体" w:hint="default"/>
          <w:spacing w:val="-60"/>
        </w:rPr>
        <w:t> </w:t>
      </w:r>
      <w:r>
        <w:rPr/>
        <w:t>月</w:t>
      </w:r>
      <w:r>
        <w:rPr>
          <w:spacing w:val="-60"/>
        </w:rPr>
        <w:t> </w:t>
      </w:r>
      <w:r>
        <w:rPr>
          <w:rFonts w:ascii="宋体" w:hAnsi="宋体" w:cs="宋体" w:eastAsia="宋体" w:hint="default"/>
        </w:rPr>
        <w:t>29</w:t>
      </w:r>
      <w:r>
        <w:rPr>
          <w:rFonts w:ascii="宋体" w:hAnsi="宋体" w:cs="宋体" w:eastAsia="宋体" w:hint="default"/>
          <w:spacing w:val="-60"/>
        </w:rPr>
        <w:t> </w:t>
      </w:r>
      <w:r>
        <w:rPr/>
        <w:t>日刊登于巨潮资 </w:t>
      </w:r>
      <w:r>
        <w:rPr>
          <w:spacing w:val="-5"/>
        </w:rPr>
        <w:t>讯网（</w:t>
      </w:r>
      <w:hyperlink r:id="rId13">
        <w:r>
          <w:rPr>
            <w:rFonts w:ascii="宋体" w:hAnsi="宋体" w:cs="宋体" w:eastAsia="宋体" w:hint="default"/>
            <w:spacing w:val="-5"/>
          </w:rPr>
          <w:t>http://www.cninfo.com.cn</w:t>
        </w:r>
      </w:hyperlink>
      <w:r>
        <w:rPr>
          <w:spacing w:val="-5"/>
        </w:rPr>
        <w:t>）的《第一期员工持股计划（草案）》及摘要、《关于第一</w:t>
      </w:r>
      <w:r>
        <w:rPr>
          <w:spacing w:val="-95"/>
        </w:rPr>
        <w:t> </w:t>
      </w:r>
      <w:r>
        <w:rPr>
          <w:spacing w:val="-95"/>
        </w:rPr>
      </w:r>
      <w:r>
        <w:rPr>
          <w:spacing w:val="-10"/>
        </w:rPr>
        <w:t>期员工持股计划购买完成的公告》（</w:t>
      </w:r>
      <w:r>
        <w:rPr>
          <w:rFonts w:ascii="宋体" w:hAnsi="宋体" w:cs="宋体" w:eastAsia="宋体" w:hint="default"/>
          <w:spacing w:val="-10"/>
        </w:rPr>
        <w:t>2016-039</w:t>
      </w:r>
      <w:r>
        <w:rPr>
          <w:spacing w:val="-10"/>
        </w:rPr>
        <w:t>）、《关于公司第一期员工持股计划存续期展期的</w:t>
      </w:r>
      <w:r>
        <w:rPr>
          <w:spacing w:val="-102"/>
        </w:rPr>
        <w:t> </w:t>
      </w:r>
      <w:r>
        <w:rPr>
          <w:spacing w:val="-102"/>
        </w:rPr>
      </w:r>
      <w:r>
        <w:rPr>
          <w:spacing w:val="-15"/>
        </w:rPr>
        <w:t>公告》（</w:t>
      </w:r>
      <w:r>
        <w:rPr>
          <w:rFonts w:ascii="宋体" w:hAnsi="宋体" w:cs="宋体" w:eastAsia="宋体" w:hint="default"/>
          <w:spacing w:val="-15"/>
        </w:rPr>
        <w:t>2017-050</w:t>
      </w:r>
      <w:r>
        <w:rPr>
          <w:spacing w:val="-15"/>
        </w:rPr>
        <w:t>）、《关于第一期员工持股计划出售完毕及终止的公告》（</w:t>
      </w:r>
      <w:r>
        <w:rPr>
          <w:rFonts w:ascii="宋体" w:hAnsi="宋体" w:cs="宋体" w:eastAsia="宋体" w:hint="default"/>
          <w:spacing w:val="-15"/>
        </w:rPr>
        <w:t>2017-067</w:t>
      </w:r>
      <w:r>
        <w:rPr>
          <w:spacing w:val="-15"/>
        </w:rPr>
        <w:t>）。</w:t>
      </w:r>
      <w:r>
        <w:rPr/>
      </w:r>
    </w:p>
    <w:p>
      <w:pPr>
        <w:pStyle w:val="BodyText"/>
        <w:spacing w:line="352" w:lineRule="auto" w:before="35"/>
        <w:ind w:right="1003" w:firstLine="480"/>
        <w:jc w:val="left"/>
      </w:pPr>
      <w:r>
        <w:rPr>
          <w:rFonts w:ascii="宋体" w:hAnsi="宋体" w:cs="宋体" w:eastAsia="宋体" w:hint="default"/>
        </w:rPr>
        <w:t>2</w:t>
      </w:r>
      <w:r>
        <w:rPr/>
        <w:t>、公司于</w:t>
      </w:r>
      <w:r>
        <w:rPr>
          <w:spacing w:val="-60"/>
        </w:rPr>
        <w:t> </w:t>
      </w:r>
      <w:r>
        <w:rPr>
          <w:rFonts w:ascii="宋体" w:hAnsi="宋体" w:cs="宋体" w:eastAsia="宋体" w:hint="default"/>
        </w:rPr>
        <w:t>2017</w:t>
      </w:r>
      <w:r>
        <w:rPr>
          <w:rFonts w:ascii="宋体" w:hAnsi="宋体" w:cs="宋体" w:eastAsia="宋体" w:hint="default"/>
          <w:spacing w:val="-60"/>
        </w:rPr>
        <w:t> </w:t>
      </w:r>
      <w:r>
        <w:rPr/>
        <w:t>年</w:t>
      </w:r>
      <w:r>
        <w:rPr>
          <w:spacing w:val="-60"/>
        </w:rPr>
        <w:t> </w:t>
      </w:r>
      <w:r>
        <w:rPr>
          <w:rFonts w:ascii="宋体" w:hAnsi="宋体" w:cs="宋体" w:eastAsia="宋体" w:hint="default"/>
        </w:rPr>
        <w:t>8</w:t>
      </w:r>
      <w:r>
        <w:rPr>
          <w:rFonts w:ascii="宋体" w:hAnsi="宋体" w:cs="宋体" w:eastAsia="宋体" w:hint="default"/>
          <w:spacing w:val="-60"/>
        </w:rPr>
        <w:t> </w:t>
      </w:r>
      <w:r>
        <w:rPr/>
        <w:t>月</w:t>
      </w:r>
      <w:r>
        <w:rPr>
          <w:spacing w:val="-60"/>
        </w:rPr>
        <w:t> </w:t>
      </w:r>
      <w:r>
        <w:rPr>
          <w:rFonts w:ascii="宋体" w:hAnsi="宋体" w:cs="宋体" w:eastAsia="宋体" w:hint="default"/>
        </w:rPr>
        <w:t>14</w:t>
      </w:r>
      <w:r>
        <w:rPr>
          <w:rFonts w:ascii="宋体" w:hAnsi="宋体" w:cs="宋体" w:eastAsia="宋体" w:hint="default"/>
          <w:spacing w:val="-60"/>
        </w:rPr>
        <w:t> </w:t>
      </w:r>
      <w:r>
        <w:rPr/>
        <w:t>日召开的第六届董事会第五次会议审议通过了《关于公司</w:t>
      </w:r>
      <w:r>
        <w:rPr>
          <w:rFonts w:ascii="宋体" w:hAnsi="宋体" w:cs="宋体" w:eastAsia="宋体" w:hint="default"/>
        </w:rPr>
        <w:t>&lt;</w:t>
      </w:r>
      <w:r>
        <w:rPr/>
        <w:t>第 </w:t>
      </w:r>
      <w:r>
        <w:rPr>
          <w:spacing w:val="-5"/>
        </w:rPr>
        <w:t>二期员工持股计划（草案）</w:t>
      </w:r>
      <w:r>
        <w:rPr>
          <w:rFonts w:ascii="宋体" w:hAnsi="宋体" w:cs="宋体" w:eastAsia="宋体" w:hint="default"/>
          <w:spacing w:val="-5"/>
        </w:rPr>
        <w:t>&gt;</w:t>
      </w:r>
      <w:r>
        <w:rPr>
          <w:spacing w:val="-5"/>
        </w:rPr>
        <w:t>及摘要的议案》，相关公告发出后公司积极推进该事项后续进展，</w:t>
      </w:r>
      <w:r>
        <w:rPr>
          <w:spacing w:val="-114"/>
        </w:rPr>
        <w:t> </w:t>
      </w:r>
      <w:r>
        <w:rPr>
          <w:spacing w:val="-114"/>
        </w:rPr>
      </w:r>
      <w:r>
        <w:rPr/>
        <w:t>但鉴于第二期员工持股计划中的资金来源和担保方面难以做出符合各方要求的安排，导致集 合信托计划合同细节及关键条款不能达成一致，无法继续推进该事项，经公司审慎研究，决 定终止本次员工持股计划事项，待条件成熟时再积极启动，该终止事项业经公司于</w:t>
      </w:r>
      <w:r>
        <w:rPr>
          <w:spacing w:val="-59"/>
        </w:rPr>
        <w:t> </w:t>
      </w:r>
      <w:r>
        <w:rPr>
          <w:rFonts w:ascii="宋体" w:hAnsi="宋体" w:cs="宋体" w:eastAsia="宋体" w:hint="default"/>
        </w:rPr>
        <w:t>2017</w:t>
      </w:r>
      <w:r>
        <w:rPr>
          <w:rFonts w:ascii="宋体" w:hAnsi="宋体" w:cs="宋体" w:eastAsia="宋体" w:hint="default"/>
          <w:spacing w:val="-60"/>
        </w:rPr>
        <w:t> </w:t>
      </w:r>
      <w:r>
        <w:rPr/>
        <w:t>年</w:t>
      </w:r>
    </w:p>
    <w:p>
      <w:pPr>
        <w:pStyle w:val="BodyText"/>
        <w:spacing w:line="240" w:lineRule="auto" w:before="33"/>
        <w:ind w:right="0"/>
        <w:jc w:val="both"/>
        <w:rPr>
          <w:rFonts w:ascii="宋体" w:hAnsi="宋体" w:cs="宋体" w:eastAsia="宋体" w:hint="default"/>
        </w:rPr>
      </w:pPr>
      <w:r>
        <w:rPr>
          <w:rFonts w:ascii="宋体" w:hAnsi="宋体" w:cs="宋体" w:eastAsia="宋体" w:hint="default"/>
        </w:rPr>
        <w:t>10</w:t>
      </w:r>
      <w:r>
        <w:rPr>
          <w:rFonts w:ascii="宋体" w:hAnsi="宋体" w:cs="宋体" w:eastAsia="宋体" w:hint="default"/>
          <w:spacing w:val="-59"/>
        </w:rPr>
        <w:t> </w:t>
      </w:r>
      <w:r>
        <w:rPr/>
        <w:t>月</w:t>
      </w:r>
      <w:r>
        <w:rPr>
          <w:spacing w:val="-59"/>
        </w:rPr>
        <w:t> </w:t>
      </w:r>
      <w:r>
        <w:rPr>
          <w:rFonts w:ascii="宋体" w:hAnsi="宋体" w:cs="宋体" w:eastAsia="宋体" w:hint="default"/>
        </w:rPr>
        <w:t>27</w:t>
      </w:r>
      <w:r>
        <w:rPr>
          <w:rFonts w:ascii="宋体" w:hAnsi="宋体" w:cs="宋体" w:eastAsia="宋体" w:hint="default"/>
          <w:spacing w:val="-59"/>
        </w:rPr>
        <w:t> </w:t>
      </w:r>
      <w:r>
        <w:rPr>
          <w:spacing w:val="-3"/>
        </w:rPr>
        <w:t>日召开的第六届董事会第八次会议审议通过。上述具体情况详见公司</w:t>
      </w:r>
      <w:r>
        <w:rPr>
          <w:spacing w:val="-59"/>
        </w:rPr>
        <w:t> </w:t>
      </w:r>
      <w:r>
        <w:rPr>
          <w:rFonts w:ascii="宋体" w:hAnsi="宋体" w:cs="宋体" w:eastAsia="宋体" w:hint="default"/>
        </w:rPr>
        <w:t>2017</w:t>
      </w:r>
      <w:r>
        <w:rPr>
          <w:rFonts w:ascii="宋体" w:hAnsi="宋体" w:cs="宋体" w:eastAsia="宋体" w:hint="default"/>
          <w:spacing w:val="-59"/>
        </w:rPr>
        <w:t> </w:t>
      </w:r>
      <w:r>
        <w:rPr/>
        <w:t>年</w:t>
      </w:r>
      <w:r>
        <w:rPr>
          <w:spacing w:val="-59"/>
        </w:rPr>
        <w:t> </w:t>
      </w:r>
      <w:r>
        <w:rPr>
          <w:rFonts w:ascii="宋体" w:hAnsi="宋体" w:cs="宋体" w:eastAsia="宋体" w:hint="default"/>
        </w:rPr>
        <w:t>8</w:t>
      </w:r>
      <w:r>
        <w:rPr>
          <w:rFonts w:ascii="宋体" w:hAnsi="宋体" w:cs="宋体" w:eastAsia="宋体" w:hint="default"/>
          <w:spacing w:val="-59"/>
        </w:rPr>
        <w:t> </w:t>
      </w:r>
      <w:r>
        <w:rPr/>
        <w:t>月</w:t>
      </w:r>
      <w:r>
        <w:rPr>
          <w:spacing w:val="-59"/>
        </w:rPr>
        <w:t> </w:t>
      </w:r>
      <w:r>
        <w:rPr>
          <w:rFonts w:ascii="宋体" w:hAnsi="宋体" w:cs="宋体" w:eastAsia="宋体" w:hint="default"/>
        </w:rPr>
        <w:t>15</w:t>
      </w:r>
    </w:p>
    <w:p>
      <w:pPr>
        <w:pStyle w:val="BodyText"/>
        <w:spacing w:line="352" w:lineRule="auto" w:before="145"/>
        <w:ind w:right="1132"/>
        <w:jc w:val="both"/>
      </w:pPr>
      <w:r>
        <w:rPr/>
        <w:t>日</w:t>
      </w:r>
      <w:r>
        <w:rPr>
          <w:spacing w:val="-5"/>
        </w:rPr>
        <w:t>、</w:t>
      </w:r>
      <w:r>
        <w:rPr>
          <w:rFonts w:ascii="宋体" w:hAnsi="宋体" w:cs="宋体" w:eastAsia="宋体" w:hint="default"/>
        </w:rPr>
        <w:t>2017</w:t>
      </w:r>
      <w:r>
        <w:rPr>
          <w:rFonts w:ascii="宋体" w:hAnsi="宋体" w:cs="宋体" w:eastAsia="宋体" w:hint="default"/>
          <w:spacing w:val="-60"/>
        </w:rPr>
        <w:t> </w:t>
      </w:r>
      <w:r>
        <w:rPr/>
        <w:t>年</w:t>
      </w:r>
      <w:r>
        <w:rPr>
          <w:spacing w:val="-60"/>
        </w:rPr>
        <w:t> </w:t>
      </w:r>
      <w:r>
        <w:rPr>
          <w:rFonts w:ascii="宋体" w:hAnsi="宋体" w:cs="宋体" w:eastAsia="宋体" w:hint="default"/>
        </w:rPr>
        <w:t>10</w:t>
      </w:r>
      <w:r>
        <w:rPr>
          <w:rFonts w:ascii="宋体" w:hAnsi="宋体" w:cs="宋体" w:eastAsia="宋体" w:hint="default"/>
          <w:spacing w:val="-60"/>
        </w:rPr>
        <w:t> </w:t>
      </w:r>
      <w:r>
        <w:rPr/>
        <w:t>月</w:t>
      </w:r>
      <w:r>
        <w:rPr>
          <w:spacing w:val="-60"/>
        </w:rPr>
        <w:t> </w:t>
      </w:r>
      <w:r>
        <w:rPr>
          <w:rFonts w:ascii="宋体" w:hAnsi="宋体" w:cs="宋体" w:eastAsia="宋体" w:hint="default"/>
        </w:rPr>
        <w:t>30</w:t>
      </w:r>
      <w:r>
        <w:rPr>
          <w:rFonts w:ascii="宋体" w:hAnsi="宋体" w:cs="宋体" w:eastAsia="宋体" w:hint="default"/>
          <w:spacing w:val="-60"/>
        </w:rPr>
        <w:t> </w:t>
      </w:r>
      <w:r>
        <w:rPr/>
        <w:t>日刊登于巨潮资讯网</w:t>
      </w:r>
      <w:r>
        <w:rPr>
          <w:spacing w:val="-5"/>
        </w:rPr>
        <w:t>的</w:t>
      </w:r>
      <w:r>
        <w:rPr/>
        <w:t>《第二期员工持股计</w:t>
      </w:r>
      <w:r>
        <w:rPr>
          <w:spacing w:val="-5"/>
        </w:rPr>
        <w:t>划</w:t>
      </w:r>
      <w:r>
        <w:rPr/>
        <w:t>（草案</w:t>
      </w:r>
      <w:r>
        <w:rPr>
          <w:spacing w:val="-120"/>
        </w:rPr>
        <w:t>）</w:t>
      </w:r>
      <w:r>
        <w:rPr>
          <w:spacing w:val="-4"/>
        </w:rPr>
        <w:t>》</w:t>
      </w:r>
      <w:r>
        <w:rPr/>
        <w:t>及摘要</w:t>
      </w:r>
      <w:r>
        <w:rPr>
          <w:spacing w:val="-124"/>
        </w:rPr>
        <w:t>、</w:t>
      </w:r>
      <w:r>
        <w:rPr/>
        <w:t>《关于</w:t>
      </w:r>
      <w:r>
        <w:rPr/>
        <w:t> 终止公司第二期员工持股计划的公告</w:t>
      </w:r>
      <w:r>
        <w:rPr>
          <w:spacing w:val="-120"/>
        </w:rPr>
        <w:t>》</w:t>
      </w:r>
      <w:r>
        <w:rPr/>
        <w:t>（</w:t>
      </w:r>
      <w:r>
        <w:rPr>
          <w:rFonts w:ascii="宋体" w:hAnsi="宋体" w:cs="宋体" w:eastAsia="宋体" w:hint="default"/>
        </w:rPr>
        <w:t>2017-081</w:t>
      </w:r>
      <w:r>
        <w:rPr/>
        <w:t>）等相关公告。</w:t>
      </w:r>
    </w:p>
    <w:p>
      <w:pPr>
        <w:pStyle w:val="Heading2"/>
        <w:spacing w:line="240" w:lineRule="auto" w:before="205"/>
        <w:ind w:left="153" w:right="0"/>
        <w:jc w:val="both"/>
        <w:rPr>
          <w:b w:val="0"/>
          <w:bCs w:val="0"/>
        </w:rPr>
      </w:pPr>
      <w:bookmarkStart w:name="十六、重大关联交易" w:id="97"/>
      <w:bookmarkEnd w:id="97"/>
      <w:r>
        <w:rPr>
          <w:b w:val="0"/>
          <w:bCs w:val="0"/>
        </w:rPr>
      </w:r>
      <w:r>
        <w:rPr/>
        <w:t>十六、重大关联交易</w:t>
      </w:r>
      <w:r>
        <w:rPr>
          <w:b w:val="0"/>
          <w:bCs w:val="0"/>
        </w:rPr>
      </w:r>
    </w:p>
    <w:p>
      <w:pPr>
        <w:spacing w:line="240" w:lineRule="auto" w:before="6"/>
        <w:rPr>
          <w:rFonts w:ascii="宋体" w:hAnsi="宋体" w:cs="宋体" w:eastAsia="宋体" w:hint="default"/>
          <w:b/>
          <w:bCs/>
          <w:sz w:val="32"/>
          <w:szCs w:val="32"/>
        </w:rPr>
      </w:pPr>
    </w:p>
    <w:p>
      <w:pPr>
        <w:spacing w:line="429" w:lineRule="auto" w:before="0"/>
        <w:ind w:left="633" w:right="4513" w:firstLine="2"/>
        <w:jc w:val="left"/>
        <w:rPr>
          <w:rFonts w:ascii="宋体" w:hAnsi="宋体" w:cs="宋体" w:eastAsia="宋体" w:hint="default"/>
          <w:sz w:val="24"/>
          <w:szCs w:val="24"/>
        </w:rPr>
      </w:pPr>
      <w:bookmarkStart w:name="1、与日常经营相关的关联交易" w:id="98"/>
      <w:bookmarkEnd w:id="98"/>
      <w:r>
        <w:rPr/>
      </w:r>
      <w:r>
        <w:rPr>
          <w:rFonts w:ascii="Times New Roman" w:hAnsi="Times New Roman" w:cs="Times New Roman" w:eastAsia="Times New Roman" w:hint="default"/>
          <w:b/>
          <w:bCs/>
          <w:sz w:val="24"/>
          <w:szCs w:val="24"/>
        </w:rPr>
        <w:t>1</w:t>
      </w:r>
      <w:r>
        <w:rPr>
          <w:rFonts w:ascii="宋体" w:hAnsi="宋体" w:cs="宋体" w:eastAsia="宋体" w:hint="default"/>
          <w:b/>
          <w:bCs/>
          <w:sz w:val="24"/>
          <w:szCs w:val="24"/>
        </w:rPr>
        <w:t>、与日常经营相关的关联交易</w:t>
      </w:r>
      <w:r>
        <w:rPr>
          <w:rFonts w:ascii="宋体" w:hAnsi="宋体" w:cs="宋体" w:eastAsia="宋体" w:hint="default"/>
          <w:b/>
          <w:bCs/>
          <w:w w:val="99"/>
          <w:sz w:val="24"/>
          <w:szCs w:val="24"/>
        </w:rPr>
        <w:t> </w:t>
      </w:r>
      <w:r>
        <w:rPr>
          <w:rFonts w:ascii="宋体" w:hAnsi="宋体" w:cs="宋体" w:eastAsia="宋体" w:hint="default"/>
          <w:sz w:val="24"/>
          <w:szCs w:val="24"/>
        </w:rPr>
        <w:t>公司报告期未发生与日常经营相关的关联交易。 </w:t>
      </w:r>
      <w:bookmarkStart w:name="2、资产或股权收购、出售发生的关联交易" w:id="99"/>
      <w:bookmarkEnd w:id="99"/>
      <w:r>
        <w:rPr>
          <w:rFonts w:ascii="宋体" w:hAnsi="宋体" w:cs="宋体" w:eastAsia="宋体" w:hint="default"/>
          <w:sz w:val="24"/>
          <w:szCs w:val="24"/>
        </w:rPr>
      </w:r>
      <w:r>
        <w:rPr>
          <w:rFonts w:ascii="Times New Roman" w:hAnsi="Times New Roman" w:cs="Times New Roman" w:eastAsia="Times New Roman" w:hint="default"/>
          <w:b/>
          <w:bCs/>
          <w:sz w:val="24"/>
          <w:szCs w:val="24"/>
        </w:rPr>
        <w:t>2</w:t>
      </w:r>
      <w:r>
        <w:rPr>
          <w:rFonts w:ascii="宋体" w:hAnsi="宋体" w:cs="宋体" w:eastAsia="宋体" w:hint="default"/>
          <w:b/>
          <w:bCs/>
          <w:sz w:val="24"/>
          <w:szCs w:val="24"/>
        </w:rPr>
        <w:t>、资产或股权收购、出售发生的关联交易</w:t>
      </w:r>
      <w:r>
        <w:rPr>
          <w:rFonts w:ascii="宋体" w:hAnsi="宋体" w:cs="宋体" w:eastAsia="宋体" w:hint="default"/>
          <w:b/>
          <w:bCs/>
          <w:w w:val="99"/>
          <w:sz w:val="24"/>
          <w:szCs w:val="24"/>
        </w:rPr>
        <w:t> </w:t>
      </w:r>
      <w:r>
        <w:rPr>
          <w:rFonts w:ascii="宋体" w:hAnsi="宋体" w:cs="宋体" w:eastAsia="宋体" w:hint="default"/>
          <w:sz w:val="24"/>
          <w:szCs w:val="24"/>
        </w:rPr>
        <w:t>公司报告期未发生资产或股权收购、出售的关联交易。 </w:t>
      </w:r>
      <w:bookmarkStart w:name="3、共同对外投资的关联交易" w:id="100"/>
      <w:bookmarkEnd w:id="100"/>
      <w:r>
        <w:rPr>
          <w:rFonts w:ascii="宋体" w:hAnsi="宋体" w:cs="宋体" w:eastAsia="宋体" w:hint="default"/>
          <w:sz w:val="24"/>
          <w:szCs w:val="24"/>
        </w:rPr>
      </w:r>
      <w:r>
        <w:rPr>
          <w:rFonts w:ascii="Times New Roman" w:hAnsi="Times New Roman" w:cs="Times New Roman" w:eastAsia="Times New Roman" w:hint="default"/>
          <w:b/>
          <w:bCs/>
          <w:sz w:val="24"/>
          <w:szCs w:val="24"/>
        </w:rPr>
        <w:t>3</w:t>
      </w:r>
      <w:r>
        <w:rPr>
          <w:rFonts w:ascii="宋体" w:hAnsi="宋体" w:cs="宋体" w:eastAsia="宋体" w:hint="default"/>
          <w:b/>
          <w:bCs/>
          <w:sz w:val="24"/>
          <w:szCs w:val="24"/>
        </w:rPr>
        <w:t>、共同对外投资的关联交易</w:t>
      </w:r>
      <w:r>
        <w:rPr>
          <w:rFonts w:ascii="宋体" w:hAnsi="宋体" w:cs="宋体" w:eastAsia="宋体" w:hint="default"/>
          <w:b/>
          <w:bCs/>
          <w:w w:val="99"/>
          <w:sz w:val="24"/>
          <w:szCs w:val="24"/>
        </w:rPr>
        <w:t> </w:t>
      </w:r>
      <w:r>
        <w:rPr>
          <w:rFonts w:ascii="宋体" w:hAnsi="宋体" w:cs="宋体" w:eastAsia="宋体" w:hint="default"/>
          <w:sz w:val="24"/>
          <w:szCs w:val="24"/>
        </w:rPr>
        <w:t>公司报告期未发生共同对外投资的关联交易。 </w:t>
      </w:r>
      <w:bookmarkStart w:name="4、关联债权债务往来" w:id="101"/>
      <w:bookmarkEnd w:id="101"/>
      <w:r>
        <w:rPr>
          <w:rFonts w:ascii="宋体" w:hAnsi="宋体" w:cs="宋体" w:eastAsia="宋体" w:hint="default"/>
          <w:sz w:val="24"/>
          <w:szCs w:val="24"/>
        </w:rPr>
      </w:r>
      <w:r>
        <w:rPr>
          <w:rFonts w:ascii="Times New Roman" w:hAnsi="Times New Roman" w:cs="Times New Roman" w:eastAsia="Times New Roman" w:hint="default"/>
          <w:b/>
          <w:bCs/>
          <w:sz w:val="24"/>
          <w:szCs w:val="24"/>
        </w:rPr>
        <w:t>4</w:t>
      </w:r>
      <w:r>
        <w:rPr>
          <w:rFonts w:ascii="宋体" w:hAnsi="宋体" w:cs="宋体" w:eastAsia="宋体" w:hint="default"/>
          <w:b/>
          <w:bCs/>
          <w:sz w:val="24"/>
          <w:szCs w:val="24"/>
        </w:rPr>
        <w:t>、关联债权债务往来</w:t>
      </w:r>
      <w:r>
        <w:rPr>
          <w:rFonts w:ascii="宋体" w:hAnsi="宋体" w:cs="宋体" w:eastAsia="宋体" w:hint="default"/>
          <w:b/>
          <w:bCs/>
          <w:w w:val="99"/>
          <w:sz w:val="24"/>
          <w:szCs w:val="24"/>
        </w:rPr>
        <w:t> </w:t>
      </w:r>
      <w:r>
        <w:rPr>
          <w:rFonts w:ascii="宋体" w:hAnsi="宋体" w:cs="宋体" w:eastAsia="宋体" w:hint="default"/>
          <w:sz w:val="24"/>
          <w:szCs w:val="24"/>
        </w:rPr>
        <w:t>公司报告期不存在关联债权债务往来。</w:t>
      </w:r>
    </w:p>
    <w:p>
      <w:pPr>
        <w:spacing w:after="0" w:line="429" w:lineRule="auto"/>
        <w:jc w:val="left"/>
        <w:rPr>
          <w:rFonts w:ascii="宋体" w:hAnsi="宋体" w:cs="宋体" w:eastAsia="宋体" w:hint="default"/>
          <w:sz w:val="24"/>
          <w:szCs w:val="24"/>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Heading2"/>
        <w:spacing w:line="240" w:lineRule="auto" w:before="199"/>
        <w:ind w:right="996"/>
        <w:jc w:val="left"/>
        <w:rPr>
          <w:b w:val="0"/>
          <w:bCs w:val="0"/>
        </w:rPr>
      </w:pPr>
      <w:bookmarkStart w:name="5、其他重大关联交易" w:id="102"/>
      <w:bookmarkEnd w:id="102"/>
      <w:r>
        <w:rPr>
          <w:b w:val="0"/>
          <w:bCs w:val="0"/>
        </w:rPr>
      </w:r>
      <w:r>
        <w:rPr>
          <w:rFonts w:ascii="Times New Roman" w:hAnsi="Times New Roman" w:cs="Times New Roman" w:eastAsia="Times New Roman" w:hint="default"/>
        </w:rPr>
        <w:t>5</w:t>
      </w:r>
      <w:r>
        <w:rPr/>
        <w:t>、其他重大关联交易</w:t>
      </w:r>
      <w:r>
        <w:rPr>
          <w:b w:val="0"/>
          <w:bCs w:val="0"/>
        </w:rPr>
      </w:r>
    </w:p>
    <w:p>
      <w:pPr>
        <w:spacing w:line="240" w:lineRule="auto" w:before="12"/>
        <w:rPr>
          <w:rFonts w:ascii="宋体" w:hAnsi="宋体" w:cs="宋体" w:eastAsia="宋体" w:hint="default"/>
          <w:b/>
          <w:bCs/>
          <w:sz w:val="18"/>
          <w:szCs w:val="18"/>
        </w:rPr>
      </w:pPr>
    </w:p>
    <w:p>
      <w:pPr>
        <w:pStyle w:val="BodyText"/>
        <w:spacing w:line="240" w:lineRule="auto" w:before="0"/>
        <w:ind w:left="633" w:right="996"/>
        <w:jc w:val="left"/>
      </w:pPr>
      <w:r>
        <w:rPr/>
        <w:t>（</w:t>
      </w:r>
      <w:r>
        <w:rPr>
          <w:rFonts w:ascii="宋体" w:hAnsi="宋体" w:cs="宋体" w:eastAsia="宋体" w:hint="default"/>
        </w:rPr>
        <w:t>1</w:t>
      </w:r>
      <w:r>
        <w:rPr/>
        <w:t>）</w:t>
      </w:r>
      <w:r>
        <w:rPr>
          <w:rFonts w:ascii="宋体" w:hAnsi="宋体" w:cs="宋体" w:eastAsia="宋体" w:hint="default"/>
        </w:rPr>
        <w:t>2017</w:t>
      </w:r>
      <w:r>
        <w:rPr>
          <w:rFonts w:ascii="宋体" w:hAnsi="宋体" w:cs="宋体" w:eastAsia="宋体" w:hint="default"/>
          <w:spacing w:val="-60"/>
        </w:rPr>
        <w:t> </w:t>
      </w:r>
      <w:r>
        <w:rPr/>
        <w:t>年</w:t>
      </w:r>
      <w:r>
        <w:rPr>
          <w:spacing w:val="-60"/>
        </w:rPr>
        <w:t> </w:t>
      </w:r>
      <w:r>
        <w:rPr>
          <w:rFonts w:ascii="宋体" w:hAnsi="宋体" w:cs="宋体" w:eastAsia="宋体" w:hint="default"/>
        </w:rPr>
        <w:t>2</w:t>
      </w:r>
      <w:r>
        <w:rPr>
          <w:rFonts w:ascii="宋体" w:hAnsi="宋体" w:cs="宋体" w:eastAsia="宋体" w:hint="default"/>
          <w:spacing w:val="-60"/>
        </w:rPr>
        <w:t> </w:t>
      </w:r>
      <w:r>
        <w:rPr/>
        <w:t>月</w:t>
      </w:r>
      <w:r>
        <w:rPr>
          <w:spacing w:val="-60"/>
        </w:rPr>
        <w:t> </w:t>
      </w:r>
      <w:r>
        <w:rPr>
          <w:rFonts w:ascii="宋体" w:hAnsi="宋体" w:cs="宋体" w:eastAsia="宋体" w:hint="default"/>
        </w:rPr>
        <w:t>28</w:t>
      </w:r>
      <w:r>
        <w:rPr>
          <w:rFonts w:ascii="宋体" w:hAnsi="宋体" w:cs="宋体" w:eastAsia="宋体" w:hint="default"/>
          <w:spacing w:val="-60"/>
        </w:rPr>
        <w:t> </w:t>
      </w:r>
      <w:r>
        <w:rPr/>
        <w:t>日，公司发布《关于放弃参股子公司权利暨关联交易的公告》</w:t>
      </w:r>
    </w:p>
    <w:p>
      <w:pPr>
        <w:pStyle w:val="BodyText"/>
        <w:spacing w:line="350" w:lineRule="auto" w:before="147"/>
        <w:ind w:right="996"/>
        <w:jc w:val="left"/>
      </w:pPr>
      <w:r>
        <w:rPr>
          <w:spacing w:val="-5"/>
        </w:rPr>
        <w:t>（</w:t>
      </w:r>
      <w:r>
        <w:rPr>
          <w:rFonts w:ascii="宋体" w:hAnsi="宋体" w:cs="宋体" w:eastAsia="宋体" w:hint="default"/>
          <w:spacing w:val="-5"/>
        </w:rPr>
        <w:t>2017-017</w:t>
      </w:r>
      <w:r>
        <w:rPr>
          <w:spacing w:val="-5"/>
        </w:rPr>
        <w:t>），拟放弃参股公司赛弗科技股权转让的优先受让权，因公司董事、总经理谢春生</w:t>
      </w:r>
      <w:r>
        <w:rPr>
          <w:spacing w:val="-99"/>
        </w:rPr>
        <w:t> </w:t>
      </w:r>
      <w:r>
        <w:rPr>
          <w:spacing w:val="-99"/>
        </w:rPr>
      </w:r>
      <w:r>
        <w:rPr/>
        <w:t>先生担任赛弗科技董事，本次交易构成关联交易，详见巨潮资讯网公告。</w:t>
      </w:r>
    </w:p>
    <w:p>
      <w:pPr>
        <w:pStyle w:val="BodyText"/>
        <w:spacing w:line="350" w:lineRule="auto" w:before="35"/>
        <w:ind w:right="1118" w:firstLine="480"/>
        <w:jc w:val="left"/>
      </w:pPr>
      <w:r>
        <w:rPr/>
        <w:t>（</w:t>
      </w:r>
      <w:r>
        <w:rPr>
          <w:rFonts w:ascii="宋体" w:hAnsi="宋体" w:cs="宋体" w:eastAsia="宋体" w:hint="default"/>
        </w:rPr>
        <w:t>2</w:t>
      </w:r>
      <w:r>
        <w:rPr/>
        <w:t>）</w:t>
      </w:r>
      <w:r>
        <w:rPr>
          <w:rFonts w:ascii="宋体" w:hAnsi="宋体" w:cs="宋体" w:eastAsia="宋体" w:hint="default"/>
        </w:rPr>
        <w:t>2017</w:t>
      </w:r>
      <w:r>
        <w:rPr>
          <w:rFonts w:ascii="宋体" w:hAnsi="宋体" w:cs="宋体" w:eastAsia="宋体" w:hint="default"/>
          <w:spacing w:val="-65"/>
        </w:rPr>
        <w:t> </w:t>
      </w:r>
      <w:r>
        <w:rPr/>
        <w:t>年</w:t>
      </w:r>
      <w:r>
        <w:rPr>
          <w:spacing w:val="-65"/>
        </w:rPr>
        <w:t> </w:t>
      </w:r>
      <w:r>
        <w:rPr>
          <w:rFonts w:ascii="宋体" w:hAnsi="宋体" w:cs="宋体" w:eastAsia="宋体" w:hint="default"/>
        </w:rPr>
        <w:t>7</w:t>
      </w:r>
      <w:r>
        <w:rPr>
          <w:rFonts w:ascii="宋体" w:hAnsi="宋体" w:cs="宋体" w:eastAsia="宋体" w:hint="default"/>
          <w:spacing w:val="-65"/>
        </w:rPr>
        <w:t> </w:t>
      </w:r>
      <w:r>
        <w:rPr/>
        <w:t>月</w:t>
      </w:r>
      <w:r>
        <w:rPr>
          <w:spacing w:val="-65"/>
        </w:rPr>
        <w:t> </w:t>
      </w:r>
      <w:r>
        <w:rPr>
          <w:rFonts w:ascii="宋体" w:hAnsi="宋体" w:cs="宋体" w:eastAsia="宋体" w:hint="default"/>
        </w:rPr>
        <w:t>11</w:t>
      </w:r>
      <w:r>
        <w:rPr>
          <w:rFonts w:ascii="宋体" w:hAnsi="宋体" w:cs="宋体" w:eastAsia="宋体" w:hint="default"/>
          <w:spacing w:val="-65"/>
        </w:rPr>
        <w:t> </w:t>
      </w:r>
      <w:r>
        <w:rPr/>
        <w:t>日，公司第六届董事会第三次会议、第六届监事会第三次会议审议 </w:t>
      </w:r>
      <w:r>
        <w:rPr>
          <w:spacing w:val="-8"/>
        </w:rPr>
        <w:t>通过了《关于终止非公开发行股票事项的议案》、《关于公司与特定对象签署</w:t>
      </w:r>
      <w:r>
        <w:rPr>
          <w:rFonts w:ascii="宋体" w:hAnsi="宋体" w:cs="宋体" w:eastAsia="宋体" w:hint="default"/>
          <w:spacing w:val="-8"/>
        </w:rPr>
        <w:t>&lt;</w:t>
      </w:r>
      <w:r>
        <w:rPr>
          <w:spacing w:val="-8"/>
        </w:rPr>
        <w:t>附条件生效股份</w:t>
      </w:r>
      <w:r>
        <w:rPr>
          <w:spacing w:val="-106"/>
        </w:rPr>
        <w:t> </w:t>
      </w:r>
      <w:r>
        <w:rPr>
          <w:spacing w:val="-3"/>
        </w:rPr>
        <w:t>认购合同之终止协议</w:t>
      </w:r>
      <w:r>
        <w:rPr>
          <w:rFonts w:ascii="宋体" w:hAnsi="宋体" w:cs="宋体" w:eastAsia="宋体" w:hint="default"/>
          <w:spacing w:val="-3"/>
        </w:rPr>
        <w:t>&gt;</w:t>
      </w:r>
      <w:r>
        <w:rPr>
          <w:spacing w:val="-3"/>
        </w:rPr>
        <w:t>暨关联交易的议案》，因本次非公开发行股票事项终止，公司与李海鹰</w:t>
      </w:r>
      <w:r>
        <w:rPr>
          <w:spacing w:val="-117"/>
        </w:rPr>
        <w:t> </w:t>
      </w:r>
      <w:r>
        <w:rPr>
          <w:spacing w:val="-117"/>
        </w:rPr>
      </w:r>
      <w:r>
        <w:rPr>
          <w:spacing w:val="-5"/>
        </w:rPr>
        <w:t>先生和袁亚琴女士签署《附条件生效股份认购合同之终止协议》，李海鹰先生为公司第一大股</w:t>
      </w:r>
      <w:r>
        <w:rPr>
          <w:spacing w:val="-117"/>
        </w:rPr>
        <w:t> </w:t>
      </w:r>
      <w:r>
        <w:rPr>
          <w:spacing w:val="-117"/>
        </w:rPr>
      </w:r>
      <w:r>
        <w:rPr/>
        <w:t>东、董事长，袁亚琴女士为李海鹰先生之母，本次交易构成关联交易，详见</w:t>
      </w:r>
      <w:r>
        <w:rPr>
          <w:spacing w:val="-59"/>
        </w:rPr>
        <w:t> </w:t>
      </w:r>
      <w:r>
        <w:rPr>
          <w:rFonts w:ascii="宋体" w:hAnsi="宋体" w:cs="宋体" w:eastAsia="宋体" w:hint="default"/>
        </w:rPr>
        <w:t>2017</w:t>
      </w:r>
      <w:r>
        <w:rPr>
          <w:rFonts w:ascii="宋体" w:hAnsi="宋体" w:cs="宋体" w:eastAsia="宋体" w:hint="default"/>
          <w:spacing w:val="-60"/>
        </w:rPr>
        <w:t> </w:t>
      </w:r>
      <w:r>
        <w:rPr/>
        <w:t>年</w:t>
      </w:r>
      <w:r>
        <w:rPr>
          <w:spacing w:val="-60"/>
        </w:rPr>
        <w:t> </w:t>
      </w:r>
      <w:r>
        <w:rPr>
          <w:rFonts w:ascii="宋体" w:hAnsi="宋体" w:cs="宋体" w:eastAsia="宋体" w:hint="default"/>
        </w:rPr>
        <w:t>7</w:t>
      </w:r>
      <w:r>
        <w:rPr>
          <w:rFonts w:ascii="宋体" w:hAnsi="宋体" w:cs="宋体" w:eastAsia="宋体" w:hint="default"/>
          <w:spacing w:val="-60"/>
        </w:rPr>
        <w:t> </w:t>
      </w:r>
      <w:r>
        <w:rPr/>
        <w:t>月</w:t>
      </w:r>
      <w:r>
        <w:rPr>
          <w:spacing w:val="-60"/>
        </w:rPr>
        <w:t> </w:t>
      </w:r>
      <w:r>
        <w:rPr>
          <w:rFonts w:ascii="宋体" w:hAnsi="宋体" w:cs="宋体" w:eastAsia="宋体" w:hint="default"/>
        </w:rPr>
        <w:t>12 </w:t>
      </w:r>
      <w:r>
        <w:rPr/>
        <w:t>日巨潮资讯网相关公告。</w:t>
      </w:r>
    </w:p>
    <w:p>
      <w:pPr>
        <w:pStyle w:val="BodyText"/>
        <w:spacing w:line="352" w:lineRule="auto" w:before="35"/>
        <w:ind w:right="1130" w:firstLine="480"/>
        <w:jc w:val="both"/>
      </w:pPr>
      <w:r>
        <w:rPr/>
        <w:t>（</w:t>
      </w:r>
      <w:r>
        <w:rPr>
          <w:rFonts w:ascii="宋体" w:hAnsi="宋体" w:cs="宋体" w:eastAsia="宋体" w:hint="default"/>
        </w:rPr>
        <w:t>3</w:t>
      </w:r>
      <w:r>
        <w:rPr/>
        <w:t>）</w:t>
      </w:r>
      <w:r>
        <w:rPr>
          <w:rFonts w:ascii="宋体" w:hAnsi="宋体" w:cs="宋体" w:eastAsia="宋体" w:hint="default"/>
        </w:rPr>
        <w:t>2017</w:t>
      </w:r>
      <w:r>
        <w:rPr>
          <w:rFonts w:ascii="宋体" w:hAnsi="宋体" w:cs="宋体" w:eastAsia="宋体" w:hint="default"/>
          <w:spacing w:val="-60"/>
        </w:rPr>
        <w:t> </w:t>
      </w:r>
      <w:r>
        <w:rPr/>
        <w:t>年</w:t>
      </w:r>
      <w:r>
        <w:rPr>
          <w:spacing w:val="-60"/>
        </w:rPr>
        <w:t> </w:t>
      </w:r>
      <w:r>
        <w:rPr>
          <w:rFonts w:ascii="宋体" w:hAnsi="宋体" w:cs="宋体" w:eastAsia="宋体" w:hint="default"/>
        </w:rPr>
        <w:t>10</w:t>
      </w:r>
      <w:r>
        <w:rPr>
          <w:rFonts w:ascii="宋体" w:hAnsi="宋体" w:cs="宋体" w:eastAsia="宋体" w:hint="default"/>
          <w:spacing w:val="-60"/>
        </w:rPr>
        <w:t> </w:t>
      </w:r>
      <w:r>
        <w:rPr/>
        <w:t>月</w:t>
      </w:r>
      <w:r>
        <w:rPr>
          <w:spacing w:val="-60"/>
        </w:rPr>
        <w:t> </w:t>
      </w:r>
      <w:r>
        <w:rPr>
          <w:rFonts w:ascii="宋体" w:hAnsi="宋体" w:cs="宋体" w:eastAsia="宋体" w:hint="default"/>
        </w:rPr>
        <w:t>17</w:t>
      </w:r>
      <w:r>
        <w:rPr>
          <w:rFonts w:ascii="宋体" w:hAnsi="宋体" w:cs="宋体" w:eastAsia="宋体" w:hint="default"/>
          <w:spacing w:val="-60"/>
        </w:rPr>
        <w:t> </w:t>
      </w:r>
      <w:r>
        <w:rPr/>
        <w:t>日，公司第六届董事会第七次会议审议通过了《关于放弃参股公 </w:t>
      </w:r>
      <w:r>
        <w:rPr>
          <w:spacing w:val="-6"/>
        </w:rPr>
        <w:t>司股权转让优先购买权暨关联交易的议案》、《关于放弃参股公司增资优先认缴权暨关联交易</w:t>
      </w:r>
      <w:r>
        <w:rPr>
          <w:spacing w:val="-114"/>
        </w:rPr>
        <w:t> </w:t>
      </w:r>
      <w:r>
        <w:rPr>
          <w:spacing w:val="-114"/>
        </w:rPr>
      </w:r>
      <w:r>
        <w:rPr>
          <w:spacing w:val="-5"/>
        </w:rPr>
        <w:t>的议案》，拟放弃参股公司飞天联合股权转让和增资事项的相关权利，因公司董事、总经理谢</w:t>
      </w:r>
      <w:r>
        <w:rPr/>
        <w:t> </w:t>
      </w:r>
      <w:r>
        <w:rPr>
          <w:spacing w:val="-4"/>
        </w:rPr>
        <w:t>春生先生担任飞天联合董事，本次交易构成关联交易，详见</w:t>
      </w:r>
      <w:r>
        <w:rPr>
          <w:spacing w:val="-57"/>
        </w:rPr>
        <w:t> </w:t>
      </w:r>
      <w:r>
        <w:rPr>
          <w:rFonts w:ascii="宋体" w:hAnsi="宋体" w:cs="宋体" w:eastAsia="宋体" w:hint="default"/>
        </w:rPr>
        <w:t>2017</w:t>
      </w:r>
      <w:r>
        <w:rPr>
          <w:rFonts w:ascii="宋体" w:hAnsi="宋体" w:cs="宋体" w:eastAsia="宋体" w:hint="default"/>
          <w:spacing w:val="-57"/>
        </w:rPr>
        <w:t> </w:t>
      </w:r>
      <w:r>
        <w:rPr/>
        <w:t>年</w:t>
      </w:r>
      <w:r>
        <w:rPr>
          <w:spacing w:val="-57"/>
        </w:rPr>
        <w:t> </w:t>
      </w:r>
      <w:r>
        <w:rPr>
          <w:rFonts w:ascii="宋体" w:hAnsi="宋体" w:cs="宋体" w:eastAsia="宋体" w:hint="default"/>
        </w:rPr>
        <w:t>10</w:t>
      </w:r>
      <w:r>
        <w:rPr>
          <w:rFonts w:ascii="宋体" w:hAnsi="宋体" w:cs="宋体" w:eastAsia="宋体" w:hint="default"/>
          <w:spacing w:val="-57"/>
        </w:rPr>
        <w:t> </w:t>
      </w:r>
      <w:r>
        <w:rPr/>
        <w:t>月</w:t>
      </w:r>
      <w:r>
        <w:rPr>
          <w:spacing w:val="-57"/>
        </w:rPr>
        <w:t> </w:t>
      </w:r>
      <w:r>
        <w:rPr>
          <w:rFonts w:ascii="宋体" w:hAnsi="宋体" w:cs="宋体" w:eastAsia="宋体" w:hint="default"/>
        </w:rPr>
        <w:t>19</w:t>
      </w:r>
      <w:r>
        <w:rPr>
          <w:rFonts w:ascii="宋体" w:hAnsi="宋体" w:cs="宋体" w:eastAsia="宋体" w:hint="default"/>
          <w:spacing w:val="-57"/>
        </w:rPr>
        <w:t> </w:t>
      </w:r>
      <w:r>
        <w:rPr/>
        <w:t>日巨潮资讯网相 关公告。</w:t>
      </w:r>
    </w:p>
    <w:p>
      <w:pPr>
        <w:pStyle w:val="BodyText"/>
        <w:spacing w:line="240" w:lineRule="auto" w:before="33"/>
        <w:ind w:left="3053" w:right="996"/>
        <w:jc w:val="left"/>
      </w:pPr>
      <w:r>
        <w:rPr/>
        <w:t>重大关联交易临时报告披露网站相关查询</w:t>
      </w:r>
    </w:p>
    <w:p>
      <w:pPr>
        <w:spacing w:line="240" w:lineRule="auto" w:before="5"/>
        <w:rPr>
          <w:rFonts w:ascii="宋体" w:hAnsi="宋体" w:cs="宋体" w:eastAsia="宋体" w:hint="default"/>
          <w:sz w:val="16"/>
          <w:szCs w:val="16"/>
        </w:rPr>
      </w:pPr>
    </w:p>
    <w:tbl>
      <w:tblPr>
        <w:tblW w:w="0" w:type="auto"/>
        <w:jc w:val="left"/>
        <w:tblInd w:w="149" w:type="dxa"/>
        <w:tblLayout w:type="fixed"/>
        <w:tblCellMar>
          <w:top w:w="0" w:type="dxa"/>
          <w:left w:w="0" w:type="dxa"/>
          <w:bottom w:w="0" w:type="dxa"/>
          <w:right w:w="0" w:type="dxa"/>
        </w:tblCellMar>
        <w:tblLook w:val="01E0"/>
      </w:tblPr>
      <w:tblGrid>
        <w:gridCol w:w="4537"/>
        <w:gridCol w:w="1985"/>
        <w:gridCol w:w="3047"/>
      </w:tblGrid>
      <w:tr>
        <w:trPr>
          <w:trHeight w:val="401" w:hRule="exact"/>
        </w:trPr>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临时公告名称</w:t>
            </w:r>
          </w:p>
        </w:tc>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46" w:right="0"/>
              <w:jc w:val="left"/>
              <w:rPr>
                <w:rFonts w:ascii="宋体" w:hAnsi="宋体" w:cs="宋体" w:eastAsia="宋体" w:hint="default"/>
                <w:sz w:val="21"/>
                <w:szCs w:val="21"/>
              </w:rPr>
            </w:pPr>
            <w:r>
              <w:rPr>
                <w:rFonts w:ascii="宋体" w:hAnsi="宋体" w:cs="宋体" w:eastAsia="宋体" w:hint="default"/>
                <w:sz w:val="21"/>
                <w:szCs w:val="21"/>
              </w:rPr>
              <w:t>临时公告披露日期</w:t>
            </w:r>
          </w:p>
        </w:tc>
        <w:tc>
          <w:tcPr>
            <w:tcW w:w="30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临时公告披露网站名称</w:t>
            </w:r>
          </w:p>
        </w:tc>
      </w:tr>
      <w:tr>
        <w:trPr>
          <w:trHeight w:val="402" w:hRule="exact"/>
        </w:trPr>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69"/>
              <w:jc w:val="center"/>
              <w:rPr>
                <w:rFonts w:ascii="宋体" w:hAnsi="宋体" w:cs="宋体" w:eastAsia="宋体" w:hint="default"/>
                <w:sz w:val="21"/>
                <w:szCs w:val="21"/>
              </w:rPr>
            </w:pPr>
            <w:r>
              <w:rPr>
                <w:rFonts w:ascii="宋体" w:hAnsi="宋体" w:cs="宋体" w:eastAsia="宋体" w:hint="default"/>
                <w:sz w:val="21"/>
                <w:szCs w:val="21"/>
              </w:rPr>
              <w:t>《关于放弃参股子公司权利暨关联交易的公告》</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02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3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5"/>
              <w:jc w:val="center"/>
              <w:rPr>
                <w:rFonts w:ascii="Times New Roman" w:hAnsi="Times New Roman" w:cs="Times New Roman" w:eastAsia="Times New Roman" w:hint="default"/>
                <w:sz w:val="21"/>
                <w:szCs w:val="21"/>
              </w:rPr>
            </w:pPr>
            <w:r>
              <w:rPr>
                <w:rFonts w:ascii="宋体" w:hAnsi="宋体" w:cs="宋体" w:eastAsia="宋体" w:hint="default"/>
                <w:sz w:val="21"/>
                <w:szCs w:val="21"/>
              </w:rPr>
              <w:t>巨潮资讯网</w:t>
            </w:r>
            <w:r>
              <w:rPr>
                <w:rFonts w:ascii="Times New Roman" w:hAnsi="Times New Roman" w:cs="Times New Roman" w:eastAsia="Times New Roman" w:hint="default"/>
                <w:sz w:val="21"/>
                <w:szCs w:val="21"/>
              </w:rPr>
              <w:t>(www.cninfo.com.cn)</w:t>
            </w:r>
          </w:p>
        </w:tc>
      </w:tr>
      <w:tr>
        <w:trPr>
          <w:trHeight w:val="714" w:hRule="exact"/>
        </w:trPr>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256" w:lineRule="auto" w:before="27"/>
              <w:ind w:left="22" w:right="183"/>
              <w:jc w:val="left"/>
              <w:rPr>
                <w:rFonts w:ascii="宋体" w:hAnsi="宋体" w:cs="宋体" w:eastAsia="宋体" w:hint="default"/>
                <w:sz w:val="21"/>
                <w:szCs w:val="21"/>
              </w:rPr>
            </w:pPr>
            <w:r>
              <w:rPr>
                <w:rFonts w:ascii="宋体" w:hAnsi="宋体" w:cs="宋体" w:eastAsia="宋体" w:hint="default"/>
                <w:sz w:val="21"/>
                <w:szCs w:val="21"/>
              </w:rPr>
              <w:t>《关于与特定对象签署</w:t>
            </w:r>
            <w:r>
              <w:rPr>
                <w:rFonts w:ascii="Times New Roman" w:hAnsi="Times New Roman" w:cs="Times New Roman" w:eastAsia="Times New Roman" w:hint="default"/>
                <w:sz w:val="21"/>
                <w:szCs w:val="21"/>
              </w:rPr>
              <w:t>&lt;</w:t>
            </w:r>
            <w:r>
              <w:rPr>
                <w:rFonts w:ascii="宋体" w:hAnsi="宋体" w:cs="宋体" w:eastAsia="宋体" w:hint="default"/>
                <w:sz w:val="21"/>
                <w:szCs w:val="21"/>
              </w:rPr>
              <w:t>附条件生效股份认购合 同之终止协议</w:t>
            </w:r>
            <w:r>
              <w:rPr>
                <w:rFonts w:ascii="Times New Roman" w:hAnsi="Times New Roman" w:cs="Times New Roman" w:eastAsia="Times New Roman" w:hint="default"/>
                <w:sz w:val="21"/>
                <w:szCs w:val="21"/>
              </w:rPr>
              <w:t>&gt;</w:t>
            </w:r>
            <w:r>
              <w:rPr>
                <w:rFonts w:ascii="宋体" w:hAnsi="宋体" w:cs="宋体" w:eastAsia="宋体" w:hint="default"/>
                <w:sz w:val="21"/>
                <w:szCs w:val="21"/>
              </w:rPr>
              <w:t>暨关联交易的公告》</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3"/>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07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3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3"/>
              <w:ind w:right="105"/>
              <w:jc w:val="center"/>
              <w:rPr>
                <w:rFonts w:ascii="Times New Roman" w:hAnsi="Times New Roman" w:cs="Times New Roman" w:eastAsia="Times New Roman" w:hint="default"/>
                <w:sz w:val="21"/>
                <w:szCs w:val="21"/>
              </w:rPr>
            </w:pPr>
            <w:r>
              <w:rPr>
                <w:rFonts w:ascii="宋体" w:hAnsi="宋体" w:cs="宋体" w:eastAsia="宋体" w:hint="default"/>
                <w:sz w:val="21"/>
                <w:szCs w:val="21"/>
              </w:rPr>
              <w:t>巨潮资讯网</w:t>
            </w:r>
            <w:r>
              <w:rPr>
                <w:rFonts w:ascii="Times New Roman" w:hAnsi="Times New Roman" w:cs="Times New Roman" w:eastAsia="Times New Roman" w:hint="default"/>
                <w:sz w:val="21"/>
                <w:szCs w:val="21"/>
              </w:rPr>
              <w:t>(www.cninfo.com.cn)</w:t>
            </w:r>
          </w:p>
        </w:tc>
      </w:tr>
      <w:tr>
        <w:trPr>
          <w:trHeight w:val="714" w:hRule="exact"/>
        </w:trPr>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7"/>
              <w:ind w:left="22" w:right="92"/>
              <w:jc w:val="left"/>
              <w:rPr>
                <w:rFonts w:ascii="宋体" w:hAnsi="宋体" w:cs="宋体" w:eastAsia="宋体" w:hint="default"/>
                <w:sz w:val="21"/>
                <w:szCs w:val="21"/>
              </w:rPr>
            </w:pPr>
            <w:r>
              <w:rPr>
                <w:rFonts w:ascii="宋体" w:hAnsi="宋体" w:cs="宋体" w:eastAsia="宋体" w:hint="default"/>
                <w:sz w:val="21"/>
                <w:szCs w:val="21"/>
              </w:rPr>
              <w:t>《关于放弃参股公司增资优先认缴权暨关联交易 的公告》</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3"/>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3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3"/>
              <w:ind w:right="105"/>
              <w:jc w:val="center"/>
              <w:rPr>
                <w:rFonts w:ascii="Times New Roman" w:hAnsi="Times New Roman" w:cs="Times New Roman" w:eastAsia="Times New Roman" w:hint="default"/>
                <w:sz w:val="21"/>
                <w:szCs w:val="21"/>
              </w:rPr>
            </w:pPr>
            <w:r>
              <w:rPr>
                <w:rFonts w:ascii="宋体" w:hAnsi="宋体" w:cs="宋体" w:eastAsia="宋体" w:hint="default"/>
                <w:sz w:val="21"/>
                <w:szCs w:val="21"/>
              </w:rPr>
              <w:t>巨潮资讯网</w:t>
            </w:r>
            <w:r>
              <w:rPr>
                <w:rFonts w:ascii="Times New Roman" w:hAnsi="Times New Roman" w:cs="Times New Roman" w:eastAsia="Times New Roman" w:hint="default"/>
                <w:sz w:val="21"/>
                <w:szCs w:val="21"/>
              </w:rPr>
              <w:t>(www.cninfo.com.cn)</w:t>
            </w:r>
          </w:p>
        </w:tc>
      </w:tr>
      <w:tr>
        <w:trPr>
          <w:trHeight w:val="715" w:hRule="exact"/>
        </w:trPr>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7"/>
              <w:ind w:left="22" w:right="92"/>
              <w:jc w:val="left"/>
              <w:rPr>
                <w:rFonts w:ascii="宋体" w:hAnsi="宋体" w:cs="宋体" w:eastAsia="宋体" w:hint="default"/>
                <w:sz w:val="21"/>
                <w:szCs w:val="21"/>
              </w:rPr>
            </w:pPr>
            <w:r>
              <w:rPr>
                <w:rFonts w:ascii="宋体" w:hAnsi="宋体" w:cs="宋体" w:eastAsia="宋体" w:hint="default"/>
                <w:sz w:val="21"/>
                <w:szCs w:val="21"/>
              </w:rPr>
              <w:t>《关于放弃参股公司股权转让优先购买权暨关联 交易的公告》</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3"/>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3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3"/>
              <w:ind w:right="105"/>
              <w:jc w:val="center"/>
              <w:rPr>
                <w:rFonts w:ascii="Times New Roman" w:hAnsi="Times New Roman" w:cs="Times New Roman" w:eastAsia="Times New Roman" w:hint="default"/>
                <w:sz w:val="21"/>
                <w:szCs w:val="21"/>
              </w:rPr>
            </w:pPr>
            <w:r>
              <w:rPr>
                <w:rFonts w:ascii="宋体" w:hAnsi="宋体" w:cs="宋体" w:eastAsia="宋体" w:hint="default"/>
                <w:sz w:val="21"/>
                <w:szCs w:val="21"/>
              </w:rPr>
              <w:t>巨潮资讯网</w:t>
            </w:r>
            <w:r>
              <w:rPr>
                <w:rFonts w:ascii="Times New Roman" w:hAnsi="Times New Roman" w:cs="Times New Roman" w:eastAsia="Times New Roman" w:hint="default"/>
                <w:sz w:val="21"/>
                <w:szCs w:val="21"/>
              </w:rPr>
              <w:t>(www.cninfo.com.cn)</w:t>
            </w:r>
          </w:p>
        </w:tc>
      </w:tr>
    </w:tbl>
    <w:p>
      <w:pPr>
        <w:spacing w:line="240" w:lineRule="auto" w:before="12"/>
        <w:rPr>
          <w:rFonts w:ascii="宋体" w:hAnsi="宋体" w:cs="宋体" w:eastAsia="宋体" w:hint="default"/>
          <w:sz w:val="17"/>
          <w:szCs w:val="17"/>
        </w:rPr>
      </w:pPr>
    </w:p>
    <w:p>
      <w:pPr>
        <w:pStyle w:val="Heading2"/>
        <w:spacing w:line="240" w:lineRule="auto"/>
        <w:ind w:left="154" w:right="996"/>
        <w:jc w:val="left"/>
        <w:rPr>
          <w:b w:val="0"/>
          <w:bCs w:val="0"/>
        </w:rPr>
      </w:pPr>
      <w:bookmarkStart w:name="十七、重大合同及其履行情况" w:id="103"/>
      <w:bookmarkEnd w:id="103"/>
      <w:r>
        <w:rPr>
          <w:b w:val="0"/>
          <w:bCs w:val="0"/>
        </w:rPr>
      </w:r>
      <w:r>
        <w:rPr/>
        <w:t>十七、重大合同及其履行情况</w:t>
      </w:r>
      <w:r>
        <w:rPr>
          <w:b w:val="0"/>
          <w:bCs w:val="0"/>
        </w:rPr>
      </w:r>
    </w:p>
    <w:p>
      <w:pPr>
        <w:spacing w:line="240" w:lineRule="auto" w:before="6"/>
        <w:rPr>
          <w:rFonts w:ascii="宋体" w:hAnsi="宋体" w:cs="宋体" w:eastAsia="宋体" w:hint="default"/>
          <w:b/>
          <w:bCs/>
          <w:sz w:val="32"/>
          <w:szCs w:val="32"/>
        </w:rPr>
      </w:pPr>
    </w:p>
    <w:p>
      <w:pPr>
        <w:pStyle w:val="Heading2"/>
        <w:spacing w:line="240" w:lineRule="auto" w:before="0"/>
        <w:ind w:right="996"/>
        <w:jc w:val="left"/>
        <w:rPr>
          <w:b w:val="0"/>
          <w:bCs w:val="0"/>
        </w:rPr>
      </w:pPr>
      <w:bookmarkStart w:name="1、托管、承包、租赁事项情况" w:id="104"/>
      <w:bookmarkEnd w:id="104"/>
      <w:r>
        <w:rPr>
          <w:b w:val="0"/>
          <w:bCs w:val="0"/>
        </w:rPr>
      </w:r>
      <w:r>
        <w:rPr>
          <w:rFonts w:ascii="Times New Roman" w:hAnsi="Times New Roman" w:cs="Times New Roman" w:eastAsia="Times New Roman" w:hint="default"/>
        </w:rPr>
        <w:t>1</w:t>
      </w:r>
      <w:r>
        <w:rPr/>
        <w:t>、托管、承包、租赁事项情况</w:t>
      </w:r>
      <w:r>
        <w:rPr>
          <w:b w:val="0"/>
          <w:bCs w:val="0"/>
        </w:rPr>
      </w:r>
    </w:p>
    <w:p>
      <w:pPr>
        <w:spacing w:line="331" w:lineRule="auto" w:before="127"/>
        <w:ind w:left="634" w:right="7152" w:firstLine="2"/>
        <w:jc w:val="left"/>
        <w:rPr>
          <w:rFonts w:ascii="宋体" w:hAnsi="宋体" w:cs="宋体" w:eastAsia="宋体" w:hint="default"/>
          <w:sz w:val="24"/>
          <w:szCs w:val="24"/>
        </w:rPr>
      </w:pPr>
      <w:bookmarkStart w:name="（1）托管情况" w:id="105"/>
      <w:bookmarkEnd w:id="105"/>
      <w:r>
        <w:rPr/>
      </w:r>
      <w:r>
        <w:rPr>
          <w:rFonts w:ascii="宋体" w:hAnsi="宋体" w:cs="宋体" w:eastAsia="宋体" w:hint="default"/>
          <w:b/>
          <w:bCs/>
          <w:sz w:val="24"/>
          <w:szCs w:val="24"/>
        </w:rPr>
        <w:t>（</w:t>
      </w:r>
      <w:r>
        <w:rPr>
          <w:rFonts w:ascii="Times New Roman" w:hAnsi="Times New Roman" w:cs="Times New Roman" w:eastAsia="Times New Roman" w:hint="default"/>
          <w:b/>
          <w:bCs/>
          <w:sz w:val="24"/>
          <w:szCs w:val="24"/>
        </w:rPr>
        <w:t>1</w:t>
      </w:r>
      <w:r>
        <w:rPr>
          <w:rFonts w:ascii="宋体" w:hAnsi="宋体" w:cs="宋体" w:eastAsia="宋体" w:hint="default"/>
          <w:b/>
          <w:bCs/>
          <w:sz w:val="24"/>
          <w:szCs w:val="24"/>
        </w:rPr>
        <w:t>）托管情况</w:t>
      </w:r>
      <w:r>
        <w:rPr>
          <w:rFonts w:ascii="宋体" w:hAnsi="宋体" w:cs="宋体" w:eastAsia="宋体" w:hint="default"/>
          <w:b/>
          <w:bCs/>
          <w:w w:val="99"/>
          <w:sz w:val="24"/>
          <w:szCs w:val="24"/>
        </w:rPr>
        <w:t> </w:t>
      </w:r>
      <w:r>
        <w:rPr>
          <w:rFonts w:ascii="宋体" w:hAnsi="宋体" w:cs="宋体" w:eastAsia="宋体" w:hint="default"/>
          <w:sz w:val="24"/>
          <w:szCs w:val="24"/>
        </w:rPr>
        <w:t>公司报告期不存在托管情况。</w:t>
      </w:r>
    </w:p>
    <w:p>
      <w:pPr>
        <w:spacing w:line="331" w:lineRule="auto" w:before="55"/>
        <w:ind w:left="634" w:right="7152" w:firstLine="2"/>
        <w:jc w:val="left"/>
        <w:rPr>
          <w:rFonts w:ascii="宋体" w:hAnsi="宋体" w:cs="宋体" w:eastAsia="宋体" w:hint="default"/>
          <w:sz w:val="24"/>
          <w:szCs w:val="24"/>
        </w:rPr>
      </w:pPr>
      <w:bookmarkStart w:name="（2）承包情况" w:id="106"/>
      <w:bookmarkEnd w:id="106"/>
      <w:r>
        <w:rPr/>
      </w:r>
      <w:r>
        <w:rPr>
          <w:rFonts w:ascii="宋体" w:hAnsi="宋体" w:cs="宋体" w:eastAsia="宋体" w:hint="default"/>
          <w:b/>
          <w:bCs/>
          <w:sz w:val="24"/>
          <w:szCs w:val="24"/>
        </w:rPr>
        <w:t>（</w:t>
      </w:r>
      <w:r>
        <w:rPr>
          <w:rFonts w:ascii="Times New Roman" w:hAnsi="Times New Roman" w:cs="Times New Roman" w:eastAsia="Times New Roman" w:hint="default"/>
          <w:b/>
          <w:bCs/>
          <w:sz w:val="24"/>
          <w:szCs w:val="24"/>
        </w:rPr>
        <w:t>2</w:t>
      </w:r>
      <w:r>
        <w:rPr>
          <w:rFonts w:ascii="宋体" w:hAnsi="宋体" w:cs="宋体" w:eastAsia="宋体" w:hint="default"/>
          <w:b/>
          <w:bCs/>
          <w:sz w:val="24"/>
          <w:szCs w:val="24"/>
        </w:rPr>
        <w:t>）承包情况</w:t>
      </w:r>
      <w:r>
        <w:rPr>
          <w:rFonts w:ascii="宋体" w:hAnsi="宋体" w:cs="宋体" w:eastAsia="宋体" w:hint="default"/>
          <w:b/>
          <w:bCs/>
          <w:w w:val="99"/>
          <w:sz w:val="24"/>
          <w:szCs w:val="24"/>
        </w:rPr>
        <w:t> </w:t>
      </w:r>
      <w:r>
        <w:rPr>
          <w:rFonts w:ascii="宋体" w:hAnsi="宋体" w:cs="宋体" w:eastAsia="宋体" w:hint="default"/>
          <w:sz w:val="24"/>
          <w:szCs w:val="24"/>
        </w:rPr>
        <w:t>公司报告期不存在承包情况。</w:t>
      </w:r>
    </w:p>
    <w:p>
      <w:pPr>
        <w:spacing w:after="0" w:line="331" w:lineRule="auto"/>
        <w:jc w:val="left"/>
        <w:rPr>
          <w:rFonts w:ascii="宋体" w:hAnsi="宋体" w:cs="宋体" w:eastAsia="宋体" w:hint="default"/>
          <w:sz w:val="24"/>
          <w:szCs w:val="24"/>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747" w:footer="979" w:top="1060" w:bottom="1160" w:left="980" w:right="0"/>
        </w:sectPr>
      </w:pPr>
    </w:p>
    <w:p>
      <w:pPr>
        <w:spacing w:line="340" w:lineRule="auto" w:before="199"/>
        <w:ind w:left="634" w:right="0" w:firstLine="2"/>
        <w:jc w:val="left"/>
        <w:rPr>
          <w:rFonts w:ascii="宋体" w:hAnsi="宋体" w:cs="宋体" w:eastAsia="宋体" w:hint="default"/>
          <w:sz w:val="24"/>
          <w:szCs w:val="24"/>
        </w:rPr>
      </w:pPr>
      <w:bookmarkStart w:name="（3）租赁情况" w:id="107"/>
      <w:bookmarkEnd w:id="107"/>
      <w:r>
        <w:rPr/>
      </w:r>
      <w:r>
        <w:rPr>
          <w:rFonts w:ascii="宋体" w:hAnsi="宋体" w:cs="宋体" w:eastAsia="宋体" w:hint="default"/>
          <w:b/>
          <w:bCs/>
          <w:sz w:val="24"/>
          <w:szCs w:val="24"/>
        </w:rPr>
        <w:t>（</w:t>
      </w:r>
      <w:r>
        <w:rPr>
          <w:rFonts w:ascii="Times New Roman" w:hAnsi="Times New Roman" w:cs="Times New Roman" w:eastAsia="Times New Roman" w:hint="default"/>
          <w:b/>
          <w:bCs/>
          <w:sz w:val="24"/>
          <w:szCs w:val="24"/>
        </w:rPr>
        <w:t>3</w:t>
      </w:r>
      <w:r>
        <w:rPr>
          <w:rFonts w:ascii="宋体" w:hAnsi="宋体" w:cs="宋体" w:eastAsia="宋体" w:hint="default"/>
          <w:b/>
          <w:bCs/>
          <w:sz w:val="24"/>
          <w:szCs w:val="24"/>
        </w:rPr>
        <w:t>）租赁情况</w:t>
      </w:r>
      <w:r>
        <w:rPr>
          <w:rFonts w:ascii="宋体" w:hAnsi="宋体" w:cs="宋体" w:eastAsia="宋体" w:hint="default"/>
          <w:b/>
          <w:bCs/>
          <w:w w:val="99"/>
          <w:sz w:val="24"/>
          <w:szCs w:val="24"/>
        </w:rPr>
        <w:t> </w:t>
      </w:r>
      <w:r>
        <w:rPr>
          <w:rFonts w:ascii="宋体" w:hAnsi="宋体" w:cs="宋体" w:eastAsia="宋体" w:hint="default"/>
          <w:sz w:val="24"/>
          <w:szCs w:val="24"/>
        </w:rPr>
        <w:t>公司报告期不存在租赁情况。 </w:t>
      </w:r>
      <w:bookmarkStart w:name="2、重大担保" w:id="108"/>
      <w:bookmarkEnd w:id="108"/>
      <w:r>
        <w:rPr>
          <w:rFonts w:ascii="宋体" w:hAnsi="宋体" w:cs="宋体" w:eastAsia="宋体" w:hint="default"/>
          <w:sz w:val="24"/>
          <w:szCs w:val="24"/>
        </w:rPr>
      </w:r>
      <w:r>
        <w:rPr>
          <w:rFonts w:ascii="Times New Roman" w:hAnsi="Times New Roman" w:cs="Times New Roman" w:eastAsia="Times New Roman" w:hint="default"/>
          <w:b/>
          <w:bCs/>
          <w:sz w:val="24"/>
          <w:szCs w:val="24"/>
        </w:rPr>
        <w:t>2</w:t>
      </w:r>
      <w:r>
        <w:rPr>
          <w:rFonts w:ascii="宋体" w:hAnsi="宋体" w:cs="宋体" w:eastAsia="宋体" w:hint="default"/>
          <w:b/>
          <w:bCs/>
          <w:sz w:val="24"/>
          <w:szCs w:val="24"/>
        </w:rPr>
        <w:t>、重大担保</w:t>
      </w:r>
      <w:r>
        <w:rPr>
          <w:rFonts w:ascii="宋体" w:hAnsi="宋体" w:cs="宋体" w:eastAsia="宋体" w:hint="default"/>
          <w:b/>
          <w:bCs/>
          <w:w w:val="99"/>
          <w:sz w:val="24"/>
          <w:szCs w:val="24"/>
        </w:rPr>
        <w:t> </w:t>
      </w:r>
      <w:r>
        <w:rPr>
          <w:rFonts w:ascii="宋体" w:hAnsi="宋体" w:cs="宋体" w:eastAsia="宋体" w:hint="default"/>
          <w:sz w:val="24"/>
          <w:szCs w:val="24"/>
        </w:rPr>
        <w:t>公司报告期不存在担保情况。 </w:t>
      </w:r>
      <w:bookmarkStart w:name="3、委托他人进行现金资产管理情况" w:id="109"/>
      <w:bookmarkEnd w:id="109"/>
      <w:r>
        <w:rPr>
          <w:rFonts w:ascii="宋体" w:hAnsi="宋体" w:cs="宋体" w:eastAsia="宋体" w:hint="default"/>
          <w:sz w:val="24"/>
          <w:szCs w:val="24"/>
        </w:rPr>
      </w:r>
      <w:r>
        <w:rPr>
          <w:rFonts w:ascii="Times New Roman" w:hAnsi="Times New Roman" w:cs="Times New Roman" w:eastAsia="Times New Roman" w:hint="default"/>
          <w:b/>
          <w:bCs/>
          <w:w w:val="95"/>
          <w:sz w:val="24"/>
          <w:szCs w:val="24"/>
        </w:rPr>
        <w:t>3</w:t>
      </w:r>
      <w:r>
        <w:rPr>
          <w:rFonts w:ascii="宋体" w:hAnsi="宋体" w:cs="宋体" w:eastAsia="宋体" w:hint="default"/>
          <w:b/>
          <w:bCs/>
          <w:w w:val="95"/>
          <w:sz w:val="24"/>
          <w:szCs w:val="24"/>
        </w:rPr>
        <w:t>、委托他人进行现金资产管理情况</w:t>
      </w:r>
      <w:r>
        <w:rPr>
          <w:rFonts w:ascii="宋体" w:hAnsi="宋体" w:cs="宋体" w:eastAsia="宋体" w:hint="default"/>
          <w:sz w:val="24"/>
          <w:szCs w:val="24"/>
        </w:rPr>
      </w:r>
    </w:p>
    <w:p>
      <w:pPr>
        <w:spacing w:line="331" w:lineRule="auto" w:before="17"/>
        <w:ind w:left="633" w:right="1314" w:firstLine="2"/>
        <w:jc w:val="left"/>
        <w:rPr>
          <w:rFonts w:ascii="宋体" w:hAnsi="宋体" w:cs="宋体" w:eastAsia="宋体" w:hint="default"/>
          <w:sz w:val="24"/>
          <w:szCs w:val="24"/>
        </w:rPr>
      </w:pPr>
      <w:bookmarkStart w:name="（1）委托理财情况" w:id="110"/>
      <w:bookmarkEnd w:id="110"/>
      <w:r>
        <w:rPr/>
      </w:r>
      <w:r>
        <w:rPr>
          <w:rFonts w:ascii="宋体" w:hAnsi="宋体" w:cs="宋体" w:eastAsia="宋体" w:hint="default"/>
          <w:b/>
          <w:bCs/>
          <w:sz w:val="24"/>
          <w:szCs w:val="24"/>
        </w:rPr>
        <w:t>（</w:t>
      </w:r>
      <w:r>
        <w:rPr>
          <w:rFonts w:ascii="Times New Roman" w:hAnsi="Times New Roman" w:cs="Times New Roman" w:eastAsia="Times New Roman" w:hint="default"/>
          <w:b/>
          <w:bCs/>
          <w:sz w:val="24"/>
          <w:szCs w:val="24"/>
        </w:rPr>
        <w:t>1</w:t>
      </w:r>
      <w:r>
        <w:rPr>
          <w:rFonts w:ascii="宋体" w:hAnsi="宋体" w:cs="宋体" w:eastAsia="宋体" w:hint="default"/>
          <w:b/>
          <w:bCs/>
          <w:sz w:val="24"/>
          <w:szCs w:val="24"/>
        </w:rPr>
        <w:t>）委托理财情况</w:t>
      </w:r>
      <w:r>
        <w:rPr>
          <w:rFonts w:ascii="宋体" w:hAnsi="宋体" w:cs="宋体" w:eastAsia="宋体" w:hint="default"/>
          <w:b/>
          <w:bCs/>
          <w:w w:val="99"/>
          <w:sz w:val="24"/>
          <w:szCs w:val="24"/>
        </w:rPr>
        <w:t> </w:t>
      </w:r>
      <w:r>
        <w:rPr>
          <w:rFonts w:ascii="宋体" w:hAnsi="宋体" w:cs="宋体" w:eastAsia="宋体" w:hint="default"/>
          <w:sz w:val="24"/>
          <w:szCs w:val="24"/>
        </w:rPr>
        <w:t>报告期内委托理财概况</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6"/>
          <w:szCs w:val="16"/>
        </w:rPr>
      </w:pPr>
    </w:p>
    <w:p>
      <w:pPr>
        <w:spacing w:before="0"/>
        <w:ind w:left="633" w:right="0" w:firstLine="0"/>
        <w:jc w:val="left"/>
        <w:rPr>
          <w:rFonts w:ascii="宋体" w:hAnsi="宋体" w:cs="宋体" w:eastAsia="宋体" w:hint="default"/>
          <w:sz w:val="21"/>
          <w:szCs w:val="21"/>
        </w:rPr>
      </w:pPr>
      <w:r>
        <w:rPr>
          <w:rFonts w:ascii="宋体" w:hAnsi="宋体" w:cs="宋体" w:eastAsia="宋体" w:hint="default"/>
          <w:sz w:val="21"/>
          <w:szCs w:val="21"/>
        </w:rPr>
        <w:t>单位：万元</w:t>
      </w:r>
    </w:p>
    <w:p>
      <w:pPr>
        <w:spacing w:after="0"/>
        <w:jc w:val="left"/>
        <w:rPr>
          <w:rFonts w:ascii="宋体" w:hAnsi="宋体" w:cs="宋体" w:eastAsia="宋体" w:hint="default"/>
          <w:sz w:val="21"/>
          <w:szCs w:val="21"/>
        </w:rPr>
        <w:sectPr>
          <w:type w:val="continuous"/>
          <w:pgSz w:w="11910" w:h="16840"/>
          <w:pgMar w:top="1060" w:bottom="1160" w:left="980" w:right="0"/>
          <w:cols w:num="2" w:equalWidth="0">
            <w:col w:w="4368" w:space="3742"/>
            <w:col w:w="2820"/>
          </w:cols>
        </w:sectPr>
      </w:pPr>
    </w:p>
    <w:p>
      <w:pPr>
        <w:spacing w:line="240" w:lineRule="auto" w:before="0"/>
        <w:rPr>
          <w:rFonts w:ascii="宋体" w:hAnsi="宋体" w:cs="宋体" w:eastAsia="宋体" w:hint="default"/>
          <w:sz w:val="7"/>
          <w:szCs w:val="7"/>
        </w:rPr>
      </w:pPr>
    </w:p>
    <w:tbl>
      <w:tblPr>
        <w:tblW w:w="0" w:type="auto"/>
        <w:jc w:val="left"/>
        <w:tblInd w:w="432" w:type="dxa"/>
        <w:tblLayout w:type="fixed"/>
        <w:tblCellMar>
          <w:top w:w="0" w:type="dxa"/>
          <w:left w:w="0" w:type="dxa"/>
          <w:bottom w:w="0" w:type="dxa"/>
          <w:right w:w="0" w:type="dxa"/>
        </w:tblCellMar>
        <w:tblLook w:val="01E0"/>
      </w:tblPr>
      <w:tblGrid>
        <w:gridCol w:w="1560"/>
        <w:gridCol w:w="2271"/>
        <w:gridCol w:w="1840"/>
        <w:gridCol w:w="1419"/>
        <w:gridCol w:w="1984"/>
      </w:tblGrid>
      <w:tr>
        <w:trPr>
          <w:trHeight w:val="402"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354" w:right="0"/>
              <w:jc w:val="left"/>
              <w:rPr>
                <w:rFonts w:ascii="宋体" w:hAnsi="宋体" w:cs="宋体" w:eastAsia="宋体" w:hint="default"/>
                <w:sz w:val="21"/>
                <w:szCs w:val="21"/>
              </w:rPr>
            </w:pPr>
            <w:r>
              <w:rPr>
                <w:rFonts w:ascii="宋体" w:hAnsi="宋体" w:cs="宋体" w:eastAsia="宋体" w:hint="default"/>
                <w:sz w:val="21"/>
                <w:szCs w:val="21"/>
              </w:rPr>
              <w:t>具体类型</w:t>
            </w:r>
          </w:p>
        </w:tc>
        <w:tc>
          <w:tcPr>
            <w:tcW w:w="22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84" w:right="0"/>
              <w:jc w:val="left"/>
              <w:rPr>
                <w:rFonts w:ascii="宋体" w:hAnsi="宋体" w:cs="宋体" w:eastAsia="宋体" w:hint="default"/>
                <w:sz w:val="21"/>
                <w:szCs w:val="21"/>
              </w:rPr>
            </w:pPr>
            <w:r>
              <w:rPr>
                <w:rFonts w:ascii="宋体" w:hAnsi="宋体" w:cs="宋体" w:eastAsia="宋体" w:hint="default"/>
                <w:sz w:val="21"/>
                <w:szCs w:val="21"/>
              </w:rPr>
              <w:t>委托理财的资金来源</w:t>
            </w:r>
          </w:p>
        </w:tc>
        <w:tc>
          <w:tcPr>
            <w:tcW w:w="18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80" w:right="0"/>
              <w:jc w:val="left"/>
              <w:rPr>
                <w:rFonts w:ascii="宋体" w:hAnsi="宋体" w:cs="宋体" w:eastAsia="宋体" w:hint="default"/>
                <w:sz w:val="21"/>
                <w:szCs w:val="21"/>
              </w:rPr>
            </w:pPr>
            <w:r>
              <w:rPr>
                <w:rFonts w:ascii="宋体" w:hAnsi="宋体" w:cs="宋体" w:eastAsia="宋体" w:hint="default"/>
                <w:sz w:val="21"/>
                <w:szCs w:val="21"/>
              </w:rPr>
              <w:t>委托理财发生额</w:t>
            </w:r>
          </w:p>
        </w:tc>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78" w:right="0"/>
              <w:jc w:val="left"/>
              <w:rPr>
                <w:rFonts w:ascii="宋体" w:hAnsi="宋体" w:cs="宋体" w:eastAsia="宋体" w:hint="default"/>
                <w:sz w:val="21"/>
                <w:szCs w:val="21"/>
              </w:rPr>
            </w:pPr>
            <w:r>
              <w:rPr>
                <w:rFonts w:ascii="宋体" w:hAnsi="宋体" w:cs="宋体" w:eastAsia="宋体" w:hint="default"/>
                <w:sz w:val="21"/>
                <w:szCs w:val="21"/>
              </w:rPr>
              <w:t>未到期余额</w:t>
            </w:r>
          </w:p>
        </w:tc>
        <w:tc>
          <w:tcPr>
            <w:tcW w:w="1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46" w:right="0"/>
              <w:jc w:val="left"/>
              <w:rPr>
                <w:rFonts w:ascii="宋体" w:hAnsi="宋体" w:cs="宋体" w:eastAsia="宋体" w:hint="default"/>
                <w:sz w:val="21"/>
                <w:szCs w:val="21"/>
              </w:rPr>
            </w:pPr>
            <w:r>
              <w:rPr>
                <w:rFonts w:ascii="宋体" w:hAnsi="宋体" w:cs="宋体" w:eastAsia="宋体" w:hint="default"/>
                <w:sz w:val="21"/>
                <w:szCs w:val="21"/>
              </w:rPr>
              <w:t>逾期未收回的金额</w:t>
            </w: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银行理财产品</w:t>
            </w:r>
          </w:p>
        </w:tc>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自有资金</w:t>
            </w:r>
          </w:p>
        </w:tc>
        <w:tc>
          <w:tcPr>
            <w:tcW w:w="1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3,026</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0</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0</w:t>
            </w:r>
          </w:p>
        </w:tc>
      </w:tr>
      <w:tr>
        <w:trPr>
          <w:trHeight w:val="402" w:hRule="exact"/>
        </w:trPr>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3,026</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0</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0</w:t>
            </w:r>
          </w:p>
        </w:tc>
      </w:tr>
    </w:tbl>
    <w:p>
      <w:pPr>
        <w:spacing w:line="240" w:lineRule="auto" w:before="10"/>
        <w:rPr>
          <w:rFonts w:ascii="宋体" w:hAnsi="宋体" w:cs="宋体" w:eastAsia="宋体" w:hint="default"/>
          <w:sz w:val="4"/>
          <w:szCs w:val="4"/>
        </w:rPr>
      </w:pPr>
    </w:p>
    <w:p>
      <w:pPr>
        <w:pStyle w:val="BodyText"/>
        <w:spacing w:line="240" w:lineRule="auto" w:before="26"/>
        <w:ind w:left="634" w:right="996"/>
        <w:jc w:val="left"/>
      </w:pPr>
      <w:r>
        <w:rPr/>
        <w:t>单项金额重大或安全性较低、流动性较差、不保本的高风险委托理财具体情况</w:t>
      </w:r>
    </w:p>
    <w:p>
      <w:pPr>
        <w:pStyle w:val="BodyText"/>
        <w:spacing w:line="350" w:lineRule="auto" w:before="146"/>
        <w:ind w:left="634" w:right="3552"/>
        <w:jc w:val="left"/>
      </w:pPr>
      <w:r>
        <w:rPr/>
        <w:t>□ 适用 √ 不适用 委托理财出现预期无法收回本金或存在其他可能导致减值的情形</w:t>
      </w:r>
    </w:p>
    <w:p>
      <w:pPr>
        <w:pStyle w:val="BodyText"/>
        <w:spacing w:line="240" w:lineRule="auto" w:before="35"/>
        <w:ind w:left="633" w:right="996"/>
        <w:jc w:val="left"/>
      </w:pPr>
      <w:r>
        <w:rPr/>
        <w:t>□ 适用 √ 不适用</w:t>
      </w:r>
    </w:p>
    <w:p>
      <w:pPr>
        <w:spacing w:line="338" w:lineRule="auto" w:before="147"/>
        <w:ind w:left="633" w:right="6673" w:firstLine="2"/>
        <w:jc w:val="left"/>
        <w:rPr>
          <w:rFonts w:ascii="宋体" w:hAnsi="宋体" w:cs="宋体" w:eastAsia="宋体" w:hint="default"/>
          <w:sz w:val="24"/>
          <w:szCs w:val="24"/>
        </w:rPr>
      </w:pPr>
      <w:bookmarkStart w:name="（2）委托贷款情况" w:id="111"/>
      <w:bookmarkEnd w:id="111"/>
      <w:r>
        <w:rPr/>
      </w:r>
      <w:r>
        <w:rPr>
          <w:rFonts w:ascii="宋体" w:hAnsi="宋体" w:cs="宋体" w:eastAsia="宋体" w:hint="default"/>
          <w:b/>
          <w:bCs/>
          <w:sz w:val="24"/>
          <w:szCs w:val="24"/>
        </w:rPr>
        <w:t>（</w:t>
      </w:r>
      <w:r>
        <w:rPr>
          <w:rFonts w:ascii="Times New Roman" w:hAnsi="Times New Roman" w:cs="Times New Roman" w:eastAsia="Times New Roman" w:hint="default"/>
          <w:b/>
          <w:bCs/>
          <w:sz w:val="24"/>
          <w:szCs w:val="24"/>
        </w:rPr>
        <w:t>2</w:t>
      </w:r>
      <w:r>
        <w:rPr>
          <w:rFonts w:ascii="宋体" w:hAnsi="宋体" w:cs="宋体" w:eastAsia="宋体" w:hint="default"/>
          <w:b/>
          <w:bCs/>
          <w:sz w:val="24"/>
          <w:szCs w:val="24"/>
        </w:rPr>
        <w:t>）委托贷款情况</w:t>
      </w:r>
      <w:r>
        <w:rPr>
          <w:rFonts w:ascii="宋体" w:hAnsi="宋体" w:cs="宋体" w:eastAsia="宋体" w:hint="default"/>
          <w:b/>
          <w:bCs/>
          <w:w w:val="99"/>
          <w:sz w:val="24"/>
          <w:szCs w:val="24"/>
        </w:rPr>
        <w:t> </w:t>
      </w:r>
      <w:r>
        <w:rPr>
          <w:rFonts w:ascii="宋体" w:hAnsi="宋体" w:cs="宋体" w:eastAsia="宋体" w:hint="default"/>
          <w:sz w:val="24"/>
          <w:szCs w:val="24"/>
        </w:rPr>
        <w:t>公司报告期不存在委托贷款。 </w:t>
      </w:r>
      <w:bookmarkStart w:name="4、其他重大合同" w:id="112"/>
      <w:bookmarkEnd w:id="112"/>
      <w:r>
        <w:rPr>
          <w:rFonts w:ascii="宋体" w:hAnsi="宋体" w:cs="宋体" w:eastAsia="宋体" w:hint="default"/>
          <w:sz w:val="24"/>
          <w:szCs w:val="24"/>
        </w:rPr>
      </w:r>
      <w:r>
        <w:rPr>
          <w:rFonts w:ascii="Times New Roman" w:hAnsi="Times New Roman" w:cs="Times New Roman" w:eastAsia="Times New Roman" w:hint="default"/>
          <w:b/>
          <w:bCs/>
          <w:sz w:val="24"/>
          <w:szCs w:val="24"/>
        </w:rPr>
        <w:t>4</w:t>
      </w:r>
      <w:r>
        <w:rPr>
          <w:rFonts w:ascii="宋体" w:hAnsi="宋体" w:cs="宋体" w:eastAsia="宋体" w:hint="default"/>
          <w:b/>
          <w:bCs/>
          <w:sz w:val="24"/>
          <w:szCs w:val="24"/>
        </w:rPr>
        <w:t>、其他重大合同</w:t>
      </w:r>
      <w:r>
        <w:rPr>
          <w:rFonts w:ascii="宋体" w:hAnsi="宋体" w:cs="宋体" w:eastAsia="宋体" w:hint="default"/>
          <w:b/>
          <w:bCs/>
          <w:w w:val="99"/>
          <w:sz w:val="24"/>
          <w:szCs w:val="24"/>
        </w:rPr>
        <w:t> </w:t>
      </w:r>
      <w:r>
        <w:rPr>
          <w:rFonts w:ascii="宋体" w:hAnsi="宋体" w:cs="宋体" w:eastAsia="宋体" w:hint="default"/>
          <w:sz w:val="24"/>
          <w:szCs w:val="24"/>
        </w:rPr>
        <w:t>公司报告期不存在其他重大合同。</w:t>
      </w:r>
    </w:p>
    <w:p>
      <w:pPr>
        <w:spacing w:line="240" w:lineRule="auto" w:before="11"/>
        <w:rPr>
          <w:rFonts w:ascii="宋体" w:hAnsi="宋体" w:cs="宋体" w:eastAsia="宋体" w:hint="default"/>
          <w:sz w:val="16"/>
          <w:szCs w:val="16"/>
        </w:rPr>
      </w:pPr>
    </w:p>
    <w:p>
      <w:pPr>
        <w:pStyle w:val="Heading2"/>
        <w:spacing w:line="240" w:lineRule="auto" w:before="0"/>
        <w:ind w:left="154" w:right="996"/>
        <w:jc w:val="left"/>
        <w:rPr>
          <w:b w:val="0"/>
          <w:bCs w:val="0"/>
        </w:rPr>
      </w:pPr>
      <w:bookmarkStart w:name="十八、社会责任情况" w:id="113"/>
      <w:bookmarkEnd w:id="113"/>
      <w:r>
        <w:rPr>
          <w:b w:val="0"/>
          <w:bCs w:val="0"/>
        </w:rPr>
      </w:r>
      <w:r>
        <w:rPr/>
        <w:t>十八、社会责任情况</w:t>
      </w:r>
      <w:r>
        <w:rPr>
          <w:b w:val="0"/>
          <w:bCs w:val="0"/>
        </w:rPr>
      </w:r>
    </w:p>
    <w:p>
      <w:pPr>
        <w:spacing w:line="240" w:lineRule="auto" w:before="6"/>
        <w:rPr>
          <w:rFonts w:ascii="宋体" w:hAnsi="宋体" w:cs="宋体" w:eastAsia="宋体" w:hint="default"/>
          <w:b/>
          <w:bCs/>
          <w:sz w:val="32"/>
          <w:szCs w:val="32"/>
        </w:rPr>
      </w:pPr>
    </w:p>
    <w:p>
      <w:pPr>
        <w:pStyle w:val="Heading2"/>
        <w:spacing w:line="240" w:lineRule="auto" w:before="0"/>
        <w:ind w:right="996"/>
        <w:jc w:val="left"/>
        <w:rPr>
          <w:b w:val="0"/>
          <w:bCs w:val="0"/>
        </w:rPr>
      </w:pPr>
      <w:bookmarkStart w:name="1、履行社会责任情况" w:id="114"/>
      <w:bookmarkEnd w:id="114"/>
      <w:r>
        <w:rPr>
          <w:b w:val="0"/>
          <w:bCs w:val="0"/>
        </w:rPr>
      </w:r>
      <w:r>
        <w:rPr>
          <w:rFonts w:ascii="Times New Roman" w:hAnsi="Times New Roman" w:cs="Times New Roman" w:eastAsia="Times New Roman" w:hint="default"/>
        </w:rPr>
        <w:t>1</w:t>
      </w:r>
      <w:r>
        <w:rPr/>
        <w:t>、履行社会责任情况</w:t>
      </w:r>
      <w:r>
        <w:rPr>
          <w:b w:val="0"/>
          <w:bCs w:val="0"/>
        </w:rPr>
      </w:r>
    </w:p>
    <w:p>
      <w:pPr>
        <w:pStyle w:val="BodyText"/>
        <w:spacing w:line="240" w:lineRule="auto" w:before="127"/>
        <w:ind w:left="634" w:right="996"/>
        <w:jc w:val="left"/>
      </w:pPr>
      <w:r>
        <w:rPr/>
        <w:t>公司积极主动履行社会责任</w:t>
      </w:r>
      <w:r>
        <w:rPr>
          <w:spacing w:val="-120"/>
        </w:rPr>
        <w:t>，</w:t>
      </w:r>
      <w:r>
        <w:rPr/>
        <w:t>《</w:t>
      </w:r>
      <w:r>
        <w:rPr>
          <w:rFonts w:ascii="宋体" w:hAnsi="宋体" w:cs="宋体" w:eastAsia="宋体" w:hint="default"/>
        </w:rPr>
        <w:t>2017</w:t>
      </w:r>
      <w:r>
        <w:rPr>
          <w:rFonts w:ascii="宋体" w:hAnsi="宋体" w:cs="宋体" w:eastAsia="宋体" w:hint="default"/>
          <w:spacing w:val="-60"/>
        </w:rPr>
        <w:t> </w:t>
      </w:r>
      <w:r>
        <w:rPr/>
        <w:t>年年度社会责任报告》已经</w:t>
      </w:r>
      <w:r>
        <w:rPr>
          <w:spacing w:val="-60"/>
        </w:rPr>
        <w:t> </w:t>
      </w:r>
      <w:r>
        <w:rPr>
          <w:rFonts w:ascii="宋体" w:hAnsi="宋体" w:cs="宋体" w:eastAsia="宋体" w:hint="default"/>
        </w:rPr>
        <w:t>2018</w:t>
      </w:r>
      <w:r>
        <w:rPr>
          <w:rFonts w:ascii="宋体" w:hAnsi="宋体" w:cs="宋体" w:eastAsia="宋体" w:hint="default"/>
          <w:spacing w:val="-60"/>
        </w:rPr>
        <w:t> </w:t>
      </w:r>
      <w:r>
        <w:rPr/>
        <w:t>年</w:t>
      </w:r>
      <w:r>
        <w:rPr>
          <w:spacing w:val="-60"/>
        </w:rPr>
        <w:t> </w:t>
      </w:r>
      <w:r>
        <w:rPr>
          <w:rFonts w:ascii="宋体" w:hAnsi="宋体" w:cs="宋体" w:eastAsia="宋体" w:hint="default"/>
        </w:rPr>
        <w:t>4</w:t>
      </w:r>
      <w:r>
        <w:rPr>
          <w:rFonts w:ascii="宋体" w:hAnsi="宋体" w:cs="宋体" w:eastAsia="宋体" w:hint="default"/>
          <w:spacing w:val="-60"/>
        </w:rPr>
        <w:t> </w:t>
      </w:r>
      <w:r>
        <w:rPr/>
        <w:t>月</w:t>
      </w:r>
      <w:r>
        <w:rPr>
          <w:spacing w:val="-60"/>
        </w:rPr>
        <w:t> </w:t>
      </w:r>
      <w:r>
        <w:rPr>
          <w:rFonts w:ascii="宋体" w:hAnsi="宋体" w:cs="宋体" w:eastAsia="宋体" w:hint="default"/>
        </w:rPr>
        <w:t>23</w:t>
      </w:r>
      <w:r>
        <w:rPr>
          <w:rFonts w:ascii="宋体" w:hAnsi="宋体" w:cs="宋体" w:eastAsia="宋体" w:hint="default"/>
          <w:spacing w:val="-60"/>
        </w:rPr>
        <w:t> </w:t>
      </w:r>
      <w:r>
        <w:rPr/>
        <w:t>日召开</w:t>
      </w:r>
    </w:p>
    <w:p>
      <w:pPr>
        <w:pStyle w:val="BodyText"/>
        <w:spacing w:line="240" w:lineRule="auto" w:before="146"/>
        <w:ind w:right="996"/>
        <w:jc w:val="left"/>
      </w:pPr>
      <w:r>
        <w:rPr/>
        <w:t>的董事会审议通过，报告全文详见</w:t>
      </w:r>
      <w:r>
        <w:rPr>
          <w:spacing w:val="-60"/>
        </w:rPr>
        <w:t> </w:t>
      </w:r>
      <w:r>
        <w:rPr>
          <w:rFonts w:ascii="宋体" w:hAnsi="宋体" w:cs="宋体" w:eastAsia="宋体" w:hint="default"/>
        </w:rPr>
        <w:t>2018</w:t>
      </w:r>
      <w:r>
        <w:rPr>
          <w:rFonts w:ascii="宋体" w:hAnsi="宋体" w:cs="宋体" w:eastAsia="宋体" w:hint="default"/>
          <w:spacing w:val="-60"/>
        </w:rPr>
        <w:t> </w:t>
      </w:r>
      <w:r>
        <w:rPr/>
        <w:t>年</w:t>
      </w:r>
      <w:r>
        <w:rPr>
          <w:spacing w:val="-60"/>
        </w:rPr>
        <w:t> </w:t>
      </w:r>
      <w:r>
        <w:rPr>
          <w:rFonts w:ascii="宋体" w:hAnsi="宋体" w:cs="宋体" w:eastAsia="宋体" w:hint="default"/>
        </w:rPr>
        <w:t>4</w:t>
      </w:r>
      <w:r>
        <w:rPr>
          <w:rFonts w:ascii="宋体" w:hAnsi="宋体" w:cs="宋体" w:eastAsia="宋体" w:hint="default"/>
          <w:spacing w:val="-60"/>
        </w:rPr>
        <w:t> </w:t>
      </w:r>
      <w:r>
        <w:rPr/>
        <w:t>月</w:t>
      </w:r>
      <w:r>
        <w:rPr>
          <w:spacing w:val="-60"/>
        </w:rPr>
        <w:t> </w:t>
      </w:r>
      <w:r>
        <w:rPr>
          <w:rFonts w:ascii="宋体" w:hAnsi="宋体" w:cs="宋体" w:eastAsia="宋体" w:hint="default"/>
        </w:rPr>
        <w:t>24</w:t>
      </w:r>
      <w:r>
        <w:rPr>
          <w:rFonts w:ascii="宋体" w:hAnsi="宋体" w:cs="宋体" w:eastAsia="宋体" w:hint="default"/>
          <w:spacing w:val="-60"/>
        </w:rPr>
        <w:t> </w:t>
      </w:r>
      <w:r>
        <w:rPr/>
        <w:t>日巨潮资讯网</w:t>
      </w:r>
      <w:r>
        <w:rPr>
          <w:rFonts w:ascii="宋体" w:hAnsi="宋体" w:cs="宋体" w:eastAsia="宋体" w:hint="default"/>
        </w:rPr>
        <w:t>(www.cninfo.com.cn)</w:t>
      </w:r>
      <w:r>
        <w:rPr/>
        <w:t>。</w:t>
      </w:r>
    </w:p>
    <w:p>
      <w:pPr>
        <w:pStyle w:val="Heading2"/>
        <w:spacing w:line="240" w:lineRule="auto" w:before="145"/>
        <w:ind w:right="996"/>
        <w:jc w:val="left"/>
        <w:rPr>
          <w:b w:val="0"/>
          <w:bCs w:val="0"/>
        </w:rPr>
      </w:pPr>
      <w:bookmarkStart w:name="2、履行精准扶贫社会责任情况" w:id="115"/>
      <w:bookmarkEnd w:id="115"/>
      <w:r>
        <w:rPr>
          <w:b w:val="0"/>
          <w:bCs w:val="0"/>
        </w:rPr>
      </w:r>
      <w:r>
        <w:rPr>
          <w:rFonts w:ascii="Times New Roman" w:hAnsi="Times New Roman" w:cs="Times New Roman" w:eastAsia="Times New Roman" w:hint="default"/>
        </w:rPr>
        <w:t>2</w:t>
      </w:r>
      <w:r>
        <w:rPr/>
        <w:t>、履行精准扶贫社会责任情况</w:t>
      </w:r>
      <w:r>
        <w:rPr>
          <w:b w:val="0"/>
          <w:bCs w:val="0"/>
        </w:rPr>
      </w:r>
    </w:p>
    <w:p>
      <w:pPr>
        <w:spacing w:line="333" w:lineRule="auto" w:before="127"/>
        <w:ind w:left="633" w:right="3313" w:firstLine="2"/>
        <w:jc w:val="left"/>
        <w:rPr>
          <w:rFonts w:ascii="宋体" w:hAnsi="宋体" w:cs="宋体" w:eastAsia="宋体" w:hint="default"/>
          <w:sz w:val="24"/>
          <w:szCs w:val="24"/>
        </w:rPr>
      </w:pPr>
      <w:bookmarkStart w:name="（1）精准扶贫规划" w:id="116"/>
      <w:bookmarkEnd w:id="116"/>
      <w:r>
        <w:rPr/>
      </w:r>
      <w:r>
        <w:rPr>
          <w:rFonts w:ascii="宋体" w:hAnsi="宋体" w:cs="宋体" w:eastAsia="宋体" w:hint="default"/>
          <w:b/>
          <w:bCs/>
          <w:sz w:val="24"/>
          <w:szCs w:val="24"/>
        </w:rPr>
        <w:t>（</w:t>
      </w:r>
      <w:r>
        <w:rPr>
          <w:rFonts w:ascii="Times New Roman" w:hAnsi="Times New Roman" w:cs="Times New Roman" w:eastAsia="Times New Roman" w:hint="default"/>
          <w:b/>
          <w:bCs/>
          <w:sz w:val="24"/>
          <w:szCs w:val="24"/>
        </w:rPr>
        <w:t>1</w:t>
      </w:r>
      <w:r>
        <w:rPr>
          <w:rFonts w:ascii="宋体" w:hAnsi="宋体" w:cs="宋体" w:eastAsia="宋体" w:hint="default"/>
          <w:b/>
          <w:bCs/>
          <w:sz w:val="24"/>
          <w:szCs w:val="24"/>
        </w:rPr>
        <w:t>）精准扶贫规划</w:t>
      </w:r>
      <w:r>
        <w:rPr>
          <w:rFonts w:ascii="宋体" w:hAnsi="宋体" w:cs="宋体" w:eastAsia="宋体" w:hint="default"/>
          <w:b/>
          <w:bCs/>
          <w:w w:val="99"/>
          <w:sz w:val="24"/>
          <w:szCs w:val="24"/>
        </w:rPr>
        <w:t> </w:t>
      </w:r>
      <w:r>
        <w:rPr>
          <w:rFonts w:ascii="宋体" w:hAnsi="宋体" w:cs="宋体" w:eastAsia="宋体" w:hint="default"/>
          <w:sz w:val="24"/>
          <w:szCs w:val="24"/>
        </w:rPr>
        <w:t>公司报告年度暂未开展精准扶贫工作，也暂无后续精准扶贫计划。</w:t>
      </w:r>
    </w:p>
    <w:p>
      <w:pPr>
        <w:spacing w:line="331" w:lineRule="auto" w:before="52"/>
        <w:ind w:left="633" w:right="6193" w:firstLine="2"/>
        <w:jc w:val="left"/>
        <w:rPr>
          <w:rFonts w:ascii="宋体" w:hAnsi="宋体" w:cs="宋体" w:eastAsia="宋体" w:hint="default"/>
          <w:sz w:val="24"/>
          <w:szCs w:val="24"/>
        </w:rPr>
      </w:pPr>
      <w:bookmarkStart w:name="（2）年度精准扶贫概要" w:id="117"/>
      <w:bookmarkEnd w:id="117"/>
      <w:r>
        <w:rPr/>
      </w:r>
      <w:r>
        <w:rPr>
          <w:rFonts w:ascii="宋体" w:hAnsi="宋体" w:cs="宋体" w:eastAsia="宋体" w:hint="default"/>
          <w:b/>
          <w:bCs/>
          <w:sz w:val="24"/>
          <w:szCs w:val="24"/>
        </w:rPr>
        <w:t>（</w:t>
      </w:r>
      <w:r>
        <w:rPr>
          <w:rFonts w:ascii="Times New Roman" w:hAnsi="Times New Roman" w:cs="Times New Roman" w:eastAsia="Times New Roman" w:hint="default"/>
          <w:b/>
          <w:bCs/>
          <w:sz w:val="24"/>
          <w:szCs w:val="24"/>
        </w:rPr>
        <w:t>2</w:t>
      </w:r>
      <w:r>
        <w:rPr>
          <w:rFonts w:ascii="宋体" w:hAnsi="宋体" w:cs="宋体" w:eastAsia="宋体" w:hint="default"/>
          <w:b/>
          <w:bCs/>
          <w:sz w:val="24"/>
          <w:szCs w:val="24"/>
        </w:rPr>
        <w:t>）年度精准扶贫概要</w:t>
      </w:r>
      <w:r>
        <w:rPr>
          <w:rFonts w:ascii="宋体" w:hAnsi="宋体" w:cs="宋体" w:eastAsia="宋体" w:hint="default"/>
          <w:b/>
          <w:bCs/>
          <w:w w:val="99"/>
          <w:sz w:val="24"/>
          <w:szCs w:val="24"/>
        </w:rPr>
        <w:t> </w:t>
      </w:r>
      <w:r>
        <w:rPr>
          <w:rFonts w:ascii="宋体" w:hAnsi="宋体" w:cs="宋体" w:eastAsia="宋体" w:hint="default"/>
          <w:sz w:val="24"/>
          <w:szCs w:val="24"/>
        </w:rPr>
        <w:t>公司报告年度暂未开展精准扶贫工作。</w:t>
      </w:r>
    </w:p>
    <w:p>
      <w:pPr>
        <w:spacing w:after="0" w:line="331" w:lineRule="auto"/>
        <w:jc w:val="left"/>
        <w:rPr>
          <w:rFonts w:ascii="宋体" w:hAnsi="宋体" w:cs="宋体" w:eastAsia="宋体" w:hint="default"/>
          <w:sz w:val="24"/>
          <w:szCs w:val="24"/>
        </w:rPr>
        <w:sectPr>
          <w:type w:val="continuous"/>
          <w:pgSz w:w="11910" w:h="16840"/>
          <w:pgMar w:top="1060" w:bottom="1160" w:left="980" w:right="0"/>
        </w:sectPr>
      </w:pPr>
    </w:p>
    <w:p>
      <w:pPr>
        <w:spacing w:line="240" w:lineRule="auto" w:before="0"/>
        <w:rPr>
          <w:rFonts w:ascii="宋体" w:hAnsi="宋体" w:cs="宋体" w:eastAsia="宋体" w:hint="default"/>
          <w:sz w:val="20"/>
          <w:szCs w:val="20"/>
        </w:rPr>
      </w:pPr>
    </w:p>
    <w:p>
      <w:pPr>
        <w:spacing w:line="331" w:lineRule="auto" w:before="199"/>
        <w:ind w:left="633" w:right="6193" w:firstLine="2"/>
        <w:jc w:val="left"/>
        <w:rPr>
          <w:rFonts w:ascii="宋体" w:hAnsi="宋体" w:cs="宋体" w:eastAsia="宋体" w:hint="default"/>
          <w:sz w:val="24"/>
          <w:szCs w:val="24"/>
        </w:rPr>
      </w:pPr>
      <w:bookmarkStart w:name="（3）精准扶贫成效" w:id="118"/>
      <w:bookmarkEnd w:id="118"/>
      <w:r>
        <w:rPr/>
      </w:r>
      <w:r>
        <w:rPr>
          <w:rFonts w:ascii="宋体" w:hAnsi="宋体" w:cs="宋体" w:eastAsia="宋体" w:hint="default"/>
          <w:b/>
          <w:bCs/>
          <w:sz w:val="24"/>
          <w:szCs w:val="24"/>
        </w:rPr>
        <w:t>（</w:t>
      </w:r>
      <w:r>
        <w:rPr>
          <w:rFonts w:ascii="Times New Roman" w:hAnsi="Times New Roman" w:cs="Times New Roman" w:eastAsia="Times New Roman" w:hint="default"/>
          <w:b/>
          <w:bCs/>
          <w:sz w:val="24"/>
          <w:szCs w:val="24"/>
        </w:rPr>
        <w:t>3</w:t>
      </w:r>
      <w:r>
        <w:rPr>
          <w:rFonts w:ascii="宋体" w:hAnsi="宋体" w:cs="宋体" w:eastAsia="宋体" w:hint="default"/>
          <w:b/>
          <w:bCs/>
          <w:sz w:val="24"/>
          <w:szCs w:val="24"/>
        </w:rPr>
        <w:t>）精准扶贫成效</w:t>
      </w:r>
      <w:r>
        <w:rPr>
          <w:rFonts w:ascii="宋体" w:hAnsi="宋体" w:cs="宋体" w:eastAsia="宋体" w:hint="default"/>
          <w:b/>
          <w:bCs/>
          <w:w w:val="99"/>
          <w:sz w:val="24"/>
          <w:szCs w:val="24"/>
        </w:rPr>
        <w:t> </w:t>
      </w:r>
      <w:r>
        <w:rPr>
          <w:rFonts w:ascii="宋体" w:hAnsi="宋体" w:cs="宋体" w:eastAsia="宋体" w:hint="default"/>
          <w:sz w:val="24"/>
          <w:szCs w:val="24"/>
        </w:rPr>
        <w:t>公司报告年度暂未开展精准扶贫工作。</w:t>
      </w:r>
    </w:p>
    <w:p>
      <w:pPr>
        <w:spacing w:line="340" w:lineRule="auto" w:before="55"/>
        <w:ind w:left="633" w:right="7153" w:firstLine="2"/>
        <w:jc w:val="left"/>
        <w:rPr>
          <w:rFonts w:ascii="宋体" w:hAnsi="宋体" w:cs="宋体" w:eastAsia="宋体" w:hint="default"/>
          <w:sz w:val="24"/>
          <w:szCs w:val="24"/>
        </w:rPr>
      </w:pPr>
      <w:bookmarkStart w:name="（4）后续精准扶贫计划" w:id="119"/>
      <w:bookmarkEnd w:id="119"/>
      <w:r>
        <w:rPr/>
      </w:r>
      <w:r>
        <w:rPr>
          <w:rFonts w:ascii="宋体" w:hAnsi="宋体" w:cs="宋体" w:eastAsia="宋体" w:hint="default"/>
          <w:b/>
          <w:bCs/>
          <w:sz w:val="24"/>
          <w:szCs w:val="24"/>
        </w:rPr>
        <w:t>（</w:t>
      </w:r>
      <w:r>
        <w:rPr>
          <w:rFonts w:ascii="Times New Roman" w:hAnsi="Times New Roman" w:cs="Times New Roman" w:eastAsia="Times New Roman" w:hint="default"/>
          <w:b/>
          <w:bCs/>
          <w:sz w:val="24"/>
          <w:szCs w:val="24"/>
        </w:rPr>
        <w:t>4</w:t>
      </w:r>
      <w:r>
        <w:rPr>
          <w:rFonts w:ascii="宋体" w:hAnsi="宋体" w:cs="宋体" w:eastAsia="宋体" w:hint="default"/>
          <w:b/>
          <w:bCs/>
          <w:sz w:val="24"/>
          <w:szCs w:val="24"/>
        </w:rPr>
        <w:t>）后续精准扶贫计划</w:t>
      </w:r>
      <w:r>
        <w:rPr>
          <w:rFonts w:ascii="宋体" w:hAnsi="宋体" w:cs="宋体" w:eastAsia="宋体" w:hint="default"/>
          <w:b/>
          <w:bCs/>
          <w:w w:val="99"/>
          <w:sz w:val="24"/>
          <w:szCs w:val="24"/>
        </w:rPr>
        <w:t> </w:t>
      </w:r>
      <w:r>
        <w:rPr>
          <w:rFonts w:ascii="宋体" w:hAnsi="宋体" w:cs="宋体" w:eastAsia="宋体" w:hint="default"/>
          <w:sz w:val="24"/>
          <w:szCs w:val="24"/>
        </w:rPr>
        <w:t>公司暂无后续精准扶贫计划。 </w:t>
      </w:r>
      <w:bookmarkStart w:name="3、环境保护相关的情况" w:id="120"/>
      <w:bookmarkEnd w:id="120"/>
      <w:r>
        <w:rPr>
          <w:rFonts w:ascii="宋体" w:hAnsi="宋体" w:cs="宋体" w:eastAsia="宋体" w:hint="default"/>
          <w:sz w:val="24"/>
          <w:szCs w:val="24"/>
        </w:rPr>
      </w:r>
      <w:r>
        <w:rPr>
          <w:rFonts w:ascii="Times New Roman" w:hAnsi="Times New Roman" w:cs="Times New Roman" w:eastAsia="Times New Roman" w:hint="default"/>
          <w:b/>
          <w:bCs/>
          <w:sz w:val="24"/>
          <w:szCs w:val="24"/>
        </w:rPr>
        <w:t>3</w:t>
      </w:r>
      <w:r>
        <w:rPr>
          <w:rFonts w:ascii="宋体" w:hAnsi="宋体" w:cs="宋体" w:eastAsia="宋体" w:hint="default"/>
          <w:b/>
          <w:bCs/>
          <w:sz w:val="24"/>
          <w:szCs w:val="24"/>
        </w:rPr>
        <w:t>、环境保护相关的情况</w:t>
      </w:r>
      <w:r>
        <w:rPr>
          <w:rFonts w:ascii="宋体" w:hAnsi="宋体" w:cs="宋体" w:eastAsia="宋体" w:hint="default"/>
          <w:sz w:val="24"/>
          <w:szCs w:val="24"/>
        </w:rPr>
      </w:r>
    </w:p>
    <w:p>
      <w:pPr>
        <w:pStyle w:val="BodyText"/>
        <w:spacing w:line="240" w:lineRule="auto" w:before="17"/>
        <w:ind w:left="633" w:right="996"/>
        <w:jc w:val="left"/>
      </w:pPr>
      <w:r>
        <w:rPr/>
        <w:t>上市公司及其子公司是否属于环境保护部门公布的重点排污单位</w:t>
      </w:r>
    </w:p>
    <w:p>
      <w:pPr>
        <w:spacing w:line="254" w:lineRule="auto" w:before="145"/>
        <w:ind w:left="636" w:right="8824" w:hanging="3"/>
        <w:jc w:val="left"/>
        <w:rPr>
          <w:rFonts w:ascii="宋体" w:hAnsi="宋体" w:cs="宋体" w:eastAsia="宋体" w:hint="default"/>
          <w:sz w:val="24"/>
          <w:szCs w:val="24"/>
        </w:rPr>
      </w:pPr>
      <w:r>
        <w:rPr>
          <w:rFonts w:ascii="宋体" w:hAnsi="宋体" w:cs="宋体" w:eastAsia="宋体" w:hint="default"/>
          <w:sz w:val="24"/>
          <w:szCs w:val="24"/>
        </w:rPr>
        <w:t>否 </w:t>
      </w:r>
      <w:r>
        <w:rPr>
          <w:rFonts w:ascii="宋体" w:hAnsi="宋体" w:cs="宋体" w:eastAsia="宋体" w:hint="default"/>
          <w:b/>
          <w:bCs/>
          <w:sz w:val="24"/>
          <w:szCs w:val="24"/>
        </w:rPr>
        <w:t>具体情况说明</w:t>
      </w:r>
      <w:r>
        <w:rPr>
          <w:rFonts w:ascii="宋体" w:hAnsi="宋体" w:cs="宋体" w:eastAsia="宋体" w:hint="default"/>
          <w:sz w:val="24"/>
          <w:szCs w:val="24"/>
        </w:rPr>
      </w:r>
    </w:p>
    <w:tbl>
      <w:tblPr>
        <w:tblW w:w="0" w:type="auto"/>
        <w:jc w:val="left"/>
        <w:tblInd w:w="146" w:type="dxa"/>
        <w:tblLayout w:type="fixed"/>
        <w:tblCellMar>
          <w:top w:w="0" w:type="dxa"/>
          <w:left w:w="0" w:type="dxa"/>
          <w:bottom w:w="0" w:type="dxa"/>
          <w:right w:w="0" w:type="dxa"/>
        </w:tblCellMar>
        <w:tblLook w:val="01E0"/>
      </w:tblPr>
      <w:tblGrid>
        <w:gridCol w:w="7373"/>
        <w:gridCol w:w="2196"/>
      </w:tblGrid>
      <w:tr>
        <w:trPr>
          <w:trHeight w:val="427" w:hRule="exact"/>
        </w:trPr>
        <w:tc>
          <w:tcPr>
            <w:tcW w:w="737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6"/>
              <w:ind w:left="2"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公司是否通过环境管理体系认证（</w:t>
            </w:r>
            <w:r>
              <w:rPr>
                <w:rFonts w:ascii="宋体" w:hAnsi="宋体" w:cs="宋体" w:eastAsia="宋体" w:hint="default"/>
                <w:sz w:val="21"/>
                <w:szCs w:val="21"/>
              </w:rPr>
              <w:t>ISO14001</w:t>
            </w:r>
            <w:r>
              <w:rPr>
                <w:rFonts w:ascii="宋体" w:hAnsi="宋体" w:cs="宋体" w:eastAsia="宋体" w:hint="default"/>
                <w:sz w:val="21"/>
                <w:szCs w:val="21"/>
              </w:rPr>
              <w:t>）</w:t>
            </w:r>
          </w:p>
        </w:tc>
        <w:tc>
          <w:tcPr>
            <w:tcW w:w="21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1"/>
              <w:jc w:val="center"/>
              <w:rPr>
                <w:rFonts w:ascii="宋体" w:hAnsi="宋体" w:cs="宋体" w:eastAsia="宋体" w:hint="default"/>
                <w:sz w:val="21"/>
                <w:szCs w:val="21"/>
              </w:rPr>
            </w:pPr>
            <w:r>
              <w:rPr>
                <w:rFonts w:ascii="宋体" w:hAnsi="宋体" w:cs="宋体" w:eastAsia="宋体" w:hint="default"/>
                <w:sz w:val="21"/>
                <w:szCs w:val="21"/>
              </w:rPr>
              <w:t>是</w:t>
            </w:r>
          </w:p>
        </w:tc>
      </w:tr>
      <w:tr>
        <w:trPr>
          <w:trHeight w:val="427" w:hRule="exact"/>
        </w:trPr>
        <w:tc>
          <w:tcPr>
            <w:tcW w:w="737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6"/>
              <w:ind w:left="2"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公司年度环保投支出金额（万元）</w:t>
            </w:r>
          </w:p>
        </w:tc>
        <w:tc>
          <w:tcPr>
            <w:tcW w:w="21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0"/>
              <w:jc w:val="center"/>
              <w:rPr>
                <w:rFonts w:ascii="宋体" w:hAnsi="宋体" w:cs="宋体" w:eastAsia="宋体" w:hint="default"/>
                <w:sz w:val="21"/>
                <w:szCs w:val="21"/>
              </w:rPr>
            </w:pPr>
            <w:r>
              <w:rPr>
                <w:rFonts w:ascii="宋体"/>
                <w:sz w:val="21"/>
              </w:rPr>
              <w:t>0.69</w:t>
            </w:r>
          </w:p>
        </w:tc>
      </w:tr>
      <w:tr>
        <w:trPr>
          <w:trHeight w:val="1363" w:hRule="exact"/>
        </w:trPr>
        <w:tc>
          <w:tcPr>
            <w:tcW w:w="737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7"/>
              <w:ind w:right="0"/>
              <w:jc w:val="left"/>
              <w:rPr>
                <w:rFonts w:ascii="宋体" w:hAnsi="宋体" w:cs="宋体" w:eastAsia="宋体" w:hint="default"/>
                <w:b/>
                <w:bCs/>
                <w:sz w:val="18"/>
                <w:szCs w:val="18"/>
              </w:rPr>
            </w:pPr>
          </w:p>
          <w:p>
            <w:pPr>
              <w:pStyle w:val="TableParagraph"/>
              <w:spacing w:line="240" w:lineRule="auto"/>
              <w:ind w:left="2"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公司“废气、废水、废渣”三废减排绩效</w:t>
            </w:r>
          </w:p>
        </w:tc>
        <w:tc>
          <w:tcPr>
            <w:tcW w:w="2196"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36"/>
              <w:ind w:left="2" w:right="-7"/>
              <w:jc w:val="both"/>
              <w:rPr>
                <w:rFonts w:ascii="宋体" w:hAnsi="宋体" w:cs="宋体" w:eastAsia="宋体" w:hint="default"/>
                <w:sz w:val="21"/>
                <w:szCs w:val="21"/>
              </w:rPr>
            </w:pPr>
            <w:r>
              <w:rPr>
                <w:rFonts w:ascii="宋体" w:hAnsi="宋体" w:cs="宋体" w:eastAsia="宋体" w:hint="default"/>
                <w:spacing w:val="7"/>
                <w:sz w:val="21"/>
                <w:szCs w:val="21"/>
              </w:rPr>
              <w:t>公司属软件集成企业，</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7"/>
                <w:sz w:val="21"/>
                <w:szCs w:val="21"/>
              </w:rPr>
              <w:t>除有少量办公废水排放</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8"/>
                <w:sz w:val="21"/>
                <w:szCs w:val="21"/>
              </w:rPr>
              <w:t>外，无其他“废气、废</w:t>
            </w:r>
            <w:r>
              <w:rPr>
                <w:rFonts w:ascii="宋体" w:hAnsi="宋体" w:cs="宋体" w:eastAsia="宋体" w:hint="default"/>
                <w:spacing w:val="8"/>
                <w:sz w:val="21"/>
                <w:szCs w:val="21"/>
              </w:rPr>
              <w:t> </w:t>
            </w:r>
            <w:r>
              <w:rPr>
                <w:rFonts w:ascii="宋体" w:hAnsi="宋体" w:cs="宋体" w:eastAsia="宋体" w:hint="default"/>
                <w:sz w:val="21"/>
                <w:szCs w:val="21"/>
              </w:rPr>
              <w:t>水、废渣”的排放。</w:t>
            </w:r>
          </w:p>
        </w:tc>
      </w:tr>
      <w:tr>
        <w:trPr>
          <w:trHeight w:val="427" w:hRule="exact"/>
        </w:trPr>
        <w:tc>
          <w:tcPr>
            <w:tcW w:w="737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6"/>
              <w:ind w:left="2"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公司投资于雇员个人知识和技能提高以提升雇员职业发展能力的投入（万元）</w:t>
            </w:r>
          </w:p>
        </w:tc>
        <w:tc>
          <w:tcPr>
            <w:tcW w:w="21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0"/>
              <w:jc w:val="center"/>
              <w:rPr>
                <w:rFonts w:ascii="宋体" w:hAnsi="宋体" w:cs="宋体" w:eastAsia="宋体" w:hint="default"/>
                <w:sz w:val="21"/>
                <w:szCs w:val="21"/>
              </w:rPr>
            </w:pPr>
            <w:r>
              <w:rPr>
                <w:rFonts w:ascii="宋体"/>
                <w:sz w:val="21"/>
              </w:rPr>
              <w:t>6.28</w:t>
            </w:r>
          </w:p>
        </w:tc>
      </w:tr>
      <w:tr>
        <w:trPr>
          <w:trHeight w:val="346" w:hRule="exact"/>
        </w:trPr>
        <w:tc>
          <w:tcPr>
            <w:tcW w:w="737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70" w:lineRule="exact"/>
              <w:ind w:left="107"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z w:val="21"/>
                <w:szCs w:val="21"/>
              </w:rPr>
              <w:t>公司的社会公益捐赠（资金、物资、无偿专业服务）金额（万元）</w:t>
            </w:r>
          </w:p>
        </w:tc>
        <w:tc>
          <w:tcPr>
            <w:tcW w:w="2196"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0"/>
              <w:jc w:val="center"/>
              <w:rPr>
                <w:rFonts w:ascii="宋体" w:hAnsi="宋体" w:cs="宋体" w:eastAsia="宋体" w:hint="default"/>
                <w:sz w:val="21"/>
                <w:szCs w:val="21"/>
              </w:rPr>
            </w:pPr>
            <w:r>
              <w:rPr>
                <w:rFonts w:ascii="宋体"/>
                <w:sz w:val="21"/>
              </w:rPr>
              <w:t>11.00</w:t>
            </w:r>
          </w:p>
        </w:tc>
      </w:tr>
    </w:tbl>
    <w:p>
      <w:pPr>
        <w:spacing w:line="240" w:lineRule="auto" w:before="10"/>
        <w:rPr>
          <w:rFonts w:ascii="宋体" w:hAnsi="宋体" w:cs="宋体" w:eastAsia="宋体" w:hint="default"/>
          <w:b/>
          <w:bCs/>
          <w:sz w:val="19"/>
          <w:szCs w:val="19"/>
        </w:rPr>
      </w:pPr>
    </w:p>
    <w:p>
      <w:pPr>
        <w:pStyle w:val="Heading2"/>
        <w:spacing w:line="240" w:lineRule="auto"/>
        <w:ind w:left="154" w:right="0"/>
        <w:jc w:val="both"/>
        <w:rPr>
          <w:b w:val="0"/>
          <w:bCs w:val="0"/>
        </w:rPr>
      </w:pPr>
      <w:bookmarkStart w:name="十九、其他重大事项的说明" w:id="121"/>
      <w:bookmarkEnd w:id="121"/>
      <w:r>
        <w:rPr>
          <w:b w:val="0"/>
          <w:bCs w:val="0"/>
        </w:rPr>
      </w:r>
      <w:r>
        <w:rPr/>
        <w:t>十九、其他重大事项的说明</w:t>
      </w:r>
      <w:r>
        <w:rPr>
          <w:b w:val="0"/>
          <w:bCs w:val="0"/>
        </w:rPr>
      </w:r>
    </w:p>
    <w:p>
      <w:pPr>
        <w:spacing w:line="240" w:lineRule="auto" w:before="6"/>
        <w:rPr>
          <w:rFonts w:ascii="宋体" w:hAnsi="宋体" w:cs="宋体" w:eastAsia="宋体" w:hint="default"/>
          <w:b/>
          <w:bCs/>
          <w:sz w:val="32"/>
          <w:szCs w:val="32"/>
        </w:rPr>
      </w:pPr>
    </w:p>
    <w:p>
      <w:pPr>
        <w:pStyle w:val="BodyText"/>
        <w:spacing w:line="240" w:lineRule="auto" w:before="0"/>
        <w:ind w:left="617" w:right="993"/>
        <w:jc w:val="center"/>
      </w:pPr>
      <w:r>
        <w:rPr/>
        <w:t>公司于</w:t>
      </w:r>
      <w:r>
        <w:rPr>
          <w:spacing w:val="-62"/>
        </w:rPr>
        <w:t> </w:t>
      </w:r>
      <w:r>
        <w:rPr>
          <w:rFonts w:ascii="宋体" w:hAnsi="宋体" w:cs="宋体" w:eastAsia="宋体" w:hint="default"/>
        </w:rPr>
        <w:t>2015</w:t>
      </w:r>
      <w:r>
        <w:rPr>
          <w:rFonts w:ascii="宋体" w:hAnsi="宋体" w:cs="宋体" w:eastAsia="宋体" w:hint="default"/>
          <w:spacing w:val="-63"/>
        </w:rPr>
        <w:t> </w:t>
      </w:r>
      <w:r>
        <w:rPr/>
        <w:t>年度启动了</w:t>
      </w:r>
      <w:r>
        <w:rPr>
          <w:spacing w:val="-63"/>
        </w:rPr>
        <w:t> </w:t>
      </w:r>
      <w:r>
        <w:rPr>
          <w:rFonts w:ascii="宋体" w:hAnsi="宋体" w:cs="宋体" w:eastAsia="宋体" w:hint="default"/>
        </w:rPr>
        <w:t>2015</w:t>
      </w:r>
      <w:r>
        <w:rPr>
          <w:rFonts w:ascii="宋体" w:hAnsi="宋体" w:cs="宋体" w:eastAsia="宋体" w:hint="default"/>
          <w:spacing w:val="-63"/>
        </w:rPr>
        <w:t> </w:t>
      </w:r>
      <w:r>
        <w:rPr/>
        <w:t>年度非公开发行</w:t>
      </w:r>
      <w:r>
        <w:rPr>
          <w:spacing w:val="-120"/>
        </w:rPr>
        <w:t>，</w:t>
      </w:r>
      <w:r>
        <w:rPr>
          <w:rFonts w:ascii="宋体" w:hAnsi="宋体" w:cs="宋体" w:eastAsia="宋体" w:hint="default"/>
        </w:rPr>
        <w:t>2016</w:t>
      </w:r>
      <w:r>
        <w:rPr>
          <w:rFonts w:ascii="宋体" w:hAnsi="宋体" w:cs="宋体" w:eastAsia="宋体" w:hint="default"/>
          <w:spacing w:val="-63"/>
        </w:rPr>
        <w:t> </w:t>
      </w:r>
      <w:r>
        <w:rPr/>
        <w:t>年</w:t>
      </w:r>
      <w:r>
        <w:rPr>
          <w:spacing w:val="-63"/>
        </w:rPr>
        <w:t> </w:t>
      </w:r>
      <w:r>
        <w:rPr>
          <w:rFonts w:ascii="宋体" w:hAnsi="宋体" w:cs="宋体" w:eastAsia="宋体" w:hint="default"/>
        </w:rPr>
        <w:t>11</w:t>
      </w:r>
      <w:r>
        <w:rPr>
          <w:rFonts w:ascii="宋体" w:hAnsi="宋体" w:cs="宋体" w:eastAsia="宋体" w:hint="default"/>
          <w:spacing w:val="-63"/>
        </w:rPr>
        <w:t> </w:t>
      </w:r>
      <w:r>
        <w:rPr/>
        <w:t>月</w:t>
      </w:r>
      <w:r>
        <w:rPr>
          <w:spacing w:val="-63"/>
        </w:rPr>
        <w:t> </w:t>
      </w:r>
      <w:r>
        <w:rPr>
          <w:rFonts w:ascii="宋体" w:hAnsi="宋体" w:cs="宋体" w:eastAsia="宋体" w:hint="default"/>
        </w:rPr>
        <w:t>18</w:t>
      </w:r>
      <w:r>
        <w:rPr>
          <w:rFonts w:ascii="宋体" w:hAnsi="宋体" w:cs="宋体" w:eastAsia="宋体" w:hint="default"/>
          <w:spacing w:val="-62"/>
        </w:rPr>
        <w:t> </w:t>
      </w:r>
      <w:r>
        <w:rPr/>
        <w:t>日通过中国证监会审核，</w:t>
      </w:r>
    </w:p>
    <w:p>
      <w:pPr>
        <w:pStyle w:val="BodyText"/>
        <w:spacing w:line="350" w:lineRule="auto" w:before="146"/>
        <w:ind w:right="1130"/>
        <w:jc w:val="both"/>
      </w:pPr>
      <w:r>
        <w:rPr/>
        <w:t>并于</w:t>
      </w:r>
      <w:r>
        <w:rPr>
          <w:spacing w:val="-59"/>
        </w:rPr>
        <w:t> </w:t>
      </w:r>
      <w:r>
        <w:rPr>
          <w:rFonts w:ascii="宋体" w:hAnsi="宋体" w:cs="宋体" w:eastAsia="宋体" w:hint="default"/>
        </w:rPr>
        <w:t>2017</w:t>
      </w:r>
      <w:r>
        <w:rPr>
          <w:rFonts w:ascii="宋体" w:hAnsi="宋体" w:cs="宋体" w:eastAsia="宋体" w:hint="default"/>
          <w:spacing w:val="-59"/>
        </w:rPr>
        <w:t> </w:t>
      </w:r>
      <w:r>
        <w:rPr/>
        <w:t>年</w:t>
      </w:r>
      <w:r>
        <w:rPr>
          <w:spacing w:val="-59"/>
        </w:rPr>
        <w:t> </w:t>
      </w:r>
      <w:r>
        <w:rPr>
          <w:rFonts w:ascii="宋体" w:hAnsi="宋体" w:cs="宋体" w:eastAsia="宋体" w:hint="default"/>
        </w:rPr>
        <w:t>4</w:t>
      </w:r>
      <w:r>
        <w:rPr>
          <w:rFonts w:ascii="宋体" w:hAnsi="宋体" w:cs="宋体" w:eastAsia="宋体" w:hint="default"/>
          <w:spacing w:val="-59"/>
        </w:rPr>
        <w:t> </w:t>
      </w:r>
      <w:r>
        <w:rPr/>
        <w:t>月</w:t>
      </w:r>
      <w:r>
        <w:rPr>
          <w:spacing w:val="-59"/>
        </w:rPr>
        <w:t> </w:t>
      </w:r>
      <w:r>
        <w:rPr>
          <w:rFonts w:ascii="宋体" w:hAnsi="宋体" w:cs="宋体" w:eastAsia="宋体" w:hint="default"/>
        </w:rPr>
        <w:t>10</w:t>
      </w:r>
      <w:r>
        <w:rPr>
          <w:rFonts w:ascii="宋体" w:hAnsi="宋体" w:cs="宋体" w:eastAsia="宋体" w:hint="default"/>
          <w:spacing w:val="-59"/>
        </w:rPr>
        <w:t> </w:t>
      </w:r>
      <w:r>
        <w:rPr>
          <w:spacing w:val="-3"/>
        </w:rPr>
        <w:t>日收到中国证监会核准发行的批文，详见</w:t>
      </w:r>
      <w:r>
        <w:rPr>
          <w:spacing w:val="-59"/>
        </w:rPr>
        <w:t> </w:t>
      </w:r>
      <w:r>
        <w:rPr>
          <w:rFonts w:ascii="宋体" w:hAnsi="宋体" w:cs="宋体" w:eastAsia="宋体" w:hint="default"/>
        </w:rPr>
        <w:t>2016</w:t>
      </w:r>
      <w:r>
        <w:rPr>
          <w:rFonts w:ascii="宋体" w:hAnsi="宋体" w:cs="宋体" w:eastAsia="宋体" w:hint="default"/>
          <w:spacing w:val="-59"/>
        </w:rPr>
        <w:t> </w:t>
      </w:r>
      <w:r>
        <w:rPr/>
        <w:t>年</w:t>
      </w:r>
      <w:r>
        <w:rPr>
          <w:spacing w:val="-59"/>
        </w:rPr>
        <w:t> </w:t>
      </w:r>
      <w:r>
        <w:rPr>
          <w:rFonts w:ascii="宋体" w:hAnsi="宋体" w:cs="宋体" w:eastAsia="宋体" w:hint="default"/>
        </w:rPr>
        <w:t>11</w:t>
      </w:r>
      <w:r>
        <w:rPr>
          <w:rFonts w:ascii="宋体" w:hAnsi="宋体" w:cs="宋体" w:eastAsia="宋体" w:hint="default"/>
          <w:spacing w:val="-59"/>
        </w:rPr>
        <w:t> </w:t>
      </w:r>
      <w:r>
        <w:rPr/>
        <w:t>月</w:t>
      </w:r>
      <w:r>
        <w:rPr>
          <w:spacing w:val="-59"/>
        </w:rPr>
        <w:t> </w:t>
      </w:r>
      <w:r>
        <w:rPr>
          <w:rFonts w:ascii="宋体" w:hAnsi="宋体" w:cs="宋体" w:eastAsia="宋体" w:hint="default"/>
        </w:rPr>
        <w:t>19</w:t>
      </w:r>
      <w:r>
        <w:rPr>
          <w:rFonts w:ascii="宋体" w:hAnsi="宋体" w:cs="宋体" w:eastAsia="宋体" w:hint="default"/>
          <w:spacing w:val="-59"/>
        </w:rPr>
        <w:t> </w:t>
      </w:r>
      <w:r>
        <w:rPr>
          <w:spacing w:val="-7"/>
        </w:rPr>
        <w:t>日、</w:t>
      </w:r>
      <w:r>
        <w:rPr>
          <w:rFonts w:ascii="宋体" w:hAnsi="宋体" w:cs="宋体" w:eastAsia="宋体" w:hint="default"/>
          <w:spacing w:val="-7"/>
        </w:rPr>
        <w:t>2017</w:t>
      </w:r>
      <w:r>
        <w:rPr>
          <w:rFonts w:ascii="宋体" w:hAnsi="宋体" w:cs="宋体" w:eastAsia="宋体" w:hint="default"/>
          <w:spacing w:val="-59"/>
        </w:rPr>
        <w:t> </w:t>
      </w:r>
      <w:r>
        <w:rPr/>
        <w:t>年</w:t>
      </w:r>
      <w:r>
        <w:rPr>
          <w:spacing w:val="-59"/>
        </w:rPr>
        <w:t> </w:t>
      </w:r>
      <w:r>
        <w:rPr>
          <w:rFonts w:ascii="宋体" w:hAnsi="宋体" w:cs="宋体" w:eastAsia="宋体" w:hint="default"/>
        </w:rPr>
        <w:t>4 </w:t>
      </w:r>
      <w:r>
        <w:rPr/>
        <w:t>月</w:t>
      </w:r>
      <w:r>
        <w:rPr>
          <w:spacing w:val="-55"/>
        </w:rPr>
        <w:t> </w:t>
      </w:r>
      <w:r>
        <w:rPr>
          <w:rFonts w:ascii="宋体" w:hAnsi="宋体" w:cs="宋体" w:eastAsia="宋体" w:hint="default"/>
        </w:rPr>
        <w:t>11</w:t>
      </w:r>
      <w:r>
        <w:rPr>
          <w:rFonts w:ascii="宋体" w:hAnsi="宋体" w:cs="宋体" w:eastAsia="宋体" w:hint="default"/>
          <w:spacing w:val="-55"/>
        </w:rPr>
        <w:t> </w:t>
      </w:r>
      <w:r>
        <w:rPr>
          <w:spacing w:val="-12"/>
        </w:rPr>
        <w:t>日刊登在《证券时报》、《中国证券报》、巨潮资讯网《关于非公开发行</w:t>
      </w:r>
      <w:r>
        <w:rPr>
          <w:spacing w:val="-55"/>
        </w:rPr>
        <w:t> </w:t>
      </w:r>
      <w:r>
        <w:rPr>
          <w:rFonts w:ascii="宋体" w:hAnsi="宋体" w:cs="宋体" w:eastAsia="宋体" w:hint="default"/>
        </w:rPr>
        <w:t>A</w:t>
      </w:r>
      <w:r>
        <w:rPr>
          <w:rFonts w:ascii="宋体" w:hAnsi="宋体" w:cs="宋体" w:eastAsia="宋体" w:hint="default"/>
          <w:spacing w:val="-55"/>
        </w:rPr>
        <w:t> </w:t>
      </w:r>
      <w:r>
        <w:rPr/>
        <w:t>股股票申请获</w:t>
      </w:r>
      <w:r>
        <w:rPr>
          <w:spacing w:val="-117"/>
        </w:rPr>
        <w:t> </w:t>
      </w:r>
      <w:r>
        <w:rPr>
          <w:spacing w:val="-5"/>
        </w:rPr>
        <w:t>得中国证券监督管理委员会发行审核委员会审核通过的公告》（</w:t>
      </w:r>
      <w:r>
        <w:rPr>
          <w:rFonts w:ascii="宋体" w:hAnsi="宋体" w:cs="宋体" w:eastAsia="宋体" w:hint="default"/>
          <w:spacing w:val="-5"/>
        </w:rPr>
        <w:t>2016-093</w:t>
      </w:r>
      <w:r>
        <w:rPr>
          <w:spacing w:val="-5"/>
        </w:rPr>
        <w:t>）和《关于收到中国</w:t>
      </w:r>
      <w:r>
        <w:rPr>
          <w:spacing w:val="-99"/>
        </w:rPr>
        <w:t> </w:t>
      </w:r>
      <w:r>
        <w:rPr>
          <w:spacing w:val="-99"/>
        </w:rPr>
      </w:r>
      <w:r>
        <w:rPr>
          <w:spacing w:val="-13"/>
        </w:rPr>
        <w:t>证监会核准非公开发行股票批文的公告》（</w:t>
      </w:r>
      <w:r>
        <w:rPr>
          <w:rFonts w:ascii="宋体" w:hAnsi="宋体" w:cs="宋体" w:eastAsia="宋体" w:hint="default"/>
          <w:spacing w:val="-13"/>
        </w:rPr>
        <w:t>2017-019</w:t>
      </w:r>
      <w:r>
        <w:rPr>
          <w:spacing w:val="-13"/>
        </w:rPr>
        <w:t>）。</w:t>
      </w:r>
      <w:r>
        <w:rPr/>
      </w:r>
    </w:p>
    <w:p>
      <w:pPr>
        <w:pStyle w:val="BodyText"/>
        <w:spacing w:line="240" w:lineRule="auto" w:before="35"/>
        <w:ind w:left="615" w:right="993"/>
        <w:jc w:val="center"/>
      </w:pPr>
      <w:r>
        <w:rPr>
          <w:spacing w:val="-3"/>
        </w:rPr>
        <w:t>报告期内，公司召开第六届董事会第三次会议、第六届监事会第三次会议，审议通过了</w:t>
      </w:r>
    </w:p>
    <w:p>
      <w:pPr>
        <w:pStyle w:val="BodyText"/>
        <w:spacing w:line="240" w:lineRule="auto" w:before="145"/>
        <w:ind w:left="154" w:right="0"/>
        <w:jc w:val="both"/>
      </w:pPr>
      <w:r>
        <w:rPr/>
        <w:t>《关于终止公司非公开发行股票事项的议案，详见公司于</w:t>
      </w:r>
      <w:r>
        <w:rPr>
          <w:spacing w:val="-60"/>
        </w:rPr>
        <w:t> </w:t>
      </w:r>
      <w:r>
        <w:rPr>
          <w:rFonts w:ascii="宋体" w:hAnsi="宋体" w:cs="宋体" w:eastAsia="宋体" w:hint="default"/>
        </w:rPr>
        <w:t>2017</w:t>
      </w:r>
      <w:r>
        <w:rPr>
          <w:rFonts w:ascii="宋体" w:hAnsi="宋体" w:cs="宋体" w:eastAsia="宋体" w:hint="default"/>
          <w:spacing w:val="-60"/>
        </w:rPr>
        <w:t> </w:t>
      </w:r>
      <w:r>
        <w:rPr/>
        <w:t>年</w:t>
      </w:r>
      <w:r>
        <w:rPr>
          <w:spacing w:val="-60"/>
        </w:rPr>
        <w:t> </w:t>
      </w:r>
      <w:r>
        <w:rPr>
          <w:rFonts w:ascii="宋体" w:hAnsi="宋体" w:cs="宋体" w:eastAsia="宋体" w:hint="default"/>
        </w:rPr>
        <w:t>7</w:t>
      </w:r>
      <w:r>
        <w:rPr>
          <w:rFonts w:ascii="宋体" w:hAnsi="宋体" w:cs="宋体" w:eastAsia="宋体" w:hint="default"/>
          <w:spacing w:val="-60"/>
        </w:rPr>
        <w:t> </w:t>
      </w:r>
      <w:r>
        <w:rPr/>
        <w:t>月</w:t>
      </w:r>
      <w:r>
        <w:rPr>
          <w:spacing w:val="-60"/>
        </w:rPr>
        <w:t> </w:t>
      </w:r>
      <w:r>
        <w:rPr>
          <w:rFonts w:ascii="宋体" w:hAnsi="宋体" w:cs="宋体" w:eastAsia="宋体" w:hint="default"/>
        </w:rPr>
        <w:t>12</w:t>
      </w:r>
      <w:r>
        <w:rPr>
          <w:rFonts w:ascii="宋体" w:hAnsi="宋体" w:cs="宋体" w:eastAsia="宋体" w:hint="default"/>
          <w:spacing w:val="-60"/>
        </w:rPr>
        <w:t> </w:t>
      </w:r>
      <w:r>
        <w:rPr/>
        <w:t>日在《证券时报</w:t>
      </w:r>
      <w:r>
        <w:rPr>
          <w:spacing w:val="-120"/>
        </w:rPr>
        <w:t>》</w:t>
      </w:r>
      <w:r>
        <w:rPr/>
        <w:t>、</w:t>
      </w:r>
    </w:p>
    <w:p>
      <w:pPr>
        <w:pStyle w:val="BodyText"/>
        <w:spacing w:line="350" w:lineRule="auto" w:before="146"/>
        <w:ind w:right="1169"/>
        <w:jc w:val="both"/>
      </w:pPr>
      <w:r>
        <w:rPr/>
        <w:t>《中国证券报</w:t>
      </w:r>
      <w:r>
        <w:rPr>
          <w:spacing w:val="-120"/>
        </w:rPr>
        <w:t>》</w:t>
      </w:r>
      <w:r>
        <w:rPr/>
        <w:t>、巨潮资讯网上刊载的《关于终止公司非公开发行股票事项的公告</w:t>
      </w:r>
      <w:r>
        <w:rPr>
          <w:spacing w:val="1"/>
        </w:rPr>
        <w:t>（</w:t>
      </w:r>
      <w:r>
        <w:rPr>
          <w:rFonts w:ascii="宋体" w:hAnsi="宋体" w:cs="宋体" w:eastAsia="宋体" w:hint="default"/>
        </w:rPr>
        <w:t>2017-05 1</w:t>
      </w:r>
      <w:r>
        <w:rPr>
          <w:spacing w:val="-120"/>
        </w:rPr>
        <w:t>）》。</w:t>
      </w:r>
      <w:r>
        <w:rPr/>
      </w:r>
    </w:p>
    <w:p>
      <w:pPr>
        <w:pStyle w:val="Heading2"/>
        <w:spacing w:line="240" w:lineRule="auto" w:before="208"/>
        <w:ind w:left="154" w:right="0"/>
        <w:jc w:val="both"/>
        <w:rPr>
          <w:b w:val="0"/>
          <w:bCs w:val="0"/>
        </w:rPr>
      </w:pPr>
      <w:bookmarkStart w:name="二十、公司子公司重大事项" w:id="122"/>
      <w:bookmarkEnd w:id="122"/>
      <w:r>
        <w:rPr>
          <w:b w:val="0"/>
          <w:bCs w:val="0"/>
        </w:rPr>
      </w:r>
      <w:r>
        <w:rPr/>
        <w:t>二十、公司子公司重大事项</w:t>
      </w:r>
      <w:r>
        <w:rPr>
          <w:b w:val="0"/>
          <w:bCs w:val="0"/>
        </w:rPr>
      </w:r>
    </w:p>
    <w:p>
      <w:pPr>
        <w:spacing w:line="240" w:lineRule="auto" w:before="7"/>
        <w:rPr>
          <w:rFonts w:ascii="宋体" w:hAnsi="宋体" w:cs="宋体" w:eastAsia="宋体" w:hint="default"/>
          <w:b/>
          <w:bCs/>
          <w:sz w:val="32"/>
          <w:szCs w:val="32"/>
        </w:rPr>
      </w:pPr>
    </w:p>
    <w:p>
      <w:pPr>
        <w:pStyle w:val="BodyText"/>
        <w:spacing w:line="352" w:lineRule="auto" w:before="0"/>
        <w:ind w:right="1133" w:firstLine="480"/>
        <w:jc w:val="both"/>
      </w:pPr>
      <w:r>
        <w:rPr>
          <w:spacing w:val="-6"/>
        </w:rPr>
        <w:t>报告期内，公司收到参股子公司七彩通达的《通知函》，因涉及融资租赁债务纠纷，七彩</w:t>
      </w:r>
      <w:r>
        <w:rPr/>
        <w:t> 通达被北京市中信公证处通知强制执行，截止报告期末，七彩通达正在积极应对此次强制执 行，因暂未收到强制执行证书，执行结果尚存在不确定性。详见公司</w:t>
      </w:r>
      <w:r>
        <w:rPr>
          <w:spacing w:val="-59"/>
        </w:rPr>
        <w:t> </w:t>
      </w:r>
      <w:r>
        <w:rPr>
          <w:rFonts w:ascii="宋体" w:hAnsi="宋体" w:cs="宋体" w:eastAsia="宋体" w:hint="default"/>
        </w:rPr>
        <w:t>2017</w:t>
      </w:r>
      <w:r>
        <w:rPr>
          <w:rFonts w:ascii="宋体" w:hAnsi="宋体" w:cs="宋体" w:eastAsia="宋体" w:hint="default"/>
          <w:spacing w:val="-60"/>
        </w:rPr>
        <w:t> </w:t>
      </w:r>
      <w:r>
        <w:rPr/>
        <w:t>年</w:t>
      </w:r>
      <w:r>
        <w:rPr>
          <w:spacing w:val="-60"/>
        </w:rPr>
        <w:t> </w:t>
      </w:r>
      <w:r>
        <w:rPr>
          <w:rFonts w:ascii="宋体" w:hAnsi="宋体" w:cs="宋体" w:eastAsia="宋体" w:hint="default"/>
        </w:rPr>
        <w:t>7</w:t>
      </w:r>
      <w:r>
        <w:rPr>
          <w:rFonts w:ascii="宋体" w:hAnsi="宋体" w:cs="宋体" w:eastAsia="宋体" w:hint="default"/>
          <w:spacing w:val="-60"/>
        </w:rPr>
        <w:t> </w:t>
      </w:r>
      <w:r>
        <w:rPr/>
        <w:t>月</w:t>
      </w:r>
      <w:r>
        <w:rPr>
          <w:spacing w:val="-60"/>
        </w:rPr>
        <w:t> </w:t>
      </w:r>
      <w:r>
        <w:rPr>
          <w:rFonts w:ascii="宋体" w:hAnsi="宋体" w:cs="宋体" w:eastAsia="宋体" w:hint="default"/>
        </w:rPr>
        <w:t>15</w:t>
      </w:r>
      <w:r>
        <w:rPr>
          <w:rFonts w:ascii="宋体" w:hAnsi="宋体" w:cs="宋体" w:eastAsia="宋体" w:hint="default"/>
          <w:spacing w:val="-60"/>
        </w:rPr>
        <w:t> </w:t>
      </w:r>
      <w:r>
        <w:rPr/>
        <w:t>日刊登</w:t>
      </w:r>
    </w:p>
    <w:p>
      <w:pPr>
        <w:spacing w:after="0" w:line="352" w:lineRule="auto"/>
        <w:jc w:val="both"/>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240" w:lineRule="auto" w:before="199"/>
        <w:ind w:right="996"/>
        <w:jc w:val="left"/>
      </w:pPr>
      <w:r>
        <w:rPr/>
        <w:t>于《证券时报</w:t>
      </w:r>
      <w:r>
        <w:rPr>
          <w:spacing w:val="-120"/>
        </w:rPr>
        <w:t>》、</w:t>
      </w:r>
      <w:r>
        <w:rPr/>
        <w:t>《中国证券报》及巨潮资讯网上的《关于参股子公司</w:t>
      </w:r>
      <w:r>
        <w:rPr>
          <w:spacing w:val="1"/>
        </w:rPr>
        <w:t>涉</w:t>
      </w:r>
      <w:r>
        <w:rPr/>
        <w:t>及强制执行的公告》</w:t>
      </w:r>
    </w:p>
    <w:p>
      <w:pPr>
        <w:pStyle w:val="BodyText"/>
        <w:spacing w:line="240" w:lineRule="auto" w:before="145"/>
        <w:ind w:right="996"/>
        <w:jc w:val="left"/>
      </w:pPr>
      <w:r>
        <w:rPr/>
        <w:t>（</w:t>
      </w:r>
      <w:r>
        <w:rPr>
          <w:rFonts w:ascii="宋体" w:hAnsi="宋体" w:cs="宋体" w:eastAsia="宋体" w:hint="default"/>
        </w:rPr>
        <w:t>2017-055</w:t>
      </w:r>
      <w:r>
        <w:rPr>
          <w:spacing w:val="-120"/>
        </w:rPr>
        <w:t>）</w:t>
      </w:r>
      <w:r>
        <w:rPr/>
        <w:t>。截至本报告期末，七彩通达未收到强制执行书。</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3"/>
          <w:szCs w:val="23"/>
        </w:rPr>
      </w:pPr>
    </w:p>
    <w:p>
      <w:pPr>
        <w:pStyle w:val="Heading1"/>
        <w:spacing w:line="240" w:lineRule="auto"/>
        <w:ind w:left="3065" w:right="997"/>
        <w:jc w:val="left"/>
        <w:rPr>
          <w:b w:val="0"/>
          <w:bCs w:val="0"/>
        </w:rPr>
      </w:pPr>
      <w:bookmarkStart w:name="第六节 股份变动及股东情况" w:id="123"/>
      <w:bookmarkEnd w:id="123"/>
      <w:r>
        <w:rPr>
          <w:b w:val="0"/>
          <w:bCs w:val="0"/>
        </w:rPr>
      </w:r>
      <w:bookmarkStart w:name="_bookmark6" w:id="124"/>
      <w:bookmarkEnd w:id="124"/>
      <w:r>
        <w:rPr>
          <w:b w:val="0"/>
          <w:bCs w:val="0"/>
        </w:rPr>
      </w:r>
      <w:r>
        <w:rPr/>
        <w:t>第六节</w:t>
      </w:r>
      <w:r>
        <w:rPr>
          <w:spacing w:val="-10"/>
        </w:rPr>
        <w:t> </w:t>
      </w:r>
      <w:r>
        <w:rPr/>
        <w:t>股份变动及股东情况</w:t>
      </w:r>
      <w:r>
        <w:rPr>
          <w:b w:val="0"/>
          <w:bCs w:val="0"/>
        </w:rPr>
      </w: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6"/>
          <w:szCs w:val="16"/>
        </w:rPr>
      </w:pPr>
    </w:p>
    <w:p>
      <w:pPr>
        <w:pStyle w:val="Heading2"/>
        <w:spacing w:line="240" w:lineRule="auto"/>
        <w:ind w:left="253" w:right="997"/>
        <w:jc w:val="left"/>
        <w:rPr>
          <w:b w:val="0"/>
          <w:bCs w:val="0"/>
        </w:rPr>
      </w:pPr>
      <w:bookmarkStart w:name="一、股份变动情况" w:id="125"/>
      <w:bookmarkEnd w:id="125"/>
      <w:r>
        <w:rPr>
          <w:b w:val="0"/>
          <w:bCs w:val="0"/>
        </w:rPr>
      </w:r>
      <w:r>
        <w:rPr/>
        <w:t>一、股份变动情况</w:t>
      </w:r>
      <w:r>
        <w:rPr>
          <w:b w:val="0"/>
          <w:bCs w:val="0"/>
        </w:rPr>
      </w:r>
    </w:p>
    <w:p>
      <w:pPr>
        <w:spacing w:line="240" w:lineRule="auto" w:before="0"/>
        <w:rPr>
          <w:rFonts w:ascii="宋体" w:hAnsi="宋体" w:cs="宋体" w:eastAsia="宋体" w:hint="default"/>
          <w:b/>
          <w:bCs/>
          <w:sz w:val="20"/>
          <w:szCs w:val="20"/>
        </w:rPr>
      </w:pPr>
    </w:p>
    <w:p>
      <w:pPr>
        <w:spacing w:after="0" w:line="240" w:lineRule="auto"/>
        <w:rPr>
          <w:rFonts w:ascii="宋体" w:hAnsi="宋体" w:cs="宋体" w:eastAsia="宋体" w:hint="default"/>
          <w:sz w:val="20"/>
          <w:szCs w:val="20"/>
        </w:rPr>
        <w:sectPr>
          <w:pgSz w:w="11910" w:h="16840"/>
          <w:pgMar w:header="747" w:footer="979" w:top="1060" w:bottom="1160" w:left="880" w:right="0"/>
        </w:sectPr>
      </w:pPr>
    </w:p>
    <w:p>
      <w:pPr>
        <w:pStyle w:val="Heading2"/>
        <w:spacing w:line="240" w:lineRule="auto" w:before="163"/>
        <w:ind w:left="736" w:right="0"/>
        <w:jc w:val="left"/>
        <w:rPr>
          <w:b w:val="0"/>
          <w:bCs w:val="0"/>
        </w:rPr>
      </w:pPr>
      <w:bookmarkStart w:name="1、股份变动情况" w:id="126"/>
      <w:bookmarkEnd w:id="126"/>
      <w:r>
        <w:rPr>
          <w:b w:val="0"/>
          <w:bCs w:val="0"/>
        </w:rPr>
      </w:r>
      <w:r>
        <w:rPr>
          <w:rFonts w:ascii="宋体" w:hAnsi="宋体" w:cs="宋体" w:eastAsia="宋体" w:hint="default"/>
          <w:w w:val="95"/>
        </w:rPr>
        <w:t>1</w:t>
      </w:r>
      <w:r>
        <w:rPr>
          <w:w w:val="95"/>
        </w:rPr>
        <w:t>、股份变动情况</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12"/>
        <w:rPr>
          <w:rFonts w:ascii="宋体" w:hAnsi="宋体" w:cs="宋体" w:eastAsia="宋体" w:hint="default"/>
          <w:b/>
          <w:bCs/>
          <w:sz w:val="22"/>
          <w:szCs w:val="22"/>
        </w:rPr>
      </w:pPr>
    </w:p>
    <w:p>
      <w:pPr>
        <w:spacing w:before="0"/>
        <w:ind w:left="736" w:right="0" w:firstLine="0"/>
        <w:jc w:val="left"/>
        <w:rPr>
          <w:rFonts w:ascii="宋体" w:hAnsi="宋体" w:cs="宋体" w:eastAsia="宋体" w:hint="default"/>
          <w:sz w:val="21"/>
          <w:szCs w:val="21"/>
        </w:rPr>
      </w:pPr>
      <w:r>
        <w:rPr>
          <w:rFonts w:ascii="宋体" w:hAnsi="宋体" w:cs="宋体" w:eastAsia="宋体" w:hint="default"/>
          <w:sz w:val="21"/>
          <w:szCs w:val="21"/>
        </w:rPr>
        <w:t>单位：股</w:t>
      </w:r>
    </w:p>
    <w:p>
      <w:pPr>
        <w:spacing w:after="0"/>
        <w:jc w:val="left"/>
        <w:rPr>
          <w:rFonts w:ascii="宋体" w:hAnsi="宋体" w:cs="宋体" w:eastAsia="宋体" w:hint="default"/>
          <w:sz w:val="21"/>
          <w:szCs w:val="21"/>
        </w:rPr>
        <w:sectPr>
          <w:type w:val="continuous"/>
          <w:pgSz w:w="11910" w:h="16840"/>
          <w:pgMar w:top="1060" w:bottom="1160" w:left="880" w:right="0"/>
          <w:cols w:num="2" w:equalWidth="0">
            <w:col w:w="2543" w:space="5774"/>
            <w:col w:w="2713"/>
          </w:cols>
        </w:sectPr>
      </w:pPr>
    </w:p>
    <w:p>
      <w:pPr>
        <w:spacing w:line="240" w:lineRule="auto" w:before="12"/>
        <w:rPr>
          <w:rFonts w:ascii="宋体" w:hAnsi="宋体" w:cs="宋体" w:eastAsia="宋体" w:hint="default"/>
          <w:sz w:val="6"/>
          <w:szCs w:val="6"/>
        </w:rPr>
      </w:pPr>
    </w:p>
    <w:tbl>
      <w:tblPr>
        <w:tblW w:w="0" w:type="auto"/>
        <w:jc w:val="left"/>
        <w:tblInd w:w="118" w:type="dxa"/>
        <w:tblLayout w:type="fixed"/>
        <w:tblCellMar>
          <w:top w:w="0" w:type="dxa"/>
          <w:left w:w="0" w:type="dxa"/>
          <w:bottom w:w="0" w:type="dxa"/>
          <w:right w:w="0" w:type="dxa"/>
        </w:tblCellMar>
        <w:tblLook w:val="01E0"/>
      </w:tblPr>
      <w:tblGrid>
        <w:gridCol w:w="1962"/>
        <w:gridCol w:w="1288"/>
        <w:gridCol w:w="851"/>
        <w:gridCol w:w="566"/>
        <w:gridCol w:w="426"/>
        <w:gridCol w:w="708"/>
        <w:gridCol w:w="994"/>
        <w:gridCol w:w="992"/>
        <w:gridCol w:w="1277"/>
        <w:gridCol w:w="850"/>
      </w:tblGrid>
      <w:tr>
        <w:trPr>
          <w:trHeight w:val="403" w:hRule="exact"/>
        </w:trPr>
        <w:tc>
          <w:tcPr>
            <w:tcW w:w="1962" w:type="dxa"/>
            <w:tcBorders>
              <w:top w:val="single" w:sz="4" w:space="0" w:color="000000"/>
              <w:left w:val="single" w:sz="4" w:space="0" w:color="000000"/>
              <w:bottom w:val="nil" w:sz="6" w:space="0" w:color="auto"/>
              <w:right w:val="single" w:sz="4" w:space="0" w:color="000000"/>
            </w:tcBorders>
            <w:shd w:val="clear" w:color="auto" w:fill="D2D2D2"/>
          </w:tcPr>
          <w:p>
            <w:pPr/>
          </w:p>
        </w:tc>
        <w:tc>
          <w:tcPr>
            <w:tcW w:w="213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544" w:right="0"/>
              <w:jc w:val="left"/>
              <w:rPr>
                <w:rFonts w:ascii="宋体" w:hAnsi="宋体" w:cs="宋体" w:eastAsia="宋体" w:hint="default"/>
                <w:sz w:val="21"/>
                <w:szCs w:val="21"/>
              </w:rPr>
            </w:pPr>
            <w:r>
              <w:rPr>
                <w:rFonts w:ascii="宋体" w:hAnsi="宋体" w:cs="宋体" w:eastAsia="宋体" w:hint="default"/>
                <w:sz w:val="21"/>
                <w:szCs w:val="21"/>
              </w:rPr>
              <w:t>本次变动前</w:t>
            </w:r>
          </w:p>
        </w:tc>
        <w:tc>
          <w:tcPr>
            <w:tcW w:w="3686"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682" w:right="0"/>
              <w:jc w:val="left"/>
              <w:rPr>
                <w:rFonts w:ascii="宋体" w:hAnsi="宋体" w:cs="宋体" w:eastAsia="宋体" w:hint="default"/>
                <w:sz w:val="21"/>
                <w:szCs w:val="21"/>
              </w:rPr>
            </w:pPr>
            <w:r>
              <w:rPr>
                <w:rFonts w:ascii="宋体" w:hAnsi="宋体" w:cs="宋体" w:eastAsia="宋体" w:hint="default"/>
                <w:sz w:val="21"/>
                <w:szCs w:val="21"/>
              </w:rPr>
              <w:t>本次变动增减（＋，－）</w:t>
            </w:r>
          </w:p>
        </w:tc>
        <w:tc>
          <w:tcPr>
            <w:tcW w:w="21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532" w:right="0"/>
              <w:jc w:val="left"/>
              <w:rPr>
                <w:rFonts w:ascii="宋体" w:hAnsi="宋体" w:cs="宋体" w:eastAsia="宋体" w:hint="default"/>
                <w:sz w:val="21"/>
                <w:szCs w:val="21"/>
              </w:rPr>
            </w:pPr>
            <w:r>
              <w:rPr>
                <w:rFonts w:ascii="宋体" w:hAnsi="宋体" w:cs="宋体" w:eastAsia="宋体" w:hint="default"/>
                <w:sz w:val="21"/>
                <w:szCs w:val="21"/>
              </w:rPr>
              <w:t>本次变动后</w:t>
            </w:r>
          </w:p>
        </w:tc>
      </w:tr>
      <w:tr>
        <w:trPr>
          <w:trHeight w:val="161" w:hRule="exact"/>
        </w:trPr>
        <w:tc>
          <w:tcPr>
            <w:tcW w:w="1962" w:type="dxa"/>
            <w:vMerge w:val="restart"/>
            <w:tcBorders>
              <w:top w:val="nil" w:sz="6" w:space="0" w:color="auto"/>
              <w:left w:val="single" w:sz="4" w:space="0" w:color="000000"/>
              <w:right w:val="single" w:sz="4" w:space="0" w:color="000000"/>
            </w:tcBorders>
            <w:shd w:val="clear" w:color="auto" w:fill="D2D2D2"/>
          </w:tcPr>
          <w:p>
            <w:pPr/>
          </w:p>
        </w:tc>
        <w:tc>
          <w:tcPr>
            <w:tcW w:w="1288" w:type="dxa"/>
            <w:tcBorders>
              <w:top w:val="single" w:sz="4" w:space="0" w:color="000000"/>
              <w:left w:val="single" w:sz="4" w:space="0" w:color="000000"/>
              <w:bottom w:val="nil" w:sz="6" w:space="0" w:color="auto"/>
              <w:right w:val="single" w:sz="4" w:space="0" w:color="000000"/>
            </w:tcBorders>
            <w:shd w:val="clear" w:color="auto" w:fill="D2D2D2"/>
          </w:tcPr>
          <w:p>
            <w:pPr/>
          </w:p>
        </w:tc>
        <w:tc>
          <w:tcPr>
            <w:tcW w:w="851" w:type="dxa"/>
            <w:tcBorders>
              <w:top w:val="single" w:sz="4" w:space="0" w:color="000000"/>
              <w:left w:val="single" w:sz="4" w:space="0" w:color="000000"/>
              <w:bottom w:val="nil" w:sz="6" w:space="0" w:color="auto"/>
              <w:right w:val="single" w:sz="4" w:space="0" w:color="000000"/>
            </w:tcBorders>
            <w:shd w:val="clear" w:color="auto" w:fill="D2D2D2"/>
          </w:tcPr>
          <w:p>
            <w:pPr/>
          </w:p>
        </w:tc>
        <w:tc>
          <w:tcPr>
            <w:tcW w:w="566"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26"/>
              <w:ind w:left="68" w:right="66"/>
              <w:jc w:val="left"/>
              <w:rPr>
                <w:rFonts w:ascii="宋体" w:hAnsi="宋体" w:cs="宋体" w:eastAsia="宋体" w:hint="default"/>
                <w:sz w:val="21"/>
                <w:szCs w:val="21"/>
              </w:rPr>
            </w:pPr>
            <w:r>
              <w:rPr>
                <w:rFonts w:ascii="宋体" w:hAnsi="宋体" w:cs="宋体" w:eastAsia="宋体" w:hint="default"/>
                <w:sz w:val="21"/>
                <w:szCs w:val="21"/>
              </w:rPr>
              <w:t>发行 新股</w:t>
            </w:r>
          </w:p>
        </w:tc>
        <w:tc>
          <w:tcPr>
            <w:tcW w:w="426"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26"/>
              <w:ind w:left="101" w:right="102"/>
              <w:jc w:val="left"/>
              <w:rPr>
                <w:rFonts w:ascii="宋体" w:hAnsi="宋体" w:cs="宋体" w:eastAsia="宋体" w:hint="default"/>
                <w:sz w:val="21"/>
                <w:szCs w:val="21"/>
              </w:rPr>
            </w:pPr>
            <w:r>
              <w:rPr>
                <w:rFonts w:ascii="宋体" w:hAnsi="宋体" w:cs="宋体" w:eastAsia="宋体" w:hint="default"/>
                <w:sz w:val="21"/>
                <w:szCs w:val="21"/>
              </w:rPr>
              <w:t>送 股</w:t>
            </w:r>
          </w:p>
        </w:tc>
        <w:tc>
          <w:tcPr>
            <w:tcW w:w="708"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26"/>
              <w:ind w:left="137" w:right="32" w:hanging="105"/>
              <w:jc w:val="left"/>
              <w:rPr>
                <w:rFonts w:ascii="宋体" w:hAnsi="宋体" w:cs="宋体" w:eastAsia="宋体" w:hint="default"/>
                <w:sz w:val="21"/>
                <w:szCs w:val="21"/>
              </w:rPr>
            </w:pPr>
            <w:r>
              <w:rPr>
                <w:rFonts w:ascii="宋体" w:hAnsi="宋体" w:cs="宋体" w:eastAsia="宋体" w:hint="default"/>
                <w:sz w:val="21"/>
                <w:szCs w:val="21"/>
              </w:rPr>
              <w:t>公积金 转股</w:t>
            </w:r>
          </w:p>
        </w:tc>
        <w:tc>
          <w:tcPr>
            <w:tcW w:w="994" w:type="dxa"/>
            <w:tcBorders>
              <w:top w:val="single" w:sz="4" w:space="0" w:color="000000"/>
              <w:left w:val="single" w:sz="4" w:space="0" w:color="000000"/>
              <w:bottom w:val="nil" w:sz="6" w:space="0" w:color="auto"/>
              <w:right w:val="single" w:sz="4" w:space="0" w:color="000000"/>
            </w:tcBorders>
            <w:shd w:val="clear" w:color="auto" w:fill="D2D2D2"/>
          </w:tcPr>
          <w:p>
            <w:pPr/>
          </w:p>
        </w:tc>
        <w:tc>
          <w:tcPr>
            <w:tcW w:w="992" w:type="dxa"/>
            <w:tcBorders>
              <w:top w:val="single" w:sz="4" w:space="0" w:color="000000"/>
              <w:left w:val="single" w:sz="4" w:space="0" w:color="000000"/>
              <w:bottom w:val="nil" w:sz="6" w:space="0" w:color="auto"/>
              <w:right w:val="single" w:sz="4" w:space="0" w:color="000000"/>
            </w:tcBorders>
            <w:shd w:val="clear" w:color="auto" w:fill="D2D2D2"/>
          </w:tcPr>
          <w:p>
            <w:pPr/>
          </w:p>
        </w:tc>
        <w:tc>
          <w:tcPr>
            <w:tcW w:w="1277" w:type="dxa"/>
            <w:tcBorders>
              <w:top w:val="single" w:sz="4" w:space="0" w:color="000000"/>
              <w:left w:val="single" w:sz="4" w:space="0" w:color="000000"/>
              <w:bottom w:val="nil" w:sz="6" w:space="0" w:color="auto"/>
              <w:right w:val="single" w:sz="4" w:space="0" w:color="000000"/>
            </w:tcBorders>
            <w:shd w:val="clear" w:color="auto" w:fill="D2D2D2"/>
          </w:tcPr>
          <w:p>
            <w:pPr/>
          </w:p>
        </w:tc>
        <w:tc>
          <w:tcPr>
            <w:tcW w:w="850"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1" w:hRule="exact"/>
        </w:trPr>
        <w:tc>
          <w:tcPr>
            <w:tcW w:w="1962" w:type="dxa"/>
            <w:vMerge/>
            <w:tcBorders>
              <w:left w:val="single" w:sz="4" w:space="0" w:color="000000"/>
              <w:bottom w:val="nil" w:sz="6" w:space="0" w:color="auto"/>
              <w:right w:val="single" w:sz="4" w:space="0" w:color="000000"/>
            </w:tcBorders>
            <w:shd w:val="clear" w:color="auto" w:fill="D2D2D2"/>
          </w:tcPr>
          <w:p>
            <w:pPr/>
          </w:p>
        </w:tc>
        <w:tc>
          <w:tcPr>
            <w:tcW w:w="128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6"/>
              <w:ind w:left="434" w:right="0"/>
              <w:jc w:val="left"/>
              <w:rPr>
                <w:rFonts w:ascii="宋体" w:hAnsi="宋体" w:cs="宋体" w:eastAsia="宋体" w:hint="default"/>
                <w:sz w:val="21"/>
                <w:szCs w:val="21"/>
              </w:rPr>
            </w:pPr>
            <w:r>
              <w:rPr>
                <w:rFonts w:ascii="宋体" w:hAnsi="宋体" w:cs="宋体" w:eastAsia="宋体" w:hint="default"/>
                <w:sz w:val="21"/>
                <w:szCs w:val="21"/>
              </w:rPr>
              <w:t>数量</w:t>
            </w:r>
          </w:p>
        </w:tc>
        <w:tc>
          <w:tcPr>
            <w:tcW w:w="85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6"/>
              <w:ind w:left="210" w:right="0"/>
              <w:jc w:val="left"/>
              <w:rPr>
                <w:rFonts w:ascii="宋体" w:hAnsi="宋体" w:cs="宋体" w:eastAsia="宋体" w:hint="default"/>
                <w:sz w:val="21"/>
                <w:szCs w:val="21"/>
              </w:rPr>
            </w:pPr>
            <w:r>
              <w:rPr>
                <w:rFonts w:ascii="宋体" w:hAnsi="宋体" w:cs="宋体" w:eastAsia="宋体" w:hint="default"/>
                <w:sz w:val="21"/>
                <w:szCs w:val="21"/>
              </w:rPr>
              <w:t>比例</w:t>
            </w:r>
          </w:p>
        </w:tc>
        <w:tc>
          <w:tcPr>
            <w:tcW w:w="566" w:type="dxa"/>
            <w:vMerge/>
            <w:tcBorders>
              <w:left w:val="single" w:sz="4" w:space="0" w:color="000000"/>
              <w:right w:val="single" w:sz="4" w:space="0" w:color="000000"/>
            </w:tcBorders>
            <w:shd w:val="clear" w:color="auto" w:fill="D2D2D2"/>
          </w:tcPr>
          <w:p>
            <w:pPr/>
          </w:p>
        </w:tc>
        <w:tc>
          <w:tcPr>
            <w:tcW w:w="426" w:type="dxa"/>
            <w:vMerge/>
            <w:tcBorders>
              <w:left w:val="single" w:sz="4" w:space="0" w:color="000000"/>
              <w:right w:val="single" w:sz="4" w:space="0" w:color="000000"/>
            </w:tcBorders>
            <w:shd w:val="clear" w:color="auto" w:fill="D2D2D2"/>
          </w:tcPr>
          <w:p>
            <w:pPr/>
          </w:p>
        </w:tc>
        <w:tc>
          <w:tcPr>
            <w:tcW w:w="708" w:type="dxa"/>
            <w:vMerge/>
            <w:tcBorders>
              <w:left w:val="single" w:sz="4" w:space="0" w:color="000000"/>
              <w:right w:val="single" w:sz="4" w:space="0" w:color="000000"/>
            </w:tcBorders>
            <w:shd w:val="clear" w:color="auto" w:fill="D2D2D2"/>
          </w:tcPr>
          <w:p>
            <w:pPr/>
          </w:p>
        </w:tc>
        <w:tc>
          <w:tcPr>
            <w:tcW w:w="99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6"/>
              <w:ind w:left="28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99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6"/>
              <w:ind w:left="280"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27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6"/>
              <w:ind w:left="422" w:right="0"/>
              <w:jc w:val="left"/>
              <w:rPr>
                <w:rFonts w:ascii="宋体" w:hAnsi="宋体" w:cs="宋体" w:eastAsia="宋体" w:hint="default"/>
                <w:sz w:val="21"/>
                <w:szCs w:val="21"/>
              </w:rPr>
            </w:pPr>
            <w:r>
              <w:rPr>
                <w:rFonts w:ascii="宋体" w:hAnsi="宋体" w:cs="宋体" w:eastAsia="宋体" w:hint="default"/>
                <w:sz w:val="21"/>
                <w:szCs w:val="21"/>
              </w:rPr>
              <w:t>数量</w:t>
            </w:r>
          </w:p>
        </w:tc>
        <w:tc>
          <w:tcPr>
            <w:tcW w:w="85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6"/>
              <w:ind w:left="210" w:right="0"/>
              <w:jc w:val="left"/>
              <w:rPr>
                <w:rFonts w:ascii="宋体" w:hAnsi="宋体" w:cs="宋体" w:eastAsia="宋体" w:hint="default"/>
                <w:sz w:val="21"/>
                <w:szCs w:val="21"/>
              </w:rPr>
            </w:pPr>
            <w:r>
              <w:rPr>
                <w:rFonts w:ascii="宋体" w:hAnsi="宋体" w:cs="宋体" w:eastAsia="宋体" w:hint="default"/>
                <w:sz w:val="21"/>
                <w:szCs w:val="21"/>
              </w:rPr>
              <w:t>比例</w:t>
            </w:r>
          </w:p>
        </w:tc>
      </w:tr>
      <w:tr>
        <w:trPr>
          <w:trHeight w:val="200" w:hRule="exact"/>
        </w:trPr>
        <w:tc>
          <w:tcPr>
            <w:tcW w:w="1962" w:type="dxa"/>
            <w:vMerge w:val="restart"/>
            <w:tcBorders>
              <w:top w:val="nil" w:sz="6" w:space="0" w:color="auto"/>
              <w:left w:val="single" w:sz="4" w:space="0" w:color="000000"/>
              <w:right w:val="single" w:sz="4" w:space="0" w:color="000000"/>
            </w:tcBorders>
            <w:shd w:val="clear" w:color="auto" w:fill="D2D2D2"/>
          </w:tcPr>
          <w:p>
            <w:pPr/>
          </w:p>
        </w:tc>
        <w:tc>
          <w:tcPr>
            <w:tcW w:w="1288" w:type="dxa"/>
            <w:vMerge/>
            <w:tcBorders>
              <w:left w:val="single" w:sz="4" w:space="0" w:color="000000"/>
              <w:bottom w:val="nil" w:sz="6" w:space="0" w:color="auto"/>
              <w:right w:val="single" w:sz="4" w:space="0" w:color="000000"/>
            </w:tcBorders>
            <w:shd w:val="clear" w:color="auto" w:fill="D2D2D2"/>
          </w:tcPr>
          <w:p>
            <w:pPr/>
          </w:p>
        </w:tc>
        <w:tc>
          <w:tcPr>
            <w:tcW w:w="851" w:type="dxa"/>
            <w:vMerge/>
            <w:tcBorders>
              <w:left w:val="single" w:sz="4" w:space="0" w:color="000000"/>
              <w:bottom w:val="nil" w:sz="6" w:space="0" w:color="auto"/>
              <w:right w:val="single" w:sz="4" w:space="0" w:color="000000"/>
            </w:tcBorders>
            <w:shd w:val="clear" w:color="auto" w:fill="D2D2D2"/>
          </w:tcPr>
          <w:p>
            <w:pPr/>
          </w:p>
        </w:tc>
        <w:tc>
          <w:tcPr>
            <w:tcW w:w="566" w:type="dxa"/>
            <w:vMerge/>
            <w:tcBorders>
              <w:left w:val="single" w:sz="4" w:space="0" w:color="000000"/>
              <w:right w:val="single" w:sz="4" w:space="0" w:color="000000"/>
            </w:tcBorders>
            <w:shd w:val="clear" w:color="auto" w:fill="D2D2D2"/>
          </w:tcPr>
          <w:p>
            <w:pPr/>
          </w:p>
        </w:tc>
        <w:tc>
          <w:tcPr>
            <w:tcW w:w="426" w:type="dxa"/>
            <w:vMerge/>
            <w:tcBorders>
              <w:left w:val="single" w:sz="4" w:space="0" w:color="000000"/>
              <w:right w:val="single" w:sz="4" w:space="0" w:color="000000"/>
            </w:tcBorders>
            <w:shd w:val="clear" w:color="auto" w:fill="D2D2D2"/>
          </w:tcPr>
          <w:p>
            <w:pPr/>
          </w:p>
        </w:tc>
        <w:tc>
          <w:tcPr>
            <w:tcW w:w="708" w:type="dxa"/>
            <w:vMerge/>
            <w:tcBorders>
              <w:left w:val="single" w:sz="4" w:space="0" w:color="000000"/>
              <w:right w:val="single" w:sz="4" w:space="0" w:color="000000"/>
            </w:tcBorders>
            <w:shd w:val="clear" w:color="auto" w:fill="D2D2D2"/>
          </w:tcPr>
          <w:p>
            <w:pPr/>
          </w:p>
        </w:tc>
        <w:tc>
          <w:tcPr>
            <w:tcW w:w="994" w:type="dxa"/>
            <w:vMerge/>
            <w:tcBorders>
              <w:left w:val="single" w:sz="4" w:space="0" w:color="000000"/>
              <w:bottom w:val="nil" w:sz="6" w:space="0" w:color="auto"/>
              <w:right w:val="single" w:sz="4" w:space="0" w:color="000000"/>
            </w:tcBorders>
            <w:shd w:val="clear" w:color="auto" w:fill="D2D2D2"/>
          </w:tcPr>
          <w:p>
            <w:pPr/>
          </w:p>
        </w:tc>
        <w:tc>
          <w:tcPr>
            <w:tcW w:w="992" w:type="dxa"/>
            <w:vMerge/>
            <w:tcBorders>
              <w:left w:val="single" w:sz="4" w:space="0" w:color="000000"/>
              <w:bottom w:val="nil" w:sz="6" w:space="0" w:color="auto"/>
              <w:right w:val="single" w:sz="4" w:space="0" w:color="000000"/>
            </w:tcBorders>
            <w:shd w:val="clear" w:color="auto" w:fill="D2D2D2"/>
          </w:tcPr>
          <w:p>
            <w:pPr/>
          </w:p>
        </w:tc>
        <w:tc>
          <w:tcPr>
            <w:tcW w:w="1277" w:type="dxa"/>
            <w:vMerge/>
            <w:tcBorders>
              <w:left w:val="single" w:sz="4" w:space="0" w:color="000000"/>
              <w:bottom w:val="nil" w:sz="6" w:space="0" w:color="auto"/>
              <w:right w:val="single" w:sz="4" w:space="0" w:color="000000"/>
            </w:tcBorders>
            <w:shd w:val="clear" w:color="auto" w:fill="D2D2D2"/>
          </w:tcPr>
          <w:p>
            <w:pPr/>
          </w:p>
        </w:tc>
        <w:tc>
          <w:tcPr>
            <w:tcW w:w="850"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1962" w:type="dxa"/>
            <w:vMerge/>
            <w:tcBorders>
              <w:left w:val="single" w:sz="4" w:space="0" w:color="000000"/>
              <w:bottom w:val="single" w:sz="4" w:space="0" w:color="000000"/>
              <w:right w:val="single" w:sz="4" w:space="0" w:color="000000"/>
            </w:tcBorders>
            <w:shd w:val="clear" w:color="auto" w:fill="D2D2D2"/>
          </w:tcPr>
          <w:p>
            <w:pPr/>
          </w:p>
        </w:tc>
        <w:tc>
          <w:tcPr>
            <w:tcW w:w="1288" w:type="dxa"/>
            <w:tcBorders>
              <w:top w:val="nil" w:sz="6" w:space="0" w:color="auto"/>
              <w:left w:val="single" w:sz="4" w:space="0" w:color="000000"/>
              <w:bottom w:val="single" w:sz="4" w:space="0" w:color="000000"/>
              <w:right w:val="single" w:sz="4" w:space="0" w:color="000000"/>
            </w:tcBorders>
            <w:shd w:val="clear" w:color="auto" w:fill="D2D2D2"/>
          </w:tcPr>
          <w:p>
            <w:pPr/>
          </w:p>
        </w:tc>
        <w:tc>
          <w:tcPr>
            <w:tcW w:w="851" w:type="dxa"/>
            <w:tcBorders>
              <w:top w:val="nil" w:sz="6" w:space="0" w:color="auto"/>
              <w:left w:val="single" w:sz="4" w:space="0" w:color="000000"/>
              <w:bottom w:val="single" w:sz="4" w:space="0" w:color="000000"/>
              <w:right w:val="single" w:sz="4" w:space="0" w:color="000000"/>
            </w:tcBorders>
            <w:shd w:val="clear" w:color="auto" w:fill="D2D2D2"/>
          </w:tcPr>
          <w:p>
            <w:pPr/>
          </w:p>
        </w:tc>
        <w:tc>
          <w:tcPr>
            <w:tcW w:w="566" w:type="dxa"/>
            <w:vMerge/>
            <w:tcBorders>
              <w:left w:val="single" w:sz="4" w:space="0" w:color="000000"/>
              <w:bottom w:val="single" w:sz="4" w:space="0" w:color="000000"/>
              <w:right w:val="single" w:sz="4" w:space="0" w:color="000000"/>
            </w:tcBorders>
            <w:shd w:val="clear" w:color="auto" w:fill="D2D2D2"/>
          </w:tcPr>
          <w:p>
            <w:pPr/>
          </w:p>
        </w:tc>
        <w:tc>
          <w:tcPr>
            <w:tcW w:w="426" w:type="dxa"/>
            <w:vMerge/>
            <w:tcBorders>
              <w:left w:val="single" w:sz="4" w:space="0" w:color="000000"/>
              <w:bottom w:val="single" w:sz="4" w:space="0" w:color="000000"/>
              <w:right w:val="single" w:sz="4" w:space="0" w:color="000000"/>
            </w:tcBorders>
            <w:shd w:val="clear" w:color="auto" w:fill="D2D2D2"/>
          </w:tcPr>
          <w:p>
            <w:pPr/>
          </w:p>
        </w:tc>
        <w:tc>
          <w:tcPr>
            <w:tcW w:w="708" w:type="dxa"/>
            <w:vMerge/>
            <w:tcBorders>
              <w:left w:val="single" w:sz="4" w:space="0" w:color="000000"/>
              <w:bottom w:val="single" w:sz="4" w:space="0" w:color="000000"/>
              <w:right w:val="single" w:sz="4" w:space="0" w:color="000000"/>
            </w:tcBorders>
            <w:shd w:val="clear" w:color="auto" w:fill="D2D2D2"/>
          </w:tcPr>
          <w:p>
            <w:pPr/>
          </w:p>
        </w:tc>
        <w:tc>
          <w:tcPr>
            <w:tcW w:w="994" w:type="dxa"/>
            <w:tcBorders>
              <w:top w:val="nil" w:sz="6" w:space="0" w:color="auto"/>
              <w:left w:val="single" w:sz="4" w:space="0" w:color="000000"/>
              <w:bottom w:val="single" w:sz="4" w:space="0" w:color="000000"/>
              <w:right w:val="single" w:sz="4" w:space="0" w:color="000000"/>
            </w:tcBorders>
            <w:shd w:val="clear" w:color="auto" w:fill="D2D2D2"/>
          </w:tcPr>
          <w:p>
            <w:pPr/>
          </w:p>
        </w:tc>
        <w:tc>
          <w:tcPr>
            <w:tcW w:w="992" w:type="dxa"/>
            <w:tcBorders>
              <w:top w:val="nil" w:sz="6" w:space="0" w:color="auto"/>
              <w:left w:val="single" w:sz="4" w:space="0" w:color="000000"/>
              <w:bottom w:val="single" w:sz="4" w:space="0" w:color="000000"/>
              <w:right w:val="single" w:sz="4" w:space="0" w:color="000000"/>
            </w:tcBorders>
            <w:shd w:val="clear" w:color="auto" w:fill="D2D2D2"/>
          </w:tcPr>
          <w:p>
            <w:pPr/>
          </w:p>
        </w:tc>
        <w:tc>
          <w:tcPr>
            <w:tcW w:w="1277" w:type="dxa"/>
            <w:tcBorders>
              <w:top w:val="nil" w:sz="6" w:space="0" w:color="auto"/>
              <w:left w:val="single" w:sz="4" w:space="0" w:color="000000"/>
              <w:bottom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11" w:right="0"/>
              <w:jc w:val="left"/>
              <w:rPr>
                <w:rFonts w:ascii="宋体" w:hAnsi="宋体" w:cs="宋体" w:eastAsia="宋体" w:hint="default"/>
                <w:sz w:val="21"/>
                <w:szCs w:val="21"/>
              </w:rPr>
            </w:pPr>
            <w:r>
              <w:rPr>
                <w:rFonts w:ascii="宋体" w:hAnsi="宋体" w:cs="宋体" w:eastAsia="宋体" w:hint="default"/>
                <w:sz w:val="21"/>
                <w:szCs w:val="21"/>
              </w:rPr>
              <w:t>一、有限售条件股份</w:t>
            </w:r>
          </w:p>
        </w:tc>
        <w:tc>
          <w:tcPr>
            <w:tcW w:w="128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7"/>
              <w:ind w:right="20"/>
              <w:jc w:val="right"/>
              <w:rPr>
                <w:rFonts w:ascii="宋体" w:hAnsi="宋体" w:cs="宋体" w:eastAsia="宋体" w:hint="default"/>
                <w:sz w:val="21"/>
                <w:szCs w:val="21"/>
              </w:rPr>
            </w:pPr>
            <w:r>
              <w:rPr>
                <w:rFonts w:ascii="宋体"/>
                <w:sz w:val="21"/>
              </w:rPr>
              <w:t>60,355,898</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2"/>
              <w:jc w:val="right"/>
              <w:rPr>
                <w:rFonts w:ascii="宋体" w:hAnsi="宋体" w:cs="宋体" w:eastAsia="宋体" w:hint="default"/>
                <w:sz w:val="21"/>
                <w:szCs w:val="21"/>
              </w:rPr>
            </w:pPr>
            <w:r>
              <w:rPr>
                <w:rFonts w:ascii="宋体"/>
                <w:sz w:val="21"/>
              </w:rPr>
              <w:t>16.02%</w:t>
            </w:r>
          </w:p>
        </w:tc>
        <w:tc>
          <w:tcPr>
            <w:tcW w:w="566"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1"/>
              <w:jc w:val="right"/>
              <w:rPr>
                <w:rFonts w:ascii="宋体" w:hAnsi="宋体" w:cs="宋体" w:eastAsia="宋体" w:hint="default"/>
                <w:sz w:val="21"/>
                <w:szCs w:val="21"/>
              </w:rPr>
            </w:pPr>
            <w:r>
              <w:rPr>
                <w:rFonts w:ascii="宋体"/>
                <w:sz w:val="21"/>
              </w:rPr>
              <w:t>-867,347</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0"/>
              <w:jc w:val="right"/>
              <w:rPr>
                <w:rFonts w:ascii="宋体" w:hAnsi="宋体" w:cs="宋体" w:eastAsia="宋体" w:hint="default"/>
                <w:sz w:val="21"/>
                <w:szCs w:val="21"/>
              </w:rPr>
            </w:pPr>
            <w:r>
              <w:rPr>
                <w:rFonts w:ascii="宋体"/>
                <w:sz w:val="21"/>
              </w:rPr>
              <w:t>-867,347</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69" w:right="0"/>
              <w:jc w:val="center"/>
              <w:rPr>
                <w:rFonts w:ascii="宋体" w:hAnsi="宋体" w:cs="宋体" w:eastAsia="宋体" w:hint="default"/>
                <w:sz w:val="21"/>
                <w:szCs w:val="21"/>
              </w:rPr>
            </w:pPr>
            <w:r>
              <w:rPr>
                <w:rFonts w:ascii="宋体"/>
                <w:sz w:val="21"/>
              </w:rPr>
              <w:t>59,488,551</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0"/>
              <w:jc w:val="right"/>
              <w:rPr>
                <w:rFonts w:ascii="宋体" w:hAnsi="宋体" w:cs="宋体" w:eastAsia="宋体" w:hint="default"/>
                <w:sz w:val="21"/>
                <w:szCs w:val="21"/>
              </w:rPr>
            </w:pPr>
            <w:r>
              <w:rPr>
                <w:rFonts w:ascii="宋体"/>
                <w:sz w:val="21"/>
              </w:rPr>
              <w:t>15.79%</w:t>
            </w:r>
          </w:p>
        </w:tc>
      </w:tr>
      <w:tr>
        <w:trPr>
          <w:trHeight w:val="402"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11" w:right="0"/>
              <w:jc w:val="left"/>
              <w:rPr>
                <w:rFonts w:ascii="宋体" w:hAnsi="宋体" w:cs="宋体" w:eastAsia="宋体" w:hint="default"/>
                <w:sz w:val="21"/>
                <w:szCs w:val="21"/>
              </w:rPr>
            </w:pPr>
            <w:r>
              <w:rPr>
                <w:rFonts w:ascii="宋体" w:hAnsi="宋体" w:cs="宋体" w:eastAsia="宋体" w:hint="default"/>
                <w:sz w:val="21"/>
                <w:szCs w:val="21"/>
              </w:rPr>
              <w:t>其他内资持股</w:t>
            </w:r>
          </w:p>
        </w:tc>
        <w:tc>
          <w:tcPr>
            <w:tcW w:w="128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7"/>
              <w:ind w:right="20"/>
              <w:jc w:val="right"/>
              <w:rPr>
                <w:rFonts w:ascii="宋体" w:hAnsi="宋体" w:cs="宋体" w:eastAsia="宋体" w:hint="default"/>
                <w:sz w:val="21"/>
                <w:szCs w:val="21"/>
              </w:rPr>
            </w:pPr>
            <w:r>
              <w:rPr>
                <w:rFonts w:ascii="宋体"/>
                <w:sz w:val="21"/>
              </w:rPr>
              <w:t>60,355,898</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2"/>
              <w:jc w:val="right"/>
              <w:rPr>
                <w:rFonts w:ascii="宋体" w:hAnsi="宋体" w:cs="宋体" w:eastAsia="宋体" w:hint="default"/>
                <w:sz w:val="21"/>
                <w:szCs w:val="21"/>
              </w:rPr>
            </w:pPr>
            <w:r>
              <w:rPr>
                <w:rFonts w:ascii="宋体"/>
                <w:sz w:val="21"/>
              </w:rPr>
              <w:t>16.02%</w:t>
            </w:r>
          </w:p>
        </w:tc>
        <w:tc>
          <w:tcPr>
            <w:tcW w:w="566"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1"/>
              <w:jc w:val="right"/>
              <w:rPr>
                <w:rFonts w:ascii="宋体" w:hAnsi="宋体" w:cs="宋体" w:eastAsia="宋体" w:hint="default"/>
                <w:sz w:val="21"/>
                <w:szCs w:val="21"/>
              </w:rPr>
            </w:pPr>
            <w:r>
              <w:rPr>
                <w:rFonts w:ascii="宋体"/>
                <w:sz w:val="21"/>
              </w:rPr>
              <w:t>-867,347</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0"/>
              <w:jc w:val="right"/>
              <w:rPr>
                <w:rFonts w:ascii="宋体" w:hAnsi="宋体" w:cs="宋体" w:eastAsia="宋体" w:hint="default"/>
                <w:sz w:val="21"/>
                <w:szCs w:val="21"/>
              </w:rPr>
            </w:pPr>
            <w:r>
              <w:rPr>
                <w:rFonts w:ascii="宋体"/>
                <w:sz w:val="21"/>
              </w:rPr>
              <w:t>-867,347</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69" w:right="0"/>
              <w:jc w:val="center"/>
              <w:rPr>
                <w:rFonts w:ascii="宋体" w:hAnsi="宋体" w:cs="宋体" w:eastAsia="宋体" w:hint="default"/>
                <w:sz w:val="21"/>
                <w:szCs w:val="21"/>
              </w:rPr>
            </w:pPr>
            <w:r>
              <w:rPr>
                <w:rFonts w:ascii="宋体"/>
                <w:sz w:val="21"/>
              </w:rPr>
              <w:t>59,488,551</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0"/>
              <w:jc w:val="right"/>
              <w:rPr>
                <w:rFonts w:ascii="宋体" w:hAnsi="宋体" w:cs="宋体" w:eastAsia="宋体" w:hint="default"/>
                <w:sz w:val="21"/>
                <w:szCs w:val="21"/>
              </w:rPr>
            </w:pPr>
            <w:r>
              <w:rPr>
                <w:rFonts w:ascii="宋体"/>
                <w:sz w:val="21"/>
              </w:rPr>
              <w:t>15.79%</w:t>
            </w:r>
          </w:p>
        </w:tc>
      </w:tr>
      <w:tr>
        <w:trPr>
          <w:trHeight w:val="402"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11" w:right="0"/>
              <w:jc w:val="left"/>
              <w:rPr>
                <w:rFonts w:ascii="宋体" w:hAnsi="宋体" w:cs="宋体" w:eastAsia="宋体" w:hint="default"/>
                <w:sz w:val="21"/>
                <w:szCs w:val="21"/>
              </w:rPr>
            </w:pPr>
            <w:r>
              <w:rPr>
                <w:rFonts w:ascii="宋体" w:hAnsi="宋体" w:cs="宋体" w:eastAsia="宋体" w:hint="default"/>
                <w:sz w:val="21"/>
                <w:szCs w:val="21"/>
              </w:rPr>
              <w:t>二、无限售条件股份</w:t>
            </w:r>
          </w:p>
        </w:tc>
        <w:tc>
          <w:tcPr>
            <w:tcW w:w="128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7"/>
              <w:ind w:right="20"/>
              <w:jc w:val="right"/>
              <w:rPr>
                <w:rFonts w:ascii="宋体" w:hAnsi="宋体" w:cs="宋体" w:eastAsia="宋体" w:hint="default"/>
                <w:sz w:val="21"/>
                <w:szCs w:val="21"/>
              </w:rPr>
            </w:pPr>
            <w:r>
              <w:rPr>
                <w:rFonts w:ascii="宋体"/>
                <w:sz w:val="21"/>
              </w:rPr>
              <w:t>316,300,522</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2"/>
              <w:jc w:val="right"/>
              <w:rPr>
                <w:rFonts w:ascii="宋体" w:hAnsi="宋体" w:cs="宋体" w:eastAsia="宋体" w:hint="default"/>
                <w:sz w:val="21"/>
                <w:szCs w:val="21"/>
              </w:rPr>
            </w:pPr>
            <w:r>
              <w:rPr>
                <w:rFonts w:ascii="宋体"/>
                <w:sz w:val="21"/>
              </w:rPr>
              <w:t>83.98%</w:t>
            </w:r>
          </w:p>
        </w:tc>
        <w:tc>
          <w:tcPr>
            <w:tcW w:w="566"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1"/>
              <w:jc w:val="right"/>
              <w:rPr>
                <w:rFonts w:ascii="宋体" w:hAnsi="宋体" w:cs="宋体" w:eastAsia="宋体" w:hint="default"/>
                <w:sz w:val="21"/>
                <w:szCs w:val="21"/>
              </w:rPr>
            </w:pPr>
            <w:r>
              <w:rPr>
                <w:rFonts w:ascii="宋体"/>
                <w:sz w:val="21"/>
              </w:rPr>
              <w:t>867,347</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0"/>
              <w:jc w:val="right"/>
              <w:rPr>
                <w:rFonts w:ascii="宋体" w:hAnsi="宋体" w:cs="宋体" w:eastAsia="宋体" w:hint="default"/>
                <w:sz w:val="21"/>
                <w:szCs w:val="21"/>
              </w:rPr>
            </w:pPr>
            <w:r>
              <w:rPr>
                <w:rFonts w:ascii="宋体"/>
                <w:sz w:val="21"/>
              </w:rPr>
              <w:t>867,347</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65" w:right="0"/>
              <w:jc w:val="center"/>
              <w:rPr>
                <w:rFonts w:ascii="宋体" w:hAnsi="宋体" w:cs="宋体" w:eastAsia="宋体" w:hint="default"/>
                <w:sz w:val="21"/>
                <w:szCs w:val="21"/>
              </w:rPr>
            </w:pPr>
            <w:r>
              <w:rPr>
                <w:rFonts w:ascii="宋体"/>
                <w:sz w:val="21"/>
              </w:rPr>
              <w:t>317,167,869</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0"/>
              <w:jc w:val="right"/>
              <w:rPr>
                <w:rFonts w:ascii="宋体" w:hAnsi="宋体" w:cs="宋体" w:eastAsia="宋体" w:hint="default"/>
                <w:sz w:val="21"/>
                <w:szCs w:val="21"/>
              </w:rPr>
            </w:pPr>
            <w:r>
              <w:rPr>
                <w:rFonts w:ascii="宋体"/>
                <w:sz w:val="21"/>
              </w:rPr>
              <w:t>84.21%</w:t>
            </w:r>
          </w:p>
        </w:tc>
      </w:tr>
      <w:tr>
        <w:trPr>
          <w:trHeight w:val="402"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11"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28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7"/>
              <w:ind w:right="20"/>
              <w:jc w:val="right"/>
              <w:rPr>
                <w:rFonts w:ascii="宋体" w:hAnsi="宋体" w:cs="宋体" w:eastAsia="宋体" w:hint="default"/>
                <w:sz w:val="21"/>
                <w:szCs w:val="21"/>
              </w:rPr>
            </w:pPr>
            <w:r>
              <w:rPr>
                <w:rFonts w:ascii="宋体"/>
                <w:sz w:val="21"/>
              </w:rPr>
              <w:t>316,300,522</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2"/>
              <w:jc w:val="right"/>
              <w:rPr>
                <w:rFonts w:ascii="宋体" w:hAnsi="宋体" w:cs="宋体" w:eastAsia="宋体" w:hint="default"/>
                <w:sz w:val="21"/>
                <w:szCs w:val="21"/>
              </w:rPr>
            </w:pPr>
            <w:r>
              <w:rPr>
                <w:rFonts w:ascii="宋体"/>
                <w:sz w:val="21"/>
              </w:rPr>
              <w:t>83.98%</w:t>
            </w:r>
          </w:p>
        </w:tc>
        <w:tc>
          <w:tcPr>
            <w:tcW w:w="566"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1"/>
              <w:jc w:val="right"/>
              <w:rPr>
                <w:rFonts w:ascii="宋体" w:hAnsi="宋体" w:cs="宋体" w:eastAsia="宋体" w:hint="default"/>
                <w:sz w:val="21"/>
                <w:szCs w:val="21"/>
              </w:rPr>
            </w:pPr>
            <w:r>
              <w:rPr>
                <w:rFonts w:ascii="宋体"/>
                <w:sz w:val="21"/>
              </w:rPr>
              <w:t>867,347</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0"/>
              <w:jc w:val="right"/>
              <w:rPr>
                <w:rFonts w:ascii="宋体" w:hAnsi="宋体" w:cs="宋体" w:eastAsia="宋体" w:hint="default"/>
                <w:sz w:val="21"/>
                <w:szCs w:val="21"/>
              </w:rPr>
            </w:pPr>
            <w:r>
              <w:rPr>
                <w:rFonts w:ascii="宋体"/>
                <w:sz w:val="21"/>
              </w:rPr>
              <w:t>867,347</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65" w:right="0"/>
              <w:jc w:val="center"/>
              <w:rPr>
                <w:rFonts w:ascii="宋体" w:hAnsi="宋体" w:cs="宋体" w:eastAsia="宋体" w:hint="default"/>
                <w:sz w:val="21"/>
                <w:szCs w:val="21"/>
              </w:rPr>
            </w:pPr>
            <w:r>
              <w:rPr>
                <w:rFonts w:ascii="宋体"/>
                <w:sz w:val="21"/>
              </w:rPr>
              <w:t>317,167,869</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0"/>
              <w:jc w:val="right"/>
              <w:rPr>
                <w:rFonts w:ascii="宋体" w:hAnsi="宋体" w:cs="宋体" w:eastAsia="宋体" w:hint="default"/>
                <w:sz w:val="21"/>
                <w:szCs w:val="21"/>
              </w:rPr>
            </w:pPr>
            <w:r>
              <w:rPr>
                <w:rFonts w:ascii="宋体"/>
                <w:sz w:val="21"/>
              </w:rPr>
              <w:t>84.21%</w:t>
            </w:r>
          </w:p>
        </w:tc>
      </w:tr>
      <w:tr>
        <w:trPr>
          <w:trHeight w:val="403"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11" w:right="0"/>
              <w:jc w:val="left"/>
              <w:rPr>
                <w:rFonts w:ascii="宋体" w:hAnsi="宋体" w:cs="宋体" w:eastAsia="宋体" w:hint="default"/>
                <w:sz w:val="21"/>
                <w:szCs w:val="21"/>
              </w:rPr>
            </w:pPr>
            <w:r>
              <w:rPr>
                <w:rFonts w:ascii="宋体" w:hAnsi="宋体" w:cs="宋体" w:eastAsia="宋体" w:hint="default"/>
                <w:sz w:val="21"/>
                <w:szCs w:val="21"/>
              </w:rPr>
              <w:t>三、股份总数</w:t>
            </w:r>
          </w:p>
        </w:tc>
        <w:tc>
          <w:tcPr>
            <w:tcW w:w="128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7"/>
              <w:ind w:right="20"/>
              <w:jc w:val="right"/>
              <w:rPr>
                <w:rFonts w:ascii="宋体" w:hAnsi="宋体" w:cs="宋体" w:eastAsia="宋体" w:hint="default"/>
                <w:sz w:val="21"/>
                <w:szCs w:val="21"/>
              </w:rPr>
            </w:pPr>
            <w:r>
              <w:rPr>
                <w:rFonts w:ascii="宋体"/>
                <w:sz w:val="21"/>
              </w:rPr>
              <w:t>376,656,420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1"/>
              <w:jc w:val="right"/>
              <w:rPr>
                <w:rFonts w:ascii="宋体" w:hAnsi="宋体" w:cs="宋体" w:eastAsia="宋体" w:hint="default"/>
                <w:sz w:val="21"/>
                <w:szCs w:val="21"/>
              </w:rPr>
            </w:pPr>
            <w:r>
              <w:rPr>
                <w:rFonts w:ascii="宋体"/>
                <w:sz w:val="21"/>
              </w:rPr>
              <w:t>100.00%</w:t>
            </w:r>
          </w:p>
        </w:tc>
        <w:tc>
          <w:tcPr>
            <w:tcW w:w="566"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1"/>
              <w:jc w:val="right"/>
              <w:rPr>
                <w:rFonts w:ascii="宋体" w:hAnsi="宋体" w:cs="宋体" w:eastAsia="宋体" w:hint="default"/>
                <w:sz w:val="21"/>
                <w:szCs w:val="21"/>
              </w:rPr>
            </w:pPr>
            <w:r>
              <w:rPr>
                <w:rFonts w:ascii="宋体"/>
                <w:sz w:val="21"/>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0"/>
              <w:jc w:val="right"/>
              <w:rPr>
                <w:rFonts w:ascii="宋体" w:hAnsi="宋体" w:cs="宋体" w:eastAsia="宋体" w:hint="default"/>
                <w:sz w:val="21"/>
                <w:szCs w:val="21"/>
              </w:rPr>
            </w:pPr>
            <w:r>
              <w:rPr>
                <w:rFonts w:ascii="宋体"/>
                <w:sz w:val="21"/>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65" w:right="0"/>
              <w:jc w:val="center"/>
              <w:rPr>
                <w:rFonts w:ascii="宋体" w:hAnsi="宋体" w:cs="宋体" w:eastAsia="宋体" w:hint="default"/>
                <w:sz w:val="21"/>
                <w:szCs w:val="21"/>
              </w:rPr>
            </w:pPr>
            <w:r>
              <w:rPr>
                <w:rFonts w:ascii="宋体"/>
                <w:sz w:val="21"/>
              </w:rPr>
              <w:t>376,656,420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0"/>
              <w:jc w:val="right"/>
              <w:rPr>
                <w:rFonts w:ascii="宋体" w:hAnsi="宋体" w:cs="宋体" w:eastAsia="宋体" w:hint="default"/>
                <w:sz w:val="21"/>
                <w:szCs w:val="21"/>
              </w:rPr>
            </w:pPr>
            <w:r>
              <w:rPr>
                <w:rFonts w:ascii="宋体"/>
                <w:sz w:val="21"/>
              </w:rPr>
              <w:t>100.00%</w:t>
            </w:r>
          </w:p>
        </w:tc>
      </w:tr>
    </w:tbl>
    <w:p>
      <w:pPr>
        <w:spacing w:line="240" w:lineRule="auto" w:before="10"/>
        <w:rPr>
          <w:rFonts w:ascii="宋体" w:hAnsi="宋体" w:cs="宋体" w:eastAsia="宋体" w:hint="default"/>
          <w:sz w:val="4"/>
          <w:szCs w:val="4"/>
        </w:rPr>
      </w:pPr>
    </w:p>
    <w:p>
      <w:pPr>
        <w:pStyle w:val="BodyText"/>
        <w:spacing w:line="240" w:lineRule="auto" w:before="26"/>
        <w:ind w:left="734" w:right="997"/>
        <w:jc w:val="left"/>
      </w:pPr>
      <w:r>
        <w:rPr/>
        <w:t>股份变动的原因</w:t>
      </w:r>
    </w:p>
    <w:p>
      <w:pPr>
        <w:pStyle w:val="BodyText"/>
        <w:spacing w:line="240" w:lineRule="auto" w:before="145"/>
        <w:ind w:left="734" w:right="997"/>
        <w:jc w:val="left"/>
      </w:pPr>
      <w:r>
        <w:rPr/>
        <w:t>√ 适用 □ 不适用</w:t>
      </w:r>
    </w:p>
    <w:p>
      <w:pPr>
        <w:pStyle w:val="BodyText"/>
        <w:spacing w:line="240" w:lineRule="auto" w:before="146"/>
        <w:ind w:left="734" w:right="997"/>
        <w:jc w:val="left"/>
      </w:pPr>
      <w:r>
        <w:rPr>
          <w:rFonts w:ascii="宋体" w:hAnsi="宋体" w:cs="宋体" w:eastAsia="宋体" w:hint="default"/>
        </w:rPr>
        <w:t>2017</w:t>
      </w:r>
      <w:r>
        <w:rPr>
          <w:rFonts w:ascii="宋体" w:hAnsi="宋体" w:cs="宋体" w:eastAsia="宋体" w:hint="default"/>
          <w:spacing w:val="-60"/>
        </w:rPr>
        <w:t> </w:t>
      </w:r>
      <w:r>
        <w:rPr/>
        <w:t>年</w:t>
      </w:r>
      <w:r>
        <w:rPr>
          <w:spacing w:val="-60"/>
        </w:rPr>
        <w:t> </w:t>
      </w:r>
      <w:r>
        <w:rPr>
          <w:rFonts w:ascii="宋体" w:hAnsi="宋体" w:cs="宋体" w:eastAsia="宋体" w:hint="default"/>
        </w:rPr>
        <w:t>2</w:t>
      </w:r>
      <w:r>
        <w:rPr>
          <w:rFonts w:ascii="宋体" w:hAnsi="宋体" w:cs="宋体" w:eastAsia="宋体" w:hint="default"/>
          <w:spacing w:val="-60"/>
        </w:rPr>
        <w:t> </w:t>
      </w:r>
      <w:r>
        <w:rPr/>
        <w:t>月</w:t>
      </w:r>
      <w:r>
        <w:rPr>
          <w:spacing w:val="-60"/>
        </w:rPr>
        <w:t> </w:t>
      </w:r>
      <w:r>
        <w:rPr>
          <w:rFonts w:ascii="宋体" w:hAnsi="宋体" w:cs="宋体" w:eastAsia="宋体" w:hint="default"/>
        </w:rPr>
        <w:t>9</w:t>
      </w:r>
      <w:r>
        <w:rPr>
          <w:rFonts w:ascii="宋体" w:hAnsi="宋体" w:cs="宋体" w:eastAsia="宋体" w:hint="default"/>
          <w:spacing w:val="-60"/>
        </w:rPr>
        <w:t> </w:t>
      </w:r>
      <w:r>
        <w:rPr/>
        <w:t>日公司完成监事会换届，新任监事郭治国先生所持股份</w:t>
      </w:r>
      <w:r>
        <w:rPr>
          <w:spacing w:val="-60"/>
        </w:rPr>
        <w:t> </w:t>
      </w:r>
      <w:r>
        <w:rPr>
          <w:rFonts w:ascii="宋体" w:hAnsi="宋体" w:cs="宋体" w:eastAsia="宋体" w:hint="default"/>
        </w:rPr>
        <w:t>34,626</w:t>
      </w:r>
      <w:r>
        <w:rPr>
          <w:rFonts w:ascii="宋体" w:hAnsi="宋体" w:cs="宋体" w:eastAsia="宋体" w:hint="default"/>
          <w:spacing w:val="-60"/>
        </w:rPr>
        <w:t> </w:t>
      </w:r>
      <w:r>
        <w:rPr/>
        <w:t>股，根据</w:t>
      </w:r>
    </w:p>
    <w:p>
      <w:pPr>
        <w:pStyle w:val="BodyText"/>
        <w:spacing w:line="240" w:lineRule="auto" w:before="146"/>
        <w:ind w:left="253" w:right="997"/>
        <w:jc w:val="left"/>
      </w:pPr>
      <w:r>
        <w:rPr/>
        <w:t>相关规定锁定</w:t>
      </w:r>
      <w:r>
        <w:rPr>
          <w:spacing w:val="-60"/>
        </w:rPr>
        <w:t> </w:t>
      </w:r>
      <w:r>
        <w:rPr>
          <w:rFonts w:ascii="宋体" w:hAnsi="宋体" w:cs="宋体" w:eastAsia="宋体" w:hint="default"/>
        </w:rPr>
        <w:t>75%</w:t>
      </w:r>
      <w:r>
        <w:rPr/>
        <w:t>，即锁定股份</w:t>
      </w:r>
      <w:r>
        <w:rPr>
          <w:spacing w:val="-60"/>
        </w:rPr>
        <w:t> </w:t>
      </w:r>
      <w:r>
        <w:rPr>
          <w:rFonts w:ascii="宋体" w:hAnsi="宋体" w:cs="宋体" w:eastAsia="宋体" w:hint="default"/>
        </w:rPr>
        <w:t>25,970</w:t>
      </w:r>
      <w:r>
        <w:rPr>
          <w:rFonts w:ascii="宋体" w:hAnsi="宋体" w:cs="宋体" w:eastAsia="宋体" w:hint="default"/>
          <w:spacing w:val="-60"/>
        </w:rPr>
        <w:t> </w:t>
      </w:r>
      <w:r>
        <w:rPr/>
        <w:t>股；监事郝恩元先生，报告期内新增股份</w:t>
      </w:r>
      <w:r>
        <w:rPr>
          <w:spacing w:val="-60"/>
        </w:rPr>
        <w:t> </w:t>
      </w:r>
      <w:r>
        <w:rPr>
          <w:rFonts w:ascii="宋体" w:hAnsi="宋体" w:cs="宋体" w:eastAsia="宋体" w:hint="default"/>
        </w:rPr>
        <w:t>1,000</w:t>
      </w:r>
      <w:r>
        <w:rPr>
          <w:rFonts w:ascii="宋体" w:hAnsi="宋体" w:cs="宋体" w:eastAsia="宋体" w:hint="default"/>
          <w:spacing w:val="-60"/>
        </w:rPr>
        <w:t> </w:t>
      </w:r>
      <w:r>
        <w:rPr/>
        <w:t>股，</w:t>
      </w:r>
    </w:p>
    <w:p>
      <w:pPr>
        <w:pStyle w:val="BodyText"/>
        <w:spacing w:line="350" w:lineRule="auto" w:before="145"/>
        <w:ind w:left="253" w:right="997"/>
        <w:jc w:val="left"/>
      </w:pPr>
      <w:r>
        <w:rPr/>
        <w:t>锁定股份</w:t>
      </w:r>
      <w:r>
        <w:rPr>
          <w:spacing w:val="-89"/>
        </w:rPr>
        <w:t> </w:t>
      </w:r>
      <w:r>
        <w:rPr>
          <w:rFonts w:ascii="宋体" w:hAnsi="宋体" w:cs="宋体" w:eastAsia="宋体" w:hint="default"/>
        </w:rPr>
        <w:t>750</w:t>
      </w:r>
      <w:r>
        <w:rPr>
          <w:rFonts w:ascii="宋体" w:hAnsi="宋体" w:cs="宋体" w:eastAsia="宋体" w:hint="default"/>
          <w:spacing w:val="-89"/>
        </w:rPr>
        <w:t> </w:t>
      </w:r>
      <w:r>
        <w:rPr>
          <w:spacing w:val="-10"/>
        </w:rPr>
        <w:t>股；原监事会主席刘宝利先生</w:t>
      </w:r>
      <w:r>
        <w:rPr>
          <w:spacing w:val="-89"/>
        </w:rPr>
        <w:t> </w:t>
      </w:r>
      <w:r>
        <w:rPr>
          <w:rFonts w:ascii="宋体" w:hAnsi="宋体" w:cs="宋体" w:eastAsia="宋体" w:hint="default"/>
        </w:rPr>
        <w:t>2017</w:t>
      </w:r>
      <w:r>
        <w:rPr>
          <w:rFonts w:ascii="宋体" w:hAnsi="宋体" w:cs="宋体" w:eastAsia="宋体" w:hint="default"/>
          <w:spacing w:val="-89"/>
        </w:rPr>
        <w:t> </w:t>
      </w:r>
      <w:r>
        <w:rPr/>
        <w:t>年</w:t>
      </w:r>
      <w:r>
        <w:rPr>
          <w:spacing w:val="-89"/>
        </w:rPr>
        <w:t> </w:t>
      </w:r>
      <w:r>
        <w:rPr>
          <w:rFonts w:ascii="宋体" w:hAnsi="宋体" w:cs="宋体" w:eastAsia="宋体" w:hint="default"/>
        </w:rPr>
        <w:t>2</w:t>
      </w:r>
      <w:r>
        <w:rPr>
          <w:rFonts w:ascii="宋体" w:hAnsi="宋体" w:cs="宋体" w:eastAsia="宋体" w:hint="default"/>
          <w:spacing w:val="-89"/>
        </w:rPr>
        <w:t> </w:t>
      </w:r>
      <w:r>
        <w:rPr/>
        <w:t>月</w:t>
      </w:r>
      <w:r>
        <w:rPr>
          <w:spacing w:val="-90"/>
        </w:rPr>
        <w:t> </w:t>
      </w:r>
      <w:r>
        <w:rPr>
          <w:rFonts w:ascii="宋体" w:hAnsi="宋体" w:cs="宋体" w:eastAsia="宋体" w:hint="default"/>
        </w:rPr>
        <w:t>9</w:t>
      </w:r>
      <w:r>
        <w:rPr>
          <w:rFonts w:ascii="宋体" w:hAnsi="宋体" w:cs="宋体" w:eastAsia="宋体" w:hint="default"/>
          <w:spacing w:val="-89"/>
        </w:rPr>
        <w:t> </w:t>
      </w:r>
      <w:r>
        <w:rPr>
          <w:spacing w:val="-10"/>
        </w:rPr>
        <w:t>日届满离任，其所持有股份</w:t>
      </w:r>
      <w:r>
        <w:rPr>
          <w:spacing w:val="-89"/>
        </w:rPr>
        <w:t> </w:t>
      </w:r>
      <w:r>
        <w:rPr>
          <w:rFonts w:ascii="宋体" w:hAnsi="宋体" w:cs="宋体" w:eastAsia="宋体" w:hint="default"/>
        </w:rPr>
        <w:t>1,788,133</w:t>
      </w:r>
      <w:r>
        <w:rPr>
          <w:rFonts w:ascii="宋体" w:hAnsi="宋体" w:cs="宋体" w:eastAsia="宋体" w:hint="default"/>
          <w:spacing w:val="-117"/>
        </w:rPr>
        <w:t> </w:t>
      </w:r>
      <w:r>
        <w:rPr/>
        <w:t>股全部锁定，报告期内（届满离任满六个月后）全部锁定股的</w:t>
      </w:r>
      <w:r>
        <w:rPr>
          <w:spacing w:val="-68"/>
        </w:rPr>
        <w:t> </w:t>
      </w:r>
      <w:r>
        <w:rPr>
          <w:rFonts w:ascii="宋体" w:hAnsi="宋体" w:cs="宋体" w:eastAsia="宋体" w:hint="default"/>
        </w:rPr>
        <w:t>50%</w:t>
      </w:r>
      <w:r>
        <w:rPr/>
        <w:t>即</w:t>
      </w:r>
      <w:r>
        <w:rPr>
          <w:spacing w:val="-68"/>
        </w:rPr>
        <w:t> </w:t>
      </w:r>
      <w:r>
        <w:rPr>
          <w:rFonts w:ascii="宋体" w:hAnsi="宋体" w:cs="宋体" w:eastAsia="宋体" w:hint="default"/>
        </w:rPr>
        <w:t>894,067</w:t>
      </w:r>
      <w:r>
        <w:rPr>
          <w:rFonts w:ascii="宋体" w:hAnsi="宋体" w:cs="宋体" w:eastAsia="宋体" w:hint="default"/>
          <w:spacing w:val="-68"/>
        </w:rPr>
        <w:t> </w:t>
      </w:r>
      <w:r>
        <w:rPr/>
        <w:t>股已解除限售。</w:t>
      </w:r>
    </w:p>
    <w:p>
      <w:pPr>
        <w:pStyle w:val="BodyText"/>
        <w:spacing w:line="240" w:lineRule="auto"/>
        <w:ind w:left="734" w:right="997"/>
        <w:jc w:val="left"/>
      </w:pPr>
      <w:r>
        <w:rPr/>
        <w:t>股份变动的批准情况</w:t>
      </w:r>
    </w:p>
    <w:p>
      <w:pPr>
        <w:pStyle w:val="BodyText"/>
        <w:spacing w:line="350" w:lineRule="auto" w:before="145"/>
        <w:ind w:left="734" w:right="8112"/>
        <w:jc w:val="left"/>
      </w:pPr>
      <w:r>
        <w:rPr/>
        <w:t>□ 适用 √ 不适用 股份变动的过户情况</w:t>
      </w:r>
    </w:p>
    <w:p>
      <w:pPr>
        <w:pStyle w:val="BodyText"/>
        <w:spacing w:line="350" w:lineRule="auto"/>
        <w:ind w:left="734" w:right="1152"/>
        <w:jc w:val="left"/>
      </w:pPr>
      <w:r>
        <w:rPr/>
        <w:t>□ 适用 √ 不适用 股份变动对最近一年和最近一期基本每股收益和稀释每股收益、归属于公司普通股股东</w:t>
      </w:r>
    </w:p>
    <w:p>
      <w:pPr>
        <w:pStyle w:val="BodyText"/>
        <w:spacing w:line="240" w:lineRule="auto" w:before="35"/>
        <w:ind w:left="254" w:right="997"/>
        <w:jc w:val="left"/>
      </w:pPr>
      <w:r>
        <w:rPr/>
        <w:t>的每股净资产等财务指标的影响</w:t>
      </w:r>
    </w:p>
    <w:p>
      <w:pPr>
        <w:pStyle w:val="BodyText"/>
        <w:spacing w:line="350" w:lineRule="auto" w:before="146"/>
        <w:ind w:left="734" w:right="4992"/>
        <w:jc w:val="left"/>
      </w:pPr>
      <w:r>
        <w:rPr/>
        <w:t>□ 适用 √ 不适用 公司认为必要或证券监管机构要求披露的其他内容</w:t>
      </w:r>
    </w:p>
    <w:p>
      <w:pPr>
        <w:spacing w:line="352" w:lineRule="auto" w:before="35"/>
        <w:ind w:left="736" w:right="7981" w:hanging="3"/>
        <w:jc w:val="left"/>
        <w:rPr>
          <w:rFonts w:ascii="宋体" w:hAnsi="宋体" w:cs="宋体" w:eastAsia="宋体" w:hint="default"/>
          <w:sz w:val="24"/>
          <w:szCs w:val="24"/>
        </w:rPr>
      </w:pPr>
      <w:r>
        <w:rPr>
          <w:rFonts w:ascii="宋体" w:hAnsi="宋体" w:cs="宋体" w:eastAsia="宋体" w:hint="default"/>
          <w:sz w:val="24"/>
          <w:szCs w:val="24"/>
        </w:rPr>
        <w:t>□ 适用 √ 不适用 </w:t>
      </w:r>
      <w:bookmarkStart w:name="2、限售股份变动情况" w:id="127"/>
      <w:bookmarkEnd w:id="127"/>
      <w:r>
        <w:rPr>
          <w:rFonts w:ascii="宋体" w:hAnsi="宋体" w:cs="宋体" w:eastAsia="宋体" w:hint="default"/>
          <w:sz w:val="24"/>
          <w:szCs w:val="24"/>
        </w:rPr>
      </w:r>
      <w:r>
        <w:rPr>
          <w:rFonts w:ascii="宋体" w:hAnsi="宋体" w:cs="宋体" w:eastAsia="宋体" w:hint="default"/>
          <w:b/>
          <w:bCs/>
          <w:sz w:val="24"/>
          <w:szCs w:val="24"/>
        </w:rPr>
        <w:t>2</w:t>
      </w:r>
      <w:r>
        <w:rPr>
          <w:rFonts w:ascii="宋体" w:hAnsi="宋体" w:cs="宋体" w:eastAsia="宋体" w:hint="default"/>
          <w:b/>
          <w:bCs/>
          <w:sz w:val="24"/>
          <w:szCs w:val="24"/>
        </w:rPr>
        <w:t>、限售股份变动情况</w:t>
      </w:r>
      <w:r>
        <w:rPr>
          <w:rFonts w:ascii="宋体" w:hAnsi="宋体" w:cs="宋体" w:eastAsia="宋体" w:hint="default"/>
          <w:sz w:val="24"/>
          <w:szCs w:val="24"/>
        </w:rPr>
      </w:r>
    </w:p>
    <w:p>
      <w:pPr>
        <w:pStyle w:val="BodyText"/>
        <w:spacing w:line="240" w:lineRule="auto" w:before="32"/>
        <w:ind w:left="733" w:right="997"/>
        <w:jc w:val="left"/>
      </w:pPr>
      <w:r>
        <w:rPr/>
        <w:t>√ 适用 □ 不适用</w:t>
      </w:r>
    </w:p>
    <w:p>
      <w:pPr>
        <w:spacing w:after="0" w:line="240" w:lineRule="auto"/>
        <w:jc w:val="left"/>
        <w:sectPr>
          <w:type w:val="continuous"/>
          <w:pgSz w:w="11910" w:h="16840"/>
          <w:pgMar w:top="1060" w:bottom="1160" w:left="880" w:right="0"/>
        </w:sectPr>
      </w:pPr>
    </w:p>
    <w:p>
      <w:pPr>
        <w:spacing w:line="240" w:lineRule="auto" w:before="10"/>
        <w:rPr>
          <w:rFonts w:ascii="宋体" w:hAnsi="宋体" w:cs="宋体" w:eastAsia="宋体" w:hint="default"/>
          <w:sz w:val="24"/>
          <w:szCs w:val="24"/>
        </w:rPr>
      </w:pPr>
    </w:p>
    <w:p>
      <w:pPr>
        <w:spacing w:before="35"/>
        <w:ind w:left="0" w:right="1130" w:firstLine="0"/>
        <w:jc w:val="right"/>
        <w:rPr>
          <w:rFonts w:ascii="宋体" w:hAnsi="宋体" w:cs="宋体" w:eastAsia="宋体" w:hint="default"/>
          <w:sz w:val="21"/>
          <w:szCs w:val="21"/>
        </w:rPr>
      </w:pPr>
      <w:r>
        <w:rPr>
          <w:rFonts w:ascii="宋体" w:hAnsi="宋体" w:cs="宋体" w:eastAsia="宋体" w:hint="default"/>
          <w:sz w:val="21"/>
          <w:szCs w:val="21"/>
        </w:rPr>
        <w:t>单位：股</w:t>
      </w:r>
    </w:p>
    <w:p>
      <w:pPr>
        <w:spacing w:line="240" w:lineRule="auto" w:before="13"/>
        <w:rPr>
          <w:rFonts w:ascii="宋体" w:hAnsi="宋体" w:cs="宋体" w:eastAsia="宋体" w:hint="default"/>
          <w:sz w:val="6"/>
          <w:szCs w:val="6"/>
        </w:rPr>
      </w:pPr>
    </w:p>
    <w:tbl>
      <w:tblPr>
        <w:tblW w:w="0" w:type="auto"/>
        <w:jc w:val="left"/>
        <w:tblInd w:w="290" w:type="dxa"/>
        <w:tblLayout w:type="fixed"/>
        <w:tblCellMar>
          <w:top w:w="0" w:type="dxa"/>
          <w:left w:w="0" w:type="dxa"/>
          <w:bottom w:w="0" w:type="dxa"/>
          <w:right w:w="0" w:type="dxa"/>
        </w:tblCellMar>
        <w:tblLook w:val="01E0"/>
      </w:tblPr>
      <w:tblGrid>
        <w:gridCol w:w="1277"/>
        <w:gridCol w:w="1134"/>
        <w:gridCol w:w="1134"/>
        <w:gridCol w:w="1134"/>
        <w:gridCol w:w="1417"/>
        <w:gridCol w:w="1967"/>
        <w:gridCol w:w="1367"/>
      </w:tblGrid>
      <w:tr>
        <w:trPr>
          <w:trHeight w:val="754" w:hRule="exact"/>
        </w:trPr>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213" w:right="0"/>
              <w:jc w:val="left"/>
              <w:rPr>
                <w:rFonts w:ascii="宋体" w:hAnsi="宋体" w:cs="宋体" w:eastAsia="宋体" w:hint="default"/>
                <w:sz w:val="21"/>
                <w:szCs w:val="21"/>
              </w:rPr>
            </w:pPr>
            <w:r>
              <w:rPr>
                <w:rFonts w:ascii="宋体" w:hAnsi="宋体" w:cs="宋体" w:eastAsia="宋体" w:hint="default"/>
                <w:sz w:val="21"/>
                <w:szCs w:val="21"/>
              </w:rPr>
              <w:t>股东名称</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26"/>
              <w:ind w:left="351" w:right="140" w:hanging="210"/>
              <w:jc w:val="left"/>
              <w:rPr>
                <w:rFonts w:ascii="宋体" w:hAnsi="宋体" w:cs="宋体" w:eastAsia="宋体" w:hint="default"/>
                <w:sz w:val="21"/>
                <w:szCs w:val="21"/>
              </w:rPr>
            </w:pPr>
            <w:r>
              <w:rPr>
                <w:rFonts w:ascii="宋体" w:hAnsi="宋体" w:cs="宋体" w:eastAsia="宋体" w:hint="default"/>
                <w:sz w:val="21"/>
                <w:szCs w:val="21"/>
              </w:rPr>
              <w:t>期初限售 股数</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45"/>
              <w:ind w:left="246" w:right="36" w:hanging="210"/>
              <w:jc w:val="left"/>
              <w:rPr>
                <w:rFonts w:ascii="宋体" w:hAnsi="宋体" w:cs="宋体" w:eastAsia="宋体" w:hint="default"/>
                <w:sz w:val="21"/>
                <w:szCs w:val="21"/>
              </w:rPr>
            </w:pPr>
            <w:r>
              <w:rPr>
                <w:rFonts w:ascii="宋体" w:hAnsi="宋体" w:cs="宋体" w:eastAsia="宋体" w:hint="default"/>
                <w:sz w:val="21"/>
                <w:szCs w:val="21"/>
              </w:rPr>
              <w:t>本期解除限 售股数</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45"/>
              <w:ind w:left="246" w:right="36" w:hanging="211"/>
              <w:jc w:val="left"/>
              <w:rPr>
                <w:rFonts w:ascii="宋体" w:hAnsi="宋体" w:cs="宋体" w:eastAsia="宋体" w:hint="default"/>
                <w:sz w:val="21"/>
                <w:szCs w:val="21"/>
              </w:rPr>
            </w:pPr>
            <w:r>
              <w:rPr>
                <w:rFonts w:ascii="宋体" w:hAnsi="宋体" w:cs="宋体" w:eastAsia="宋体" w:hint="default"/>
                <w:sz w:val="21"/>
                <w:szCs w:val="21"/>
              </w:rPr>
              <w:t>本期增加限 售股数</w:t>
            </w:r>
          </w:p>
        </w:tc>
        <w:tc>
          <w:tcPr>
            <w:tcW w:w="1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72"/>
              <w:jc w:val="right"/>
              <w:rPr>
                <w:rFonts w:ascii="宋体" w:hAnsi="宋体" w:cs="宋体" w:eastAsia="宋体" w:hint="default"/>
                <w:sz w:val="21"/>
                <w:szCs w:val="21"/>
              </w:rPr>
            </w:pPr>
            <w:r>
              <w:rPr>
                <w:rFonts w:ascii="宋体" w:hAnsi="宋体" w:cs="宋体" w:eastAsia="宋体" w:hint="default"/>
                <w:sz w:val="21"/>
                <w:szCs w:val="21"/>
              </w:rPr>
              <w:t>期末限售股数</w:t>
            </w:r>
          </w:p>
        </w:tc>
        <w:tc>
          <w:tcPr>
            <w:tcW w:w="1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557" w:right="0"/>
              <w:jc w:val="left"/>
              <w:rPr>
                <w:rFonts w:ascii="宋体" w:hAnsi="宋体" w:cs="宋体" w:eastAsia="宋体" w:hint="default"/>
                <w:sz w:val="21"/>
                <w:szCs w:val="21"/>
              </w:rPr>
            </w:pPr>
            <w:r>
              <w:rPr>
                <w:rFonts w:ascii="宋体" w:hAnsi="宋体" w:cs="宋体" w:eastAsia="宋体" w:hint="default"/>
                <w:sz w:val="21"/>
                <w:szCs w:val="21"/>
              </w:rPr>
              <w:t>限售原因</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解除限售日期</w:t>
            </w:r>
          </w:p>
        </w:tc>
      </w:tr>
      <w:tr>
        <w:trPr>
          <w:trHeight w:val="714"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郝恩元</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1"/>
              <w:jc w:val="right"/>
              <w:rPr>
                <w:rFonts w:ascii="宋体" w:hAnsi="宋体" w:cs="宋体" w:eastAsia="宋体" w:hint="default"/>
                <w:sz w:val="21"/>
                <w:szCs w:val="21"/>
              </w:rPr>
            </w:pPr>
            <w:r>
              <w:rPr>
                <w:rFonts w:ascii="宋体"/>
                <w:sz w:val="21"/>
              </w:rPr>
              <w:t>9,562</w:t>
            </w:r>
          </w:p>
        </w:tc>
        <w:tc>
          <w:tcPr>
            <w:tcW w:w="1134" w:type="dxa"/>
            <w:tcBorders>
              <w:top w:val="single" w:sz="12" w:space="0" w:color="D2D2D2"/>
              <w:left w:val="single" w:sz="4" w:space="0" w:color="000000"/>
              <w:bottom w:val="single" w:sz="4" w:space="0" w:color="000000"/>
              <w:right w:val="single" w:sz="4" w:space="0" w:color="000000"/>
            </w:tcBorders>
          </w:tcPr>
          <w:p>
            <w:pPr>
              <w:pStyle w:val="TableParagraph"/>
              <w:spacing w:line="240" w:lineRule="auto" w:before="172"/>
              <w:ind w:right="21"/>
              <w:jc w:val="right"/>
              <w:rPr>
                <w:rFonts w:ascii="宋体" w:hAnsi="宋体" w:cs="宋体" w:eastAsia="宋体" w:hint="default"/>
                <w:sz w:val="21"/>
                <w:szCs w:val="21"/>
              </w:rPr>
            </w:pPr>
            <w:r>
              <w:rPr>
                <w:rFonts w:ascii="宋体"/>
                <w:sz w:val="21"/>
              </w:rPr>
              <w:t>0</w:t>
            </w:r>
          </w:p>
        </w:tc>
        <w:tc>
          <w:tcPr>
            <w:tcW w:w="1134" w:type="dxa"/>
            <w:tcBorders>
              <w:top w:val="single" w:sz="12" w:space="0" w:color="D2D2D2"/>
              <w:left w:val="single" w:sz="4" w:space="0" w:color="000000"/>
              <w:bottom w:val="single" w:sz="4" w:space="0" w:color="000000"/>
              <w:right w:val="single" w:sz="4" w:space="0" w:color="000000"/>
            </w:tcBorders>
          </w:tcPr>
          <w:p>
            <w:pPr>
              <w:pStyle w:val="TableParagraph"/>
              <w:spacing w:line="240" w:lineRule="auto" w:before="172"/>
              <w:ind w:right="21"/>
              <w:jc w:val="right"/>
              <w:rPr>
                <w:rFonts w:ascii="宋体" w:hAnsi="宋体" w:cs="宋体" w:eastAsia="宋体" w:hint="default"/>
                <w:sz w:val="21"/>
                <w:szCs w:val="21"/>
              </w:rPr>
            </w:pPr>
            <w:r>
              <w:rPr>
                <w:rFonts w:ascii="宋体"/>
                <w:sz w:val="21"/>
              </w:rPr>
              <w:t>750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3"/>
              <w:jc w:val="right"/>
              <w:rPr>
                <w:rFonts w:ascii="宋体" w:hAnsi="宋体" w:cs="宋体" w:eastAsia="宋体" w:hint="default"/>
                <w:sz w:val="21"/>
                <w:szCs w:val="21"/>
              </w:rPr>
            </w:pPr>
            <w:r>
              <w:rPr>
                <w:rFonts w:ascii="宋体"/>
                <w:sz w:val="21"/>
              </w:rPr>
              <w:t>10,312</w:t>
            </w:r>
          </w:p>
        </w:tc>
        <w:tc>
          <w:tcPr>
            <w:tcW w:w="1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高管锁定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2" w:right="72"/>
              <w:jc w:val="left"/>
              <w:rPr>
                <w:rFonts w:ascii="宋体" w:hAnsi="宋体" w:cs="宋体" w:eastAsia="宋体" w:hint="default"/>
                <w:sz w:val="21"/>
                <w:szCs w:val="21"/>
              </w:rPr>
            </w:pPr>
            <w:r>
              <w:rPr>
                <w:rFonts w:ascii="宋体" w:hAnsi="宋体" w:cs="宋体" w:eastAsia="宋体" w:hint="default"/>
                <w:sz w:val="21"/>
                <w:szCs w:val="21"/>
              </w:rPr>
              <w:t>依监管部门规 定执行</w:t>
            </w:r>
          </w:p>
        </w:tc>
      </w:tr>
      <w:tr>
        <w:trPr>
          <w:trHeight w:val="714"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郭治国</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1"/>
              <w:jc w:val="right"/>
              <w:rPr>
                <w:rFonts w:ascii="宋体" w:hAnsi="宋体" w:cs="宋体" w:eastAsia="宋体" w:hint="default"/>
                <w:sz w:val="21"/>
                <w:szCs w:val="21"/>
              </w:rPr>
            </w:pPr>
            <w:r>
              <w:rPr>
                <w:rFonts w:ascii="宋体"/>
                <w:sz w:val="21"/>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1"/>
              <w:jc w:val="right"/>
              <w:rPr>
                <w:rFonts w:ascii="宋体" w:hAnsi="宋体" w:cs="宋体" w:eastAsia="宋体" w:hint="default"/>
                <w:sz w:val="21"/>
                <w:szCs w:val="21"/>
              </w:rPr>
            </w:pPr>
            <w:r>
              <w:rPr>
                <w:rFonts w:ascii="宋体"/>
                <w:sz w:val="21"/>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3"/>
              <w:jc w:val="right"/>
              <w:rPr>
                <w:rFonts w:ascii="宋体" w:hAnsi="宋体" w:cs="宋体" w:eastAsia="宋体" w:hint="default"/>
                <w:sz w:val="21"/>
                <w:szCs w:val="21"/>
              </w:rPr>
            </w:pPr>
            <w:r>
              <w:rPr>
                <w:rFonts w:ascii="宋体"/>
                <w:sz w:val="21"/>
              </w:rPr>
              <w:t>25,970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3"/>
              <w:jc w:val="right"/>
              <w:rPr>
                <w:rFonts w:ascii="宋体" w:hAnsi="宋体" w:cs="宋体" w:eastAsia="宋体" w:hint="default"/>
                <w:sz w:val="21"/>
                <w:szCs w:val="21"/>
              </w:rPr>
            </w:pPr>
            <w:r>
              <w:rPr>
                <w:rFonts w:ascii="宋体"/>
                <w:sz w:val="21"/>
              </w:rPr>
              <w:t>25,970</w:t>
            </w:r>
          </w:p>
        </w:tc>
        <w:tc>
          <w:tcPr>
            <w:tcW w:w="1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高管锁定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2" w:right="72"/>
              <w:jc w:val="left"/>
              <w:rPr>
                <w:rFonts w:ascii="宋体" w:hAnsi="宋体" w:cs="宋体" w:eastAsia="宋体" w:hint="default"/>
                <w:sz w:val="21"/>
                <w:szCs w:val="21"/>
              </w:rPr>
            </w:pPr>
            <w:r>
              <w:rPr>
                <w:rFonts w:ascii="宋体" w:hAnsi="宋体" w:cs="宋体" w:eastAsia="宋体" w:hint="default"/>
                <w:sz w:val="21"/>
                <w:szCs w:val="21"/>
              </w:rPr>
              <w:t>依监管部门规 定执行</w:t>
            </w:r>
          </w:p>
        </w:tc>
      </w:tr>
      <w:tr>
        <w:trPr>
          <w:trHeight w:val="714"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刘宝利</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1"/>
              <w:jc w:val="right"/>
              <w:rPr>
                <w:rFonts w:ascii="宋体" w:hAnsi="宋体" w:cs="宋体" w:eastAsia="宋体" w:hint="default"/>
                <w:sz w:val="21"/>
                <w:szCs w:val="21"/>
              </w:rPr>
            </w:pPr>
            <w:r>
              <w:rPr>
                <w:rFonts w:ascii="宋体"/>
                <w:sz w:val="21"/>
              </w:rPr>
              <w:t>1,788,133</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1"/>
              <w:jc w:val="right"/>
              <w:rPr>
                <w:rFonts w:ascii="宋体" w:hAnsi="宋体" w:cs="宋体" w:eastAsia="宋体" w:hint="default"/>
                <w:sz w:val="21"/>
                <w:szCs w:val="21"/>
              </w:rPr>
            </w:pPr>
            <w:r>
              <w:rPr>
                <w:rFonts w:ascii="宋体"/>
                <w:sz w:val="21"/>
              </w:rPr>
              <w:t>894,067</w:t>
            </w:r>
          </w:p>
        </w:tc>
        <w:tc>
          <w:tcPr>
            <w:tcW w:w="1134"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1"/>
              <w:jc w:val="right"/>
              <w:rPr>
                <w:rFonts w:ascii="宋体" w:hAnsi="宋体" w:cs="宋体" w:eastAsia="宋体" w:hint="default"/>
                <w:sz w:val="21"/>
                <w:szCs w:val="21"/>
              </w:rPr>
            </w:pPr>
            <w:r>
              <w:rPr>
                <w:rFonts w:ascii="宋体"/>
                <w:sz w:val="21"/>
              </w:rPr>
              <w:t>894,066</w:t>
            </w:r>
          </w:p>
        </w:tc>
        <w:tc>
          <w:tcPr>
            <w:tcW w:w="196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2" w:right="95"/>
              <w:jc w:val="left"/>
              <w:rPr>
                <w:rFonts w:ascii="宋体" w:hAnsi="宋体" w:cs="宋体" w:eastAsia="宋体" w:hint="default"/>
                <w:sz w:val="21"/>
                <w:szCs w:val="21"/>
              </w:rPr>
            </w:pPr>
            <w:r>
              <w:rPr>
                <w:rFonts w:ascii="宋体" w:hAnsi="宋体" w:cs="宋体" w:eastAsia="宋体" w:hint="default"/>
                <w:sz w:val="21"/>
                <w:szCs w:val="21"/>
              </w:rPr>
              <w:t>高管锁定股</w:t>
            </w:r>
            <w:r>
              <w:rPr>
                <w:rFonts w:ascii="宋体" w:hAnsi="宋体" w:cs="宋体" w:eastAsia="宋体" w:hint="default"/>
                <w:spacing w:val="-52"/>
                <w:sz w:val="21"/>
                <w:szCs w:val="21"/>
              </w:rPr>
              <w:t> </w:t>
            </w:r>
            <w:r>
              <w:rPr>
                <w:rFonts w:ascii="宋体" w:hAnsi="宋体" w:cs="宋体" w:eastAsia="宋体" w:hint="default"/>
                <w:sz w:val="21"/>
                <w:szCs w:val="21"/>
              </w:rPr>
              <w:t>50%</w:t>
            </w:r>
            <w:r>
              <w:rPr>
                <w:rFonts w:ascii="宋体" w:hAnsi="宋体" w:cs="宋体" w:eastAsia="宋体" w:hint="default"/>
                <w:sz w:val="21"/>
                <w:szCs w:val="21"/>
              </w:rPr>
              <w:t>已解 除限售。</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2" w:right="72"/>
              <w:jc w:val="left"/>
              <w:rPr>
                <w:rFonts w:ascii="宋体" w:hAnsi="宋体" w:cs="宋体" w:eastAsia="宋体" w:hint="default"/>
                <w:sz w:val="21"/>
                <w:szCs w:val="21"/>
              </w:rPr>
            </w:pPr>
            <w:r>
              <w:rPr>
                <w:rFonts w:ascii="宋体" w:hAnsi="宋体" w:cs="宋体" w:eastAsia="宋体" w:hint="default"/>
                <w:sz w:val="21"/>
                <w:szCs w:val="21"/>
              </w:rPr>
              <w:t>依监管部门规 定执行</w:t>
            </w:r>
          </w:p>
        </w:tc>
      </w:tr>
      <w:tr>
        <w:trPr>
          <w:trHeight w:val="402" w:hRule="exact"/>
        </w:trPr>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13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1,797,695</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894,067</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3"/>
              <w:jc w:val="right"/>
              <w:rPr>
                <w:rFonts w:ascii="宋体" w:hAnsi="宋体" w:cs="宋体" w:eastAsia="宋体" w:hint="default"/>
                <w:sz w:val="21"/>
                <w:szCs w:val="21"/>
              </w:rPr>
            </w:pPr>
            <w:r>
              <w:rPr>
                <w:rFonts w:ascii="宋体"/>
                <w:sz w:val="21"/>
              </w:rPr>
              <w:t>26,720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930,348</w:t>
            </w:r>
          </w:p>
        </w:tc>
        <w:tc>
          <w:tcPr>
            <w:tcW w:w="1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 w:right="0"/>
              <w:jc w:val="center"/>
              <w:rPr>
                <w:rFonts w:ascii="宋体" w:hAnsi="宋体" w:cs="宋体" w:eastAsia="宋体" w:hint="default"/>
                <w:sz w:val="21"/>
                <w:szCs w:val="21"/>
              </w:rPr>
            </w:pPr>
            <w:r>
              <w:rPr>
                <w:rFonts w:ascii="宋体"/>
                <w:sz w:val="21"/>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 w:right="0"/>
              <w:jc w:val="center"/>
              <w:rPr>
                <w:rFonts w:ascii="宋体" w:hAnsi="宋体" w:cs="宋体" w:eastAsia="宋体" w:hint="default"/>
                <w:sz w:val="21"/>
                <w:szCs w:val="21"/>
              </w:rPr>
            </w:pPr>
            <w:r>
              <w:rPr>
                <w:rFonts w:ascii="宋体"/>
                <w:sz w:val="21"/>
              </w:rPr>
              <w:t>--</w:t>
            </w:r>
          </w:p>
        </w:tc>
      </w:tr>
    </w:tbl>
    <w:p>
      <w:pPr>
        <w:spacing w:line="240" w:lineRule="auto" w:before="12"/>
        <w:rPr>
          <w:rFonts w:ascii="宋体" w:hAnsi="宋体" w:cs="宋体" w:eastAsia="宋体" w:hint="default"/>
          <w:sz w:val="17"/>
          <w:szCs w:val="17"/>
        </w:rPr>
      </w:pPr>
    </w:p>
    <w:p>
      <w:pPr>
        <w:pStyle w:val="Heading2"/>
        <w:spacing w:line="240" w:lineRule="auto"/>
        <w:ind w:left="154" w:right="996"/>
        <w:jc w:val="left"/>
        <w:rPr>
          <w:b w:val="0"/>
          <w:bCs w:val="0"/>
        </w:rPr>
      </w:pPr>
      <w:bookmarkStart w:name="二、证券发行与上市情况" w:id="128"/>
      <w:bookmarkEnd w:id="128"/>
      <w:r>
        <w:rPr>
          <w:b w:val="0"/>
          <w:bCs w:val="0"/>
        </w:rPr>
      </w:r>
      <w:r>
        <w:rPr/>
        <w:t>二、证券发行与上市情况</w:t>
      </w:r>
      <w:r>
        <w:rPr>
          <w:b w:val="0"/>
          <w:bCs w:val="0"/>
        </w:rPr>
      </w:r>
    </w:p>
    <w:p>
      <w:pPr>
        <w:spacing w:line="240" w:lineRule="auto" w:before="6"/>
        <w:rPr>
          <w:rFonts w:ascii="宋体" w:hAnsi="宋体" w:cs="宋体" w:eastAsia="宋体" w:hint="default"/>
          <w:b/>
          <w:bCs/>
          <w:sz w:val="32"/>
          <w:szCs w:val="32"/>
        </w:rPr>
      </w:pPr>
    </w:p>
    <w:p>
      <w:pPr>
        <w:pStyle w:val="Heading2"/>
        <w:spacing w:line="240" w:lineRule="auto" w:before="0"/>
        <w:ind w:right="996"/>
        <w:jc w:val="left"/>
        <w:rPr>
          <w:b w:val="0"/>
          <w:bCs w:val="0"/>
        </w:rPr>
      </w:pPr>
      <w:bookmarkStart w:name="1、报告期内证券发行（不含优先股）情况" w:id="129"/>
      <w:bookmarkEnd w:id="129"/>
      <w:r>
        <w:rPr>
          <w:b w:val="0"/>
          <w:bCs w:val="0"/>
        </w:rPr>
      </w:r>
      <w:r>
        <w:rPr>
          <w:rFonts w:ascii="宋体" w:hAnsi="宋体" w:cs="宋体" w:eastAsia="宋体" w:hint="default"/>
        </w:rPr>
        <w:t>1</w:t>
      </w:r>
      <w:r>
        <w:rPr/>
        <w:t>、报告期内证券发行（不含优先股）情况</w:t>
      </w:r>
      <w:r>
        <w:rPr>
          <w:b w:val="0"/>
          <w:bCs w:val="0"/>
        </w:rPr>
      </w:r>
    </w:p>
    <w:p>
      <w:pPr>
        <w:spacing w:line="352" w:lineRule="auto" w:before="145"/>
        <w:ind w:left="636" w:right="996" w:hanging="3"/>
        <w:jc w:val="left"/>
        <w:rPr>
          <w:rFonts w:ascii="宋体" w:hAnsi="宋体" w:cs="宋体" w:eastAsia="宋体" w:hint="default"/>
          <w:sz w:val="24"/>
          <w:szCs w:val="24"/>
        </w:rPr>
      </w:pPr>
      <w:r>
        <w:rPr>
          <w:rFonts w:ascii="宋体" w:hAnsi="宋体" w:cs="宋体" w:eastAsia="宋体" w:hint="default"/>
          <w:sz w:val="24"/>
          <w:szCs w:val="24"/>
        </w:rPr>
        <w:t>□ 适用 √ 不适用 </w:t>
      </w:r>
      <w:bookmarkStart w:name="2、公司股份总数及股东结构的变动、公司资产和负债结构的变动情况说明" w:id="130"/>
      <w:bookmarkEnd w:id="130"/>
      <w:r>
        <w:rPr>
          <w:rFonts w:ascii="宋体" w:hAnsi="宋体" w:cs="宋体" w:eastAsia="宋体" w:hint="default"/>
          <w:sz w:val="24"/>
          <w:szCs w:val="24"/>
        </w:rPr>
      </w:r>
      <w:r>
        <w:rPr>
          <w:rFonts w:ascii="宋体" w:hAnsi="宋体" w:cs="宋体" w:eastAsia="宋体" w:hint="default"/>
          <w:b/>
          <w:bCs/>
          <w:w w:val="95"/>
          <w:sz w:val="24"/>
          <w:szCs w:val="24"/>
        </w:rPr>
        <w:t>2</w:t>
      </w:r>
      <w:r>
        <w:rPr>
          <w:rFonts w:ascii="宋体" w:hAnsi="宋体" w:cs="宋体" w:eastAsia="宋体" w:hint="default"/>
          <w:b/>
          <w:bCs/>
          <w:w w:val="95"/>
          <w:sz w:val="24"/>
          <w:szCs w:val="24"/>
        </w:rPr>
        <w:t>、公司股份总数及股东结构的变动、公司资产和负债结构的变动情况说明</w:t>
      </w:r>
      <w:r>
        <w:rPr>
          <w:rFonts w:ascii="宋体" w:hAnsi="宋体" w:cs="宋体" w:eastAsia="宋体" w:hint="default"/>
          <w:sz w:val="24"/>
          <w:szCs w:val="24"/>
        </w:rPr>
      </w:r>
    </w:p>
    <w:p>
      <w:pPr>
        <w:spacing w:line="350" w:lineRule="auto" w:before="32"/>
        <w:ind w:left="636" w:right="6192" w:hanging="3"/>
        <w:jc w:val="left"/>
        <w:rPr>
          <w:rFonts w:ascii="宋体" w:hAnsi="宋体" w:cs="宋体" w:eastAsia="宋体" w:hint="default"/>
          <w:sz w:val="24"/>
          <w:szCs w:val="24"/>
        </w:rPr>
      </w:pPr>
      <w:r>
        <w:rPr>
          <w:rFonts w:ascii="宋体" w:hAnsi="宋体" w:cs="宋体" w:eastAsia="宋体" w:hint="default"/>
          <w:sz w:val="24"/>
          <w:szCs w:val="24"/>
        </w:rPr>
        <w:t>□ 适用 √ 不适用 </w:t>
      </w:r>
      <w:bookmarkStart w:name="3、现存的内部职工股情况" w:id="131"/>
      <w:bookmarkEnd w:id="131"/>
      <w:r>
        <w:rPr>
          <w:rFonts w:ascii="宋体" w:hAnsi="宋体" w:cs="宋体" w:eastAsia="宋体" w:hint="default"/>
          <w:sz w:val="24"/>
          <w:szCs w:val="24"/>
        </w:rPr>
      </w:r>
      <w:r>
        <w:rPr>
          <w:rFonts w:ascii="宋体" w:hAnsi="宋体" w:cs="宋体" w:eastAsia="宋体" w:hint="default"/>
          <w:b/>
          <w:bCs/>
          <w:w w:val="95"/>
          <w:sz w:val="24"/>
          <w:szCs w:val="24"/>
        </w:rPr>
        <w:t>3</w:t>
      </w:r>
      <w:r>
        <w:rPr>
          <w:rFonts w:ascii="宋体" w:hAnsi="宋体" w:cs="宋体" w:eastAsia="宋体" w:hint="default"/>
          <w:b/>
          <w:bCs/>
          <w:w w:val="95"/>
          <w:sz w:val="24"/>
          <w:szCs w:val="24"/>
        </w:rPr>
        <w:t>、现存的内部职工股情况</w:t>
      </w:r>
      <w:r>
        <w:rPr>
          <w:rFonts w:ascii="宋体" w:hAnsi="宋体" w:cs="宋体" w:eastAsia="宋体" w:hint="default"/>
          <w:sz w:val="24"/>
          <w:szCs w:val="24"/>
        </w:rPr>
      </w:r>
    </w:p>
    <w:p>
      <w:pPr>
        <w:spacing w:line="482" w:lineRule="auto" w:before="36"/>
        <w:ind w:left="153" w:right="6192" w:firstLine="480"/>
        <w:jc w:val="left"/>
        <w:rPr>
          <w:rFonts w:ascii="宋体" w:hAnsi="宋体" w:cs="宋体" w:eastAsia="宋体" w:hint="default"/>
          <w:sz w:val="24"/>
          <w:szCs w:val="24"/>
        </w:rPr>
      </w:pPr>
      <w:r>
        <w:rPr>
          <w:rFonts w:ascii="宋体" w:hAnsi="宋体" w:cs="宋体" w:eastAsia="宋体" w:hint="default"/>
          <w:sz w:val="24"/>
          <w:szCs w:val="24"/>
        </w:rPr>
        <w:t>□ 适用 √ 不适用 </w:t>
      </w:r>
      <w:bookmarkStart w:name="三、股东和实际控制人情况" w:id="132"/>
      <w:bookmarkEnd w:id="132"/>
      <w:r>
        <w:rPr>
          <w:rFonts w:ascii="宋体" w:hAnsi="宋体" w:cs="宋体" w:eastAsia="宋体" w:hint="default"/>
          <w:sz w:val="24"/>
          <w:szCs w:val="24"/>
        </w:rPr>
      </w:r>
      <w:r>
        <w:rPr>
          <w:rFonts w:ascii="宋体" w:hAnsi="宋体" w:cs="宋体" w:eastAsia="宋体" w:hint="default"/>
          <w:b/>
          <w:bCs/>
          <w:w w:val="95"/>
          <w:sz w:val="24"/>
          <w:szCs w:val="24"/>
        </w:rPr>
        <w:t>三、股东和实际控制人情况</w:t>
      </w:r>
      <w:r>
        <w:rPr>
          <w:rFonts w:ascii="宋体" w:hAnsi="宋体" w:cs="宋体" w:eastAsia="宋体" w:hint="default"/>
          <w:sz w:val="24"/>
          <w:szCs w:val="24"/>
        </w:rPr>
      </w:r>
    </w:p>
    <w:p>
      <w:pPr>
        <w:spacing w:line="240" w:lineRule="auto" w:before="13"/>
        <w:rPr>
          <w:rFonts w:ascii="宋体" w:hAnsi="宋体" w:cs="宋体" w:eastAsia="宋体" w:hint="default"/>
          <w:b/>
          <w:bCs/>
          <w:sz w:val="11"/>
          <w:szCs w:val="11"/>
        </w:rPr>
      </w:pPr>
    </w:p>
    <w:p>
      <w:pPr>
        <w:spacing w:after="0" w:line="240" w:lineRule="auto"/>
        <w:rPr>
          <w:rFonts w:ascii="宋体" w:hAnsi="宋体" w:cs="宋体" w:eastAsia="宋体" w:hint="default"/>
          <w:sz w:val="11"/>
          <w:szCs w:val="11"/>
        </w:rPr>
        <w:sectPr>
          <w:pgSz w:w="11910" w:h="16840"/>
          <w:pgMar w:header="747" w:footer="979" w:top="1060" w:bottom="1160" w:left="980" w:right="0"/>
        </w:sectPr>
      </w:pPr>
    </w:p>
    <w:p>
      <w:pPr>
        <w:pStyle w:val="Heading2"/>
        <w:spacing w:line="240" w:lineRule="auto"/>
        <w:ind w:right="0"/>
        <w:jc w:val="left"/>
        <w:rPr>
          <w:b w:val="0"/>
          <w:bCs w:val="0"/>
        </w:rPr>
      </w:pPr>
      <w:bookmarkStart w:name="1、公司股东数量及持股情况" w:id="133"/>
      <w:bookmarkEnd w:id="133"/>
      <w:r>
        <w:rPr>
          <w:b w:val="0"/>
          <w:bCs w:val="0"/>
        </w:rPr>
      </w:r>
      <w:r>
        <w:rPr>
          <w:rFonts w:ascii="宋体" w:hAnsi="宋体" w:cs="宋体" w:eastAsia="宋体" w:hint="default"/>
          <w:w w:val="95"/>
        </w:rPr>
        <w:t>1</w:t>
      </w:r>
      <w:r>
        <w:rPr>
          <w:w w:val="95"/>
        </w:rPr>
        <w:t>、公司股东数量及持股情况</w:t>
      </w:r>
      <w:r>
        <w:rPr>
          <w:b w:val="0"/>
          <w:bCs w:val="0"/>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line="240" w:lineRule="auto" w:before="4"/>
        <w:rPr>
          <w:rFonts w:ascii="宋体" w:hAnsi="宋体" w:cs="宋体" w:eastAsia="宋体" w:hint="default"/>
          <w:b/>
          <w:bCs/>
          <w:sz w:val="16"/>
          <w:szCs w:val="16"/>
        </w:rPr>
      </w:pPr>
    </w:p>
    <w:p>
      <w:pPr>
        <w:spacing w:before="0"/>
        <w:ind w:left="636" w:right="0" w:firstLine="0"/>
        <w:jc w:val="left"/>
        <w:rPr>
          <w:rFonts w:ascii="宋体" w:hAnsi="宋体" w:cs="宋体" w:eastAsia="宋体" w:hint="default"/>
          <w:sz w:val="18"/>
          <w:szCs w:val="18"/>
        </w:rPr>
      </w:pPr>
      <w:r>
        <w:rPr/>
        <w:pict>
          <v:shape style="position:absolute;margin-left:349.059998pt;margin-top:60.551712pt;width:40.6pt;height:23.4pt;mso-position-horizontal-relative:page;mso-position-vertical-relative:paragraph;z-index:-916120" type="#_x0000_t202" filled="false" stroked="false">
            <v:textbox inset="0,0,0,0">
              <w:txbxContent>
                <w:p>
                  <w:pPr>
                    <w:spacing w:before="102"/>
                    <w:ind w:left="0" w:right="0" w:firstLine="0"/>
                    <w:jc w:val="left"/>
                    <w:rPr>
                      <w:rFonts w:ascii="宋体" w:hAnsi="宋体" w:cs="宋体" w:eastAsia="宋体" w:hint="default"/>
                      <w:sz w:val="21"/>
                      <w:szCs w:val="21"/>
                    </w:rPr>
                  </w:pPr>
                  <w:r>
                    <w:rPr>
                      <w:rFonts w:ascii="宋体" w:hAnsi="宋体" w:cs="宋体" w:eastAsia="宋体" w:hint="default"/>
                      <w:sz w:val="21"/>
                      <w:szCs w:val="21"/>
                    </w:rPr>
                    <w:t>）</w:t>
                  </w:r>
                </w:p>
              </w:txbxContent>
            </v:textbox>
            <w10:wrap type="none"/>
          </v:shape>
        </w:pict>
      </w:r>
      <w:r>
        <w:rPr/>
        <w:pict>
          <v:group style="position:absolute;margin-left:355.959991pt;margin-top:60.551712pt;width:33.7pt;height:23.4pt;mso-position-horizontal-relative:page;mso-position-vertical-relative:paragraph;z-index:-916096" coordorigin="7119,1211" coordsize="674,468">
            <v:shape style="position:absolute;left:7119;top:1211;width:674;height:468" coordorigin="7119,1211" coordsize="674,468" path="m7119,1679l7792,1679,7792,1211,7119,1211,7119,1679xe" filled="true" fillcolor="#ffffff" stroked="false">
              <v:path arrowok="t"/>
              <v:fill type="solid"/>
            </v:shape>
            <w10:wrap type="none"/>
          </v:group>
        </w:pict>
      </w:r>
      <w:r>
        <w:rPr>
          <w:rFonts w:ascii="宋体" w:hAnsi="宋体" w:cs="宋体" w:eastAsia="宋体" w:hint="default"/>
          <w:sz w:val="18"/>
          <w:szCs w:val="18"/>
        </w:rPr>
        <w:t>单位：股</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3647" w:space="4790"/>
            <w:col w:w="2493"/>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184"/>
        <w:gridCol w:w="92"/>
        <w:gridCol w:w="863"/>
        <w:gridCol w:w="413"/>
        <w:gridCol w:w="709"/>
        <w:gridCol w:w="413"/>
        <w:gridCol w:w="782"/>
        <w:gridCol w:w="92"/>
        <w:gridCol w:w="982"/>
        <w:gridCol w:w="438"/>
        <w:gridCol w:w="326"/>
        <w:gridCol w:w="376"/>
        <w:gridCol w:w="1129"/>
        <w:gridCol w:w="844"/>
        <w:gridCol w:w="926"/>
      </w:tblGrid>
      <w:tr>
        <w:trPr>
          <w:trHeight w:val="161" w:hRule="exact"/>
        </w:trPr>
        <w:tc>
          <w:tcPr>
            <w:tcW w:w="1184" w:type="dxa"/>
            <w:tcBorders>
              <w:top w:val="single" w:sz="4" w:space="0" w:color="000000"/>
              <w:left w:val="single" w:sz="4" w:space="0" w:color="000000"/>
              <w:bottom w:val="nil" w:sz="6" w:space="0" w:color="auto"/>
              <w:right w:val="single" w:sz="4" w:space="0" w:color="000000"/>
            </w:tcBorders>
            <w:shd w:val="clear" w:color="auto" w:fill="D2D2D2"/>
          </w:tcPr>
          <w:p>
            <w:pPr/>
          </w:p>
        </w:tc>
        <w:tc>
          <w:tcPr>
            <w:tcW w:w="956" w:type="dxa"/>
            <w:gridSpan w:val="2"/>
            <w:vMerge w:val="restart"/>
            <w:tcBorders>
              <w:top w:val="single" w:sz="4" w:space="0" w:color="000000"/>
              <w:left w:val="single" w:sz="10" w:space="0" w:color="D2D2D2"/>
              <w:right w:val="single" w:sz="9" w:space="0" w:color="D2D2D2"/>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73" w:right="0"/>
              <w:jc w:val="left"/>
              <w:rPr>
                <w:rFonts w:ascii="宋体" w:hAnsi="宋体" w:cs="宋体" w:eastAsia="宋体" w:hint="default"/>
                <w:sz w:val="21"/>
                <w:szCs w:val="21"/>
              </w:rPr>
            </w:pPr>
            <w:r>
              <w:rPr>
                <w:rFonts w:ascii="宋体"/>
                <w:sz w:val="21"/>
              </w:rPr>
              <w:t>44,883</w:t>
            </w:r>
          </w:p>
        </w:tc>
        <w:tc>
          <w:tcPr>
            <w:tcW w:w="1535" w:type="dxa"/>
            <w:gridSpan w:val="3"/>
            <w:tcBorders>
              <w:top w:val="single" w:sz="4" w:space="0" w:color="000000"/>
              <w:left w:val="single" w:sz="4" w:space="0" w:color="000000"/>
              <w:bottom w:val="nil" w:sz="6" w:space="0" w:color="auto"/>
              <w:right w:val="single" w:sz="4" w:space="0" w:color="000000"/>
            </w:tcBorders>
            <w:shd w:val="clear" w:color="auto" w:fill="D2D2D2"/>
          </w:tcPr>
          <w:p>
            <w:pPr/>
          </w:p>
        </w:tc>
        <w:tc>
          <w:tcPr>
            <w:tcW w:w="873" w:type="dxa"/>
            <w:gridSpan w:val="2"/>
            <w:vMerge w:val="restart"/>
            <w:tcBorders>
              <w:top w:val="single" w:sz="4" w:space="0" w:color="000000"/>
              <w:left w:val="single" w:sz="10" w:space="0" w:color="D2D2D2"/>
              <w:right w:val="single" w:sz="9" w:space="0" w:color="D2D2D2"/>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192" w:right="0"/>
              <w:jc w:val="left"/>
              <w:rPr>
                <w:rFonts w:ascii="宋体" w:hAnsi="宋体" w:cs="宋体" w:eastAsia="宋体" w:hint="default"/>
                <w:sz w:val="21"/>
                <w:szCs w:val="21"/>
              </w:rPr>
            </w:pPr>
            <w:r>
              <w:rPr>
                <w:rFonts w:ascii="宋体"/>
                <w:sz w:val="21"/>
              </w:rPr>
              <w:t>46,360</w:t>
            </w:r>
          </w:p>
        </w:tc>
        <w:tc>
          <w:tcPr>
            <w:tcW w:w="142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26"/>
              <w:ind w:left="11" w:right="9"/>
              <w:jc w:val="left"/>
              <w:rPr>
                <w:rFonts w:ascii="宋体" w:hAnsi="宋体" w:cs="宋体" w:eastAsia="宋体" w:hint="default"/>
                <w:sz w:val="21"/>
                <w:szCs w:val="21"/>
              </w:rPr>
            </w:pPr>
            <w:r>
              <w:rPr>
                <w:rFonts w:ascii="宋体" w:hAnsi="宋体" w:cs="宋体" w:eastAsia="宋体" w:hint="default"/>
                <w:sz w:val="21"/>
                <w:szCs w:val="21"/>
              </w:rPr>
              <w:t>报告期末表决 权恢复的优先 </w:t>
            </w:r>
            <w:r>
              <w:rPr>
                <w:rFonts w:ascii="宋体" w:hAnsi="宋体" w:cs="宋体" w:eastAsia="宋体" w:hint="default"/>
                <w:spacing w:val="-12"/>
                <w:sz w:val="21"/>
                <w:szCs w:val="21"/>
              </w:rPr>
              <w:t>股股东总数（如</w:t>
            </w:r>
            <w:r>
              <w:rPr>
                <w:rFonts w:ascii="宋体" w:hAnsi="宋体" w:cs="宋体" w:eastAsia="宋体" w:hint="default"/>
                <w:sz w:val="21"/>
                <w:szCs w:val="21"/>
              </w:rPr>
              <w:t> </w:t>
            </w:r>
            <w:r>
              <w:rPr>
                <w:rFonts w:ascii="宋体" w:hAnsi="宋体" w:cs="宋体" w:eastAsia="宋体" w:hint="default"/>
                <w:spacing w:val="-23"/>
                <w:sz w:val="21"/>
                <w:szCs w:val="21"/>
              </w:rPr>
              <w:t>有）（参见注</w:t>
            </w:r>
            <w:r>
              <w:rPr>
                <w:rFonts w:ascii="宋体" w:hAnsi="宋体" w:cs="宋体" w:eastAsia="宋体" w:hint="default"/>
                <w:spacing w:val="-51"/>
                <w:sz w:val="21"/>
                <w:szCs w:val="21"/>
              </w:rPr>
              <w:t> </w:t>
            </w:r>
            <w:r>
              <w:rPr>
                <w:rFonts w:ascii="宋体" w:hAnsi="宋体" w:cs="宋体" w:eastAsia="宋体" w:hint="default"/>
                <w:sz w:val="21"/>
                <w:szCs w:val="21"/>
              </w:rPr>
              <w:t>8</w:t>
            </w:r>
          </w:p>
        </w:tc>
        <w:tc>
          <w:tcPr>
            <w:tcW w:w="326" w:type="dxa"/>
            <w:vMerge w:val="restart"/>
            <w:tcBorders>
              <w:top w:val="single" w:sz="4" w:space="0" w:color="000000"/>
              <w:left w:val="single" w:sz="13" w:space="0" w:color="D2D2D2"/>
              <w:right w:val="nil" w:sz="6" w:space="0" w:color="auto"/>
            </w:tcBorders>
          </w:tcPr>
          <w:p>
            <w:pPr/>
          </w:p>
        </w:tc>
        <w:tc>
          <w:tcPr>
            <w:tcW w:w="376" w:type="dxa"/>
            <w:tcBorders>
              <w:top w:val="single" w:sz="4" w:space="0" w:color="000000"/>
              <w:left w:val="nil" w:sz="6" w:space="0" w:color="auto"/>
              <w:bottom w:val="nil" w:sz="6" w:space="0" w:color="auto"/>
              <w:right w:val="single" w:sz="13" w:space="0" w:color="D2D2D2"/>
            </w:tcBorders>
          </w:tcPr>
          <w:p>
            <w:pPr/>
          </w:p>
        </w:tc>
        <w:tc>
          <w:tcPr>
            <w:tcW w:w="197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26"/>
              <w:ind w:left="17" w:right="53"/>
              <w:jc w:val="both"/>
              <w:rPr>
                <w:rFonts w:ascii="宋体" w:hAnsi="宋体" w:cs="宋体" w:eastAsia="宋体" w:hint="default"/>
                <w:sz w:val="21"/>
                <w:szCs w:val="21"/>
              </w:rPr>
            </w:pPr>
            <w:r>
              <w:rPr>
                <w:rFonts w:ascii="宋体" w:hAnsi="宋体" w:cs="宋体" w:eastAsia="宋体" w:hint="default"/>
                <w:sz w:val="21"/>
                <w:szCs w:val="21"/>
              </w:rPr>
              <w:t>年度报告披露日前上 一月末表决权恢复的 优先股股东总数（如 </w:t>
            </w:r>
            <w:r>
              <w:rPr>
                <w:rFonts w:ascii="宋体" w:hAnsi="宋体" w:cs="宋体" w:eastAsia="宋体" w:hint="default"/>
                <w:spacing w:val="-18"/>
                <w:sz w:val="21"/>
                <w:szCs w:val="21"/>
              </w:rPr>
              <w:t>有）（参见注</w:t>
            </w:r>
            <w:r>
              <w:rPr>
                <w:rFonts w:ascii="宋体" w:hAnsi="宋体" w:cs="宋体" w:eastAsia="宋体" w:hint="default"/>
                <w:spacing w:val="-51"/>
                <w:sz w:val="21"/>
                <w:szCs w:val="21"/>
              </w:rPr>
              <w:t> </w:t>
            </w:r>
            <w:r>
              <w:rPr>
                <w:rFonts w:ascii="宋体" w:hAnsi="宋体" w:cs="宋体" w:eastAsia="宋体" w:hint="default"/>
                <w:sz w:val="21"/>
                <w:szCs w:val="21"/>
              </w:rPr>
              <w:t>8</w:t>
            </w:r>
            <w:r>
              <w:rPr>
                <w:rFonts w:ascii="宋体" w:hAnsi="宋体" w:cs="宋体" w:eastAsia="宋体" w:hint="default"/>
                <w:sz w:val="21"/>
                <w:szCs w:val="21"/>
              </w:rPr>
              <w:t>）</w:t>
            </w:r>
          </w:p>
        </w:tc>
        <w:tc>
          <w:tcPr>
            <w:tcW w:w="926" w:type="dxa"/>
            <w:vMerge w:val="restart"/>
            <w:tcBorders>
              <w:top w:val="single" w:sz="4" w:space="0" w:color="000000"/>
              <w:left w:val="single" w:sz="13" w:space="0" w:color="D2D2D2"/>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0"/>
              <w:jc w:val="right"/>
              <w:rPr>
                <w:rFonts w:ascii="宋体" w:hAnsi="宋体" w:cs="宋体" w:eastAsia="宋体" w:hint="default"/>
                <w:sz w:val="21"/>
                <w:szCs w:val="21"/>
              </w:rPr>
            </w:pPr>
            <w:r>
              <w:rPr>
                <w:rFonts w:ascii="宋体"/>
                <w:sz w:val="21"/>
              </w:rPr>
              <w:t>0</w:t>
            </w:r>
          </w:p>
        </w:tc>
      </w:tr>
      <w:tr>
        <w:trPr>
          <w:trHeight w:val="1016" w:hRule="exact"/>
        </w:trPr>
        <w:tc>
          <w:tcPr>
            <w:tcW w:w="118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73" w:lineRule="auto" w:before="26"/>
              <w:ind w:left="22" w:right="99"/>
              <w:jc w:val="both"/>
              <w:rPr>
                <w:rFonts w:ascii="宋体" w:hAnsi="宋体" w:cs="宋体" w:eastAsia="宋体" w:hint="default"/>
                <w:sz w:val="21"/>
                <w:szCs w:val="21"/>
              </w:rPr>
            </w:pPr>
            <w:r>
              <w:rPr>
                <w:rFonts w:ascii="宋体" w:hAnsi="宋体" w:cs="宋体" w:eastAsia="宋体" w:hint="default"/>
                <w:sz w:val="21"/>
                <w:szCs w:val="21"/>
              </w:rPr>
              <w:t>报告期末普 通股股东总 数</w:t>
            </w:r>
          </w:p>
        </w:tc>
        <w:tc>
          <w:tcPr>
            <w:tcW w:w="956" w:type="dxa"/>
            <w:gridSpan w:val="2"/>
            <w:vMerge/>
            <w:tcBorders>
              <w:left w:val="single" w:sz="10" w:space="0" w:color="D2D2D2"/>
              <w:right w:val="single" w:sz="9" w:space="0" w:color="D2D2D2"/>
            </w:tcBorders>
          </w:tcPr>
          <w:p>
            <w:pPr/>
          </w:p>
        </w:tc>
        <w:tc>
          <w:tcPr>
            <w:tcW w:w="1535" w:type="dxa"/>
            <w:gridSpan w:val="3"/>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73" w:lineRule="auto" w:before="26"/>
              <w:ind w:left="11" w:right="42"/>
              <w:jc w:val="both"/>
              <w:rPr>
                <w:rFonts w:ascii="宋体" w:hAnsi="宋体" w:cs="宋体" w:eastAsia="宋体" w:hint="default"/>
                <w:sz w:val="21"/>
                <w:szCs w:val="21"/>
              </w:rPr>
            </w:pPr>
            <w:r>
              <w:rPr>
                <w:rFonts w:ascii="宋体" w:hAnsi="宋体" w:cs="宋体" w:eastAsia="宋体" w:hint="default"/>
                <w:sz w:val="21"/>
                <w:szCs w:val="21"/>
              </w:rPr>
              <w:t>年度报告披露日 前上一月末普通 股股东总数</w:t>
            </w:r>
          </w:p>
        </w:tc>
        <w:tc>
          <w:tcPr>
            <w:tcW w:w="873" w:type="dxa"/>
            <w:gridSpan w:val="2"/>
            <w:vMerge/>
            <w:tcBorders>
              <w:left w:val="single" w:sz="10" w:space="0" w:color="D2D2D2"/>
              <w:right w:val="single" w:sz="9" w:space="0" w:color="D2D2D2"/>
            </w:tcBorders>
          </w:tcPr>
          <w:p>
            <w:pPr/>
          </w:p>
        </w:tc>
        <w:tc>
          <w:tcPr>
            <w:tcW w:w="1420" w:type="dxa"/>
            <w:gridSpan w:val="2"/>
            <w:vMerge/>
            <w:tcBorders>
              <w:left w:val="single" w:sz="4" w:space="0" w:color="000000"/>
              <w:right w:val="single" w:sz="4" w:space="0" w:color="000000"/>
            </w:tcBorders>
            <w:shd w:val="clear" w:color="auto" w:fill="D2D2D2"/>
          </w:tcPr>
          <w:p>
            <w:pPr/>
          </w:p>
        </w:tc>
        <w:tc>
          <w:tcPr>
            <w:tcW w:w="326" w:type="dxa"/>
            <w:vMerge/>
            <w:tcBorders>
              <w:left w:val="single" w:sz="13" w:space="0" w:color="D2D2D2"/>
              <w:right w:val="nil" w:sz="6" w:space="0" w:color="auto"/>
            </w:tcBorders>
          </w:tcPr>
          <w:p>
            <w:pPr/>
          </w:p>
        </w:tc>
        <w:tc>
          <w:tcPr>
            <w:tcW w:w="376" w:type="dxa"/>
            <w:tcBorders>
              <w:top w:val="nil" w:sz="6" w:space="0" w:color="auto"/>
              <w:left w:val="nil" w:sz="6" w:space="0" w:color="auto"/>
              <w:bottom w:val="nil" w:sz="6" w:space="0" w:color="auto"/>
              <w:right w:val="single" w:sz="13" w:space="0" w:color="D2D2D2"/>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left="236" w:right="0"/>
              <w:jc w:val="left"/>
              <w:rPr>
                <w:rFonts w:ascii="宋体" w:hAnsi="宋体" w:cs="宋体" w:eastAsia="宋体" w:hint="default"/>
                <w:sz w:val="21"/>
                <w:szCs w:val="21"/>
              </w:rPr>
            </w:pPr>
            <w:r>
              <w:rPr>
                <w:rFonts w:ascii="宋体"/>
                <w:sz w:val="21"/>
              </w:rPr>
              <w:t>0</w:t>
            </w:r>
          </w:p>
        </w:tc>
        <w:tc>
          <w:tcPr>
            <w:tcW w:w="1972" w:type="dxa"/>
            <w:gridSpan w:val="2"/>
            <w:vMerge/>
            <w:tcBorders>
              <w:left w:val="single" w:sz="4" w:space="0" w:color="000000"/>
              <w:right w:val="single" w:sz="4" w:space="0" w:color="000000"/>
            </w:tcBorders>
            <w:shd w:val="clear" w:color="auto" w:fill="D2D2D2"/>
          </w:tcPr>
          <w:p>
            <w:pPr/>
          </w:p>
        </w:tc>
        <w:tc>
          <w:tcPr>
            <w:tcW w:w="926" w:type="dxa"/>
            <w:vMerge/>
            <w:tcBorders>
              <w:left w:val="single" w:sz="13" w:space="0" w:color="D2D2D2"/>
              <w:right w:val="single" w:sz="4" w:space="0" w:color="000000"/>
            </w:tcBorders>
          </w:tcPr>
          <w:p>
            <w:pPr/>
          </w:p>
        </w:tc>
      </w:tr>
      <w:tr>
        <w:trPr>
          <w:trHeight w:val="166" w:hRule="exact"/>
        </w:trPr>
        <w:tc>
          <w:tcPr>
            <w:tcW w:w="1184" w:type="dxa"/>
            <w:tcBorders>
              <w:top w:val="nil" w:sz="6" w:space="0" w:color="auto"/>
              <w:left w:val="single" w:sz="4" w:space="0" w:color="000000"/>
              <w:bottom w:val="single" w:sz="4" w:space="0" w:color="000000"/>
              <w:right w:val="single" w:sz="4" w:space="0" w:color="000000"/>
            </w:tcBorders>
            <w:shd w:val="clear" w:color="auto" w:fill="D2D2D2"/>
          </w:tcPr>
          <w:p>
            <w:pPr/>
          </w:p>
        </w:tc>
        <w:tc>
          <w:tcPr>
            <w:tcW w:w="956" w:type="dxa"/>
            <w:gridSpan w:val="2"/>
            <w:vMerge/>
            <w:tcBorders>
              <w:left w:val="single" w:sz="10" w:space="0" w:color="D2D2D2"/>
              <w:bottom w:val="single" w:sz="4" w:space="0" w:color="000000"/>
              <w:right w:val="single" w:sz="9" w:space="0" w:color="D2D2D2"/>
            </w:tcBorders>
          </w:tcPr>
          <w:p>
            <w:pPr/>
          </w:p>
        </w:tc>
        <w:tc>
          <w:tcPr>
            <w:tcW w:w="1535" w:type="dxa"/>
            <w:gridSpan w:val="3"/>
            <w:tcBorders>
              <w:top w:val="nil" w:sz="6" w:space="0" w:color="auto"/>
              <w:left w:val="single" w:sz="4" w:space="0" w:color="000000"/>
              <w:bottom w:val="single" w:sz="4" w:space="0" w:color="000000"/>
              <w:right w:val="single" w:sz="4" w:space="0" w:color="000000"/>
            </w:tcBorders>
            <w:shd w:val="clear" w:color="auto" w:fill="D2D2D2"/>
          </w:tcPr>
          <w:p>
            <w:pPr/>
          </w:p>
        </w:tc>
        <w:tc>
          <w:tcPr>
            <w:tcW w:w="873" w:type="dxa"/>
            <w:gridSpan w:val="2"/>
            <w:vMerge/>
            <w:tcBorders>
              <w:left w:val="single" w:sz="10" w:space="0" w:color="D2D2D2"/>
              <w:bottom w:val="single" w:sz="4" w:space="0" w:color="000000"/>
              <w:right w:val="single" w:sz="9" w:space="0" w:color="D2D2D2"/>
            </w:tcBorders>
          </w:tcPr>
          <w:p>
            <w:pPr/>
          </w:p>
        </w:tc>
        <w:tc>
          <w:tcPr>
            <w:tcW w:w="1420" w:type="dxa"/>
            <w:gridSpan w:val="2"/>
            <w:vMerge/>
            <w:tcBorders>
              <w:left w:val="single" w:sz="4" w:space="0" w:color="000000"/>
              <w:bottom w:val="single" w:sz="4" w:space="0" w:color="000000"/>
              <w:right w:val="single" w:sz="4" w:space="0" w:color="000000"/>
            </w:tcBorders>
            <w:shd w:val="clear" w:color="auto" w:fill="D2D2D2"/>
          </w:tcPr>
          <w:p>
            <w:pPr/>
          </w:p>
        </w:tc>
        <w:tc>
          <w:tcPr>
            <w:tcW w:w="326" w:type="dxa"/>
            <w:vMerge/>
            <w:tcBorders>
              <w:left w:val="single" w:sz="13" w:space="0" w:color="D2D2D2"/>
              <w:bottom w:val="single" w:sz="4" w:space="0" w:color="000000"/>
              <w:right w:val="nil" w:sz="6" w:space="0" w:color="auto"/>
            </w:tcBorders>
          </w:tcPr>
          <w:p>
            <w:pPr/>
          </w:p>
        </w:tc>
        <w:tc>
          <w:tcPr>
            <w:tcW w:w="376" w:type="dxa"/>
            <w:tcBorders>
              <w:top w:val="nil" w:sz="6" w:space="0" w:color="auto"/>
              <w:left w:val="nil" w:sz="6" w:space="0" w:color="auto"/>
              <w:bottom w:val="single" w:sz="4" w:space="0" w:color="000000"/>
              <w:right w:val="single" w:sz="13" w:space="0" w:color="D2D2D2"/>
            </w:tcBorders>
          </w:tcPr>
          <w:p>
            <w:pPr/>
          </w:p>
        </w:tc>
        <w:tc>
          <w:tcPr>
            <w:tcW w:w="1972" w:type="dxa"/>
            <w:gridSpan w:val="2"/>
            <w:vMerge/>
            <w:tcBorders>
              <w:left w:val="single" w:sz="4" w:space="0" w:color="000000"/>
              <w:bottom w:val="single" w:sz="4" w:space="0" w:color="000000"/>
              <w:right w:val="single" w:sz="4" w:space="0" w:color="000000"/>
            </w:tcBorders>
            <w:shd w:val="clear" w:color="auto" w:fill="D2D2D2"/>
          </w:tcPr>
          <w:p>
            <w:pPr/>
          </w:p>
        </w:tc>
        <w:tc>
          <w:tcPr>
            <w:tcW w:w="926" w:type="dxa"/>
            <w:vMerge/>
            <w:tcBorders>
              <w:left w:val="single" w:sz="13" w:space="0" w:color="D2D2D2"/>
              <w:bottom w:val="single" w:sz="4" w:space="0" w:color="000000"/>
              <w:right w:val="single" w:sz="4" w:space="0" w:color="000000"/>
            </w:tcBorders>
          </w:tcPr>
          <w:p>
            <w:pPr/>
          </w:p>
        </w:tc>
      </w:tr>
      <w:tr>
        <w:trPr>
          <w:trHeight w:val="392" w:hRule="exact"/>
        </w:trPr>
        <w:tc>
          <w:tcPr>
            <w:tcW w:w="9569" w:type="dxa"/>
            <w:gridSpan w:val="1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2810" w:right="0"/>
              <w:jc w:val="left"/>
              <w:rPr>
                <w:rFonts w:ascii="宋体" w:hAnsi="宋体" w:cs="宋体" w:eastAsia="宋体" w:hint="default"/>
                <w:sz w:val="21"/>
                <w:szCs w:val="21"/>
              </w:rPr>
            </w:pPr>
            <w:r>
              <w:rPr>
                <w:rFonts w:ascii="宋体" w:hAnsi="宋体" w:cs="宋体" w:eastAsia="宋体" w:hint="default"/>
                <w:sz w:val="21"/>
                <w:szCs w:val="21"/>
              </w:rPr>
              <w:t>持股</w:t>
            </w:r>
            <w:r>
              <w:rPr>
                <w:rFonts w:ascii="宋体" w:hAnsi="宋体" w:cs="宋体" w:eastAsia="宋体" w:hint="default"/>
                <w:spacing w:val="-55"/>
                <w:sz w:val="21"/>
                <w:szCs w:val="21"/>
              </w:rPr>
              <w:t> </w:t>
            </w:r>
            <w:r>
              <w:rPr>
                <w:rFonts w:ascii="宋体" w:hAnsi="宋体" w:cs="宋体" w:eastAsia="宋体" w:hint="default"/>
                <w:sz w:val="21"/>
                <w:szCs w:val="21"/>
              </w:rPr>
              <w:t>5%</w:t>
            </w:r>
            <w:r>
              <w:rPr>
                <w:rFonts w:ascii="宋体" w:hAnsi="宋体" w:cs="宋体" w:eastAsia="宋体" w:hint="default"/>
                <w:sz w:val="21"/>
                <w:szCs w:val="21"/>
              </w:rPr>
              <w:t>以上的股东或前</w:t>
            </w:r>
            <w:r>
              <w:rPr>
                <w:rFonts w:ascii="宋体" w:hAnsi="宋体" w:cs="宋体" w:eastAsia="宋体" w:hint="default"/>
                <w:spacing w:val="-54"/>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名股东持股情况</w:t>
            </w:r>
          </w:p>
        </w:tc>
      </w:tr>
      <w:tr>
        <w:trPr>
          <w:trHeight w:val="211" w:hRule="exact"/>
        </w:trPr>
        <w:tc>
          <w:tcPr>
            <w:tcW w:w="1276" w:type="dxa"/>
            <w:gridSpan w:val="2"/>
            <w:vMerge w:val="restart"/>
            <w:tcBorders>
              <w:top w:val="single" w:sz="4" w:space="0" w:color="000000"/>
              <w:left w:val="single" w:sz="4" w:space="0" w:color="000000"/>
              <w:right w:val="single" w:sz="4" w:space="0" w:color="000000"/>
            </w:tcBorders>
            <w:shd w:val="clear" w:color="auto" w:fill="D2D2D2"/>
          </w:tcPr>
          <w:p>
            <w:pPr/>
          </w:p>
        </w:tc>
        <w:tc>
          <w:tcPr>
            <w:tcW w:w="1277" w:type="dxa"/>
            <w:gridSpan w:val="2"/>
            <w:vMerge w:val="restart"/>
            <w:tcBorders>
              <w:top w:val="single" w:sz="4" w:space="0" w:color="000000"/>
              <w:left w:val="single" w:sz="4" w:space="0" w:color="000000"/>
              <w:right w:val="single" w:sz="4" w:space="0" w:color="000000"/>
            </w:tcBorders>
            <w:shd w:val="clear" w:color="auto" w:fill="D2D2D2"/>
          </w:tcPr>
          <w:p>
            <w:pPr/>
          </w:p>
        </w:tc>
        <w:tc>
          <w:tcPr>
            <w:tcW w:w="709"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4"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107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76"/>
              <w:ind w:left="111" w:right="110"/>
              <w:jc w:val="center"/>
              <w:rPr>
                <w:rFonts w:ascii="宋体" w:hAnsi="宋体" w:cs="宋体" w:eastAsia="宋体" w:hint="default"/>
                <w:sz w:val="21"/>
                <w:szCs w:val="21"/>
              </w:rPr>
            </w:pPr>
            <w:r>
              <w:rPr>
                <w:rFonts w:ascii="宋体" w:hAnsi="宋体" w:cs="宋体" w:eastAsia="宋体" w:hint="default"/>
                <w:sz w:val="21"/>
                <w:szCs w:val="21"/>
              </w:rPr>
              <w:t>报告期内 增减变动 情况</w:t>
            </w:r>
          </w:p>
        </w:tc>
        <w:tc>
          <w:tcPr>
            <w:tcW w:w="1140"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76"/>
              <w:ind w:left="35" w:right="42"/>
              <w:jc w:val="center"/>
              <w:rPr>
                <w:rFonts w:ascii="宋体" w:hAnsi="宋体" w:cs="宋体" w:eastAsia="宋体" w:hint="default"/>
                <w:sz w:val="21"/>
                <w:szCs w:val="21"/>
              </w:rPr>
            </w:pPr>
            <w:r>
              <w:rPr>
                <w:rFonts w:ascii="宋体" w:hAnsi="宋体" w:cs="宋体" w:eastAsia="宋体" w:hint="default"/>
                <w:sz w:val="21"/>
                <w:szCs w:val="21"/>
              </w:rPr>
              <w:t>持有有限售 条件的股份 数量</w:t>
            </w:r>
          </w:p>
        </w:tc>
        <w:tc>
          <w:tcPr>
            <w:tcW w:w="1129"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76"/>
              <w:ind w:left="30" w:right="36"/>
              <w:jc w:val="center"/>
              <w:rPr>
                <w:rFonts w:ascii="宋体" w:hAnsi="宋体" w:cs="宋体" w:eastAsia="宋体" w:hint="default"/>
                <w:sz w:val="21"/>
                <w:szCs w:val="21"/>
              </w:rPr>
            </w:pPr>
            <w:r>
              <w:rPr>
                <w:rFonts w:ascii="宋体" w:hAnsi="宋体" w:cs="宋体" w:eastAsia="宋体" w:hint="default"/>
                <w:sz w:val="21"/>
                <w:szCs w:val="21"/>
              </w:rPr>
              <w:t>持有无限售 条件的股份 数量</w:t>
            </w:r>
          </w:p>
        </w:tc>
        <w:tc>
          <w:tcPr>
            <w:tcW w:w="177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0"/>
              <w:ind w:left="145" w:right="0"/>
              <w:jc w:val="left"/>
              <w:rPr>
                <w:rFonts w:ascii="宋体" w:hAnsi="宋体" w:cs="宋体" w:eastAsia="宋体" w:hint="default"/>
                <w:sz w:val="21"/>
                <w:szCs w:val="21"/>
              </w:rPr>
            </w:pPr>
            <w:r>
              <w:rPr>
                <w:rFonts w:ascii="宋体" w:hAnsi="宋体" w:cs="宋体" w:eastAsia="宋体" w:hint="default"/>
                <w:sz w:val="21"/>
                <w:szCs w:val="21"/>
              </w:rPr>
              <w:t>质押或冻结情况</w:t>
            </w:r>
          </w:p>
        </w:tc>
      </w:tr>
      <w:tr>
        <w:trPr>
          <w:trHeight w:val="173" w:hRule="exact"/>
        </w:trPr>
        <w:tc>
          <w:tcPr>
            <w:tcW w:w="1276" w:type="dxa"/>
            <w:gridSpan w:val="2"/>
            <w:vMerge/>
            <w:tcBorders>
              <w:left w:val="single" w:sz="4" w:space="0" w:color="000000"/>
              <w:bottom w:val="nil" w:sz="6" w:space="0" w:color="auto"/>
              <w:right w:val="single" w:sz="4" w:space="0" w:color="000000"/>
            </w:tcBorders>
            <w:shd w:val="clear" w:color="auto" w:fill="D2D2D2"/>
          </w:tcPr>
          <w:p>
            <w:pPr/>
          </w:p>
        </w:tc>
        <w:tc>
          <w:tcPr>
            <w:tcW w:w="1277" w:type="dxa"/>
            <w:gridSpan w:val="2"/>
            <w:vMerge/>
            <w:tcBorders>
              <w:left w:val="single" w:sz="4" w:space="0" w:color="000000"/>
              <w:bottom w:val="nil" w:sz="6" w:space="0" w:color="auto"/>
              <w:right w:val="single" w:sz="4" w:space="0" w:color="000000"/>
            </w:tcBorders>
            <w:shd w:val="clear" w:color="auto" w:fill="D2D2D2"/>
          </w:tcPr>
          <w:p>
            <w:pPr/>
          </w:p>
        </w:tc>
        <w:tc>
          <w:tcPr>
            <w:tcW w:w="709" w:type="dxa"/>
            <w:vMerge w:val="restart"/>
            <w:tcBorders>
              <w:top w:val="nil" w:sz="6" w:space="0" w:color="auto"/>
              <w:left w:val="single" w:sz="4" w:space="0" w:color="000000"/>
              <w:right w:val="single" w:sz="4" w:space="0" w:color="000000"/>
            </w:tcBorders>
            <w:shd w:val="clear" w:color="auto" w:fill="D2D2D2"/>
          </w:tcPr>
          <w:p>
            <w:pPr>
              <w:pStyle w:val="TableParagraph"/>
              <w:spacing w:line="273" w:lineRule="auto" w:before="26"/>
              <w:ind w:left="243" w:right="35" w:hanging="210"/>
              <w:jc w:val="left"/>
              <w:rPr>
                <w:rFonts w:ascii="宋体" w:hAnsi="宋体" w:cs="宋体" w:eastAsia="宋体" w:hint="default"/>
                <w:sz w:val="21"/>
                <w:szCs w:val="21"/>
              </w:rPr>
            </w:pPr>
            <w:r>
              <w:rPr>
                <w:rFonts w:ascii="宋体" w:hAnsi="宋体" w:cs="宋体" w:eastAsia="宋体" w:hint="default"/>
                <w:sz w:val="21"/>
                <w:szCs w:val="21"/>
              </w:rPr>
              <w:t>持股比 例</w:t>
            </w:r>
          </w:p>
        </w:tc>
        <w:tc>
          <w:tcPr>
            <w:tcW w:w="1194"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73" w:lineRule="auto" w:before="26"/>
              <w:ind w:left="275" w:right="66" w:hanging="210"/>
              <w:jc w:val="left"/>
              <w:rPr>
                <w:rFonts w:ascii="宋体" w:hAnsi="宋体" w:cs="宋体" w:eastAsia="宋体" w:hint="default"/>
                <w:sz w:val="21"/>
                <w:szCs w:val="21"/>
              </w:rPr>
            </w:pPr>
            <w:r>
              <w:rPr>
                <w:rFonts w:ascii="宋体" w:hAnsi="宋体" w:cs="宋体" w:eastAsia="宋体" w:hint="default"/>
                <w:sz w:val="21"/>
                <w:szCs w:val="21"/>
              </w:rPr>
              <w:t>报告期末持 股数量</w:t>
            </w:r>
          </w:p>
        </w:tc>
        <w:tc>
          <w:tcPr>
            <w:tcW w:w="1074" w:type="dxa"/>
            <w:gridSpan w:val="2"/>
            <w:vMerge/>
            <w:tcBorders>
              <w:left w:val="single" w:sz="4" w:space="0" w:color="000000"/>
              <w:right w:val="single" w:sz="4" w:space="0" w:color="000000"/>
            </w:tcBorders>
            <w:shd w:val="clear" w:color="auto" w:fill="D2D2D2"/>
          </w:tcPr>
          <w:p>
            <w:pPr/>
          </w:p>
        </w:tc>
        <w:tc>
          <w:tcPr>
            <w:tcW w:w="1140" w:type="dxa"/>
            <w:gridSpan w:val="3"/>
            <w:vMerge/>
            <w:tcBorders>
              <w:left w:val="single" w:sz="4" w:space="0" w:color="000000"/>
              <w:right w:val="single" w:sz="4" w:space="0" w:color="000000"/>
            </w:tcBorders>
            <w:shd w:val="clear" w:color="auto" w:fill="D2D2D2"/>
          </w:tcPr>
          <w:p>
            <w:pPr/>
          </w:p>
        </w:tc>
        <w:tc>
          <w:tcPr>
            <w:tcW w:w="1129" w:type="dxa"/>
            <w:vMerge/>
            <w:tcBorders>
              <w:left w:val="single" w:sz="4" w:space="0" w:color="000000"/>
              <w:right w:val="single" w:sz="4" w:space="0" w:color="000000"/>
            </w:tcBorders>
            <w:shd w:val="clear" w:color="auto" w:fill="D2D2D2"/>
          </w:tcPr>
          <w:p>
            <w:pPr/>
          </w:p>
        </w:tc>
        <w:tc>
          <w:tcPr>
            <w:tcW w:w="1770" w:type="dxa"/>
            <w:gridSpan w:val="2"/>
            <w:vMerge/>
            <w:tcBorders>
              <w:left w:val="single" w:sz="4" w:space="0" w:color="000000"/>
              <w:bottom w:val="single" w:sz="4" w:space="0" w:color="000000"/>
              <w:right w:val="single" w:sz="4" w:space="0" w:color="000000"/>
            </w:tcBorders>
            <w:shd w:val="clear" w:color="auto" w:fill="D2D2D2"/>
          </w:tcPr>
          <w:p>
            <w:pPr/>
          </w:p>
        </w:tc>
      </w:tr>
      <w:tr>
        <w:trPr>
          <w:trHeight w:val="183" w:hRule="exact"/>
        </w:trPr>
        <w:tc>
          <w:tcPr>
            <w:tcW w:w="1276"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212" w:right="0"/>
              <w:jc w:val="left"/>
              <w:rPr>
                <w:rFonts w:ascii="宋体" w:hAnsi="宋体" w:cs="宋体" w:eastAsia="宋体" w:hint="default"/>
                <w:sz w:val="21"/>
                <w:szCs w:val="21"/>
              </w:rPr>
            </w:pPr>
            <w:r>
              <w:rPr>
                <w:rFonts w:ascii="宋体" w:hAnsi="宋体" w:cs="宋体" w:eastAsia="宋体" w:hint="default"/>
                <w:sz w:val="21"/>
                <w:szCs w:val="21"/>
              </w:rPr>
              <w:t>股东名称</w:t>
            </w:r>
          </w:p>
        </w:tc>
        <w:tc>
          <w:tcPr>
            <w:tcW w:w="1277"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213" w:right="0"/>
              <w:jc w:val="left"/>
              <w:rPr>
                <w:rFonts w:ascii="宋体" w:hAnsi="宋体" w:cs="宋体" w:eastAsia="宋体" w:hint="default"/>
                <w:sz w:val="21"/>
                <w:szCs w:val="21"/>
              </w:rPr>
            </w:pPr>
            <w:r>
              <w:rPr>
                <w:rFonts w:ascii="宋体" w:hAnsi="宋体" w:cs="宋体" w:eastAsia="宋体" w:hint="default"/>
                <w:sz w:val="21"/>
                <w:szCs w:val="21"/>
              </w:rPr>
              <w:t>股东性质</w:t>
            </w:r>
          </w:p>
        </w:tc>
        <w:tc>
          <w:tcPr>
            <w:tcW w:w="709" w:type="dxa"/>
            <w:vMerge/>
            <w:tcBorders>
              <w:left w:val="single" w:sz="4" w:space="0" w:color="000000"/>
              <w:right w:val="single" w:sz="4" w:space="0" w:color="000000"/>
            </w:tcBorders>
            <w:shd w:val="clear" w:color="auto" w:fill="D2D2D2"/>
          </w:tcPr>
          <w:p>
            <w:pPr/>
          </w:p>
        </w:tc>
        <w:tc>
          <w:tcPr>
            <w:tcW w:w="1194" w:type="dxa"/>
            <w:gridSpan w:val="2"/>
            <w:vMerge/>
            <w:tcBorders>
              <w:left w:val="single" w:sz="4" w:space="0" w:color="000000"/>
              <w:right w:val="single" w:sz="4" w:space="0" w:color="000000"/>
            </w:tcBorders>
            <w:shd w:val="clear" w:color="auto" w:fill="D2D2D2"/>
          </w:tcPr>
          <w:p>
            <w:pPr/>
          </w:p>
        </w:tc>
        <w:tc>
          <w:tcPr>
            <w:tcW w:w="1074" w:type="dxa"/>
            <w:gridSpan w:val="2"/>
            <w:vMerge/>
            <w:tcBorders>
              <w:left w:val="single" w:sz="4" w:space="0" w:color="000000"/>
              <w:right w:val="single" w:sz="4" w:space="0" w:color="000000"/>
            </w:tcBorders>
            <w:shd w:val="clear" w:color="auto" w:fill="D2D2D2"/>
          </w:tcPr>
          <w:p>
            <w:pPr/>
          </w:p>
        </w:tc>
        <w:tc>
          <w:tcPr>
            <w:tcW w:w="1140" w:type="dxa"/>
            <w:gridSpan w:val="3"/>
            <w:vMerge/>
            <w:tcBorders>
              <w:left w:val="single" w:sz="4" w:space="0" w:color="000000"/>
              <w:right w:val="single" w:sz="4" w:space="0" w:color="000000"/>
            </w:tcBorders>
            <w:shd w:val="clear" w:color="auto" w:fill="D2D2D2"/>
          </w:tcPr>
          <w:p>
            <w:pPr/>
          </w:p>
        </w:tc>
        <w:tc>
          <w:tcPr>
            <w:tcW w:w="1129" w:type="dxa"/>
            <w:vMerge/>
            <w:tcBorders>
              <w:left w:val="single" w:sz="4" w:space="0" w:color="000000"/>
              <w:right w:val="single" w:sz="4" w:space="0" w:color="000000"/>
            </w:tcBorders>
            <w:shd w:val="clear" w:color="auto" w:fill="D2D2D2"/>
          </w:tcPr>
          <w:p>
            <w:pPr/>
          </w:p>
        </w:tc>
        <w:tc>
          <w:tcPr>
            <w:tcW w:w="844"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48"/>
              <w:ind w:left="314" w:right="97" w:hanging="210"/>
              <w:jc w:val="left"/>
              <w:rPr>
                <w:rFonts w:ascii="宋体" w:hAnsi="宋体" w:cs="宋体" w:eastAsia="宋体" w:hint="default"/>
                <w:sz w:val="21"/>
                <w:szCs w:val="21"/>
              </w:rPr>
            </w:pPr>
            <w:r>
              <w:rPr>
                <w:rFonts w:ascii="宋体" w:hAnsi="宋体" w:cs="宋体" w:eastAsia="宋体" w:hint="default"/>
                <w:sz w:val="21"/>
                <w:szCs w:val="21"/>
              </w:rPr>
              <w:t>股份状 态</w:t>
            </w:r>
          </w:p>
        </w:tc>
        <w:tc>
          <w:tcPr>
            <w:tcW w:w="926"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1" w:hRule="exact"/>
        </w:trPr>
        <w:tc>
          <w:tcPr>
            <w:tcW w:w="1276" w:type="dxa"/>
            <w:gridSpan w:val="2"/>
            <w:vMerge/>
            <w:tcBorders>
              <w:left w:val="single" w:sz="4" w:space="0" w:color="000000"/>
              <w:bottom w:val="nil" w:sz="6" w:space="0" w:color="auto"/>
              <w:right w:val="single" w:sz="4" w:space="0" w:color="000000"/>
            </w:tcBorders>
            <w:shd w:val="clear" w:color="auto" w:fill="D2D2D2"/>
          </w:tcPr>
          <w:p>
            <w:pPr/>
          </w:p>
        </w:tc>
        <w:tc>
          <w:tcPr>
            <w:tcW w:w="1277" w:type="dxa"/>
            <w:gridSpan w:val="2"/>
            <w:vMerge/>
            <w:tcBorders>
              <w:left w:val="single" w:sz="4" w:space="0" w:color="000000"/>
              <w:bottom w:val="nil" w:sz="6" w:space="0" w:color="auto"/>
              <w:right w:val="single" w:sz="4" w:space="0" w:color="000000"/>
            </w:tcBorders>
            <w:shd w:val="clear" w:color="auto" w:fill="D2D2D2"/>
          </w:tcPr>
          <w:p>
            <w:pPr/>
          </w:p>
        </w:tc>
        <w:tc>
          <w:tcPr>
            <w:tcW w:w="709" w:type="dxa"/>
            <w:vMerge/>
            <w:tcBorders>
              <w:left w:val="single" w:sz="4" w:space="0" w:color="000000"/>
              <w:right w:val="single" w:sz="4" w:space="0" w:color="000000"/>
            </w:tcBorders>
            <w:shd w:val="clear" w:color="auto" w:fill="D2D2D2"/>
          </w:tcPr>
          <w:p>
            <w:pPr/>
          </w:p>
        </w:tc>
        <w:tc>
          <w:tcPr>
            <w:tcW w:w="1194" w:type="dxa"/>
            <w:gridSpan w:val="2"/>
            <w:vMerge/>
            <w:tcBorders>
              <w:left w:val="single" w:sz="4" w:space="0" w:color="000000"/>
              <w:right w:val="single" w:sz="4" w:space="0" w:color="000000"/>
            </w:tcBorders>
            <w:shd w:val="clear" w:color="auto" w:fill="D2D2D2"/>
          </w:tcPr>
          <w:p>
            <w:pPr/>
          </w:p>
        </w:tc>
        <w:tc>
          <w:tcPr>
            <w:tcW w:w="1074" w:type="dxa"/>
            <w:gridSpan w:val="2"/>
            <w:vMerge/>
            <w:tcBorders>
              <w:left w:val="single" w:sz="4" w:space="0" w:color="000000"/>
              <w:right w:val="single" w:sz="4" w:space="0" w:color="000000"/>
            </w:tcBorders>
            <w:shd w:val="clear" w:color="auto" w:fill="D2D2D2"/>
          </w:tcPr>
          <w:p>
            <w:pPr/>
          </w:p>
        </w:tc>
        <w:tc>
          <w:tcPr>
            <w:tcW w:w="1140" w:type="dxa"/>
            <w:gridSpan w:val="3"/>
            <w:vMerge/>
            <w:tcBorders>
              <w:left w:val="single" w:sz="4" w:space="0" w:color="000000"/>
              <w:right w:val="single" w:sz="4" w:space="0" w:color="000000"/>
            </w:tcBorders>
            <w:shd w:val="clear" w:color="auto" w:fill="D2D2D2"/>
          </w:tcPr>
          <w:p>
            <w:pPr/>
          </w:p>
        </w:tc>
        <w:tc>
          <w:tcPr>
            <w:tcW w:w="1129" w:type="dxa"/>
            <w:vMerge/>
            <w:tcBorders>
              <w:left w:val="single" w:sz="4" w:space="0" w:color="000000"/>
              <w:right w:val="single" w:sz="4" w:space="0" w:color="000000"/>
            </w:tcBorders>
            <w:shd w:val="clear" w:color="auto" w:fill="D2D2D2"/>
          </w:tcPr>
          <w:p>
            <w:pPr/>
          </w:p>
        </w:tc>
        <w:tc>
          <w:tcPr>
            <w:tcW w:w="844" w:type="dxa"/>
            <w:vMerge/>
            <w:tcBorders>
              <w:left w:val="single" w:sz="4" w:space="0" w:color="000000"/>
              <w:right w:val="single" w:sz="4" w:space="0" w:color="000000"/>
            </w:tcBorders>
            <w:shd w:val="clear" w:color="auto" w:fill="D2D2D2"/>
          </w:tcPr>
          <w:p>
            <w:pPr/>
          </w:p>
        </w:tc>
        <w:tc>
          <w:tcPr>
            <w:tcW w:w="92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6"/>
              <w:ind w:left="250" w:right="0"/>
              <w:jc w:val="left"/>
              <w:rPr>
                <w:rFonts w:ascii="宋体" w:hAnsi="宋体" w:cs="宋体" w:eastAsia="宋体" w:hint="default"/>
                <w:sz w:val="21"/>
                <w:szCs w:val="21"/>
              </w:rPr>
            </w:pPr>
            <w:r>
              <w:rPr>
                <w:rFonts w:ascii="宋体" w:hAnsi="宋体" w:cs="宋体" w:eastAsia="宋体" w:hint="default"/>
                <w:sz w:val="21"/>
                <w:szCs w:val="21"/>
              </w:rPr>
              <w:t>数量</w:t>
            </w:r>
          </w:p>
        </w:tc>
      </w:tr>
      <w:tr>
        <w:trPr>
          <w:trHeight w:val="179" w:hRule="exact"/>
        </w:trPr>
        <w:tc>
          <w:tcPr>
            <w:tcW w:w="1276" w:type="dxa"/>
            <w:gridSpan w:val="2"/>
            <w:vMerge w:val="restart"/>
            <w:tcBorders>
              <w:top w:val="nil" w:sz="6" w:space="0" w:color="auto"/>
              <w:left w:val="single" w:sz="4" w:space="0" w:color="000000"/>
              <w:right w:val="single" w:sz="4" w:space="0" w:color="000000"/>
            </w:tcBorders>
            <w:shd w:val="clear" w:color="auto" w:fill="D2D2D2"/>
          </w:tcPr>
          <w:p>
            <w:pPr/>
          </w:p>
        </w:tc>
        <w:tc>
          <w:tcPr>
            <w:tcW w:w="1277" w:type="dxa"/>
            <w:gridSpan w:val="2"/>
            <w:vMerge w:val="restart"/>
            <w:tcBorders>
              <w:top w:val="nil" w:sz="6" w:space="0" w:color="auto"/>
              <w:left w:val="single" w:sz="4" w:space="0" w:color="000000"/>
              <w:right w:val="single" w:sz="4" w:space="0" w:color="000000"/>
            </w:tcBorders>
            <w:shd w:val="clear" w:color="auto" w:fill="D2D2D2"/>
          </w:tcPr>
          <w:p>
            <w:pPr/>
          </w:p>
        </w:tc>
        <w:tc>
          <w:tcPr>
            <w:tcW w:w="709" w:type="dxa"/>
            <w:vMerge/>
            <w:tcBorders>
              <w:left w:val="single" w:sz="4" w:space="0" w:color="000000"/>
              <w:bottom w:val="nil" w:sz="6" w:space="0" w:color="auto"/>
              <w:right w:val="single" w:sz="4" w:space="0" w:color="000000"/>
            </w:tcBorders>
            <w:shd w:val="clear" w:color="auto" w:fill="D2D2D2"/>
          </w:tcPr>
          <w:p>
            <w:pPr/>
          </w:p>
        </w:tc>
        <w:tc>
          <w:tcPr>
            <w:tcW w:w="1194" w:type="dxa"/>
            <w:gridSpan w:val="2"/>
            <w:vMerge/>
            <w:tcBorders>
              <w:left w:val="single" w:sz="4" w:space="0" w:color="000000"/>
              <w:bottom w:val="nil" w:sz="6" w:space="0" w:color="auto"/>
              <w:right w:val="single" w:sz="4" w:space="0" w:color="000000"/>
            </w:tcBorders>
            <w:shd w:val="clear" w:color="auto" w:fill="D2D2D2"/>
          </w:tcPr>
          <w:p>
            <w:pPr/>
          </w:p>
        </w:tc>
        <w:tc>
          <w:tcPr>
            <w:tcW w:w="1074" w:type="dxa"/>
            <w:gridSpan w:val="2"/>
            <w:vMerge/>
            <w:tcBorders>
              <w:left w:val="single" w:sz="4" w:space="0" w:color="000000"/>
              <w:right w:val="single" w:sz="4" w:space="0" w:color="000000"/>
            </w:tcBorders>
            <w:shd w:val="clear" w:color="auto" w:fill="D2D2D2"/>
          </w:tcPr>
          <w:p>
            <w:pPr/>
          </w:p>
        </w:tc>
        <w:tc>
          <w:tcPr>
            <w:tcW w:w="1140" w:type="dxa"/>
            <w:gridSpan w:val="3"/>
            <w:vMerge/>
            <w:tcBorders>
              <w:left w:val="single" w:sz="4" w:space="0" w:color="000000"/>
              <w:right w:val="single" w:sz="4" w:space="0" w:color="000000"/>
            </w:tcBorders>
            <w:shd w:val="clear" w:color="auto" w:fill="D2D2D2"/>
          </w:tcPr>
          <w:p>
            <w:pPr/>
          </w:p>
        </w:tc>
        <w:tc>
          <w:tcPr>
            <w:tcW w:w="1129" w:type="dxa"/>
            <w:vMerge/>
            <w:tcBorders>
              <w:left w:val="single" w:sz="4" w:space="0" w:color="000000"/>
              <w:right w:val="single" w:sz="4" w:space="0" w:color="000000"/>
            </w:tcBorders>
            <w:shd w:val="clear" w:color="auto" w:fill="D2D2D2"/>
          </w:tcPr>
          <w:p>
            <w:pPr/>
          </w:p>
        </w:tc>
        <w:tc>
          <w:tcPr>
            <w:tcW w:w="844" w:type="dxa"/>
            <w:vMerge/>
            <w:tcBorders>
              <w:left w:val="single" w:sz="4" w:space="0" w:color="000000"/>
              <w:right w:val="single" w:sz="4" w:space="0" w:color="000000"/>
            </w:tcBorders>
            <w:shd w:val="clear" w:color="auto" w:fill="D2D2D2"/>
          </w:tcPr>
          <w:p>
            <w:pPr/>
          </w:p>
        </w:tc>
        <w:tc>
          <w:tcPr>
            <w:tcW w:w="926"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1276" w:type="dxa"/>
            <w:gridSpan w:val="2"/>
            <w:vMerge/>
            <w:tcBorders>
              <w:left w:val="single" w:sz="4" w:space="0" w:color="000000"/>
              <w:bottom w:val="single" w:sz="4" w:space="0" w:color="000000"/>
              <w:right w:val="single" w:sz="4" w:space="0" w:color="000000"/>
            </w:tcBorders>
            <w:shd w:val="clear" w:color="auto" w:fill="D2D2D2"/>
          </w:tcPr>
          <w:p>
            <w:pPr/>
          </w:p>
        </w:tc>
        <w:tc>
          <w:tcPr>
            <w:tcW w:w="1277" w:type="dxa"/>
            <w:gridSpan w:val="2"/>
            <w:vMerge/>
            <w:tcBorders>
              <w:left w:val="single" w:sz="4" w:space="0" w:color="000000"/>
              <w:bottom w:val="single" w:sz="4" w:space="0" w:color="000000"/>
              <w:right w:val="single" w:sz="4" w:space="0" w:color="000000"/>
            </w:tcBorders>
            <w:shd w:val="clear" w:color="auto" w:fill="D2D2D2"/>
          </w:tcPr>
          <w:p>
            <w:pPr/>
          </w:p>
        </w:tc>
        <w:tc>
          <w:tcPr>
            <w:tcW w:w="709"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4"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1074" w:type="dxa"/>
            <w:gridSpan w:val="2"/>
            <w:vMerge/>
            <w:tcBorders>
              <w:left w:val="single" w:sz="4" w:space="0" w:color="000000"/>
              <w:bottom w:val="single" w:sz="4" w:space="0" w:color="000000"/>
              <w:right w:val="single" w:sz="4" w:space="0" w:color="000000"/>
            </w:tcBorders>
            <w:shd w:val="clear" w:color="auto" w:fill="D2D2D2"/>
          </w:tcPr>
          <w:p>
            <w:pPr/>
          </w:p>
        </w:tc>
        <w:tc>
          <w:tcPr>
            <w:tcW w:w="1140" w:type="dxa"/>
            <w:gridSpan w:val="3"/>
            <w:vMerge/>
            <w:tcBorders>
              <w:left w:val="single" w:sz="4" w:space="0" w:color="000000"/>
              <w:bottom w:val="single" w:sz="4" w:space="0" w:color="000000"/>
              <w:right w:val="single" w:sz="4" w:space="0" w:color="000000"/>
            </w:tcBorders>
            <w:shd w:val="clear" w:color="auto" w:fill="D2D2D2"/>
          </w:tcPr>
          <w:p>
            <w:pPr/>
          </w:p>
        </w:tc>
        <w:tc>
          <w:tcPr>
            <w:tcW w:w="1129" w:type="dxa"/>
            <w:vMerge/>
            <w:tcBorders>
              <w:left w:val="single" w:sz="4" w:space="0" w:color="000000"/>
              <w:bottom w:val="single" w:sz="4" w:space="0" w:color="000000"/>
              <w:right w:val="single" w:sz="4" w:space="0" w:color="000000"/>
            </w:tcBorders>
            <w:shd w:val="clear" w:color="auto" w:fill="D2D2D2"/>
          </w:tcPr>
          <w:p>
            <w:pPr/>
          </w:p>
        </w:tc>
        <w:tc>
          <w:tcPr>
            <w:tcW w:w="844" w:type="dxa"/>
            <w:vMerge/>
            <w:tcBorders>
              <w:left w:val="single" w:sz="4" w:space="0" w:color="000000"/>
              <w:bottom w:val="single" w:sz="4" w:space="0" w:color="000000"/>
              <w:right w:val="single" w:sz="4" w:space="0" w:color="000000"/>
            </w:tcBorders>
            <w:shd w:val="clear" w:color="auto" w:fill="D2D2D2"/>
          </w:tcPr>
          <w:p>
            <w:pPr/>
          </w:p>
        </w:tc>
        <w:tc>
          <w:tcPr>
            <w:tcW w:w="926"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737" w:hRule="exact"/>
        </w:trPr>
        <w:tc>
          <w:tcPr>
            <w:tcW w:w="127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李海鹰</w:t>
            </w:r>
          </w:p>
        </w:tc>
        <w:tc>
          <w:tcPr>
            <w:tcW w:w="12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境内自然人</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21"/>
                <w:szCs w:val="21"/>
              </w:rPr>
            </w:pPr>
            <w:r>
              <w:rPr>
                <w:rFonts w:ascii="宋体"/>
                <w:sz w:val="21"/>
              </w:rPr>
              <w:t>12.61%</w:t>
            </w:r>
          </w:p>
        </w:tc>
        <w:tc>
          <w:tcPr>
            <w:tcW w:w="11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110" w:right="0"/>
              <w:jc w:val="left"/>
              <w:rPr>
                <w:rFonts w:ascii="宋体" w:hAnsi="宋体" w:cs="宋体" w:eastAsia="宋体" w:hint="default"/>
                <w:sz w:val="21"/>
                <w:szCs w:val="21"/>
              </w:rPr>
            </w:pPr>
            <w:r>
              <w:rPr>
                <w:rFonts w:ascii="宋体"/>
                <w:sz w:val="21"/>
              </w:rPr>
              <w:t>47,492,300</w:t>
            </w:r>
          </w:p>
        </w:tc>
        <w:tc>
          <w:tcPr>
            <w:tcW w:w="1074" w:type="dxa"/>
            <w:gridSpan w:val="2"/>
            <w:tcBorders>
              <w:top w:val="single" w:sz="22" w:space="0" w:color="D2D2D2"/>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sz w:val="21"/>
              </w:rPr>
              <w:t>-7533300</w:t>
            </w:r>
          </w:p>
        </w:tc>
        <w:tc>
          <w:tcPr>
            <w:tcW w:w="1140" w:type="dxa"/>
            <w:gridSpan w:val="3"/>
            <w:tcBorders>
              <w:top w:val="single" w:sz="22" w:space="0" w:color="D2D2D2"/>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50" w:right="0"/>
              <w:jc w:val="left"/>
              <w:rPr>
                <w:rFonts w:ascii="宋体" w:hAnsi="宋体" w:cs="宋体" w:eastAsia="宋体" w:hint="default"/>
                <w:sz w:val="21"/>
                <w:szCs w:val="21"/>
              </w:rPr>
            </w:pPr>
            <w:r>
              <w:rPr>
                <w:rFonts w:ascii="宋体"/>
                <w:sz w:val="21"/>
              </w:rPr>
              <w:t>41,269,200</w:t>
            </w:r>
          </w:p>
        </w:tc>
        <w:tc>
          <w:tcPr>
            <w:tcW w:w="1129" w:type="dxa"/>
            <w:tcBorders>
              <w:top w:val="single" w:sz="22" w:space="0" w:color="D2D2D2"/>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126" w:right="0"/>
              <w:jc w:val="center"/>
              <w:rPr>
                <w:rFonts w:ascii="宋体" w:hAnsi="宋体" w:cs="宋体" w:eastAsia="宋体" w:hint="default"/>
                <w:sz w:val="21"/>
                <w:szCs w:val="21"/>
              </w:rPr>
            </w:pPr>
            <w:r>
              <w:rPr>
                <w:rFonts w:ascii="宋体"/>
                <w:sz w:val="21"/>
              </w:rPr>
              <w:t>6,223,100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质押</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0"/>
              <w:jc w:val="right"/>
              <w:rPr>
                <w:rFonts w:ascii="宋体" w:hAnsi="宋体" w:cs="宋体" w:eastAsia="宋体" w:hint="default"/>
                <w:sz w:val="21"/>
                <w:szCs w:val="21"/>
              </w:rPr>
            </w:pPr>
            <w:r>
              <w:rPr>
                <w:rFonts w:ascii="宋体"/>
                <w:sz w:val="21"/>
              </w:rPr>
              <w:t>34,050,0</w:t>
            </w:r>
          </w:p>
          <w:p>
            <w:pPr>
              <w:pStyle w:val="TableParagraph"/>
              <w:spacing w:line="240" w:lineRule="auto" w:before="38"/>
              <w:ind w:right="19"/>
              <w:jc w:val="right"/>
              <w:rPr>
                <w:rFonts w:ascii="宋体" w:hAnsi="宋体" w:cs="宋体" w:eastAsia="宋体" w:hint="default"/>
                <w:sz w:val="21"/>
                <w:szCs w:val="21"/>
              </w:rPr>
            </w:pPr>
            <w:r>
              <w:rPr>
                <w:rFonts w:ascii="宋体"/>
                <w:sz w:val="21"/>
              </w:rPr>
              <w:t>00</w:t>
            </w:r>
          </w:p>
        </w:tc>
      </w:tr>
      <w:tr>
        <w:trPr>
          <w:trHeight w:val="402" w:hRule="exact"/>
        </w:trPr>
        <w:tc>
          <w:tcPr>
            <w:tcW w:w="127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谢春生</w:t>
            </w:r>
          </w:p>
        </w:tc>
        <w:tc>
          <w:tcPr>
            <w:tcW w:w="12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3" w:right="0"/>
              <w:jc w:val="left"/>
              <w:rPr>
                <w:rFonts w:ascii="宋体" w:hAnsi="宋体" w:cs="宋体" w:eastAsia="宋体" w:hint="default"/>
                <w:sz w:val="21"/>
                <w:szCs w:val="21"/>
              </w:rPr>
            </w:pPr>
            <w:r>
              <w:rPr>
                <w:rFonts w:ascii="宋体" w:hAnsi="宋体" w:cs="宋体" w:eastAsia="宋体" w:hint="default"/>
                <w:sz w:val="21"/>
                <w:szCs w:val="21"/>
              </w:rPr>
              <w:t>境内自然人</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5.89%</w:t>
            </w:r>
          </w:p>
        </w:tc>
        <w:tc>
          <w:tcPr>
            <w:tcW w:w="11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10" w:right="0"/>
              <w:jc w:val="left"/>
              <w:rPr>
                <w:rFonts w:ascii="宋体" w:hAnsi="宋体" w:cs="宋体" w:eastAsia="宋体" w:hint="default"/>
                <w:sz w:val="21"/>
                <w:szCs w:val="21"/>
              </w:rPr>
            </w:pPr>
            <w:r>
              <w:rPr>
                <w:rFonts w:ascii="宋体"/>
                <w:sz w:val="21"/>
              </w:rPr>
              <w:t>22,168,000</w:t>
            </w:r>
          </w:p>
        </w:tc>
        <w:tc>
          <w:tcPr>
            <w:tcW w:w="1074" w:type="dxa"/>
            <w:gridSpan w:val="2"/>
            <w:tcBorders>
              <w:top w:val="single" w:sz="4" w:space="0" w:color="000000"/>
              <w:left w:val="single" w:sz="4" w:space="0" w:color="000000"/>
              <w:bottom w:val="single" w:sz="4" w:space="0" w:color="000000"/>
              <w:right w:val="single" w:sz="4" w:space="0" w:color="000000"/>
            </w:tcBorders>
          </w:tcPr>
          <w:p>
            <w:pPr/>
          </w:p>
        </w:tc>
        <w:tc>
          <w:tcPr>
            <w:tcW w:w="114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50" w:right="0"/>
              <w:jc w:val="left"/>
              <w:rPr>
                <w:rFonts w:ascii="宋体" w:hAnsi="宋体" w:cs="宋体" w:eastAsia="宋体" w:hint="default"/>
                <w:sz w:val="21"/>
                <w:szCs w:val="21"/>
              </w:rPr>
            </w:pPr>
            <w:r>
              <w:rPr>
                <w:rFonts w:ascii="宋体"/>
                <w:sz w:val="21"/>
              </w:rPr>
              <w:t>16,626,000</w:t>
            </w: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26" w:right="0"/>
              <w:jc w:val="center"/>
              <w:rPr>
                <w:rFonts w:ascii="宋体" w:hAnsi="宋体" w:cs="宋体" w:eastAsia="宋体" w:hint="default"/>
                <w:sz w:val="21"/>
                <w:szCs w:val="21"/>
              </w:rPr>
            </w:pPr>
            <w:r>
              <w:rPr>
                <w:rFonts w:ascii="宋体"/>
                <w:sz w:val="21"/>
              </w:rPr>
              <w:t>5,542,000</w:t>
            </w:r>
          </w:p>
        </w:tc>
        <w:tc>
          <w:tcPr>
            <w:tcW w:w="844"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7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李力</w:t>
            </w:r>
          </w:p>
        </w:tc>
        <w:tc>
          <w:tcPr>
            <w:tcW w:w="12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3" w:right="0"/>
              <w:jc w:val="left"/>
              <w:rPr>
                <w:rFonts w:ascii="宋体" w:hAnsi="宋体" w:cs="宋体" w:eastAsia="宋体" w:hint="default"/>
                <w:sz w:val="21"/>
                <w:szCs w:val="21"/>
              </w:rPr>
            </w:pPr>
            <w:r>
              <w:rPr>
                <w:rFonts w:ascii="宋体" w:hAnsi="宋体" w:cs="宋体" w:eastAsia="宋体" w:hint="default"/>
                <w:sz w:val="21"/>
                <w:szCs w:val="21"/>
              </w:rPr>
              <w:t>境内自然人</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3.17%</w:t>
            </w:r>
          </w:p>
        </w:tc>
        <w:tc>
          <w:tcPr>
            <w:tcW w:w="11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10" w:right="0"/>
              <w:jc w:val="left"/>
              <w:rPr>
                <w:rFonts w:ascii="宋体" w:hAnsi="宋体" w:cs="宋体" w:eastAsia="宋体" w:hint="default"/>
                <w:sz w:val="21"/>
                <w:szCs w:val="21"/>
              </w:rPr>
            </w:pPr>
            <w:r>
              <w:rPr>
                <w:rFonts w:ascii="宋体"/>
                <w:sz w:val="21"/>
              </w:rPr>
              <w:t>11,958,743</w:t>
            </w:r>
          </w:p>
        </w:tc>
        <w:tc>
          <w:tcPr>
            <w:tcW w:w="10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sz w:val="21"/>
              </w:rPr>
              <w:t>887455</w:t>
            </w:r>
          </w:p>
        </w:tc>
        <w:tc>
          <w:tcPr>
            <w:tcW w:w="1140" w:type="dxa"/>
            <w:gridSpan w:val="3"/>
            <w:tcBorders>
              <w:top w:val="single" w:sz="4" w:space="0" w:color="000000"/>
              <w:left w:val="single" w:sz="4" w:space="0" w:color="000000"/>
              <w:bottom w:val="single" w:sz="4" w:space="0" w:color="000000"/>
              <w:right w:val="single" w:sz="4" w:space="0" w:color="000000"/>
            </w:tcBorders>
          </w:tcPr>
          <w:p>
            <w:pPr/>
          </w:p>
        </w:tc>
        <w:tc>
          <w:tcPr>
            <w:tcW w:w="1129"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7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2" w:right="0"/>
              <w:jc w:val="left"/>
              <w:rPr>
                <w:rFonts w:ascii="宋体" w:hAnsi="宋体" w:cs="宋体" w:eastAsia="宋体" w:hint="default"/>
                <w:sz w:val="21"/>
                <w:szCs w:val="21"/>
              </w:rPr>
            </w:pPr>
            <w:r>
              <w:rPr>
                <w:rFonts w:ascii="宋体" w:hAnsi="宋体" w:cs="宋体" w:eastAsia="宋体" w:hint="default"/>
                <w:sz w:val="21"/>
                <w:szCs w:val="21"/>
              </w:rPr>
              <w:t>深圳长城汇</w:t>
            </w:r>
          </w:p>
        </w:tc>
        <w:tc>
          <w:tcPr>
            <w:tcW w:w="12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2.94%</w:t>
            </w:r>
          </w:p>
        </w:tc>
        <w:tc>
          <w:tcPr>
            <w:tcW w:w="11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10" w:right="0"/>
              <w:jc w:val="left"/>
              <w:rPr>
                <w:rFonts w:ascii="宋体" w:hAnsi="宋体" w:cs="宋体" w:eastAsia="宋体" w:hint="default"/>
                <w:sz w:val="21"/>
                <w:szCs w:val="21"/>
              </w:rPr>
            </w:pPr>
            <w:r>
              <w:rPr>
                <w:rFonts w:ascii="宋体"/>
                <w:sz w:val="21"/>
              </w:rPr>
              <w:t>11,077,842</w:t>
            </w:r>
          </w:p>
        </w:tc>
        <w:tc>
          <w:tcPr>
            <w:tcW w:w="10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2" w:right="0"/>
              <w:jc w:val="left"/>
              <w:rPr>
                <w:rFonts w:ascii="宋体" w:hAnsi="宋体" w:cs="宋体" w:eastAsia="宋体" w:hint="default"/>
                <w:sz w:val="21"/>
                <w:szCs w:val="21"/>
              </w:rPr>
            </w:pPr>
            <w:r>
              <w:rPr>
                <w:rFonts w:ascii="宋体"/>
                <w:sz w:val="21"/>
              </w:rPr>
              <w:t>11,077,84</w:t>
            </w:r>
          </w:p>
        </w:tc>
        <w:tc>
          <w:tcPr>
            <w:tcW w:w="1140" w:type="dxa"/>
            <w:gridSpan w:val="3"/>
            <w:tcBorders>
              <w:top w:val="single" w:sz="4" w:space="0" w:color="000000"/>
              <w:left w:val="single" w:sz="4" w:space="0" w:color="000000"/>
              <w:bottom w:val="single" w:sz="4" w:space="0" w:color="000000"/>
              <w:right w:val="single" w:sz="4" w:space="0" w:color="000000"/>
            </w:tcBorders>
          </w:tcPr>
          <w:p>
            <w:pPr/>
          </w:p>
        </w:tc>
        <w:tc>
          <w:tcPr>
            <w:tcW w:w="1129"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980" w:right="0"/>
        </w:sectPr>
      </w:pPr>
    </w:p>
    <w:p>
      <w:pPr>
        <w:spacing w:line="240" w:lineRule="auto" w:before="0"/>
        <w:rPr>
          <w:rFonts w:ascii="宋体" w:hAnsi="宋体" w:cs="宋体" w:eastAsia="宋体" w:hint="default"/>
          <w:sz w:val="20"/>
          <w:szCs w:val="20"/>
        </w:rPr>
      </w:pPr>
      <w:r>
        <w:rPr/>
        <w:pict>
          <v:shape style="position:absolute;margin-left:56.459999pt;margin-top:71.999985pt;width:479.2pt;height:668.2pt;mso-position-horizontal-relative:page;mso-position-vertical-relative:page;z-index:160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276"/>
                    <w:gridCol w:w="1277"/>
                    <w:gridCol w:w="709"/>
                    <w:gridCol w:w="567"/>
                    <w:gridCol w:w="628"/>
                    <w:gridCol w:w="76"/>
                    <w:gridCol w:w="998"/>
                    <w:gridCol w:w="1134"/>
                    <w:gridCol w:w="208"/>
                    <w:gridCol w:w="927"/>
                    <w:gridCol w:w="422"/>
                    <w:gridCol w:w="427"/>
                    <w:gridCol w:w="920"/>
                  </w:tblGrid>
                  <w:tr>
                    <w:trPr>
                      <w:trHeight w:val="1611"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z w:val="21"/>
                            <w:szCs w:val="21"/>
                          </w:rPr>
                          <w:t>理资产管理</w:t>
                        </w:r>
                      </w:p>
                      <w:p>
                        <w:pPr>
                          <w:pStyle w:val="TableParagraph"/>
                          <w:spacing w:line="273" w:lineRule="auto" w:before="37"/>
                          <w:ind w:left="22" w:right="20"/>
                          <w:jc w:val="left"/>
                          <w:rPr>
                            <w:rFonts w:ascii="宋体" w:hAnsi="宋体" w:cs="宋体" w:eastAsia="宋体" w:hint="default"/>
                            <w:sz w:val="21"/>
                            <w:szCs w:val="21"/>
                          </w:rPr>
                        </w:pPr>
                        <w:r>
                          <w:rPr>
                            <w:rFonts w:ascii="宋体" w:hAnsi="宋体" w:cs="宋体" w:eastAsia="宋体" w:hint="default"/>
                            <w:sz w:val="21"/>
                            <w:szCs w:val="21"/>
                          </w:rPr>
                          <w:t>有限公司－ 长城汇理战 略并购</w:t>
                        </w:r>
                        <w:r>
                          <w:rPr>
                            <w:rFonts w:ascii="宋体" w:hAnsi="宋体" w:cs="宋体" w:eastAsia="宋体" w:hint="default"/>
                            <w:spacing w:val="-73"/>
                            <w:sz w:val="21"/>
                            <w:szCs w:val="21"/>
                          </w:rPr>
                          <w:t> </w:t>
                        </w:r>
                        <w:r>
                          <w:rPr>
                            <w:rFonts w:ascii="宋体" w:hAnsi="宋体" w:cs="宋体" w:eastAsia="宋体" w:hint="default"/>
                            <w:sz w:val="21"/>
                            <w:szCs w:val="21"/>
                          </w:rPr>
                          <w:t>9</w:t>
                        </w:r>
                        <w:r>
                          <w:rPr>
                            <w:rFonts w:ascii="宋体" w:hAnsi="宋体" w:cs="宋体" w:eastAsia="宋体" w:hint="default"/>
                            <w:spacing w:val="-72"/>
                            <w:sz w:val="21"/>
                            <w:szCs w:val="21"/>
                          </w:rPr>
                          <w:t> </w:t>
                        </w:r>
                        <w:r>
                          <w:rPr>
                            <w:rFonts w:ascii="宋体" w:hAnsi="宋体" w:cs="宋体" w:eastAsia="宋体" w:hint="default"/>
                            <w:sz w:val="21"/>
                            <w:szCs w:val="21"/>
                          </w:rPr>
                          <w:t>号私 募基金</w:t>
                        </w:r>
                      </w:p>
                    </w:tc>
                    <w:tc>
                      <w:tcPr>
                        <w:tcW w:w="1277"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194" w:type="dxa"/>
                        <w:gridSpan w:val="2"/>
                        <w:tcBorders>
                          <w:top w:val="single" w:sz="4" w:space="0" w:color="000000"/>
                          <w:left w:val="single" w:sz="4" w:space="0" w:color="000000"/>
                          <w:bottom w:val="single" w:sz="4" w:space="0" w:color="000000"/>
                          <w:right w:val="single" w:sz="4" w:space="0" w:color="000000"/>
                        </w:tcBorders>
                      </w:tcPr>
                      <w:p>
                        <w:pPr/>
                      </w:p>
                    </w:tc>
                    <w:tc>
                      <w:tcPr>
                        <w:tcW w:w="10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22" w:right="0"/>
                          <w:jc w:val="left"/>
                          <w:rPr>
                            <w:rFonts w:ascii="宋体" w:hAnsi="宋体" w:cs="宋体" w:eastAsia="宋体" w:hint="default"/>
                            <w:sz w:val="21"/>
                            <w:szCs w:val="21"/>
                          </w:rPr>
                        </w:pPr>
                        <w:r>
                          <w:rPr>
                            <w:rFonts w:ascii="宋体"/>
                            <w:sz w:val="21"/>
                          </w:rPr>
                          <w:t>2</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gridSpan w:val="2"/>
                        <w:tcBorders>
                          <w:top w:val="single" w:sz="4" w:space="0" w:color="000000"/>
                          <w:left w:val="single" w:sz="4" w:space="0" w:color="000000"/>
                          <w:bottom w:val="single" w:sz="4" w:space="0" w:color="000000"/>
                          <w:right w:val="single" w:sz="4" w:space="0" w:color="000000"/>
                        </w:tcBorders>
                      </w:tcPr>
                      <w:p>
                        <w:pPr/>
                      </w:p>
                    </w:tc>
                    <w:tc>
                      <w:tcPr>
                        <w:tcW w:w="850" w:type="dxa"/>
                        <w:gridSpan w:val="2"/>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胡江平</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3" w:right="0"/>
                          <w:jc w:val="left"/>
                          <w:rPr>
                            <w:rFonts w:ascii="宋体" w:hAnsi="宋体" w:cs="宋体" w:eastAsia="宋体" w:hint="default"/>
                            <w:sz w:val="21"/>
                            <w:szCs w:val="21"/>
                          </w:rPr>
                        </w:pPr>
                        <w:r>
                          <w:rPr>
                            <w:rFonts w:ascii="宋体" w:hAnsi="宋体" w:cs="宋体" w:eastAsia="宋体" w:hint="default"/>
                            <w:sz w:val="21"/>
                            <w:szCs w:val="21"/>
                          </w:rPr>
                          <w:t>境内自然人</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2.63%</w:t>
                        </w:r>
                      </w:p>
                    </w:tc>
                    <w:tc>
                      <w:tcPr>
                        <w:tcW w:w="11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15" w:right="0"/>
                          <w:jc w:val="left"/>
                          <w:rPr>
                            <w:rFonts w:ascii="宋体" w:hAnsi="宋体" w:cs="宋体" w:eastAsia="宋体" w:hint="default"/>
                            <w:sz w:val="21"/>
                            <w:szCs w:val="21"/>
                          </w:rPr>
                        </w:pPr>
                        <w:r>
                          <w:rPr>
                            <w:rFonts w:ascii="宋体"/>
                            <w:sz w:val="21"/>
                          </w:rPr>
                          <w:t>9,897,600</w:t>
                        </w:r>
                      </w:p>
                    </w:tc>
                    <w:tc>
                      <w:tcPr>
                        <w:tcW w:w="1074" w:type="dxa"/>
                        <w:gridSpan w:val="2"/>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gridSpan w:val="2"/>
                        <w:tcBorders>
                          <w:top w:val="single" w:sz="4" w:space="0" w:color="000000"/>
                          <w:left w:val="single" w:sz="4" w:space="0" w:color="000000"/>
                          <w:bottom w:val="single" w:sz="4" w:space="0" w:color="000000"/>
                          <w:right w:val="single" w:sz="4" w:space="0" w:color="000000"/>
                        </w:tcBorders>
                      </w:tcPr>
                      <w:p>
                        <w:pPr/>
                      </w:p>
                    </w:tc>
                    <w:tc>
                      <w:tcPr>
                        <w:tcW w:w="850" w:type="dxa"/>
                        <w:gridSpan w:val="2"/>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苗卫东</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3" w:right="0"/>
                          <w:jc w:val="left"/>
                          <w:rPr>
                            <w:rFonts w:ascii="宋体" w:hAnsi="宋体" w:cs="宋体" w:eastAsia="宋体" w:hint="default"/>
                            <w:sz w:val="21"/>
                            <w:szCs w:val="21"/>
                          </w:rPr>
                        </w:pPr>
                        <w:r>
                          <w:rPr>
                            <w:rFonts w:ascii="宋体" w:hAnsi="宋体" w:cs="宋体" w:eastAsia="宋体" w:hint="default"/>
                            <w:sz w:val="21"/>
                            <w:szCs w:val="21"/>
                          </w:rPr>
                          <w:t>境内自然人</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1.56%</w:t>
                        </w:r>
                      </w:p>
                    </w:tc>
                    <w:tc>
                      <w:tcPr>
                        <w:tcW w:w="11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15" w:right="0"/>
                          <w:jc w:val="left"/>
                          <w:rPr>
                            <w:rFonts w:ascii="宋体" w:hAnsi="宋体" w:cs="宋体" w:eastAsia="宋体" w:hint="default"/>
                            <w:sz w:val="21"/>
                            <w:szCs w:val="21"/>
                          </w:rPr>
                        </w:pPr>
                        <w:r>
                          <w:rPr>
                            <w:rFonts w:ascii="宋体"/>
                            <w:sz w:val="21"/>
                          </w:rPr>
                          <w:t>5,894,354</w:t>
                        </w:r>
                      </w:p>
                    </w:tc>
                    <w:tc>
                      <w:tcPr>
                        <w:tcW w:w="1074" w:type="dxa"/>
                        <w:gridSpan w:val="2"/>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gridSpan w:val="2"/>
                        <w:tcBorders>
                          <w:top w:val="single" w:sz="4" w:space="0" w:color="000000"/>
                          <w:left w:val="single" w:sz="4" w:space="0" w:color="000000"/>
                          <w:bottom w:val="single" w:sz="4" w:space="0" w:color="000000"/>
                          <w:right w:val="single" w:sz="4" w:space="0" w:color="000000"/>
                        </w:tcBorders>
                      </w:tcPr>
                      <w:p>
                        <w:pPr/>
                      </w:p>
                    </w:tc>
                    <w:tc>
                      <w:tcPr>
                        <w:tcW w:w="850" w:type="dxa"/>
                        <w:gridSpan w:val="2"/>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李劲松</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3" w:right="0"/>
                          <w:jc w:val="left"/>
                          <w:rPr>
                            <w:rFonts w:ascii="宋体" w:hAnsi="宋体" w:cs="宋体" w:eastAsia="宋体" w:hint="default"/>
                            <w:sz w:val="21"/>
                            <w:szCs w:val="21"/>
                          </w:rPr>
                        </w:pPr>
                        <w:r>
                          <w:rPr>
                            <w:rFonts w:ascii="宋体" w:hAnsi="宋体" w:cs="宋体" w:eastAsia="宋体" w:hint="default"/>
                            <w:sz w:val="21"/>
                            <w:szCs w:val="21"/>
                          </w:rPr>
                          <w:t>境内自然人</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1.45%</w:t>
                        </w:r>
                      </w:p>
                    </w:tc>
                    <w:tc>
                      <w:tcPr>
                        <w:tcW w:w="11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15" w:right="0"/>
                          <w:jc w:val="left"/>
                          <w:rPr>
                            <w:rFonts w:ascii="宋体" w:hAnsi="宋体" w:cs="宋体" w:eastAsia="宋体" w:hint="default"/>
                            <w:sz w:val="21"/>
                            <w:szCs w:val="21"/>
                          </w:rPr>
                        </w:pPr>
                        <w:r>
                          <w:rPr>
                            <w:rFonts w:ascii="宋体"/>
                            <w:sz w:val="21"/>
                          </w:rPr>
                          <w:t>5,468,875</w:t>
                        </w:r>
                      </w:p>
                    </w:tc>
                    <w:tc>
                      <w:tcPr>
                        <w:tcW w:w="10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sz w:val="21"/>
                          </w:rPr>
                          <w:t>80,000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gridSpan w:val="2"/>
                        <w:tcBorders>
                          <w:top w:val="single" w:sz="4" w:space="0" w:color="000000"/>
                          <w:left w:val="single" w:sz="4" w:space="0" w:color="000000"/>
                          <w:bottom w:val="single" w:sz="4" w:space="0" w:color="000000"/>
                          <w:right w:val="single" w:sz="4" w:space="0" w:color="000000"/>
                        </w:tcBorders>
                      </w:tcPr>
                      <w:p>
                        <w:pPr/>
                      </w:p>
                    </w:tc>
                    <w:tc>
                      <w:tcPr>
                        <w:tcW w:w="850" w:type="dxa"/>
                        <w:gridSpan w:val="2"/>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刘锐</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3" w:right="0"/>
                          <w:jc w:val="left"/>
                          <w:rPr>
                            <w:rFonts w:ascii="宋体" w:hAnsi="宋体" w:cs="宋体" w:eastAsia="宋体" w:hint="default"/>
                            <w:sz w:val="21"/>
                            <w:szCs w:val="21"/>
                          </w:rPr>
                        </w:pPr>
                        <w:r>
                          <w:rPr>
                            <w:rFonts w:ascii="宋体" w:hAnsi="宋体" w:cs="宋体" w:eastAsia="宋体" w:hint="default"/>
                            <w:sz w:val="21"/>
                            <w:szCs w:val="21"/>
                          </w:rPr>
                          <w:t>境内自然人</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1.24%</w:t>
                        </w:r>
                      </w:p>
                    </w:tc>
                    <w:tc>
                      <w:tcPr>
                        <w:tcW w:w="11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15" w:right="0"/>
                          <w:jc w:val="left"/>
                          <w:rPr>
                            <w:rFonts w:ascii="宋体" w:hAnsi="宋体" w:cs="宋体" w:eastAsia="宋体" w:hint="default"/>
                            <w:sz w:val="21"/>
                            <w:szCs w:val="21"/>
                          </w:rPr>
                        </w:pPr>
                        <w:r>
                          <w:rPr>
                            <w:rFonts w:ascii="宋体"/>
                            <w:sz w:val="21"/>
                          </w:rPr>
                          <w:t>4,684,306</w:t>
                        </w:r>
                      </w:p>
                    </w:tc>
                    <w:tc>
                      <w:tcPr>
                        <w:tcW w:w="10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sz w:val="21"/>
                          </w:rPr>
                          <w:t>384,306</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gridSpan w:val="2"/>
                        <w:tcBorders>
                          <w:top w:val="single" w:sz="4" w:space="0" w:color="000000"/>
                          <w:left w:val="single" w:sz="4" w:space="0" w:color="000000"/>
                          <w:bottom w:val="single" w:sz="4" w:space="0" w:color="000000"/>
                          <w:right w:val="single" w:sz="4" w:space="0" w:color="000000"/>
                        </w:tcBorders>
                      </w:tcPr>
                      <w:p>
                        <w:pPr/>
                      </w:p>
                    </w:tc>
                    <w:tc>
                      <w:tcPr>
                        <w:tcW w:w="850" w:type="dxa"/>
                        <w:gridSpan w:val="2"/>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李天翔</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3" w:right="0"/>
                          <w:jc w:val="left"/>
                          <w:rPr>
                            <w:rFonts w:ascii="宋体" w:hAnsi="宋体" w:cs="宋体" w:eastAsia="宋体" w:hint="default"/>
                            <w:sz w:val="21"/>
                            <w:szCs w:val="21"/>
                          </w:rPr>
                        </w:pPr>
                        <w:r>
                          <w:rPr>
                            <w:rFonts w:ascii="宋体" w:hAnsi="宋体" w:cs="宋体" w:eastAsia="宋体" w:hint="default"/>
                            <w:sz w:val="21"/>
                            <w:szCs w:val="21"/>
                          </w:rPr>
                          <w:t>境内自然人</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1.08%</w:t>
                        </w:r>
                      </w:p>
                    </w:tc>
                    <w:tc>
                      <w:tcPr>
                        <w:tcW w:w="11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15" w:right="0"/>
                          <w:jc w:val="left"/>
                          <w:rPr>
                            <w:rFonts w:ascii="宋体" w:hAnsi="宋体" w:cs="宋体" w:eastAsia="宋体" w:hint="default"/>
                            <w:sz w:val="21"/>
                            <w:szCs w:val="21"/>
                          </w:rPr>
                        </w:pPr>
                        <w:r>
                          <w:rPr>
                            <w:rFonts w:ascii="宋体"/>
                            <w:sz w:val="21"/>
                          </w:rPr>
                          <w:t>4,060,000</w:t>
                        </w:r>
                      </w:p>
                    </w:tc>
                    <w:tc>
                      <w:tcPr>
                        <w:tcW w:w="1074" w:type="dxa"/>
                        <w:gridSpan w:val="2"/>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gridSpan w:val="2"/>
                        <w:tcBorders>
                          <w:top w:val="single" w:sz="4" w:space="0" w:color="000000"/>
                          <w:left w:val="single" w:sz="4" w:space="0" w:color="000000"/>
                          <w:bottom w:val="single" w:sz="4" w:space="0" w:color="000000"/>
                          <w:right w:val="single" w:sz="4" w:space="0" w:color="000000"/>
                        </w:tcBorders>
                      </w:tcPr>
                      <w:p>
                        <w:pPr/>
                      </w:p>
                    </w:tc>
                    <w:tc>
                      <w:tcPr>
                        <w:tcW w:w="850" w:type="dxa"/>
                        <w:gridSpan w:val="2"/>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2" w:right="191"/>
                          <w:jc w:val="both"/>
                          <w:rPr>
                            <w:rFonts w:ascii="宋体" w:hAnsi="宋体" w:cs="宋体" w:eastAsia="宋体" w:hint="default"/>
                            <w:sz w:val="21"/>
                            <w:szCs w:val="21"/>
                          </w:rPr>
                        </w:pPr>
                        <w:r>
                          <w:rPr>
                            <w:rFonts w:ascii="宋体" w:hAnsi="宋体" w:cs="宋体" w:eastAsia="宋体" w:hint="default"/>
                            <w:sz w:val="21"/>
                            <w:szCs w:val="21"/>
                          </w:rPr>
                          <w:t>深圳长城汇 理投资股份 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73" w:lineRule="auto"/>
                          <w:ind w:left="23" w:right="191"/>
                          <w:jc w:val="left"/>
                          <w:rPr>
                            <w:rFonts w:ascii="宋体" w:hAnsi="宋体" w:cs="宋体" w:eastAsia="宋体" w:hint="default"/>
                            <w:sz w:val="21"/>
                            <w:szCs w:val="21"/>
                          </w:rPr>
                        </w:pPr>
                        <w:r>
                          <w:rPr>
                            <w:rFonts w:ascii="宋体" w:hAnsi="宋体" w:cs="宋体" w:eastAsia="宋体" w:hint="default"/>
                            <w:sz w:val="21"/>
                            <w:szCs w:val="21"/>
                          </w:rPr>
                          <w:t>境内非国有 法人</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21"/>
                          <w:jc w:val="right"/>
                          <w:rPr>
                            <w:rFonts w:ascii="宋体" w:hAnsi="宋体" w:cs="宋体" w:eastAsia="宋体" w:hint="default"/>
                            <w:sz w:val="21"/>
                            <w:szCs w:val="21"/>
                          </w:rPr>
                        </w:pPr>
                        <w:r>
                          <w:rPr>
                            <w:rFonts w:ascii="宋体"/>
                            <w:sz w:val="21"/>
                          </w:rPr>
                          <w:t>1.01%</w:t>
                        </w:r>
                      </w:p>
                    </w:tc>
                    <w:tc>
                      <w:tcPr>
                        <w:tcW w:w="11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left="215" w:right="0"/>
                          <w:jc w:val="left"/>
                          <w:rPr>
                            <w:rFonts w:ascii="宋体" w:hAnsi="宋体" w:cs="宋体" w:eastAsia="宋体" w:hint="default"/>
                            <w:sz w:val="21"/>
                            <w:szCs w:val="21"/>
                          </w:rPr>
                        </w:pPr>
                        <w:r>
                          <w:rPr>
                            <w:rFonts w:ascii="宋体"/>
                            <w:sz w:val="21"/>
                          </w:rPr>
                          <w:t>3,805,880</w:t>
                        </w:r>
                      </w:p>
                    </w:tc>
                    <w:tc>
                      <w:tcPr>
                        <w:tcW w:w="10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left="22" w:right="0"/>
                          <w:jc w:val="left"/>
                          <w:rPr>
                            <w:rFonts w:ascii="宋体" w:hAnsi="宋体" w:cs="宋体" w:eastAsia="宋体" w:hint="default"/>
                            <w:sz w:val="21"/>
                            <w:szCs w:val="21"/>
                          </w:rPr>
                        </w:pPr>
                        <w:r>
                          <w:rPr>
                            <w:rFonts w:ascii="宋体"/>
                            <w:sz w:val="21"/>
                          </w:rPr>
                          <w:t>3,805,880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gridSpan w:val="2"/>
                        <w:tcBorders>
                          <w:top w:val="single" w:sz="4" w:space="0" w:color="000000"/>
                          <w:left w:val="single" w:sz="4" w:space="0" w:color="000000"/>
                          <w:bottom w:val="single" w:sz="4" w:space="0" w:color="000000"/>
                          <w:right w:val="single" w:sz="4" w:space="0" w:color="000000"/>
                        </w:tcBorders>
                      </w:tcPr>
                      <w:p>
                        <w:pPr/>
                      </w:p>
                    </w:tc>
                    <w:tc>
                      <w:tcPr>
                        <w:tcW w:w="850" w:type="dxa"/>
                        <w:gridSpan w:val="2"/>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4456"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22" w:right="151"/>
                          <w:jc w:val="left"/>
                          <w:rPr>
                            <w:rFonts w:ascii="宋体" w:hAnsi="宋体" w:cs="宋体" w:eastAsia="宋体" w:hint="default"/>
                            <w:sz w:val="21"/>
                            <w:szCs w:val="21"/>
                          </w:rPr>
                        </w:pPr>
                        <w:r>
                          <w:rPr>
                            <w:rFonts w:ascii="宋体" w:hAnsi="宋体" w:cs="宋体" w:eastAsia="宋体" w:hint="default"/>
                            <w:sz w:val="21"/>
                            <w:szCs w:val="21"/>
                          </w:rPr>
                          <w:t>战略投资者或一般法人因配售新股成为前</w:t>
                        </w:r>
                        <w:r>
                          <w:rPr>
                            <w:rFonts w:ascii="宋体" w:hAnsi="宋体" w:cs="宋体" w:eastAsia="宋体" w:hint="default"/>
                            <w:spacing w:val="-71"/>
                            <w:sz w:val="21"/>
                            <w:szCs w:val="21"/>
                          </w:rPr>
                          <w:t> </w:t>
                        </w:r>
                        <w:r>
                          <w:rPr>
                            <w:rFonts w:ascii="宋体" w:hAnsi="宋体" w:cs="宋体" w:eastAsia="宋体" w:hint="default"/>
                            <w:sz w:val="21"/>
                            <w:szCs w:val="21"/>
                          </w:rPr>
                          <w:t>10</w:t>
                        </w:r>
                        <w:r>
                          <w:rPr>
                            <w:rFonts w:ascii="宋体" w:hAnsi="宋体" w:cs="宋体" w:eastAsia="宋体" w:hint="default"/>
                            <w:spacing w:val="-71"/>
                            <w:sz w:val="21"/>
                            <w:szCs w:val="21"/>
                          </w:rPr>
                          <w:t> </w:t>
                        </w:r>
                        <w:r>
                          <w:rPr>
                            <w:rFonts w:ascii="宋体" w:hAnsi="宋体" w:cs="宋体" w:eastAsia="宋体" w:hint="default"/>
                            <w:sz w:val="21"/>
                            <w:szCs w:val="21"/>
                          </w:rPr>
                          <w:t>名</w:t>
                        </w:r>
                        <w:r>
                          <w:rPr>
                            <w:rFonts w:ascii="宋体" w:hAnsi="宋体" w:cs="宋体" w:eastAsia="宋体" w:hint="default"/>
                            <w:spacing w:val="-2"/>
                            <w:sz w:val="21"/>
                            <w:szCs w:val="21"/>
                          </w:rPr>
                          <w:t> </w:t>
                        </w:r>
                        <w:r>
                          <w:rPr>
                            <w:rFonts w:ascii="宋体" w:hAnsi="宋体" w:cs="宋体" w:eastAsia="宋体" w:hint="default"/>
                            <w:spacing w:val="-9"/>
                            <w:sz w:val="21"/>
                            <w:szCs w:val="21"/>
                          </w:rPr>
                          <w:t>东的情况（如有）（参见注</w:t>
                        </w:r>
                        <w:r>
                          <w:rPr>
                            <w:rFonts w:ascii="宋体" w:hAnsi="宋体" w:cs="宋体" w:eastAsia="宋体" w:hint="default"/>
                            <w:spacing w:val="-51"/>
                            <w:sz w:val="21"/>
                            <w:szCs w:val="21"/>
                          </w:rPr>
                          <w:t> </w:t>
                        </w:r>
                        <w:r>
                          <w:rPr>
                            <w:rFonts w:ascii="宋体" w:hAnsi="宋体" w:cs="宋体" w:eastAsia="宋体" w:hint="default"/>
                            <w:sz w:val="21"/>
                            <w:szCs w:val="21"/>
                          </w:rPr>
                          <w:t>3</w:t>
                        </w:r>
                        <w:r>
                          <w:rPr>
                            <w:rFonts w:ascii="宋体" w:hAnsi="宋体" w:cs="宋体" w:eastAsia="宋体" w:hint="default"/>
                            <w:sz w:val="21"/>
                            <w:szCs w:val="21"/>
                          </w:rPr>
                          <w:t>）</w:t>
                        </w:r>
                      </w:p>
                    </w:tc>
                    <w:tc>
                      <w:tcPr>
                        <w:tcW w:w="5112" w:type="dxa"/>
                        <w:gridSpan w:val="8"/>
                        <w:tcBorders>
                          <w:top w:val="single" w:sz="4" w:space="0" w:color="000000"/>
                          <w:left w:val="single" w:sz="13" w:space="0" w:color="D2D2D2"/>
                          <w:bottom w:val="single" w:sz="4" w:space="0" w:color="000000"/>
                          <w:right w:val="single" w:sz="4" w:space="0" w:color="000000"/>
                        </w:tcBorders>
                      </w:tcPr>
                      <w:p>
                        <w:pPr>
                          <w:pStyle w:val="TableParagraph"/>
                          <w:spacing w:line="215" w:lineRule="exact" w:before="26"/>
                          <w:ind w:left="-174" w:right="0"/>
                          <w:jc w:val="left"/>
                          <w:rPr>
                            <w:rFonts w:ascii="宋体" w:hAnsi="宋体" w:cs="宋体" w:eastAsia="宋体" w:hint="default"/>
                            <w:sz w:val="21"/>
                            <w:szCs w:val="21"/>
                          </w:rPr>
                        </w:pPr>
                        <w:r>
                          <w:rPr>
                            <w:rFonts w:ascii="宋体" w:hAnsi="宋体" w:cs="宋体" w:eastAsia="宋体" w:hint="default"/>
                            <w:spacing w:val="-2"/>
                            <w:sz w:val="21"/>
                            <w:szCs w:val="21"/>
                          </w:rPr>
                          <w:t>股</w:t>
                        </w:r>
                        <w:r>
                          <w:rPr>
                            <w:rFonts w:ascii="宋体" w:hAnsi="宋体" w:cs="宋体" w:eastAsia="宋体" w:hint="default"/>
                            <w:sz w:val="21"/>
                            <w:szCs w:val="21"/>
                          </w:rPr>
                        </w:r>
                      </w:p>
                      <w:p>
                        <w:pPr>
                          <w:pStyle w:val="TableParagraph"/>
                          <w:spacing w:line="215" w:lineRule="exact"/>
                          <w:ind w:left="91" w:right="0"/>
                          <w:jc w:val="left"/>
                          <w:rPr>
                            <w:rFonts w:ascii="宋体" w:hAnsi="宋体" w:cs="宋体" w:eastAsia="宋体" w:hint="default"/>
                            <w:sz w:val="21"/>
                            <w:szCs w:val="21"/>
                          </w:rPr>
                        </w:pPr>
                        <w:r>
                          <w:rPr>
                            <w:rFonts w:ascii="宋体" w:hAnsi="宋体" w:cs="宋体" w:eastAsia="宋体" w:hint="default"/>
                            <w:sz w:val="21"/>
                            <w:szCs w:val="21"/>
                          </w:rPr>
                          <w:t>无</w:t>
                        </w:r>
                      </w:p>
                    </w:tc>
                  </w:tr>
                  <w:tr>
                    <w:trPr>
                      <w:trHeight w:val="161" w:hRule="exact"/>
                    </w:trPr>
                    <w:tc>
                      <w:tcPr>
                        <w:tcW w:w="4456" w:type="dxa"/>
                        <w:gridSpan w:val="5"/>
                        <w:tcBorders>
                          <w:top w:val="single" w:sz="4" w:space="0" w:color="000000"/>
                          <w:left w:val="single" w:sz="4" w:space="0" w:color="000000"/>
                          <w:bottom w:val="nil" w:sz="6" w:space="0" w:color="auto"/>
                          <w:right w:val="single" w:sz="4" w:space="0" w:color="000000"/>
                        </w:tcBorders>
                        <w:shd w:val="clear" w:color="auto" w:fill="D2D2D2"/>
                      </w:tcPr>
                      <w:p>
                        <w:pPr/>
                      </w:p>
                    </w:tc>
                    <w:tc>
                      <w:tcPr>
                        <w:tcW w:w="76" w:type="dxa"/>
                        <w:tcBorders>
                          <w:top w:val="single" w:sz="4" w:space="0" w:color="000000"/>
                          <w:left w:val="single" w:sz="4" w:space="0" w:color="000000"/>
                          <w:bottom w:val="nil" w:sz="6" w:space="0" w:color="auto"/>
                          <w:right w:val="nil" w:sz="6" w:space="0" w:color="auto"/>
                        </w:tcBorders>
                        <w:shd w:val="clear" w:color="auto" w:fill="D2D2D2"/>
                      </w:tcPr>
                      <w:p>
                        <w:pPr/>
                      </w:p>
                    </w:tc>
                    <w:tc>
                      <w:tcPr>
                        <w:tcW w:w="5037" w:type="dxa"/>
                        <w:gridSpan w:val="7"/>
                        <w:vMerge w:val="restart"/>
                        <w:tcBorders>
                          <w:top w:val="single" w:sz="4" w:space="0" w:color="000000"/>
                          <w:left w:val="nil" w:sz="6" w:space="0" w:color="auto"/>
                          <w:right w:val="single" w:sz="4" w:space="0" w:color="000000"/>
                        </w:tcBorders>
                      </w:tcPr>
                      <w:p>
                        <w:pPr>
                          <w:pStyle w:val="TableParagraph"/>
                          <w:spacing w:line="273" w:lineRule="auto" w:before="26"/>
                          <w:ind w:left="32" w:right="22"/>
                          <w:jc w:val="left"/>
                          <w:rPr>
                            <w:rFonts w:ascii="宋体" w:hAnsi="宋体" w:cs="宋体" w:eastAsia="宋体" w:hint="default"/>
                            <w:sz w:val="21"/>
                            <w:szCs w:val="21"/>
                          </w:rPr>
                        </w:pPr>
                        <w:r>
                          <w:rPr>
                            <w:rFonts w:ascii="宋体" w:hAnsi="宋体" w:cs="宋体" w:eastAsia="宋体" w:hint="default"/>
                            <w:spacing w:val="-3"/>
                            <w:sz w:val="21"/>
                            <w:szCs w:val="21"/>
                          </w:rPr>
                          <w:t>李天翔为李劲松之子，除此之外，未知上述股东之间是</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否存在关联关系，也未知是否属于一致行动人。</w:t>
                        </w:r>
                      </w:p>
                    </w:tc>
                  </w:tr>
                  <w:tr>
                    <w:trPr>
                      <w:trHeight w:val="392" w:hRule="exact"/>
                    </w:trPr>
                    <w:tc>
                      <w:tcPr>
                        <w:tcW w:w="4456" w:type="dxa"/>
                        <w:gridSpan w:val="5"/>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上述股东关联关系或一致行动的说明</w:t>
                        </w:r>
                      </w:p>
                    </w:tc>
                    <w:tc>
                      <w:tcPr>
                        <w:tcW w:w="76" w:type="dxa"/>
                        <w:tcBorders>
                          <w:top w:val="nil" w:sz="6" w:space="0" w:color="auto"/>
                          <w:left w:val="single" w:sz="4" w:space="0" w:color="000000"/>
                          <w:bottom w:val="nil" w:sz="6" w:space="0" w:color="auto"/>
                          <w:right w:val="nil" w:sz="6" w:space="0" w:color="auto"/>
                        </w:tcBorders>
                        <w:shd w:val="clear" w:color="auto" w:fill="D2D2D2"/>
                      </w:tcPr>
                      <w:p>
                        <w:pPr/>
                      </w:p>
                    </w:tc>
                    <w:tc>
                      <w:tcPr>
                        <w:tcW w:w="5037" w:type="dxa"/>
                        <w:gridSpan w:val="7"/>
                        <w:vMerge/>
                        <w:tcBorders>
                          <w:left w:val="nil" w:sz="6" w:space="0" w:color="auto"/>
                          <w:right w:val="single" w:sz="4" w:space="0" w:color="000000"/>
                        </w:tcBorders>
                      </w:tcPr>
                      <w:p>
                        <w:pPr/>
                      </w:p>
                    </w:tc>
                  </w:tr>
                  <w:tr>
                    <w:trPr>
                      <w:trHeight w:val="166" w:hRule="exact"/>
                    </w:trPr>
                    <w:tc>
                      <w:tcPr>
                        <w:tcW w:w="4456" w:type="dxa"/>
                        <w:gridSpan w:val="5"/>
                        <w:tcBorders>
                          <w:top w:val="nil" w:sz="6" w:space="0" w:color="auto"/>
                          <w:left w:val="single" w:sz="4" w:space="0" w:color="000000"/>
                          <w:bottom w:val="single" w:sz="4" w:space="0" w:color="000000"/>
                          <w:right w:val="single" w:sz="4" w:space="0" w:color="000000"/>
                        </w:tcBorders>
                        <w:shd w:val="clear" w:color="auto" w:fill="D2D2D2"/>
                      </w:tcPr>
                      <w:p>
                        <w:pPr/>
                      </w:p>
                    </w:tc>
                    <w:tc>
                      <w:tcPr>
                        <w:tcW w:w="76" w:type="dxa"/>
                        <w:tcBorders>
                          <w:top w:val="nil" w:sz="6" w:space="0" w:color="auto"/>
                          <w:left w:val="single" w:sz="4" w:space="0" w:color="000000"/>
                          <w:bottom w:val="single" w:sz="4" w:space="0" w:color="000000"/>
                          <w:right w:val="nil" w:sz="6" w:space="0" w:color="auto"/>
                        </w:tcBorders>
                        <w:shd w:val="clear" w:color="auto" w:fill="D2D2D2"/>
                      </w:tcPr>
                      <w:p>
                        <w:pPr/>
                      </w:p>
                    </w:tc>
                    <w:tc>
                      <w:tcPr>
                        <w:tcW w:w="5037" w:type="dxa"/>
                        <w:gridSpan w:val="7"/>
                        <w:vMerge/>
                        <w:tcBorders>
                          <w:left w:val="nil" w:sz="6" w:space="0" w:color="auto"/>
                          <w:bottom w:val="single" w:sz="4" w:space="0" w:color="000000"/>
                          <w:right w:val="single" w:sz="4" w:space="0" w:color="000000"/>
                        </w:tcBorders>
                      </w:tcPr>
                      <w:p>
                        <w:pPr/>
                      </w:p>
                    </w:tc>
                  </w:tr>
                  <w:tr>
                    <w:trPr>
                      <w:trHeight w:val="392" w:hRule="exact"/>
                    </w:trPr>
                    <w:tc>
                      <w:tcPr>
                        <w:tcW w:w="9569"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right="0"/>
                          <w:jc w:val="center"/>
                          <w:rPr>
                            <w:rFonts w:ascii="宋体" w:hAnsi="宋体" w:cs="宋体" w:eastAsia="宋体" w:hint="default"/>
                            <w:sz w:val="21"/>
                            <w:szCs w:val="21"/>
                          </w:rPr>
                        </w:pPr>
                        <w:r>
                          <w:rPr>
                            <w:rFonts w:ascii="宋体" w:hAnsi="宋体" w:cs="宋体" w:eastAsia="宋体" w:hint="default"/>
                            <w:sz w:val="21"/>
                            <w:szCs w:val="21"/>
                          </w:rPr>
                          <w:t>前</w:t>
                        </w:r>
                        <w:r>
                          <w:rPr>
                            <w:rFonts w:ascii="宋体" w:hAnsi="宋体" w:cs="宋体" w:eastAsia="宋体" w:hint="default"/>
                            <w:spacing w:val="-55"/>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名无限售条件股东持股情况</w:t>
                        </w:r>
                      </w:p>
                    </w:tc>
                  </w:tr>
                  <w:tr>
                    <w:trPr>
                      <w:trHeight w:val="210" w:hRule="exact"/>
                    </w:trPr>
                    <w:tc>
                      <w:tcPr>
                        <w:tcW w:w="3829" w:type="dxa"/>
                        <w:gridSpan w:val="4"/>
                        <w:tcBorders>
                          <w:top w:val="single" w:sz="4" w:space="0" w:color="000000"/>
                          <w:left w:val="single" w:sz="4" w:space="0" w:color="000000"/>
                          <w:bottom w:val="nil" w:sz="6" w:space="0" w:color="auto"/>
                          <w:right w:val="single" w:sz="4" w:space="0" w:color="000000"/>
                        </w:tcBorders>
                        <w:shd w:val="clear" w:color="auto" w:fill="D2D2D2"/>
                      </w:tcPr>
                      <w:p>
                        <w:pPr/>
                      </w:p>
                    </w:tc>
                    <w:tc>
                      <w:tcPr>
                        <w:tcW w:w="3043"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75"/>
                          <w:ind w:left="1411" w:right="47" w:hanging="1366"/>
                          <w:jc w:val="left"/>
                          <w:rPr>
                            <w:rFonts w:ascii="宋体" w:hAnsi="宋体" w:cs="宋体" w:eastAsia="宋体" w:hint="default"/>
                            <w:sz w:val="21"/>
                            <w:szCs w:val="21"/>
                          </w:rPr>
                        </w:pPr>
                        <w:r>
                          <w:rPr>
                            <w:rFonts w:ascii="宋体" w:hAnsi="宋体" w:cs="宋体" w:eastAsia="宋体" w:hint="default"/>
                            <w:sz w:val="21"/>
                            <w:szCs w:val="21"/>
                          </w:rPr>
                          <w:t>报告期末持有无限售条件股份数 量</w:t>
                        </w:r>
                      </w:p>
                    </w:tc>
                    <w:tc>
                      <w:tcPr>
                        <w:tcW w:w="2697" w:type="dxa"/>
                        <w:gridSpan w:val="4"/>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0"/>
                          <w:ind w:right="0"/>
                          <w:jc w:val="center"/>
                          <w:rPr>
                            <w:rFonts w:ascii="宋体" w:hAnsi="宋体" w:cs="宋体" w:eastAsia="宋体" w:hint="default"/>
                            <w:sz w:val="21"/>
                            <w:szCs w:val="21"/>
                          </w:rPr>
                        </w:pPr>
                        <w:r>
                          <w:rPr>
                            <w:rFonts w:ascii="宋体" w:hAnsi="宋体" w:cs="宋体" w:eastAsia="宋体" w:hint="default"/>
                            <w:sz w:val="21"/>
                            <w:szCs w:val="21"/>
                          </w:rPr>
                          <w:t>股份种类</w:t>
                        </w:r>
                      </w:p>
                    </w:tc>
                  </w:tr>
                  <w:tr>
                    <w:trPr>
                      <w:trHeight w:val="192" w:hRule="exact"/>
                    </w:trPr>
                    <w:tc>
                      <w:tcPr>
                        <w:tcW w:w="3829" w:type="dxa"/>
                        <w:gridSpan w:val="4"/>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股东名称</w:t>
                        </w:r>
                      </w:p>
                    </w:tc>
                    <w:tc>
                      <w:tcPr>
                        <w:tcW w:w="3043" w:type="dxa"/>
                        <w:gridSpan w:val="5"/>
                        <w:vMerge/>
                        <w:tcBorders>
                          <w:left w:val="single" w:sz="4" w:space="0" w:color="000000"/>
                          <w:right w:val="single" w:sz="4" w:space="0" w:color="000000"/>
                        </w:tcBorders>
                        <w:shd w:val="clear" w:color="auto" w:fill="D2D2D2"/>
                      </w:tcPr>
                      <w:p>
                        <w:pPr/>
                      </w:p>
                    </w:tc>
                    <w:tc>
                      <w:tcPr>
                        <w:tcW w:w="2697" w:type="dxa"/>
                        <w:gridSpan w:val="4"/>
                        <w:vMerge/>
                        <w:tcBorders>
                          <w:left w:val="single" w:sz="4" w:space="0" w:color="000000"/>
                          <w:bottom w:val="single" w:sz="4" w:space="0" w:color="000000"/>
                          <w:right w:val="single" w:sz="4" w:space="0" w:color="000000"/>
                        </w:tcBorders>
                        <w:shd w:val="clear" w:color="auto" w:fill="D2D2D2"/>
                      </w:tcPr>
                      <w:p>
                        <w:pPr/>
                      </w:p>
                    </w:tc>
                  </w:tr>
                  <w:tr>
                    <w:trPr>
                      <w:trHeight w:val="201" w:hRule="exact"/>
                    </w:trPr>
                    <w:tc>
                      <w:tcPr>
                        <w:tcW w:w="3829" w:type="dxa"/>
                        <w:gridSpan w:val="4"/>
                        <w:vMerge/>
                        <w:tcBorders>
                          <w:left w:val="single" w:sz="4" w:space="0" w:color="000000"/>
                          <w:bottom w:val="nil" w:sz="6" w:space="0" w:color="auto"/>
                          <w:right w:val="single" w:sz="4" w:space="0" w:color="000000"/>
                        </w:tcBorders>
                        <w:shd w:val="clear" w:color="auto" w:fill="D2D2D2"/>
                      </w:tcPr>
                      <w:p>
                        <w:pPr/>
                      </w:p>
                    </w:tc>
                    <w:tc>
                      <w:tcPr>
                        <w:tcW w:w="3043" w:type="dxa"/>
                        <w:gridSpan w:val="5"/>
                        <w:vMerge/>
                        <w:tcBorders>
                          <w:left w:val="single" w:sz="4" w:space="0" w:color="000000"/>
                          <w:right w:val="single" w:sz="4" w:space="0" w:color="000000"/>
                        </w:tcBorders>
                        <w:shd w:val="clear" w:color="auto" w:fill="D2D2D2"/>
                      </w:tcPr>
                      <w:p>
                        <w:pPr/>
                      </w:p>
                    </w:tc>
                    <w:tc>
                      <w:tcPr>
                        <w:tcW w:w="134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1"/>
                          <w:ind w:left="248" w:right="0"/>
                          <w:jc w:val="left"/>
                          <w:rPr>
                            <w:rFonts w:ascii="宋体" w:hAnsi="宋体" w:cs="宋体" w:eastAsia="宋体" w:hint="default"/>
                            <w:sz w:val="21"/>
                            <w:szCs w:val="21"/>
                          </w:rPr>
                        </w:pPr>
                        <w:r>
                          <w:rPr>
                            <w:rFonts w:ascii="宋体" w:hAnsi="宋体" w:cs="宋体" w:eastAsia="宋体" w:hint="default"/>
                            <w:sz w:val="21"/>
                            <w:szCs w:val="21"/>
                          </w:rPr>
                          <w:t>股份种类</w:t>
                        </w:r>
                      </w:p>
                    </w:tc>
                    <w:tc>
                      <w:tcPr>
                        <w:tcW w:w="134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1"/>
                          <w:ind w:right="1"/>
                          <w:jc w:val="center"/>
                          <w:rPr>
                            <w:rFonts w:ascii="宋体" w:hAnsi="宋体" w:cs="宋体" w:eastAsia="宋体" w:hint="default"/>
                            <w:sz w:val="21"/>
                            <w:szCs w:val="21"/>
                          </w:rPr>
                        </w:pPr>
                        <w:r>
                          <w:rPr>
                            <w:rFonts w:ascii="宋体" w:hAnsi="宋体" w:cs="宋体" w:eastAsia="宋体" w:hint="default"/>
                            <w:sz w:val="21"/>
                            <w:szCs w:val="21"/>
                          </w:rPr>
                          <w:t>数量</w:t>
                        </w:r>
                      </w:p>
                    </w:tc>
                  </w:tr>
                  <w:tr>
                    <w:trPr>
                      <w:trHeight w:val="184" w:hRule="exact"/>
                    </w:trPr>
                    <w:tc>
                      <w:tcPr>
                        <w:tcW w:w="3829" w:type="dxa"/>
                        <w:gridSpan w:val="4"/>
                        <w:tcBorders>
                          <w:top w:val="nil" w:sz="6" w:space="0" w:color="auto"/>
                          <w:left w:val="single" w:sz="4" w:space="0" w:color="000000"/>
                          <w:bottom w:val="single" w:sz="4" w:space="0" w:color="000000"/>
                          <w:right w:val="single" w:sz="4" w:space="0" w:color="000000"/>
                        </w:tcBorders>
                        <w:shd w:val="clear" w:color="auto" w:fill="D2D2D2"/>
                      </w:tcPr>
                      <w:p>
                        <w:pPr/>
                      </w:p>
                    </w:tc>
                    <w:tc>
                      <w:tcPr>
                        <w:tcW w:w="3043" w:type="dxa"/>
                        <w:gridSpan w:val="5"/>
                        <w:vMerge/>
                        <w:tcBorders>
                          <w:left w:val="single" w:sz="4" w:space="0" w:color="000000"/>
                          <w:bottom w:val="single" w:sz="4" w:space="0" w:color="000000"/>
                          <w:right w:val="single" w:sz="4" w:space="0" w:color="000000"/>
                        </w:tcBorders>
                        <w:shd w:val="clear" w:color="auto" w:fill="D2D2D2"/>
                      </w:tcPr>
                      <w:p>
                        <w:pPr/>
                      </w:p>
                    </w:tc>
                    <w:tc>
                      <w:tcPr>
                        <w:tcW w:w="1349" w:type="dxa"/>
                        <w:gridSpan w:val="2"/>
                        <w:vMerge/>
                        <w:tcBorders>
                          <w:left w:val="single" w:sz="4" w:space="0" w:color="000000"/>
                          <w:bottom w:val="single" w:sz="4" w:space="0" w:color="000000"/>
                          <w:right w:val="single" w:sz="4" w:space="0" w:color="000000"/>
                        </w:tcBorders>
                        <w:shd w:val="clear" w:color="auto" w:fill="D2D2D2"/>
                      </w:tcPr>
                      <w:p>
                        <w:pPr/>
                      </w:p>
                    </w:tc>
                    <w:tc>
                      <w:tcPr>
                        <w:tcW w:w="1348" w:type="dxa"/>
                        <w:gridSpan w:val="2"/>
                        <w:vMerge/>
                        <w:tcBorders>
                          <w:left w:val="single" w:sz="4" w:space="0" w:color="000000"/>
                          <w:bottom w:val="single" w:sz="4" w:space="0" w:color="000000"/>
                          <w:right w:val="single" w:sz="4" w:space="0" w:color="000000"/>
                        </w:tcBorders>
                        <w:shd w:val="clear" w:color="auto" w:fill="D2D2D2"/>
                      </w:tcPr>
                      <w:p>
                        <w:pPr/>
                      </w:p>
                    </w:tc>
                  </w:tr>
                  <w:tr>
                    <w:trPr>
                      <w:trHeight w:val="425" w:hRule="exact"/>
                    </w:trPr>
                    <w:tc>
                      <w:tcPr>
                        <w:tcW w:w="3829"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22" w:right="0"/>
                          <w:jc w:val="left"/>
                          <w:rPr>
                            <w:rFonts w:ascii="宋体" w:hAnsi="宋体" w:cs="宋体" w:eastAsia="宋体" w:hint="default"/>
                            <w:sz w:val="21"/>
                            <w:szCs w:val="21"/>
                          </w:rPr>
                        </w:pPr>
                        <w:r>
                          <w:rPr>
                            <w:rFonts w:ascii="宋体" w:hAnsi="宋体" w:cs="宋体" w:eastAsia="宋体" w:hint="default"/>
                            <w:sz w:val="21"/>
                            <w:szCs w:val="21"/>
                          </w:rPr>
                          <w:t>李力</w:t>
                        </w:r>
                      </w:p>
                    </w:tc>
                    <w:tc>
                      <w:tcPr>
                        <w:tcW w:w="3043" w:type="dxa"/>
                        <w:gridSpan w:val="5"/>
                        <w:tcBorders>
                          <w:top w:val="single" w:sz="22" w:space="0" w:color="D2D2D2"/>
                          <w:left w:val="single" w:sz="4" w:space="0" w:color="000000"/>
                          <w:bottom w:val="single" w:sz="4" w:space="0" w:color="000000"/>
                          <w:right w:val="single" w:sz="4" w:space="0" w:color="000000"/>
                        </w:tcBorders>
                      </w:tcPr>
                      <w:p>
                        <w:pPr>
                          <w:pStyle w:val="TableParagraph"/>
                          <w:spacing w:line="240" w:lineRule="auto" w:before="26"/>
                          <w:ind w:left="991" w:right="0"/>
                          <w:jc w:val="left"/>
                          <w:rPr>
                            <w:rFonts w:ascii="宋体" w:hAnsi="宋体" w:cs="宋体" w:eastAsia="宋体" w:hint="default"/>
                            <w:sz w:val="21"/>
                            <w:szCs w:val="21"/>
                          </w:rPr>
                        </w:pPr>
                        <w:r>
                          <w:rPr>
                            <w:rFonts w:ascii="宋体"/>
                            <w:sz w:val="21"/>
                          </w:rPr>
                          <w:t>11,958,743</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22"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3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265" w:right="0"/>
                          <w:jc w:val="left"/>
                          <w:rPr>
                            <w:rFonts w:ascii="宋体" w:hAnsi="宋体" w:cs="宋体" w:eastAsia="宋体" w:hint="default"/>
                            <w:sz w:val="21"/>
                            <w:szCs w:val="21"/>
                          </w:rPr>
                        </w:pPr>
                        <w:r>
                          <w:rPr>
                            <w:rFonts w:ascii="宋体"/>
                            <w:sz w:val="21"/>
                          </w:rPr>
                          <w:t>11,958,743</w:t>
                        </w:r>
                      </w:p>
                    </w:tc>
                  </w:tr>
                  <w:tr>
                    <w:trPr>
                      <w:trHeight w:val="714" w:hRule="exact"/>
                    </w:trPr>
                    <w:tc>
                      <w:tcPr>
                        <w:tcW w:w="3829" w:type="dxa"/>
                        <w:gridSpan w:val="4"/>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2" w:right="224"/>
                          <w:jc w:val="left"/>
                          <w:rPr>
                            <w:rFonts w:ascii="宋体" w:hAnsi="宋体" w:cs="宋体" w:eastAsia="宋体" w:hint="default"/>
                            <w:sz w:val="21"/>
                            <w:szCs w:val="21"/>
                          </w:rPr>
                        </w:pPr>
                        <w:r>
                          <w:rPr>
                            <w:rFonts w:ascii="宋体" w:hAnsi="宋体" w:cs="宋体" w:eastAsia="宋体" w:hint="default"/>
                            <w:sz w:val="21"/>
                            <w:szCs w:val="21"/>
                          </w:rPr>
                          <w:t>深圳长城汇理资产管理有限公司－长城 汇理战略并购</w:t>
                        </w:r>
                        <w:r>
                          <w:rPr>
                            <w:rFonts w:ascii="宋体" w:hAnsi="宋体" w:cs="宋体" w:eastAsia="宋体" w:hint="default"/>
                            <w:spacing w:val="-53"/>
                            <w:sz w:val="21"/>
                            <w:szCs w:val="21"/>
                          </w:rPr>
                          <w:t> </w:t>
                        </w:r>
                        <w:r>
                          <w:rPr>
                            <w:rFonts w:ascii="宋体" w:hAnsi="宋体" w:cs="宋体" w:eastAsia="宋体" w:hint="default"/>
                            <w:sz w:val="21"/>
                            <w:szCs w:val="21"/>
                          </w:rPr>
                          <w:t>9</w:t>
                        </w:r>
                        <w:r>
                          <w:rPr>
                            <w:rFonts w:ascii="宋体" w:hAnsi="宋体" w:cs="宋体" w:eastAsia="宋体" w:hint="default"/>
                            <w:spacing w:val="-53"/>
                            <w:sz w:val="21"/>
                            <w:szCs w:val="21"/>
                          </w:rPr>
                          <w:t> </w:t>
                        </w:r>
                        <w:r>
                          <w:rPr>
                            <w:rFonts w:ascii="宋体" w:hAnsi="宋体" w:cs="宋体" w:eastAsia="宋体" w:hint="default"/>
                            <w:sz w:val="21"/>
                            <w:szCs w:val="21"/>
                          </w:rPr>
                          <w:t>号私募基金</w:t>
                        </w:r>
                      </w:p>
                    </w:tc>
                    <w:tc>
                      <w:tcPr>
                        <w:tcW w:w="3043"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991" w:right="0"/>
                          <w:jc w:val="left"/>
                          <w:rPr>
                            <w:rFonts w:ascii="宋体" w:hAnsi="宋体" w:cs="宋体" w:eastAsia="宋体" w:hint="default"/>
                            <w:sz w:val="21"/>
                            <w:szCs w:val="21"/>
                          </w:rPr>
                        </w:pPr>
                        <w:r>
                          <w:rPr>
                            <w:rFonts w:ascii="宋体"/>
                            <w:sz w:val="21"/>
                          </w:rPr>
                          <w:t>11,077,842</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3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65" w:right="0"/>
                          <w:jc w:val="left"/>
                          <w:rPr>
                            <w:rFonts w:ascii="宋体" w:hAnsi="宋体" w:cs="宋体" w:eastAsia="宋体" w:hint="default"/>
                            <w:sz w:val="21"/>
                            <w:szCs w:val="21"/>
                          </w:rPr>
                        </w:pPr>
                        <w:r>
                          <w:rPr>
                            <w:rFonts w:ascii="宋体"/>
                            <w:sz w:val="21"/>
                          </w:rPr>
                          <w:t>11,077,842</w:t>
                        </w:r>
                      </w:p>
                    </w:tc>
                  </w:tr>
                  <w:tr>
                    <w:trPr>
                      <w:trHeight w:val="402" w:hRule="exact"/>
                    </w:trPr>
                    <w:tc>
                      <w:tcPr>
                        <w:tcW w:w="3829"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胡江平</w:t>
                        </w:r>
                      </w:p>
                    </w:tc>
                    <w:tc>
                      <w:tcPr>
                        <w:tcW w:w="3043"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sz w:val="21"/>
                          </w:rPr>
                          <w:t>9,897,600</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3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370" w:right="0"/>
                          <w:jc w:val="left"/>
                          <w:rPr>
                            <w:rFonts w:ascii="宋体" w:hAnsi="宋体" w:cs="宋体" w:eastAsia="宋体" w:hint="default"/>
                            <w:sz w:val="21"/>
                            <w:szCs w:val="21"/>
                          </w:rPr>
                        </w:pPr>
                        <w:r>
                          <w:rPr>
                            <w:rFonts w:ascii="宋体"/>
                            <w:sz w:val="21"/>
                          </w:rPr>
                          <w:t>9,897,600</w:t>
                        </w:r>
                      </w:p>
                    </w:tc>
                  </w:tr>
                  <w:tr>
                    <w:trPr>
                      <w:trHeight w:val="402" w:hRule="exact"/>
                    </w:trPr>
                    <w:tc>
                      <w:tcPr>
                        <w:tcW w:w="3829"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李海鹰</w:t>
                        </w:r>
                      </w:p>
                    </w:tc>
                    <w:tc>
                      <w:tcPr>
                        <w:tcW w:w="3043"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sz w:val="21"/>
                          </w:rPr>
                          <w:t>6,223,100</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3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370" w:right="0"/>
                          <w:jc w:val="left"/>
                          <w:rPr>
                            <w:rFonts w:ascii="宋体" w:hAnsi="宋体" w:cs="宋体" w:eastAsia="宋体" w:hint="default"/>
                            <w:sz w:val="21"/>
                            <w:szCs w:val="21"/>
                          </w:rPr>
                        </w:pPr>
                        <w:r>
                          <w:rPr>
                            <w:rFonts w:ascii="宋体"/>
                            <w:sz w:val="21"/>
                          </w:rPr>
                          <w:t>6,223,100</w:t>
                        </w:r>
                      </w:p>
                    </w:tc>
                  </w:tr>
                  <w:tr>
                    <w:trPr>
                      <w:trHeight w:val="402" w:hRule="exact"/>
                    </w:trPr>
                    <w:tc>
                      <w:tcPr>
                        <w:tcW w:w="3829"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苗卫东</w:t>
                        </w:r>
                      </w:p>
                    </w:tc>
                    <w:tc>
                      <w:tcPr>
                        <w:tcW w:w="3043"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sz w:val="21"/>
                          </w:rPr>
                          <w:t>5,894,354</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3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370" w:right="0"/>
                          <w:jc w:val="left"/>
                          <w:rPr>
                            <w:rFonts w:ascii="宋体" w:hAnsi="宋体" w:cs="宋体" w:eastAsia="宋体" w:hint="default"/>
                            <w:sz w:val="21"/>
                            <w:szCs w:val="21"/>
                          </w:rPr>
                        </w:pPr>
                        <w:r>
                          <w:rPr>
                            <w:rFonts w:ascii="宋体"/>
                            <w:sz w:val="21"/>
                          </w:rPr>
                          <w:t>5,894,354</w:t>
                        </w:r>
                      </w:p>
                    </w:tc>
                  </w:tr>
                  <w:tr>
                    <w:trPr>
                      <w:trHeight w:val="402" w:hRule="exact"/>
                    </w:trPr>
                    <w:tc>
                      <w:tcPr>
                        <w:tcW w:w="3829"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谢春生</w:t>
                        </w:r>
                      </w:p>
                    </w:tc>
                    <w:tc>
                      <w:tcPr>
                        <w:tcW w:w="3043"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sz w:val="21"/>
                          </w:rPr>
                          <w:t>5,542,000</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3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370" w:right="0"/>
                          <w:jc w:val="left"/>
                          <w:rPr>
                            <w:rFonts w:ascii="宋体" w:hAnsi="宋体" w:cs="宋体" w:eastAsia="宋体" w:hint="default"/>
                            <w:sz w:val="21"/>
                            <w:szCs w:val="21"/>
                          </w:rPr>
                        </w:pPr>
                        <w:r>
                          <w:rPr>
                            <w:rFonts w:ascii="宋体"/>
                            <w:sz w:val="21"/>
                          </w:rPr>
                          <w:t>5,542,000</w:t>
                        </w:r>
                      </w:p>
                    </w:tc>
                  </w:tr>
                  <w:tr>
                    <w:trPr>
                      <w:trHeight w:val="402" w:hRule="exact"/>
                    </w:trPr>
                    <w:tc>
                      <w:tcPr>
                        <w:tcW w:w="3829"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李劲松</w:t>
                        </w:r>
                      </w:p>
                    </w:tc>
                    <w:tc>
                      <w:tcPr>
                        <w:tcW w:w="3043"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sz w:val="21"/>
                          </w:rPr>
                          <w:t>5,468,875</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3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370" w:right="0"/>
                          <w:jc w:val="left"/>
                          <w:rPr>
                            <w:rFonts w:ascii="宋体" w:hAnsi="宋体" w:cs="宋体" w:eastAsia="宋体" w:hint="default"/>
                            <w:sz w:val="21"/>
                            <w:szCs w:val="21"/>
                          </w:rPr>
                        </w:pPr>
                        <w:r>
                          <w:rPr>
                            <w:rFonts w:ascii="宋体"/>
                            <w:sz w:val="21"/>
                          </w:rPr>
                          <w:t>5,468,875</w:t>
                        </w:r>
                      </w:p>
                    </w:tc>
                  </w:tr>
                  <w:tr>
                    <w:trPr>
                      <w:trHeight w:val="402" w:hRule="exact"/>
                    </w:trPr>
                    <w:tc>
                      <w:tcPr>
                        <w:tcW w:w="3829"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刘锐</w:t>
                        </w:r>
                      </w:p>
                    </w:tc>
                    <w:tc>
                      <w:tcPr>
                        <w:tcW w:w="3043"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sz w:val="21"/>
                          </w:rPr>
                          <w:t>4,684,306</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3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370" w:right="0"/>
                          <w:jc w:val="left"/>
                          <w:rPr>
                            <w:rFonts w:ascii="宋体" w:hAnsi="宋体" w:cs="宋体" w:eastAsia="宋体" w:hint="default"/>
                            <w:sz w:val="21"/>
                            <w:szCs w:val="21"/>
                          </w:rPr>
                        </w:pPr>
                        <w:r>
                          <w:rPr>
                            <w:rFonts w:ascii="宋体"/>
                            <w:sz w:val="21"/>
                          </w:rPr>
                          <w:t>4,684,306</w:t>
                        </w:r>
                      </w:p>
                    </w:tc>
                  </w:tr>
                  <w:tr>
                    <w:trPr>
                      <w:trHeight w:val="402" w:hRule="exact"/>
                    </w:trPr>
                    <w:tc>
                      <w:tcPr>
                        <w:tcW w:w="3829"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李天翔</w:t>
                        </w:r>
                      </w:p>
                    </w:tc>
                    <w:tc>
                      <w:tcPr>
                        <w:tcW w:w="3043"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sz w:val="21"/>
                          </w:rPr>
                          <w:t>4,060,000</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3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370" w:right="0"/>
                          <w:jc w:val="left"/>
                          <w:rPr>
                            <w:rFonts w:ascii="宋体" w:hAnsi="宋体" w:cs="宋体" w:eastAsia="宋体" w:hint="default"/>
                            <w:sz w:val="21"/>
                            <w:szCs w:val="21"/>
                          </w:rPr>
                        </w:pPr>
                        <w:r>
                          <w:rPr>
                            <w:rFonts w:ascii="宋体"/>
                            <w:sz w:val="21"/>
                          </w:rPr>
                          <w:t>4,060,000</w:t>
                        </w:r>
                      </w:p>
                    </w:tc>
                  </w:tr>
                  <w:tr>
                    <w:trPr>
                      <w:trHeight w:val="402" w:hRule="exact"/>
                    </w:trPr>
                    <w:tc>
                      <w:tcPr>
                        <w:tcW w:w="3829"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深圳长城汇理投资股份有限公司</w:t>
                        </w:r>
                      </w:p>
                    </w:tc>
                    <w:tc>
                      <w:tcPr>
                        <w:tcW w:w="3043"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sz w:val="21"/>
                          </w:rPr>
                          <w:t>3,805,880</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3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370" w:right="0"/>
                          <w:jc w:val="left"/>
                          <w:rPr>
                            <w:rFonts w:ascii="宋体" w:hAnsi="宋体" w:cs="宋体" w:eastAsia="宋体" w:hint="default"/>
                            <w:sz w:val="21"/>
                            <w:szCs w:val="21"/>
                          </w:rPr>
                        </w:pPr>
                        <w:r>
                          <w:rPr>
                            <w:rFonts w:ascii="宋体"/>
                            <w:sz w:val="21"/>
                          </w:rPr>
                          <w:t>3,805,880</w:t>
                        </w:r>
                      </w:p>
                    </w:tc>
                  </w:tr>
                  <w:tr>
                    <w:trPr>
                      <w:trHeight w:val="1026" w:hRule="exact"/>
                    </w:trPr>
                    <w:tc>
                      <w:tcPr>
                        <w:tcW w:w="382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前</w:t>
                        </w:r>
                        <w:r>
                          <w:rPr>
                            <w:rFonts w:ascii="宋体" w:hAnsi="宋体" w:cs="宋体" w:eastAsia="宋体" w:hint="default"/>
                            <w:spacing w:val="-55"/>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名无限售流通股股东之间，以及前</w:t>
                        </w:r>
                      </w:p>
                      <w:p>
                        <w:pPr>
                          <w:pStyle w:val="TableParagraph"/>
                          <w:spacing w:line="273" w:lineRule="auto" w:before="36"/>
                          <w:ind w:left="22" w:right="66"/>
                          <w:jc w:val="left"/>
                          <w:rPr>
                            <w:rFonts w:ascii="宋体" w:hAnsi="宋体" w:cs="宋体" w:eastAsia="宋体" w:hint="default"/>
                            <w:sz w:val="21"/>
                            <w:szCs w:val="21"/>
                          </w:rPr>
                        </w:pP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名无限售流通股股东和前</w:t>
                        </w:r>
                        <w:r>
                          <w:rPr>
                            <w:rFonts w:ascii="宋体" w:hAnsi="宋体" w:cs="宋体" w:eastAsia="宋体" w:hint="default"/>
                            <w:spacing w:val="-54"/>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名股东之 间关联关系或一致行动的说明</w:t>
                        </w:r>
                      </w:p>
                    </w:tc>
                    <w:tc>
                      <w:tcPr>
                        <w:tcW w:w="5740" w:type="dxa"/>
                        <w:gridSpan w:val="9"/>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pacing w:val="-6"/>
                            <w:sz w:val="21"/>
                            <w:szCs w:val="21"/>
                          </w:rPr>
                          <w:t>李天翔为李劲松之子，除此之外，未知前 </w:t>
                        </w:r>
                        <w:r>
                          <w:rPr>
                            <w:rFonts w:ascii="宋体" w:hAnsi="宋体" w:cs="宋体" w:eastAsia="宋体" w:hint="default"/>
                            <w:sz w:val="21"/>
                            <w:szCs w:val="21"/>
                          </w:rPr>
                          <w:t>10</w:t>
                        </w:r>
                        <w:r>
                          <w:rPr>
                            <w:rFonts w:ascii="宋体" w:hAnsi="宋体" w:cs="宋体" w:eastAsia="宋体" w:hint="default"/>
                            <w:spacing w:val="-85"/>
                            <w:sz w:val="21"/>
                            <w:szCs w:val="21"/>
                          </w:rPr>
                          <w:t> </w:t>
                        </w:r>
                        <w:r>
                          <w:rPr>
                            <w:rFonts w:ascii="宋体" w:hAnsi="宋体" w:cs="宋体" w:eastAsia="宋体" w:hint="default"/>
                            <w:sz w:val="21"/>
                            <w:szCs w:val="21"/>
                          </w:rPr>
                          <w:t>名无限售条件普通</w:t>
                        </w:r>
                      </w:p>
                      <w:p>
                        <w:pPr>
                          <w:pStyle w:val="TableParagraph"/>
                          <w:spacing w:line="273" w:lineRule="auto" w:before="36"/>
                          <w:ind w:left="22" w:right="37"/>
                          <w:jc w:val="left"/>
                          <w:rPr>
                            <w:rFonts w:ascii="宋体" w:hAnsi="宋体" w:cs="宋体" w:eastAsia="宋体" w:hint="default"/>
                            <w:sz w:val="21"/>
                            <w:szCs w:val="21"/>
                          </w:rPr>
                        </w:pPr>
                        <w:r>
                          <w:rPr>
                            <w:rFonts w:ascii="宋体" w:hAnsi="宋体" w:cs="宋体" w:eastAsia="宋体" w:hint="default"/>
                            <w:sz w:val="21"/>
                            <w:szCs w:val="21"/>
                          </w:rPr>
                          <w:t>股股东之间，以及前</w:t>
                        </w:r>
                        <w:r>
                          <w:rPr>
                            <w:rFonts w:ascii="宋体" w:hAnsi="宋体" w:cs="宋体" w:eastAsia="宋体" w:hint="default"/>
                            <w:spacing w:val="-55"/>
                            <w:sz w:val="21"/>
                            <w:szCs w:val="21"/>
                          </w:rPr>
                          <w:t> </w:t>
                        </w:r>
                        <w:r>
                          <w:rPr>
                            <w:rFonts w:ascii="宋体" w:hAnsi="宋体" w:cs="宋体" w:eastAsia="宋体" w:hint="default"/>
                            <w:sz w:val="21"/>
                            <w:szCs w:val="21"/>
                          </w:rPr>
                          <w:t>10</w:t>
                        </w:r>
                        <w:r>
                          <w:rPr>
                            <w:rFonts w:ascii="宋体" w:hAnsi="宋体" w:cs="宋体" w:eastAsia="宋体" w:hint="default"/>
                            <w:spacing w:val="-55"/>
                            <w:sz w:val="21"/>
                            <w:szCs w:val="21"/>
                          </w:rPr>
                          <w:t> </w:t>
                        </w:r>
                        <w:r>
                          <w:rPr>
                            <w:rFonts w:ascii="宋体" w:hAnsi="宋体" w:cs="宋体" w:eastAsia="宋体" w:hint="default"/>
                            <w:sz w:val="21"/>
                            <w:szCs w:val="21"/>
                          </w:rPr>
                          <w:t>名无限售条件普通股股东和前</w:t>
                        </w:r>
                        <w:r>
                          <w:rPr>
                            <w:rFonts w:ascii="宋体" w:hAnsi="宋体" w:cs="宋体" w:eastAsia="宋体" w:hint="default"/>
                            <w:spacing w:val="-54"/>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名普</w:t>
                        </w:r>
                        <w:r>
                          <w:rPr>
                            <w:rFonts w:ascii="宋体" w:hAnsi="宋体" w:cs="宋体" w:eastAsia="宋体" w:hint="default"/>
                            <w:spacing w:val="-2"/>
                            <w:sz w:val="21"/>
                            <w:szCs w:val="21"/>
                          </w:rPr>
                          <w:t> </w:t>
                        </w:r>
                        <w:r>
                          <w:rPr>
                            <w:rFonts w:ascii="宋体" w:hAnsi="宋体" w:cs="宋体" w:eastAsia="宋体" w:hint="default"/>
                            <w:spacing w:val="-4"/>
                            <w:sz w:val="21"/>
                            <w:szCs w:val="21"/>
                          </w:rPr>
                          <w:t>通股股东之间是否存在关联关系，也未知是否属于一致行动人</w:t>
                        </w:r>
                      </w:p>
                    </w:tc>
                  </w:tr>
                  <w:tr>
                    <w:trPr>
                      <w:trHeight w:val="714" w:hRule="exact"/>
                    </w:trPr>
                    <w:tc>
                      <w:tcPr>
                        <w:tcW w:w="382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22" w:right="119"/>
                          <w:jc w:val="left"/>
                          <w:rPr>
                            <w:rFonts w:ascii="宋体" w:hAnsi="宋体" w:cs="宋体" w:eastAsia="宋体" w:hint="default"/>
                            <w:sz w:val="21"/>
                            <w:szCs w:val="21"/>
                          </w:rPr>
                        </w:pPr>
                        <w:r>
                          <w:rPr>
                            <w:rFonts w:ascii="宋体" w:hAnsi="宋体" w:cs="宋体" w:eastAsia="宋体" w:hint="default"/>
                            <w:sz w:val="21"/>
                            <w:szCs w:val="21"/>
                          </w:rPr>
                          <w:t>前</w:t>
                        </w:r>
                        <w:r>
                          <w:rPr>
                            <w:rFonts w:ascii="宋体" w:hAnsi="宋体" w:cs="宋体" w:eastAsia="宋体" w:hint="default"/>
                            <w:spacing w:val="-55"/>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名普通股股东参与融资融券业务情 </w:t>
                        </w:r>
                        <w:r>
                          <w:rPr>
                            <w:rFonts w:ascii="宋体" w:hAnsi="宋体" w:cs="宋体" w:eastAsia="宋体" w:hint="default"/>
                            <w:spacing w:val="-10"/>
                            <w:sz w:val="21"/>
                            <w:szCs w:val="21"/>
                          </w:rPr>
                          <w:t>况说明（如有）（参见注</w:t>
                        </w:r>
                        <w:r>
                          <w:rPr>
                            <w:rFonts w:ascii="宋体" w:hAnsi="宋体" w:cs="宋体" w:eastAsia="宋体" w:hint="default"/>
                            <w:spacing w:val="-49"/>
                            <w:sz w:val="21"/>
                            <w:szCs w:val="21"/>
                          </w:rPr>
                          <w:t> </w:t>
                        </w:r>
                        <w:r>
                          <w:rPr>
                            <w:rFonts w:ascii="宋体" w:hAnsi="宋体" w:cs="宋体" w:eastAsia="宋体" w:hint="default"/>
                            <w:sz w:val="21"/>
                            <w:szCs w:val="21"/>
                          </w:rPr>
                          <w:t>4</w:t>
                        </w:r>
                        <w:r>
                          <w:rPr>
                            <w:rFonts w:ascii="宋体" w:hAnsi="宋体" w:cs="宋体" w:eastAsia="宋体" w:hint="default"/>
                            <w:sz w:val="21"/>
                            <w:szCs w:val="21"/>
                          </w:rPr>
                          <w:t>）</w:t>
                        </w:r>
                      </w:p>
                    </w:tc>
                    <w:tc>
                      <w:tcPr>
                        <w:tcW w:w="5740" w:type="dxa"/>
                        <w:gridSpan w:val="9"/>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无</w:t>
                        </w: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3"/>
          <w:szCs w:val="23"/>
        </w:rPr>
      </w:pPr>
    </w:p>
    <w:p>
      <w:pPr>
        <w:spacing w:before="35"/>
        <w:ind w:left="0" w:right="1125" w:firstLine="0"/>
        <w:jc w:val="right"/>
        <w:rPr>
          <w:rFonts w:ascii="宋体" w:hAnsi="宋体" w:cs="宋体" w:eastAsia="宋体" w:hint="default"/>
          <w:sz w:val="21"/>
          <w:szCs w:val="21"/>
        </w:rPr>
      </w:pPr>
      <w:r>
        <w:rPr>
          <w:rFonts w:ascii="宋体" w:hAnsi="宋体" w:cs="宋体" w:eastAsia="宋体" w:hint="default"/>
          <w:sz w:val="21"/>
          <w:szCs w:val="21"/>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7"/>
          <w:szCs w:val="27"/>
        </w:rPr>
      </w:pPr>
    </w:p>
    <w:p>
      <w:pPr>
        <w:pStyle w:val="BodyText"/>
        <w:spacing w:line="240" w:lineRule="auto" w:before="26"/>
        <w:ind w:left="634" w:right="996"/>
        <w:jc w:val="left"/>
      </w:pPr>
      <w:r>
        <w:rPr/>
        <w:t>公司前</w:t>
      </w:r>
      <w:r>
        <w:rPr>
          <w:spacing w:val="-60"/>
        </w:rPr>
        <w:t> </w:t>
      </w:r>
      <w:r>
        <w:rPr>
          <w:rFonts w:ascii="宋体" w:hAnsi="宋体" w:cs="宋体" w:eastAsia="宋体" w:hint="default"/>
        </w:rPr>
        <w:t>10</w:t>
      </w:r>
      <w:r>
        <w:rPr>
          <w:rFonts w:ascii="宋体" w:hAnsi="宋体" w:cs="宋体" w:eastAsia="宋体" w:hint="default"/>
          <w:spacing w:val="-60"/>
        </w:rPr>
        <w:t> </w:t>
      </w:r>
      <w:r>
        <w:rPr/>
        <w:t>名普通股股东、前</w:t>
      </w:r>
      <w:r>
        <w:rPr>
          <w:spacing w:val="-60"/>
        </w:rPr>
        <w:t> </w:t>
      </w:r>
      <w:r>
        <w:rPr>
          <w:rFonts w:ascii="宋体" w:hAnsi="宋体" w:cs="宋体" w:eastAsia="宋体" w:hint="default"/>
        </w:rPr>
        <w:t>10</w:t>
      </w:r>
      <w:r>
        <w:rPr>
          <w:rFonts w:ascii="宋体" w:hAnsi="宋体" w:cs="宋体" w:eastAsia="宋体" w:hint="default"/>
          <w:spacing w:val="-60"/>
        </w:rPr>
        <w:t> </w:t>
      </w:r>
      <w:r>
        <w:rPr/>
        <w:t>名无限售条件普通股股东在报告期内是否进行约定购回</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240" w:lineRule="auto" w:before="199"/>
        <w:ind w:right="996"/>
        <w:jc w:val="left"/>
      </w:pPr>
      <w:r>
        <w:rPr/>
        <w:t>交易</w:t>
      </w:r>
    </w:p>
    <w:p>
      <w:pPr>
        <w:pStyle w:val="BodyText"/>
        <w:spacing w:line="240" w:lineRule="auto" w:before="145"/>
        <w:ind w:left="634" w:right="996"/>
        <w:jc w:val="left"/>
      </w:pPr>
      <w:r>
        <w:rPr/>
        <w:t>□ 是 √ 否</w:t>
      </w:r>
    </w:p>
    <w:p>
      <w:pPr>
        <w:pStyle w:val="BodyText"/>
        <w:spacing w:line="350" w:lineRule="auto" w:before="146"/>
        <w:ind w:left="154" w:right="1152" w:firstLine="480"/>
        <w:jc w:val="left"/>
      </w:pPr>
      <w:r>
        <w:rPr/>
        <w:t>公司前</w:t>
      </w:r>
      <w:r>
        <w:rPr>
          <w:spacing w:val="-60"/>
        </w:rPr>
        <w:t> </w:t>
      </w:r>
      <w:r>
        <w:rPr>
          <w:rFonts w:ascii="宋体" w:hAnsi="宋体" w:cs="宋体" w:eastAsia="宋体" w:hint="default"/>
        </w:rPr>
        <w:t>10</w:t>
      </w:r>
      <w:r>
        <w:rPr>
          <w:rFonts w:ascii="宋体" w:hAnsi="宋体" w:cs="宋体" w:eastAsia="宋体" w:hint="default"/>
          <w:spacing w:val="-60"/>
        </w:rPr>
        <w:t> </w:t>
      </w:r>
      <w:r>
        <w:rPr/>
        <w:t>名普通股股东、前</w:t>
      </w:r>
      <w:r>
        <w:rPr>
          <w:spacing w:val="-60"/>
        </w:rPr>
        <w:t> </w:t>
      </w:r>
      <w:r>
        <w:rPr>
          <w:rFonts w:ascii="宋体" w:hAnsi="宋体" w:cs="宋体" w:eastAsia="宋体" w:hint="default"/>
        </w:rPr>
        <w:t>10</w:t>
      </w:r>
      <w:r>
        <w:rPr>
          <w:rFonts w:ascii="宋体" w:hAnsi="宋体" w:cs="宋体" w:eastAsia="宋体" w:hint="default"/>
          <w:spacing w:val="-60"/>
        </w:rPr>
        <w:t> </w:t>
      </w:r>
      <w:r>
        <w:rPr/>
        <w:t>名无限售条件普通股股东在报告期内未进行约定购回交 易。</w:t>
      </w:r>
    </w:p>
    <w:p>
      <w:pPr>
        <w:spacing w:line="350" w:lineRule="auto" w:before="35"/>
        <w:ind w:left="633" w:right="6913" w:firstLine="2"/>
        <w:jc w:val="left"/>
        <w:rPr>
          <w:rFonts w:ascii="宋体" w:hAnsi="宋体" w:cs="宋体" w:eastAsia="宋体" w:hint="default"/>
          <w:sz w:val="24"/>
          <w:szCs w:val="24"/>
        </w:rPr>
      </w:pPr>
      <w:bookmarkStart w:name="2、公司控股股东情况" w:id="134"/>
      <w:bookmarkEnd w:id="134"/>
      <w:r>
        <w:rPr/>
      </w:r>
      <w:r>
        <w:rPr>
          <w:rFonts w:ascii="宋体" w:hAnsi="宋体" w:cs="宋体" w:eastAsia="宋体" w:hint="default"/>
          <w:b/>
          <w:bCs/>
          <w:sz w:val="24"/>
          <w:szCs w:val="24"/>
        </w:rPr>
        <w:t>2</w:t>
      </w:r>
      <w:r>
        <w:rPr>
          <w:rFonts w:ascii="宋体" w:hAnsi="宋体" w:cs="宋体" w:eastAsia="宋体" w:hint="default"/>
          <w:b/>
          <w:bCs/>
          <w:sz w:val="24"/>
          <w:szCs w:val="24"/>
        </w:rPr>
        <w:t>、公司控股股东情况</w:t>
      </w:r>
      <w:r>
        <w:rPr>
          <w:rFonts w:ascii="宋体" w:hAnsi="宋体" w:cs="宋体" w:eastAsia="宋体" w:hint="default"/>
          <w:b/>
          <w:bCs/>
          <w:w w:val="99"/>
          <w:sz w:val="24"/>
          <w:szCs w:val="24"/>
        </w:rPr>
        <w:t> </w:t>
      </w:r>
      <w:r>
        <w:rPr>
          <w:rFonts w:ascii="宋体" w:hAnsi="宋体" w:cs="宋体" w:eastAsia="宋体" w:hint="default"/>
          <w:sz w:val="24"/>
          <w:szCs w:val="24"/>
        </w:rPr>
        <w:t>控股股东性质：无控股主体 控股股东类型：不存在 公司不存在控股股东情况的说明</w:t>
      </w:r>
    </w:p>
    <w:p>
      <w:pPr>
        <w:pStyle w:val="BodyText"/>
        <w:spacing w:line="350" w:lineRule="auto"/>
        <w:ind w:right="1229" w:firstLine="480"/>
        <w:jc w:val="both"/>
      </w:pPr>
      <w:r>
        <w:rPr/>
        <w:t>公司股权分散，不存在持有的股份占公司股本总额</w:t>
      </w:r>
      <w:r>
        <w:rPr>
          <w:spacing w:val="-60"/>
        </w:rPr>
        <w:t> </w:t>
      </w:r>
      <w:r>
        <w:rPr>
          <w:rFonts w:ascii="宋体" w:hAnsi="宋体" w:cs="宋体" w:eastAsia="宋体" w:hint="default"/>
        </w:rPr>
        <w:t>50%</w:t>
      </w:r>
      <w:r>
        <w:rPr/>
        <w:t>以上的股东；也不存在持有股份 的比例虽然不足</w:t>
      </w:r>
      <w:r>
        <w:rPr>
          <w:spacing w:val="-60"/>
        </w:rPr>
        <w:t> </w:t>
      </w:r>
      <w:r>
        <w:rPr>
          <w:rFonts w:ascii="宋体" w:hAnsi="宋体" w:cs="宋体" w:eastAsia="宋体" w:hint="default"/>
        </w:rPr>
        <w:t>50%</w:t>
      </w:r>
      <w:r>
        <w:rPr/>
        <w:t>，但依其持有的股份所享有的表决权已足以对股东会、股东大会的决议 产生重大影响的股东。</w:t>
      </w:r>
    </w:p>
    <w:p>
      <w:pPr>
        <w:pStyle w:val="BodyText"/>
        <w:spacing w:line="240" w:lineRule="auto"/>
        <w:ind w:left="634" w:right="996"/>
        <w:jc w:val="left"/>
      </w:pPr>
      <w:r>
        <w:rPr/>
        <w:t>控股股东报告期内变更</w:t>
      </w:r>
    </w:p>
    <w:p>
      <w:pPr>
        <w:pStyle w:val="BodyText"/>
        <w:spacing w:line="352" w:lineRule="auto" w:before="145"/>
        <w:ind w:left="634" w:right="6672"/>
        <w:jc w:val="left"/>
      </w:pPr>
      <w:r>
        <w:rPr/>
        <w:t>□ 适用 √ 不适用 公司报告期控股股东未发生变更。 </w:t>
      </w:r>
      <w:bookmarkStart w:name="3、公司实际控制人情况" w:id="135"/>
      <w:bookmarkEnd w:id="135"/>
      <w:r>
        <w:rPr/>
      </w:r>
      <w:r>
        <w:rPr>
          <w:rFonts w:ascii="宋体" w:hAnsi="宋体" w:cs="宋体" w:eastAsia="宋体" w:hint="default"/>
          <w:b/>
          <w:bCs/>
        </w:rPr>
        <w:t>3</w:t>
      </w:r>
      <w:r>
        <w:rPr>
          <w:rFonts w:ascii="宋体" w:hAnsi="宋体" w:cs="宋体" w:eastAsia="宋体" w:hint="default"/>
          <w:b/>
          <w:bCs/>
        </w:rPr>
        <w:t>、公司实际控制人情况</w:t>
      </w:r>
      <w:r>
        <w:rPr>
          <w:rFonts w:ascii="宋体" w:hAnsi="宋体" w:cs="宋体" w:eastAsia="宋体" w:hint="default"/>
          <w:b/>
          <w:bCs/>
          <w:w w:val="99"/>
        </w:rPr>
        <w:t> </w:t>
      </w:r>
      <w:r>
        <w:rPr/>
        <w:t>实际控制人性质：无实际控制人 实际控制人类型：不存在 公司不存在实际控制人情况的说明</w:t>
      </w:r>
    </w:p>
    <w:p>
      <w:pPr>
        <w:pStyle w:val="BodyText"/>
        <w:spacing w:line="350" w:lineRule="auto" w:before="32"/>
        <w:ind w:right="995" w:firstLine="480"/>
        <w:jc w:val="left"/>
      </w:pPr>
      <w:r>
        <w:rPr/>
        <w:t>公司目前不存在以下情况</w:t>
      </w:r>
      <w:r>
        <w:rPr>
          <w:spacing w:val="-120"/>
        </w:rPr>
        <w:t>：</w:t>
      </w:r>
      <w:r>
        <w:rPr/>
        <w:t>（</w:t>
      </w:r>
      <w:r>
        <w:rPr>
          <w:rFonts w:ascii="宋体" w:hAnsi="宋体" w:cs="宋体" w:eastAsia="宋体" w:hint="default"/>
        </w:rPr>
        <w:t>1</w:t>
      </w:r>
      <w:r>
        <w:rPr/>
        <w:t>）持股</w:t>
      </w:r>
      <w:r>
        <w:rPr>
          <w:spacing w:val="-60"/>
        </w:rPr>
        <w:t> </w:t>
      </w:r>
      <w:r>
        <w:rPr>
          <w:rFonts w:ascii="宋体" w:hAnsi="宋体" w:cs="宋体" w:eastAsia="宋体" w:hint="default"/>
        </w:rPr>
        <w:t>50%</w:t>
      </w:r>
      <w:r>
        <w:rPr/>
        <w:t>以上控股股东</w:t>
      </w:r>
      <w:r>
        <w:rPr>
          <w:spacing w:val="-120"/>
        </w:rPr>
        <w:t>；</w:t>
      </w:r>
      <w:r>
        <w:rPr/>
        <w:t>（</w:t>
      </w:r>
      <w:r>
        <w:rPr>
          <w:rFonts w:ascii="宋体" w:hAnsi="宋体" w:cs="宋体" w:eastAsia="宋体" w:hint="default"/>
        </w:rPr>
        <w:t>2</w:t>
      </w:r>
      <w:r>
        <w:rPr/>
        <w:t>）实际支配公司表决权超过 </w:t>
      </w:r>
      <w:r>
        <w:rPr>
          <w:rFonts w:ascii="宋体" w:hAnsi="宋体" w:cs="宋体" w:eastAsia="宋体" w:hint="default"/>
        </w:rPr>
        <w:t>30%</w:t>
      </w:r>
      <w:r>
        <w:rPr/>
        <w:t>的股东</w:t>
      </w:r>
      <w:r>
        <w:rPr>
          <w:spacing w:val="-221"/>
        </w:rPr>
        <w:t>；</w:t>
      </w:r>
      <w:r>
        <w:rPr/>
        <w:t>（</w:t>
      </w:r>
      <w:r>
        <w:rPr>
          <w:rFonts w:ascii="宋体" w:hAnsi="宋体" w:cs="宋体" w:eastAsia="宋体" w:hint="default"/>
        </w:rPr>
        <w:t>3</w:t>
      </w:r>
      <w:r>
        <w:rPr>
          <w:spacing w:val="-101"/>
        </w:rPr>
        <w:t>）</w:t>
      </w:r>
      <w:r>
        <w:rPr/>
        <w:t>通过实际支配公司股份表决权能够决定公司董事会半数以上成员选任的股东；</w:t>
      </w:r>
    </w:p>
    <w:p>
      <w:pPr>
        <w:pStyle w:val="BodyText"/>
        <w:spacing w:line="350" w:lineRule="auto"/>
        <w:ind w:left="154" w:right="1114"/>
        <w:jc w:val="left"/>
      </w:pPr>
      <w:r>
        <w:rPr>
          <w:spacing w:val="-2"/>
        </w:rPr>
        <w:t>（</w:t>
      </w:r>
      <w:r>
        <w:rPr>
          <w:rFonts w:ascii="宋体" w:hAnsi="宋体" w:cs="宋体" w:eastAsia="宋体" w:hint="default"/>
          <w:spacing w:val="-2"/>
        </w:rPr>
        <w:t>4</w:t>
      </w:r>
      <w:r>
        <w:rPr>
          <w:spacing w:val="-2"/>
        </w:rPr>
        <w:t>）股东依其可实际支配的公司股份表决权足以对公司股东大会的决议产生重大影响。故公</w:t>
      </w:r>
      <w:r>
        <w:rPr/>
        <w:t> 司不存在实际控制人。</w:t>
      </w:r>
    </w:p>
    <w:p>
      <w:pPr>
        <w:pStyle w:val="BodyText"/>
        <w:spacing w:line="240" w:lineRule="auto" w:before="35"/>
        <w:ind w:left="634" w:right="996"/>
        <w:jc w:val="left"/>
      </w:pPr>
      <w:r>
        <w:rPr/>
        <w:t>公司最终控制层面是否存在持股比例在</w:t>
      </w:r>
      <w:r>
        <w:rPr>
          <w:spacing w:val="-60"/>
        </w:rPr>
        <w:t> </w:t>
      </w:r>
      <w:r>
        <w:rPr>
          <w:rFonts w:ascii="宋体" w:hAnsi="宋体" w:cs="宋体" w:eastAsia="宋体" w:hint="default"/>
        </w:rPr>
        <w:t>10%</w:t>
      </w:r>
      <w:r>
        <w:rPr/>
        <w:t>以上的股东情况</w:t>
      </w:r>
    </w:p>
    <w:p>
      <w:pPr>
        <w:pStyle w:val="BodyText"/>
        <w:spacing w:line="350" w:lineRule="auto" w:before="146"/>
        <w:ind w:left="634" w:right="8952"/>
        <w:jc w:val="left"/>
      </w:pPr>
      <w:r>
        <w:rPr/>
        <w:t>√ 是 □ 否 自然人</w:t>
      </w:r>
    </w:p>
    <w:p>
      <w:pPr>
        <w:pStyle w:val="BodyText"/>
        <w:spacing w:line="240" w:lineRule="auto" w:before="35"/>
        <w:ind w:left="633" w:right="996"/>
        <w:jc w:val="left"/>
      </w:pPr>
      <w:r>
        <w:rPr/>
        <w:t>最终控制层面持股情况</w:t>
      </w:r>
    </w:p>
    <w:p>
      <w:pPr>
        <w:spacing w:line="240" w:lineRule="auto" w:before="6"/>
        <w:rPr>
          <w:rFonts w:ascii="宋体" w:hAnsi="宋体" w:cs="宋体" w:eastAsia="宋体" w:hint="default"/>
          <w:sz w:val="4"/>
          <w:szCs w:val="4"/>
        </w:rPr>
      </w:pPr>
    </w:p>
    <w:tbl>
      <w:tblPr>
        <w:tblW w:w="0" w:type="auto"/>
        <w:jc w:val="left"/>
        <w:tblInd w:w="149" w:type="dxa"/>
        <w:tblLayout w:type="fixed"/>
        <w:tblCellMar>
          <w:top w:w="0" w:type="dxa"/>
          <w:left w:w="0" w:type="dxa"/>
          <w:bottom w:w="0" w:type="dxa"/>
          <w:right w:w="0" w:type="dxa"/>
        </w:tblCellMar>
        <w:tblLook w:val="01E0"/>
      </w:tblPr>
      <w:tblGrid>
        <w:gridCol w:w="4254"/>
        <w:gridCol w:w="2126"/>
        <w:gridCol w:w="3189"/>
      </w:tblGrid>
      <w:tr>
        <w:trPr>
          <w:trHeight w:val="402" w:hRule="exact"/>
        </w:trPr>
        <w:tc>
          <w:tcPr>
            <w:tcW w:w="42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072" w:right="0"/>
              <w:jc w:val="left"/>
              <w:rPr>
                <w:rFonts w:ascii="宋体" w:hAnsi="宋体" w:cs="宋体" w:eastAsia="宋体" w:hint="default"/>
                <w:sz w:val="21"/>
                <w:szCs w:val="21"/>
              </w:rPr>
            </w:pPr>
            <w:r>
              <w:rPr>
                <w:rFonts w:ascii="宋体" w:hAnsi="宋体" w:cs="宋体" w:eastAsia="宋体" w:hint="default"/>
                <w:sz w:val="21"/>
                <w:szCs w:val="21"/>
              </w:rPr>
              <w:t>最终控制层面股东姓名</w:t>
            </w:r>
          </w:p>
        </w:tc>
        <w:tc>
          <w:tcPr>
            <w:tcW w:w="2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国籍</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是否取得其他国家或地区居留权</w:t>
            </w:r>
          </w:p>
        </w:tc>
      </w:tr>
      <w:tr>
        <w:trPr>
          <w:trHeight w:val="402" w:hRule="exact"/>
        </w:trPr>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李海鹰先生</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中国</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402" w:hRule="exact"/>
        </w:trPr>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谢春生先生</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中国</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714" w:hRule="exact"/>
        </w:trPr>
        <w:tc>
          <w:tcPr>
            <w:tcW w:w="42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主要职业及职务</w:t>
            </w:r>
          </w:p>
        </w:tc>
        <w:tc>
          <w:tcPr>
            <w:tcW w:w="5315" w:type="dxa"/>
            <w:gridSpan w:val="2"/>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2" w:right="30"/>
              <w:jc w:val="left"/>
              <w:rPr>
                <w:rFonts w:ascii="宋体" w:hAnsi="宋体" w:cs="宋体" w:eastAsia="宋体" w:hint="default"/>
                <w:sz w:val="21"/>
                <w:szCs w:val="21"/>
              </w:rPr>
            </w:pPr>
            <w:r>
              <w:rPr>
                <w:rFonts w:ascii="宋体" w:hAnsi="宋体" w:cs="宋体" w:eastAsia="宋体" w:hint="default"/>
                <w:sz w:val="21"/>
                <w:szCs w:val="21"/>
              </w:rPr>
              <w:t>李海鹰先生现担任辉煌科技董事长；谢春生先生现担任辉 煌科技董事、总经理。</w:t>
            </w:r>
          </w:p>
        </w:tc>
      </w:tr>
    </w:tbl>
    <w:p>
      <w:pPr>
        <w:spacing w:after="0" w:line="273" w:lineRule="auto"/>
        <w:jc w:val="left"/>
        <w:rPr>
          <w:rFonts w:ascii="宋体" w:hAnsi="宋体" w:cs="宋体" w:eastAsia="宋体" w:hint="default"/>
          <w:sz w:val="21"/>
          <w:szCs w:val="21"/>
        </w:rPr>
        <w:sectPr>
          <w:pgSz w:w="11910" w:h="16840"/>
          <w:pgMar w:header="747" w:footer="979" w:top="1060" w:bottom="1160" w:left="980" w:right="0"/>
        </w:sectPr>
      </w:pPr>
    </w:p>
    <w:p>
      <w:pPr>
        <w:spacing w:line="240" w:lineRule="auto" w:before="6"/>
        <w:rPr>
          <w:rFonts w:ascii="宋体" w:hAnsi="宋体" w:cs="宋体" w:eastAsia="宋体" w:hint="default"/>
          <w:sz w:val="3"/>
          <w:szCs w:val="3"/>
        </w:rPr>
      </w:pPr>
    </w:p>
    <w:tbl>
      <w:tblPr>
        <w:tblW w:w="0" w:type="auto"/>
        <w:jc w:val="left"/>
        <w:tblInd w:w="149" w:type="dxa"/>
        <w:tblLayout w:type="fixed"/>
        <w:tblCellMar>
          <w:top w:w="0" w:type="dxa"/>
          <w:left w:w="0" w:type="dxa"/>
          <w:bottom w:w="0" w:type="dxa"/>
          <w:right w:w="0" w:type="dxa"/>
        </w:tblCellMar>
        <w:tblLook w:val="01E0"/>
      </w:tblPr>
      <w:tblGrid>
        <w:gridCol w:w="4254"/>
        <w:gridCol w:w="5315"/>
      </w:tblGrid>
      <w:tr>
        <w:trPr>
          <w:trHeight w:val="332" w:hRule="exact"/>
        </w:trPr>
        <w:tc>
          <w:tcPr>
            <w:tcW w:w="4254" w:type="dxa"/>
            <w:tcBorders>
              <w:top w:val="nil" w:sz="6" w:space="0" w:color="auto"/>
              <w:left w:val="nil" w:sz="6" w:space="0" w:color="auto"/>
              <w:bottom w:val="single" w:sz="4" w:space="0" w:color="000000"/>
              <w:right w:val="nil" w:sz="6" w:space="0" w:color="auto"/>
            </w:tcBorders>
          </w:tcPr>
          <w:p>
            <w:pPr/>
          </w:p>
        </w:tc>
        <w:tc>
          <w:tcPr>
            <w:tcW w:w="5315" w:type="dxa"/>
            <w:tcBorders>
              <w:top w:val="nil" w:sz="6" w:space="0" w:color="auto"/>
              <w:left w:val="nil" w:sz="6" w:space="0" w:color="auto"/>
              <w:bottom w:val="single" w:sz="4" w:space="0" w:color="000000"/>
              <w:right w:val="nil" w:sz="6" w:space="0" w:color="auto"/>
            </w:tcBorders>
          </w:tcPr>
          <w:p>
            <w:pPr/>
          </w:p>
        </w:tc>
      </w:tr>
      <w:tr>
        <w:trPr>
          <w:trHeight w:val="402" w:hRule="exact"/>
        </w:trPr>
        <w:tc>
          <w:tcPr>
            <w:tcW w:w="42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过去</w:t>
            </w:r>
            <w:r>
              <w:rPr>
                <w:rFonts w:ascii="宋体" w:hAnsi="宋体" w:cs="宋体" w:eastAsia="宋体" w:hint="default"/>
                <w:spacing w:val="-54"/>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年曾控股的境内外上市公司情况</w:t>
            </w:r>
          </w:p>
        </w:tc>
        <w:tc>
          <w:tcPr>
            <w:tcW w:w="5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无</w:t>
            </w:r>
          </w:p>
        </w:tc>
      </w:tr>
    </w:tbl>
    <w:p>
      <w:pPr>
        <w:spacing w:line="240" w:lineRule="auto" w:before="10"/>
        <w:rPr>
          <w:rFonts w:ascii="宋体" w:hAnsi="宋体" w:cs="宋体" w:eastAsia="宋体" w:hint="default"/>
          <w:sz w:val="4"/>
          <w:szCs w:val="4"/>
        </w:rPr>
      </w:pPr>
    </w:p>
    <w:p>
      <w:pPr>
        <w:pStyle w:val="BodyText"/>
        <w:spacing w:line="240" w:lineRule="auto" w:before="26"/>
        <w:ind w:left="634" w:right="996"/>
        <w:jc w:val="left"/>
      </w:pPr>
      <w:r>
        <w:rPr/>
        <w:pict>
          <v:group style="position:absolute;margin-left:55.200001pt;margin-top:-40.064392pt;width:485pt;height:.1pt;mso-position-horizontal-relative:page;mso-position-vertical-relative:paragraph;z-index:-916048" coordorigin="1104,-801" coordsize="9700,2">
            <v:shape style="position:absolute;left:1104;top:-801;width:9700;height:2" coordorigin="1104,-801" coordsize="9700,0" path="m1104,-801l10804,-801e" filled="false" stroked="true" strokeweight=".72pt" strokecolor="#000000">
              <v:path arrowok="t"/>
            </v:shape>
            <w10:wrap type="none"/>
          </v:group>
        </w:pict>
      </w:r>
      <w:r>
        <w:rPr/>
        <w:t>实际控制人报告期内变更</w:t>
      </w:r>
    </w:p>
    <w:p>
      <w:pPr>
        <w:pStyle w:val="BodyText"/>
        <w:spacing w:line="350" w:lineRule="auto" w:before="146"/>
        <w:ind w:left="633" w:right="4993"/>
        <w:jc w:val="left"/>
      </w:pPr>
      <w:r>
        <w:rPr/>
        <w:t>□ 适用 √ 不适用 公司报告期实际控制人未发生变更。 公司与实际控制人之间的产权及控制关系的方框图</w:t>
      </w:r>
    </w:p>
    <w:p>
      <w:pPr>
        <w:spacing w:line="240" w:lineRule="auto" w:before="11"/>
        <w:rPr>
          <w:rFonts w:ascii="宋体" w:hAnsi="宋体" w:cs="宋体" w:eastAsia="宋体" w:hint="default"/>
          <w:sz w:val="13"/>
          <w:szCs w:val="13"/>
        </w:rPr>
      </w:pPr>
    </w:p>
    <w:p>
      <w:pPr>
        <w:spacing w:line="3672" w:lineRule="exact"/>
        <w:ind w:left="2079" w:right="0" w:firstLine="0"/>
        <w:rPr>
          <w:rFonts w:ascii="宋体" w:hAnsi="宋体" w:cs="宋体" w:eastAsia="宋体" w:hint="default"/>
          <w:sz w:val="20"/>
          <w:szCs w:val="20"/>
        </w:rPr>
      </w:pPr>
      <w:r>
        <w:rPr>
          <w:rFonts w:ascii="宋体" w:hAnsi="宋体" w:cs="宋体" w:eastAsia="宋体" w:hint="default"/>
          <w:position w:val="-72"/>
          <w:sz w:val="20"/>
          <w:szCs w:val="20"/>
        </w:rPr>
        <w:drawing>
          <wp:inline distT="0" distB="0" distL="0" distR="0">
            <wp:extent cx="3669748" cy="2331720"/>
            <wp:effectExtent l="0" t="0" r="0" b="0"/>
            <wp:docPr id="3" name="image3.png" descr=""/>
            <wp:cNvGraphicFramePr>
              <a:graphicFrameLocks noChangeAspect="1"/>
            </wp:cNvGraphicFramePr>
            <a:graphic>
              <a:graphicData uri="http://schemas.openxmlformats.org/drawingml/2006/picture">
                <pic:pic>
                  <pic:nvPicPr>
                    <pic:cNvPr id="4" name="image3.png"/>
                    <pic:cNvPicPr/>
                  </pic:nvPicPr>
                  <pic:blipFill>
                    <a:blip r:embed="rId14" cstate="print"/>
                    <a:stretch>
                      <a:fillRect/>
                    </a:stretch>
                  </pic:blipFill>
                  <pic:spPr>
                    <a:xfrm>
                      <a:off x="0" y="0"/>
                      <a:ext cx="3669748" cy="2331720"/>
                    </a:xfrm>
                    <a:prstGeom prst="rect">
                      <a:avLst/>
                    </a:prstGeom>
                  </pic:spPr>
                </pic:pic>
              </a:graphicData>
            </a:graphic>
          </wp:inline>
        </w:drawing>
      </w:r>
      <w:r>
        <w:rPr>
          <w:rFonts w:ascii="宋体" w:hAnsi="宋体" w:cs="宋体" w:eastAsia="宋体" w:hint="default"/>
          <w:position w:val="-72"/>
          <w:sz w:val="20"/>
          <w:szCs w:val="20"/>
        </w:rPr>
      </w:r>
    </w:p>
    <w:p>
      <w:pPr>
        <w:spacing w:line="240" w:lineRule="auto" w:before="12"/>
        <w:rPr>
          <w:rFonts w:ascii="宋体" w:hAnsi="宋体" w:cs="宋体" w:eastAsia="宋体" w:hint="default"/>
          <w:sz w:val="24"/>
          <w:szCs w:val="24"/>
        </w:rPr>
      </w:pPr>
    </w:p>
    <w:p>
      <w:pPr>
        <w:pStyle w:val="BodyText"/>
        <w:spacing w:line="240" w:lineRule="auto" w:before="0"/>
        <w:ind w:left="633" w:right="996"/>
        <w:jc w:val="left"/>
      </w:pPr>
      <w:r>
        <w:rPr/>
        <w:t>实际控制人通过信托或其他资产管理方式控制公司</w:t>
      </w:r>
    </w:p>
    <w:p>
      <w:pPr>
        <w:pStyle w:val="BodyText"/>
        <w:spacing w:line="240" w:lineRule="auto" w:before="146"/>
        <w:ind w:left="633" w:right="996"/>
        <w:jc w:val="left"/>
      </w:pPr>
      <w:r>
        <w:rPr/>
        <w:t>□ 适用 √ 不适用</w:t>
      </w:r>
    </w:p>
    <w:p>
      <w:pPr>
        <w:pStyle w:val="Heading2"/>
        <w:spacing w:line="240" w:lineRule="auto" w:before="146"/>
        <w:ind w:right="996"/>
        <w:jc w:val="left"/>
        <w:rPr>
          <w:b w:val="0"/>
          <w:bCs w:val="0"/>
        </w:rPr>
      </w:pPr>
      <w:bookmarkStart w:name="4、其他持股在10%以上的法人股东" w:id="136"/>
      <w:bookmarkEnd w:id="136"/>
      <w:r>
        <w:rPr>
          <w:b w:val="0"/>
          <w:bCs w:val="0"/>
        </w:rPr>
      </w:r>
      <w:r>
        <w:rPr>
          <w:rFonts w:ascii="宋体" w:hAnsi="宋体" w:cs="宋体" w:eastAsia="宋体" w:hint="default"/>
        </w:rPr>
        <w:t>4</w:t>
      </w:r>
      <w:r>
        <w:rPr/>
        <w:t>、其他持股在</w:t>
      </w:r>
      <w:r>
        <w:rPr>
          <w:spacing w:val="-71"/>
        </w:rPr>
        <w:t> </w:t>
      </w:r>
      <w:r>
        <w:rPr>
          <w:rFonts w:ascii="宋体" w:hAnsi="宋体" w:cs="宋体" w:eastAsia="宋体" w:hint="default"/>
        </w:rPr>
        <w:t>10%</w:t>
      </w:r>
      <w:r>
        <w:rPr/>
        <w:t>以上的法人股东</w:t>
      </w:r>
      <w:r>
        <w:rPr>
          <w:b w:val="0"/>
          <w:bCs w:val="0"/>
        </w:rPr>
      </w:r>
    </w:p>
    <w:p>
      <w:pPr>
        <w:spacing w:line="350" w:lineRule="auto" w:before="145"/>
        <w:ind w:left="636" w:right="1633" w:hanging="3"/>
        <w:jc w:val="left"/>
        <w:rPr>
          <w:rFonts w:ascii="宋体" w:hAnsi="宋体" w:cs="宋体" w:eastAsia="宋体" w:hint="default"/>
          <w:sz w:val="24"/>
          <w:szCs w:val="24"/>
        </w:rPr>
      </w:pPr>
      <w:r>
        <w:rPr>
          <w:rFonts w:ascii="宋体" w:hAnsi="宋体" w:cs="宋体" w:eastAsia="宋体" w:hint="default"/>
          <w:sz w:val="24"/>
          <w:szCs w:val="24"/>
        </w:rPr>
        <w:t>□ 适用 √ 不适用 </w:t>
      </w:r>
      <w:bookmarkStart w:name="5、控股股东、实际控制人、重组方及其他承诺主体股份限制减持情况" w:id="137"/>
      <w:bookmarkEnd w:id="137"/>
      <w:r>
        <w:rPr>
          <w:rFonts w:ascii="宋体" w:hAnsi="宋体" w:cs="宋体" w:eastAsia="宋体" w:hint="default"/>
          <w:sz w:val="24"/>
          <w:szCs w:val="24"/>
        </w:rPr>
      </w:r>
      <w:r>
        <w:rPr>
          <w:rFonts w:ascii="宋体" w:hAnsi="宋体" w:cs="宋体" w:eastAsia="宋体" w:hint="default"/>
          <w:b/>
          <w:bCs/>
          <w:w w:val="95"/>
          <w:sz w:val="24"/>
          <w:szCs w:val="24"/>
        </w:rPr>
        <w:t>5</w:t>
      </w:r>
      <w:r>
        <w:rPr>
          <w:rFonts w:ascii="宋体" w:hAnsi="宋体" w:cs="宋体" w:eastAsia="宋体" w:hint="default"/>
          <w:b/>
          <w:bCs/>
          <w:w w:val="95"/>
          <w:sz w:val="24"/>
          <w:szCs w:val="24"/>
        </w:rPr>
        <w:t>、控股股东、实际控制人、重组方及其他承诺主体股份限制减持情况</w:t>
      </w:r>
      <w:r>
        <w:rPr>
          <w:rFonts w:ascii="宋体" w:hAnsi="宋体" w:cs="宋体" w:eastAsia="宋体" w:hint="default"/>
          <w:sz w:val="24"/>
          <w:szCs w:val="24"/>
        </w:rPr>
      </w:r>
    </w:p>
    <w:p>
      <w:pPr>
        <w:pStyle w:val="BodyText"/>
        <w:spacing w:line="240" w:lineRule="auto"/>
        <w:ind w:left="633" w:right="996"/>
        <w:jc w:val="left"/>
      </w:pPr>
      <w:r>
        <w:rPr/>
        <w:t>□ 适用 √ 不适用</w:t>
      </w:r>
    </w:p>
    <w:p>
      <w:pPr>
        <w:spacing w:after="0" w:line="240" w:lineRule="auto"/>
        <w:jc w:val="left"/>
        <w:sectPr>
          <w:pgSz w:w="11910" w:h="16840"/>
          <w:pgMar w:header="747" w:footer="979" w:top="1060" w:bottom="1160" w:left="980" w:right="0"/>
        </w:sectPr>
      </w:pPr>
    </w:p>
    <w:p>
      <w:pPr>
        <w:spacing w:line="240" w:lineRule="auto" w:before="12"/>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8"/>
          <w:szCs w:val="18"/>
        </w:rPr>
      </w:pPr>
    </w:p>
    <w:p>
      <w:pPr>
        <w:pStyle w:val="Heading1"/>
        <w:spacing w:line="240" w:lineRule="auto"/>
        <w:ind w:left="3286" w:right="996"/>
        <w:jc w:val="left"/>
        <w:rPr>
          <w:b w:val="0"/>
          <w:bCs w:val="0"/>
        </w:rPr>
      </w:pPr>
      <w:bookmarkStart w:name="第七节 优先股相关情况" w:id="138"/>
      <w:bookmarkEnd w:id="138"/>
      <w:r>
        <w:rPr>
          <w:b w:val="0"/>
          <w:bCs w:val="0"/>
        </w:rPr>
      </w:r>
      <w:bookmarkStart w:name="_bookmark7" w:id="139"/>
      <w:bookmarkEnd w:id="139"/>
      <w:r>
        <w:rPr>
          <w:b w:val="0"/>
          <w:bCs w:val="0"/>
        </w:rPr>
      </w:r>
      <w:r>
        <w:rPr/>
        <w:t>第七节</w:t>
      </w:r>
      <w:r>
        <w:rPr>
          <w:spacing w:val="-8"/>
        </w:rPr>
        <w:t> </w:t>
      </w:r>
      <w:r>
        <w:rPr/>
        <w:t>优先股相关情况</w:t>
      </w:r>
      <w:r>
        <w:rPr>
          <w:b w:val="0"/>
          <w:bCs w:val="0"/>
        </w:rPr>
      </w:r>
    </w:p>
    <w:p>
      <w:pPr>
        <w:spacing w:line="240" w:lineRule="auto" w:before="0"/>
        <w:rPr>
          <w:rFonts w:ascii="宋体" w:hAnsi="宋体" w:cs="宋体" w:eastAsia="宋体" w:hint="default"/>
          <w:b/>
          <w:bCs/>
          <w:sz w:val="32"/>
          <w:szCs w:val="32"/>
        </w:rPr>
      </w:pPr>
    </w:p>
    <w:p>
      <w:pPr>
        <w:pStyle w:val="BodyText"/>
        <w:spacing w:line="240" w:lineRule="auto" w:before="214"/>
        <w:ind w:left="633" w:right="996"/>
        <w:jc w:val="left"/>
      </w:pPr>
      <w:r>
        <w:rPr/>
        <w:t>报告期公司不存在优先股。</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3"/>
          <w:szCs w:val="23"/>
        </w:rPr>
      </w:pPr>
    </w:p>
    <w:p>
      <w:pPr>
        <w:pStyle w:val="Heading1"/>
        <w:spacing w:line="240" w:lineRule="auto"/>
        <w:ind w:left="1680" w:right="996"/>
        <w:jc w:val="left"/>
        <w:rPr>
          <w:b w:val="0"/>
          <w:bCs w:val="0"/>
        </w:rPr>
      </w:pPr>
      <w:bookmarkStart w:name="第八节 董事、监事、高级管理人员和员工情况" w:id="140"/>
      <w:bookmarkEnd w:id="140"/>
      <w:r>
        <w:rPr>
          <w:b w:val="0"/>
          <w:bCs w:val="0"/>
        </w:rPr>
      </w:r>
      <w:bookmarkStart w:name="_bookmark8" w:id="141"/>
      <w:bookmarkEnd w:id="141"/>
      <w:r>
        <w:rPr>
          <w:b w:val="0"/>
          <w:bCs w:val="0"/>
        </w:rPr>
      </w:r>
      <w:r>
        <w:rPr/>
        <w:t>第八节</w:t>
      </w:r>
      <w:r>
        <w:rPr>
          <w:spacing w:val="-17"/>
        </w:rPr>
        <w:t> </w:t>
      </w:r>
      <w:r>
        <w:rPr/>
        <w:t>董事、监事、高级管理人员和员工情况</w:t>
      </w:r>
      <w:r>
        <w:rPr>
          <w:b w:val="0"/>
          <w:bCs w:val="0"/>
        </w:rPr>
      </w:r>
    </w:p>
    <w:p>
      <w:pPr>
        <w:spacing w:line="240" w:lineRule="auto" w:before="8"/>
        <w:rPr>
          <w:rFonts w:ascii="宋体" w:hAnsi="宋体" w:cs="宋体" w:eastAsia="宋体" w:hint="default"/>
          <w:b/>
          <w:bCs/>
          <w:sz w:val="38"/>
          <w:szCs w:val="38"/>
        </w:rPr>
      </w:pPr>
    </w:p>
    <w:p>
      <w:pPr>
        <w:pStyle w:val="Heading2"/>
        <w:spacing w:line="240" w:lineRule="auto" w:before="0"/>
        <w:ind w:left="153" w:right="996"/>
        <w:jc w:val="left"/>
        <w:rPr>
          <w:b w:val="0"/>
          <w:bCs w:val="0"/>
        </w:rPr>
      </w:pPr>
      <w:bookmarkStart w:name="一、董事、监事和高级管理人员持股变动" w:id="142"/>
      <w:bookmarkEnd w:id="142"/>
      <w:r>
        <w:rPr>
          <w:b w:val="0"/>
          <w:bCs w:val="0"/>
        </w:rPr>
      </w:r>
      <w:r>
        <w:rPr/>
        <w:t>一、董事、监事和高级管理人员持股变动</w:t>
      </w:r>
      <w:r>
        <w:rPr>
          <w:b w:val="0"/>
          <w:bCs w:val="0"/>
        </w:rPr>
      </w:r>
    </w:p>
    <w:p>
      <w:pPr>
        <w:spacing w:line="240" w:lineRule="auto" w:before="11"/>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798"/>
        <w:gridCol w:w="904"/>
        <w:gridCol w:w="566"/>
        <w:gridCol w:w="284"/>
        <w:gridCol w:w="425"/>
        <w:gridCol w:w="993"/>
        <w:gridCol w:w="992"/>
        <w:gridCol w:w="1134"/>
        <w:gridCol w:w="708"/>
        <w:gridCol w:w="1134"/>
        <w:gridCol w:w="709"/>
        <w:gridCol w:w="1134"/>
      </w:tblGrid>
      <w:tr>
        <w:trPr>
          <w:trHeight w:val="1337"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0"/>
              <w:ind w:right="0"/>
              <w:jc w:val="left"/>
              <w:rPr>
                <w:rFonts w:ascii="宋体" w:hAnsi="宋体" w:cs="宋体" w:eastAsia="宋体" w:hint="default"/>
                <w:b/>
                <w:bCs/>
                <w:sz w:val="17"/>
                <w:szCs w:val="17"/>
              </w:rPr>
            </w:pPr>
          </w:p>
          <w:p>
            <w:pPr>
              <w:pStyle w:val="TableParagraph"/>
              <w:spacing w:line="240" w:lineRule="auto"/>
              <w:ind w:left="183"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9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0"/>
              <w:ind w:right="0"/>
              <w:jc w:val="left"/>
              <w:rPr>
                <w:rFonts w:ascii="宋体" w:hAnsi="宋体" w:cs="宋体" w:eastAsia="宋体" w:hint="default"/>
                <w:b/>
                <w:bCs/>
                <w:sz w:val="17"/>
                <w:szCs w:val="17"/>
              </w:rPr>
            </w:pPr>
          </w:p>
          <w:p>
            <w:pPr>
              <w:pStyle w:val="TableParagraph"/>
              <w:spacing w:line="240" w:lineRule="auto"/>
              <w:ind w:left="236" w:right="0"/>
              <w:jc w:val="left"/>
              <w:rPr>
                <w:rFonts w:ascii="宋体" w:hAnsi="宋体" w:cs="宋体" w:eastAsia="宋体" w:hint="default"/>
                <w:sz w:val="21"/>
                <w:szCs w:val="21"/>
              </w:rPr>
            </w:pPr>
            <w:r>
              <w:rPr>
                <w:rFonts w:ascii="宋体" w:hAnsi="宋体" w:cs="宋体" w:eastAsia="宋体" w:hint="default"/>
                <w:sz w:val="21"/>
                <w:szCs w:val="21"/>
              </w:rPr>
              <w:t>职务</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25"/>
                <w:szCs w:val="25"/>
              </w:rPr>
            </w:pPr>
          </w:p>
          <w:p>
            <w:pPr>
              <w:pStyle w:val="TableParagraph"/>
              <w:spacing w:line="273" w:lineRule="auto"/>
              <w:ind w:left="68" w:right="66"/>
              <w:jc w:val="left"/>
              <w:rPr>
                <w:rFonts w:ascii="宋体" w:hAnsi="宋体" w:cs="宋体" w:eastAsia="宋体" w:hint="default"/>
                <w:sz w:val="21"/>
                <w:szCs w:val="21"/>
              </w:rPr>
            </w:pPr>
            <w:r>
              <w:rPr>
                <w:rFonts w:ascii="宋体" w:hAnsi="宋体" w:cs="宋体" w:eastAsia="宋体" w:hint="default"/>
                <w:sz w:val="21"/>
                <w:szCs w:val="21"/>
              </w:rPr>
              <w:t>任职 状态</w:t>
            </w:r>
          </w:p>
        </w:tc>
        <w:tc>
          <w:tcPr>
            <w:tcW w:w="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25"/>
                <w:szCs w:val="25"/>
              </w:rPr>
            </w:pPr>
          </w:p>
          <w:p>
            <w:pPr>
              <w:pStyle w:val="TableParagraph"/>
              <w:spacing w:line="273" w:lineRule="auto"/>
              <w:ind w:left="31" w:right="31"/>
              <w:jc w:val="left"/>
              <w:rPr>
                <w:rFonts w:ascii="宋体" w:hAnsi="宋体" w:cs="宋体" w:eastAsia="宋体" w:hint="default"/>
                <w:sz w:val="21"/>
                <w:szCs w:val="21"/>
              </w:rPr>
            </w:pPr>
            <w:r>
              <w:rPr>
                <w:rFonts w:ascii="宋体" w:hAnsi="宋体" w:cs="宋体" w:eastAsia="宋体" w:hint="default"/>
                <w:sz w:val="21"/>
                <w:szCs w:val="21"/>
              </w:rPr>
              <w:t>性 别</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25"/>
                <w:szCs w:val="25"/>
              </w:rPr>
            </w:pPr>
          </w:p>
          <w:p>
            <w:pPr>
              <w:pStyle w:val="TableParagraph"/>
              <w:spacing w:line="273" w:lineRule="auto"/>
              <w:ind w:left="102" w:right="101"/>
              <w:jc w:val="left"/>
              <w:rPr>
                <w:rFonts w:ascii="宋体" w:hAnsi="宋体" w:cs="宋体" w:eastAsia="宋体" w:hint="default"/>
                <w:sz w:val="21"/>
                <w:szCs w:val="21"/>
              </w:rPr>
            </w:pPr>
            <w:r>
              <w:rPr>
                <w:rFonts w:ascii="宋体" w:hAnsi="宋体" w:cs="宋体" w:eastAsia="宋体" w:hint="default"/>
                <w:sz w:val="21"/>
                <w:szCs w:val="21"/>
              </w:rPr>
              <w:t>年 龄</w:t>
            </w:r>
          </w:p>
        </w:tc>
        <w:tc>
          <w:tcPr>
            <w:tcW w:w="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25"/>
                <w:szCs w:val="25"/>
              </w:rPr>
            </w:pPr>
          </w:p>
          <w:p>
            <w:pPr>
              <w:pStyle w:val="TableParagraph"/>
              <w:spacing w:line="273" w:lineRule="auto"/>
              <w:ind w:left="280" w:right="70" w:hanging="210"/>
              <w:jc w:val="left"/>
              <w:rPr>
                <w:rFonts w:ascii="宋体" w:hAnsi="宋体" w:cs="宋体" w:eastAsia="宋体" w:hint="default"/>
                <w:sz w:val="21"/>
                <w:szCs w:val="21"/>
              </w:rPr>
            </w:pPr>
            <w:r>
              <w:rPr>
                <w:rFonts w:ascii="宋体" w:hAnsi="宋体" w:cs="宋体" w:eastAsia="宋体" w:hint="default"/>
                <w:sz w:val="21"/>
                <w:szCs w:val="21"/>
              </w:rPr>
              <w:t>任期起始 日期</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25"/>
                <w:szCs w:val="25"/>
              </w:rPr>
            </w:pPr>
          </w:p>
          <w:p>
            <w:pPr>
              <w:pStyle w:val="TableParagraph"/>
              <w:spacing w:line="273" w:lineRule="auto"/>
              <w:ind w:left="280" w:right="71" w:hanging="210"/>
              <w:jc w:val="left"/>
              <w:rPr>
                <w:rFonts w:ascii="宋体" w:hAnsi="宋体" w:cs="宋体" w:eastAsia="宋体" w:hint="default"/>
                <w:sz w:val="21"/>
                <w:szCs w:val="21"/>
              </w:rPr>
            </w:pPr>
            <w:r>
              <w:rPr>
                <w:rFonts w:ascii="宋体" w:hAnsi="宋体" w:cs="宋体" w:eastAsia="宋体" w:hint="default"/>
                <w:sz w:val="21"/>
                <w:szCs w:val="21"/>
              </w:rPr>
              <w:t>任期终止 日期</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25"/>
                <w:szCs w:val="25"/>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期初持股数</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（股）</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auto" w:before="26"/>
              <w:ind w:left="33" w:right="32"/>
              <w:jc w:val="both"/>
              <w:rPr>
                <w:rFonts w:ascii="宋体" w:hAnsi="宋体" w:cs="宋体" w:eastAsia="宋体" w:hint="default"/>
                <w:sz w:val="21"/>
                <w:szCs w:val="21"/>
              </w:rPr>
            </w:pPr>
            <w:r>
              <w:rPr>
                <w:rFonts w:ascii="宋体" w:hAnsi="宋体" w:cs="宋体" w:eastAsia="宋体" w:hint="default"/>
                <w:sz w:val="21"/>
                <w:szCs w:val="21"/>
              </w:rPr>
              <w:t>本期增 持股份 数量</w:t>
            </w:r>
          </w:p>
          <w:p>
            <w:pPr>
              <w:pStyle w:val="TableParagraph"/>
              <w:spacing w:line="240" w:lineRule="auto" w:before="11"/>
              <w:ind w:left="33" w:right="0"/>
              <w:jc w:val="both"/>
              <w:rPr>
                <w:rFonts w:ascii="宋体" w:hAnsi="宋体" w:cs="宋体" w:eastAsia="宋体" w:hint="default"/>
                <w:sz w:val="21"/>
                <w:szCs w:val="21"/>
              </w:rPr>
            </w:pPr>
            <w:r>
              <w:rPr>
                <w:rFonts w:ascii="宋体" w:hAnsi="宋体" w:cs="宋体" w:eastAsia="宋体" w:hint="default"/>
                <w:sz w:val="21"/>
                <w:szCs w:val="21"/>
              </w:rPr>
              <w:t>（股）</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25"/>
                <w:szCs w:val="25"/>
              </w:rPr>
            </w:pPr>
          </w:p>
          <w:p>
            <w:pPr>
              <w:pStyle w:val="TableParagraph"/>
              <w:spacing w:line="273" w:lineRule="auto"/>
              <w:ind w:left="22" w:right="36" w:firstLine="13"/>
              <w:jc w:val="left"/>
              <w:rPr>
                <w:rFonts w:ascii="宋体" w:hAnsi="宋体" w:cs="宋体" w:eastAsia="宋体" w:hint="default"/>
                <w:sz w:val="21"/>
                <w:szCs w:val="21"/>
              </w:rPr>
            </w:pPr>
            <w:r>
              <w:rPr>
                <w:rFonts w:ascii="宋体" w:hAnsi="宋体" w:cs="宋体" w:eastAsia="宋体" w:hint="default"/>
                <w:sz w:val="21"/>
                <w:szCs w:val="21"/>
              </w:rPr>
              <w:t>本期减持股 </w:t>
            </w:r>
            <w:r>
              <w:rPr>
                <w:rFonts w:ascii="宋体" w:hAnsi="宋体" w:cs="宋体" w:eastAsia="宋体" w:hint="default"/>
                <w:spacing w:val="-16"/>
                <w:sz w:val="21"/>
                <w:szCs w:val="21"/>
              </w:rPr>
              <w:t>份数量（股</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0" w:lineRule="atLeast" w:before="147"/>
              <w:ind w:left="33" w:right="35"/>
              <w:jc w:val="left"/>
              <w:rPr>
                <w:rFonts w:ascii="宋体" w:hAnsi="宋体" w:cs="宋体" w:eastAsia="宋体" w:hint="default"/>
                <w:sz w:val="21"/>
                <w:szCs w:val="21"/>
              </w:rPr>
            </w:pPr>
            <w:r>
              <w:rPr>
                <w:rFonts w:ascii="宋体" w:hAnsi="宋体" w:cs="宋体" w:eastAsia="宋体" w:hint="default"/>
                <w:sz w:val="21"/>
                <w:szCs w:val="21"/>
              </w:rPr>
              <w:t>其他增 减变动</w:t>
            </w:r>
          </w:p>
          <w:p>
            <w:pPr>
              <w:pStyle w:val="TableParagraph"/>
              <w:spacing w:line="98" w:lineRule="exact"/>
              <w:ind w:left="-139" w:right="0"/>
              <w:jc w:val="left"/>
              <w:rPr>
                <w:rFonts w:ascii="宋体" w:hAnsi="宋体" w:cs="宋体" w:eastAsia="宋体" w:hint="default"/>
                <w:sz w:val="21"/>
                <w:szCs w:val="21"/>
              </w:rPr>
            </w:pPr>
            <w:r>
              <w:rPr>
                <w:rFonts w:ascii="宋体" w:hAnsi="宋体" w:cs="宋体" w:eastAsia="宋体" w:hint="default"/>
                <w:sz w:val="21"/>
                <w:szCs w:val="21"/>
              </w:rPr>
              <w:t>）</w:t>
            </w:r>
          </w:p>
          <w:p>
            <w:pPr>
              <w:pStyle w:val="TableParagraph"/>
              <w:spacing w:line="215" w:lineRule="exact"/>
              <w:ind w:left="33" w:right="0"/>
              <w:jc w:val="left"/>
              <w:rPr>
                <w:rFonts w:ascii="宋体" w:hAnsi="宋体" w:cs="宋体" w:eastAsia="宋体" w:hint="default"/>
                <w:sz w:val="21"/>
                <w:szCs w:val="21"/>
              </w:rPr>
            </w:pPr>
            <w:r>
              <w:rPr>
                <w:rFonts w:ascii="宋体" w:hAnsi="宋体" w:cs="宋体" w:eastAsia="宋体" w:hint="default"/>
                <w:sz w:val="21"/>
                <w:szCs w:val="21"/>
              </w:rPr>
              <w:t>（股）</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25"/>
                <w:szCs w:val="25"/>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期末持股数</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（股）</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李海鹰</w:t>
            </w:r>
          </w:p>
        </w:tc>
        <w:tc>
          <w:tcPr>
            <w:tcW w:w="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3"/>
                <w:szCs w:val="13"/>
              </w:rPr>
            </w:pPr>
          </w:p>
          <w:p>
            <w:pPr>
              <w:pStyle w:val="TableParagraph"/>
              <w:spacing w:line="240" w:lineRule="auto"/>
              <w:ind w:right="89"/>
              <w:jc w:val="center"/>
              <w:rPr>
                <w:rFonts w:ascii="宋体" w:hAnsi="宋体" w:cs="宋体" w:eastAsia="宋体" w:hint="default"/>
                <w:sz w:val="21"/>
                <w:szCs w:val="21"/>
              </w:rPr>
            </w:pPr>
            <w:r>
              <w:rPr>
                <w:rFonts w:ascii="宋体" w:hAnsi="宋体" w:cs="宋体" w:eastAsia="宋体" w:hint="default"/>
                <w:sz w:val="21"/>
                <w:szCs w:val="21"/>
              </w:rPr>
              <w:t>现任</w:t>
            </w:r>
          </w:p>
        </w:tc>
        <w:tc>
          <w:tcPr>
            <w:tcW w:w="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3"/>
                <w:szCs w:val="13"/>
              </w:rPr>
            </w:pPr>
          </w:p>
          <w:p>
            <w:pPr>
              <w:pStyle w:val="TableParagraph"/>
              <w:spacing w:line="240" w:lineRule="auto"/>
              <w:ind w:right="17"/>
              <w:jc w:val="center"/>
              <w:rPr>
                <w:rFonts w:ascii="宋体" w:hAnsi="宋体" w:cs="宋体" w:eastAsia="宋体" w:hint="default"/>
                <w:sz w:val="21"/>
                <w:szCs w:val="21"/>
              </w:rPr>
            </w:pPr>
            <w:r>
              <w:rPr>
                <w:rFonts w:ascii="宋体" w:hAnsi="宋体" w:cs="宋体" w:eastAsia="宋体" w:hint="default"/>
                <w:sz w:val="21"/>
                <w:szCs w:val="21"/>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3"/>
                <w:szCs w:val="13"/>
              </w:rPr>
            </w:pPr>
          </w:p>
          <w:p>
            <w:pPr>
              <w:pStyle w:val="TableParagraph"/>
              <w:spacing w:line="240" w:lineRule="auto"/>
              <w:ind w:right="20"/>
              <w:jc w:val="right"/>
              <w:rPr>
                <w:rFonts w:ascii="宋体" w:hAnsi="宋体" w:cs="宋体" w:eastAsia="宋体" w:hint="default"/>
                <w:sz w:val="21"/>
                <w:szCs w:val="21"/>
              </w:rPr>
            </w:pPr>
            <w:r>
              <w:rPr>
                <w:rFonts w:ascii="宋体"/>
                <w:sz w:val="21"/>
              </w:rPr>
              <w:t>51</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9"/>
                <w:sz w:val="21"/>
                <w:szCs w:val="21"/>
              </w:rPr>
              <w:t> </w:t>
            </w:r>
            <w:r>
              <w:rPr>
                <w:rFonts w:ascii="宋体" w:hAnsi="宋体" w:cs="宋体" w:eastAsia="宋体" w:hint="default"/>
                <w:sz w:val="21"/>
                <w:szCs w:val="21"/>
              </w:rPr>
              <w:t>02</w:t>
            </w:r>
          </w:p>
          <w:p>
            <w:pPr>
              <w:pStyle w:val="TableParagraph"/>
              <w:spacing w:line="240" w:lineRule="auto" w:before="37"/>
              <w:ind w:left="22"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09</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2020</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宋体" w:hAnsi="宋体" w:cs="宋体" w:eastAsia="宋体" w:hint="default"/>
                <w:sz w:val="21"/>
                <w:szCs w:val="21"/>
              </w:rPr>
              <w:t>02</w:t>
            </w:r>
          </w:p>
          <w:p>
            <w:pPr>
              <w:pStyle w:val="TableParagraph"/>
              <w:spacing w:line="240" w:lineRule="auto" w:before="37"/>
              <w:ind w:left="22"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09</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3"/>
                <w:szCs w:val="13"/>
              </w:rPr>
            </w:pPr>
          </w:p>
          <w:p>
            <w:pPr>
              <w:pStyle w:val="TableParagraph"/>
              <w:spacing w:line="240" w:lineRule="auto"/>
              <w:ind w:right="23"/>
              <w:jc w:val="right"/>
              <w:rPr>
                <w:rFonts w:ascii="宋体" w:hAnsi="宋体" w:cs="宋体" w:eastAsia="宋体" w:hint="default"/>
                <w:sz w:val="21"/>
                <w:szCs w:val="21"/>
              </w:rPr>
            </w:pPr>
            <w:r>
              <w:rPr>
                <w:rFonts w:ascii="宋体"/>
                <w:sz w:val="21"/>
              </w:rPr>
              <w:t>55,025,600</w:t>
            </w:r>
          </w:p>
        </w:tc>
        <w:tc>
          <w:tcPr>
            <w:tcW w:w="70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3"/>
                <w:szCs w:val="13"/>
              </w:rPr>
            </w:pPr>
          </w:p>
          <w:p>
            <w:pPr>
              <w:pStyle w:val="TableParagraph"/>
              <w:spacing w:line="240" w:lineRule="auto"/>
              <w:ind w:right="21"/>
              <w:jc w:val="right"/>
              <w:rPr>
                <w:rFonts w:ascii="宋体" w:hAnsi="宋体" w:cs="宋体" w:eastAsia="宋体" w:hint="default"/>
                <w:sz w:val="21"/>
                <w:szCs w:val="21"/>
              </w:rPr>
            </w:pPr>
            <w:r>
              <w:rPr>
                <w:rFonts w:ascii="宋体"/>
                <w:sz w:val="21"/>
              </w:rPr>
              <w:t>7,533,300</w:t>
            </w:r>
          </w:p>
        </w:tc>
        <w:tc>
          <w:tcPr>
            <w:tcW w:w="709"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3"/>
                <w:szCs w:val="13"/>
              </w:rPr>
            </w:pPr>
          </w:p>
          <w:p>
            <w:pPr>
              <w:pStyle w:val="TableParagraph"/>
              <w:spacing w:line="240" w:lineRule="auto"/>
              <w:ind w:right="23"/>
              <w:jc w:val="right"/>
              <w:rPr>
                <w:rFonts w:ascii="宋体" w:hAnsi="宋体" w:cs="宋体" w:eastAsia="宋体" w:hint="default"/>
                <w:sz w:val="21"/>
                <w:szCs w:val="21"/>
              </w:rPr>
            </w:pPr>
            <w:r>
              <w:rPr>
                <w:rFonts w:ascii="宋体"/>
                <w:sz w:val="21"/>
              </w:rPr>
              <w:t>47,492,300</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谢春生</w:t>
            </w:r>
          </w:p>
        </w:tc>
        <w:tc>
          <w:tcPr>
            <w:tcW w:w="90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7"/>
              <w:ind w:left="22" w:right="29"/>
              <w:jc w:val="left"/>
              <w:rPr>
                <w:rFonts w:ascii="宋体" w:hAnsi="宋体" w:cs="宋体" w:eastAsia="宋体" w:hint="default"/>
                <w:sz w:val="21"/>
                <w:szCs w:val="21"/>
              </w:rPr>
            </w:pPr>
            <w:r>
              <w:rPr>
                <w:rFonts w:ascii="宋体" w:hAnsi="宋体" w:cs="宋体" w:eastAsia="宋体" w:hint="default"/>
                <w:sz w:val="21"/>
                <w:szCs w:val="21"/>
              </w:rPr>
              <w:t>董事、总 经理</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3"/>
                <w:szCs w:val="13"/>
              </w:rPr>
            </w:pPr>
          </w:p>
          <w:p>
            <w:pPr>
              <w:pStyle w:val="TableParagraph"/>
              <w:spacing w:line="240" w:lineRule="auto"/>
              <w:ind w:right="89"/>
              <w:jc w:val="center"/>
              <w:rPr>
                <w:rFonts w:ascii="宋体" w:hAnsi="宋体" w:cs="宋体" w:eastAsia="宋体" w:hint="default"/>
                <w:sz w:val="21"/>
                <w:szCs w:val="21"/>
              </w:rPr>
            </w:pPr>
            <w:r>
              <w:rPr>
                <w:rFonts w:ascii="宋体" w:hAnsi="宋体" w:cs="宋体" w:eastAsia="宋体" w:hint="default"/>
                <w:sz w:val="21"/>
                <w:szCs w:val="21"/>
              </w:rPr>
              <w:t>现任</w:t>
            </w:r>
          </w:p>
        </w:tc>
        <w:tc>
          <w:tcPr>
            <w:tcW w:w="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3"/>
                <w:szCs w:val="13"/>
              </w:rPr>
            </w:pPr>
          </w:p>
          <w:p>
            <w:pPr>
              <w:pStyle w:val="TableParagraph"/>
              <w:spacing w:line="240" w:lineRule="auto"/>
              <w:ind w:right="17"/>
              <w:jc w:val="center"/>
              <w:rPr>
                <w:rFonts w:ascii="宋体" w:hAnsi="宋体" w:cs="宋体" w:eastAsia="宋体" w:hint="default"/>
                <w:sz w:val="21"/>
                <w:szCs w:val="21"/>
              </w:rPr>
            </w:pPr>
            <w:r>
              <w:rPr>
                <w:rFonts w:ascii="宋体" w:hAnsi="宋体" w:cs="宋体" w:eastAsia="宋体" w:hint="default"/>
                <w:sz w:val="21"/>
                <w:szCs w:val="21"/>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3"/>
                <w:szCs w:val="13"/>
              </w:rPr>
            </w:pPr>
          </w:p>
          <w:p>
            <w:pPr>
              <w:pStyle w:val="TableParagraph"/>
              <w:spacing w:line="240" w:lineRule="auto"/>
              <w:ind w:right="20"/>
              <w:jc w:val="right"/>
              <w:rPr>
                <w:rFonts w:ascii="宋体" w:hAnsi="宋体" w:cs="宋体" w:eastAsia="宋体" w:hint="default"/>
                <w:sz w:val="21"/>
                <w:szCs w:val="21"/>
              </w:rPr>
            </w:pPr>
            <w:r>
              <w:rPr>
                <w:rFonts w:ascii="宋体"/>
                <w:sz w:val="21"/>
              </w:rPr>
              <w:t>49</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9"/>
                <w:sz w:val="21"/>
                <w:szCs w:val="21"/>
              </w:rPr>
              <w:t> </w:t>
            </w:r>
            <w:r>
              <w:rPr>
                <w:rFonts w:ascii="宋体" w:hAnsi="宋体" w:cs="宋体" w:eastAsia="宋体" w:hint="default"/>
                <w:sz w:val="21"/>
                <w:szCs w:val="21"/>
              </w:rPr>
              <w:t>02</w:t>
            </w:r>
          </w:p>
          <w:p>
            <w:pPr>
              <w:pStyle w:val="TableParagraph"/>
              <w:spacing w:line="240" w:lineRule="auto" w:before="37"/>
              <w:ind w:left="22"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09</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2020</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宋体" w:hAnsi="宋体" w:cs="宋体" w:eastAsia="宋体" w:hint="default"/>
                <w:sz w:val="21"/>
                <w:szCs w:val="21"/>
              </w:rPr>
              <w:t>02</w:t>
            </w:r>
          </w:p>
          <w:p>
            <w:pPr>
              <w:pStyle w:val="TableParagraph"/>
              <w:spacing w:line="240" w:lineRule="auto" w:before="37"/>
              <w:ind w:left="22"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09</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3"/>
                <w:szCs w:val="13"/>
              </w:rPr>
            </w:pPr>
          </w:p>
          <w:p>
            <w:pPr>
              <w:pStyle w:val="TableParagraph"/>
              <w:spacing w:line="240" w:lineRule="auto"/>
              <w:ind w:right="23"/>
              <w:jc w:val="right"/>
              <w:rPr>
                <w:rFonts w:ascii="宋体" w:hAnsi="宋体" w:cs="宋体" w:eastAsia="宋体" w:hint="default"/>
                <w:sz w:val="21"/>
                <w:szCs w:val="21"/>
              </w:rPr>
            </w:pPr>
            <w:r>
              <w:rPr>
                <w:rFonts w:ascii="宋体"/>
                <w:sz w:val="21"/>
              </w:rPr>
              <w:t>22,168,000</w:t>
            </w:r>
          </w:p>
        </w:tc>
        <w:tc>
          <w:tcPr>
            <w:tcW w:w="70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3"/>
                <w:szCs w:val="13"/>
              </w:rPr>
            </w:pPr>
          </w:p>
          <w:p>
            <w:pPr>
              <w:pStyle w:val="TableParagraph"/>
              <w:spacing w:line="240" w:lineRule="auto"/>
              <w:ind w:right="23"/>
              <w:jc w:val="right"/>
              <w:rPr>
                <w:rFonts w:ascii="宋体" w:hAnsi="宋体" w:cs="宋体" w:eastAsia="宋体" w:hint="default"/>
                <w:sz w:val="21"/>
                <w:szCs w:val="21"/>
              </w:rPr>
            </w:pPr>
            <w:r>
              <w:rPr>
                <w:rFonts w:ascii="宋体"/>
                <w:sz w:val="21"/>
              </w:rPr>
              <w:t>22,168,000</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郑建彪</w:t>
            </w:r>
          </w:p>
        </w:tc>
        <w:tc>
          <w:tcPr>
            <w:tcW w:w="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3"/>
                <w:szCs w:val="13"/>
              </w:rPr>
            </w:pPr>
          </w:p>
          <w:p>
            <w:pPr>
              <w:pStyle w:val="TableParagraph"/>
              <w:spacing w:line="240" w:lineRule="auto"/>
              <w:ind w:right="89"/>
              <w:jc w:val="center"/>
              <w:rPr>
                <w:rFonts w:ascii="宋体" w:hAnsi="宋体" w:cs="宋体" w:eastAsia="宋体" w:hint="default"/>
                <w:sz w:val="21"/>
                <w:szCs w:val="21"/>
              </w:rPr>
            </w:pPr>
            <w:r>
              <w:rPr>
                <w:rFonts w:ascii="宋体" w:hAnsi="宋体" w:cs="宋体" w:eastAsia="宋体" w:hint="default"/>
                <w:sz w:val="21"/>
                <w:szCs w:val="21"/>
              </w:rPr>
              <w:t>现任</w:t>
            </w:r>
          </w:p>
        </w:tc>
        <w:tc>
          <w:tcPr>
            <w:tcW w:w="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3"/>
                <w:szCs w:val="13"/>
              </w:rPr>
            </w:pPr>
          </w:p>
          <w:p>
            <w:pPr>
              <w:pStyle w:val="TableParagraph"/>
              <w:spacing w:line="240" w:lineRule="auto"/>
              <w:ind w:right="17"/>
              <w:jc w:val="center"/>
              <w:rPr>
                <w:rFonts w:ascii="宋体" w:hAnsi="宋体" w:cs="宋体" w:eastAsia="宋体" w:hint="default"/>
                <w:sz w:val="21"/>
                <w:szCs w:val="21"/>
              </w:rPr>
            </w:pPr>
            <w:r>
              <w:rPr>
                <w:rFonts w:ascii="宋体" w:hAnsi="宋体" w:cs="宋体" w:eastAsia="宋体" w:hint="default"/>
                <w:sz w:val="21"/>
                <w:szCs w:val="21"/>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3"/>
                <w:szCs w:val="13"/>
              </w:rPr>
            </w:pPr>
          </w:p>
          <w:p>
            <w:pPr>
              <w:pStyle w:val="TableParagraph"/>
              <w:spacing w:line="240" w:lineRule="auto"/>
              <w:ind w:right="20"/>
              <w:jc w:val="right"/>
              <w:rPr>
                <w:rFonts w:ascii="宋体" w:hAnsi="宋体" w:cs="宋体" w:eastAsia="宋体" w:hint="default"/>
                <w:sz w:val="21"/>
                <w:szCs w:val="21"/>
              </w:rPr>
            </w:pPr>
            <w:r>
              <w:rPr>
                <w:rFonts w:ascii="宋体"/>
                <w:sz w:val="21"/>
              </w:rPr>
              <w:t>54</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9"/>
                <w:sz w:val="21"/>
                <w:szCs w:val="21"/>
              </w:rPr>
              <w:t> </w:t>
            </w:r>
            <w:r>
              <w:rPr>
                <w:rFonts w:ascii="宋体" w:hAnsi="宋体" w:cs="宋体" w:eastAsia="宋体" w:hint="default"/>
                <w:sz w:val="21"/>
                <w:szCs w:val="21"/>
              </w:rPr>
              <w:t>02</w:t>
            </w:r>
          </w:p>
          <w:p>
            <w:pPr>
              <w:pStyle w:val="TableParagraph"/>
              <w:spacing w:line="240" w:lineRule="auto" w:before="37"/>
              <w:ind w:left="22"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09</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2020</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宋体" w:hAnsi="宋体" w:cs="宋体" w:eastAsia="宋体" w:hint="default"/>
                <w:sz w:val="21"/>
                <w:szCs w:val="21"/>
              </w:rPr>
              <w:t>02</w:t>
            </w:r>
          </w:p>
          <w:p>
            <w:pPr>
              <w:pStyle w:val="TableParagraph"/>
              <w:spacing w:line="240" w:lineRule="auto" w:before="37"/>
              <w:ind w:left="22"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09</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13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康斌生</w:t>
            </w:r>
          </w:p>
        </w:tc>
        <w:tc>
          <w:tcPr>
            <w:tcW w:w="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3"/>
                <w:szCs w:val="13"/>
              </w:rPr>
            </w:pPr>
          </w:p>
          <w:p>
            <w:pPr>
              <w:pStyle w:val="TableParagraph"/>
              <w:spacing w:line="240" w:lineRule="auto"/>
              <w:ind w:right="89"/>
              <w:jc w:val="center"/>
              <w:rPr>
                <w:rFonts w:ascii="宋体" w:hAnsi="宋体" w:cs="宋体" w:eastAsia="宋体" w:hint="default"/>
                <w:sz w:val="21"/>
                <w:szCs w:val="21"/>
              </w:rPr>
            </w:pPr>
            <w:r>
              <w:rPr>
                <w:rFonts w:ascii="宋体" w:hAnsi="宋体" w:cs="宋体" w:eastAsia="宋体" w:hint="default"/>
                <w:sz w:val="21"/>
                <w:szCs w:val="21"/>
              </w:rPr>
              <w:t>现任</w:t>
            </w:r>
          </w:p>
        </w:tc>
        <w:tc>
          <w:tcPr>
            <w:tcW w:w="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3"/>
                <w:szCs w:val="13"/>
              </w:rPr>
            </w:pPr>
          </w:p>
          <w:p>
            <w:pPr>
              <w:pStyle w:val="TableParagraph"/>
              <w:spacing w:line="240" w:lineRule="auto"/>
              <w:ind w:right="17"/>
              <w:jc w:val="center"/>
              <w:rPr>
                <w:rFonts w:ascii="宋体" w:hAnsi="宋体" w:cs="宋体" w:eastAsia="宋体" w:hint="default"/>
                <w:sz w:val="21"/>
                <w:szCs w:val="21"/>
              </w:rPr>
            </w:pPr>
            <w:r>
              <w:rPr>
                <w:rFonts w:ascii="宋体" w:hAnsi="宋体" w:cs="宋体" w:eastAsia="宋体" w:hint="default"/>
                <w:sz w:val="21"/>
                <w:szCs w:val="21"/>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3"/>
                <w:szCs w:val="13"/>
              </w:rPr>
            </w:pPr>
          </w:p>
          <w:p>
            <w:pPr>
              <w:pStyle w:val="TableParagraph"/>
              <w:spacing w:line="240" w:lineRule="auto"/>
              <w:ind w:right="20"/>
              <w:jc w:val="right"/>
              <w:rPr>
                <w:rFonts w:ascii="宋体" w:hAnsi="宋体" w:cs="宋体" w:eastAsia="宋体" w:hint="default"/>
                <w:sz w:val="21"/>
                <w:szCs w:val="21"/>
              </w:rPr>
            </w:pPr>
            <w:r>
              <w:rPr>
                <w:rFonts w:ascii="宋体"/>
                <w:sz w:val="21"/>
              </w:rPr>
              <w:t>51</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9"/>
                <w:sz w:val="21"/>
                <w:szCs w:val="21"/>
              </w:rPr>
              <w:t> </w:t>
            </w:r>
            <w:r>
              <w:rPr>
                <w:rFonts w:ascii="宋体" w:hAnsi="宋体" w:cs="宋体" w:eastAsia="宋体" w:hint="default"/>
                <w:sz w:val="21"/>
                <w:szCs w:val="21"/>
              </w:rPr>
              <w:t>02</w:t>
            </w:r>
          </w:p>
          <w:p>
            <w:pPr>
              <w:pStyle w:val="TableParagraph"/>
              <w:spacing w:line="240" w:lineRule="auto" w:before="37"/>
              <w:ind w:left="22"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09</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2020</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宋体" w:hAnsi="宋体" w:cs="宋体" w:eastAsia="宋体" w:hint="default"/>
                <w:sz w:val="21"/>
                <w:szCs w:val="21"/>
              </w:rPr>
              <w:t>02</w:t>
            </w:r>
          </w:p>
          <w:p>
            <w:pPr>
              <w:pStyle w:val="TableParagraph"/>
              <w:spacing w:line="240" w:lineRule="auto" w:before="37"/>
              <w:ind w:left="22"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09</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13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张宇锋</w:t>
            </w:r>
          </w:p>
        </w:tc>
        <w:tc>
          <w:tcPr>
            <w:tcW w:w="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3"/>
                <w:szCs w:val="13"/>
              </w:rPr>
            </w:pPr>
          </w:p>
          <w:p>
            <w:pPr>
              <w:pStyle w:val="TableParagraph"/>
              <w:spacing w:line="240" w:lineRule="auto"/>
              <w:ind w:right="89"/>
              <w:jc w:val="center"/>
              <w:rPr>
                <w:rFonts w:ascii="宋体" w:hAnsi="宋体" w:cs="宋体" w:eastAsia="宋体" w:hint="default"/>
                <w:sz w:val="21"/>
                <w:szCs w:val="21"/>
              </w:rPr>
            </w:pPr>
            <w:r>
              <w:rPr>
                <w:rFonts w:ascii="宋体" w:hAnsi="宋体" w:cs="宋体" w:eastAsia="宋体" w:hint="default"/>
                <w:sz w:val="21"/>
                <w:szCs w:val="21"/>
              </w:rPr>
              <w:t>现任</w:t>
            </w:r>
          </w:p>
        </w:tc>
        <w:tc>
          <w:tcPr>
            <w:tcW w:w="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3"/>
                <w:szCs w:val="13"/>
              </w:rPr>
            </w:pPr>
          </w:p>
          <w:p>
            <w:pPr>
              <w:pStyle w:val="TableParagraph"/>
              <w:spacing w:line="240" w:lineRule="auto"/>
              <w:ind w:right="17"/>
              <w:jc w:val="center"/>
              <w:rPr>
                <w:rFonts w:ascii="宋体" w:hAnsi="宋体" w:cs="宋体" w:eastAsia="宋体" w:hint="default"/>
                <w:sz w:val="21"/>
                <w:szCs w:val="21"/>
              </w:rPr>
            </w:pPr>
            <w:r>
              <w:rPr>
                <w:rFonts w:ascii="宋体" w:hAnsi="宋体" w:cs="宋体" w:eastAsia="宋体" w:hint="default"/>
                <w:sz w:val="21"/>
                <w:szCs w:val="21"/>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3"/>
                <w:szCs w:val="13"/>
              </w:rPr>
            </w:pPr>
          </w:p>
          <w:p>
            <w:pPr>
              <w:pStyle w:val="TableParagraph"/>
              <w:spacing w:line="240" w:lineRule="auto"/>
              <w:ind w:right="20"/>
              <w:jc w:val="right"/>
              <w:rPr>
                <w:rFonts w:ascii="宋体" w:hAnsi="宋体" w:cs="宋体" w:eastAsia="宋体" w:hint="default"/>
                <w:sz w:val="21"/>
                <w:szCs w:val="21"/>
              </w:rPr>
            </w:pPr>
            <w:r>
              <w:rPr>
                <w:rFonts w:ascii="宋体"/>
                <w:sz w:val="21"/>
              </w:rPr>
              <w:t>55</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9"/>
                <w:sz w:val="21"/>
                <w:szCs w:val="21"/>
              </w:rPr>
              <w:t> </w:t>
            </w:r>
            <w:r>
              <w:rPr>
                <w:rFonts w:ascii="宋体" w:hAnsi="宋体" w:cs="宋体" w:eastAsia="宋体" w:hint="default"/>
                <w:sz w:val="21"/>
                <w:szCs w:val="21"/>
              </w:rPr>
              <w:t>02</w:t>
            </w:r>
          </w:p>
          <w:p>
            <w:pPr>
              <w:pStyle w:val="TableParagraph"/>
              <w:spacing w:line="240" w:lineRule="auto" w:before="37"/>
              <w:ind w:left="22"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09</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2020</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宋体" w:hAnsi="宋体" w:cs="宋体" w:eastAsia="宋体" w:hint="default"/>
                <w:sz w:val="21"/>
                <w:szCs w:val="21"/>
              </w:rPr>
              <w:t>02</w:t>
            </w:r>
          </w:p>
          <w:p>
            <w:pPr>
              <w:pStyle w:val="TableParagraph"/>
              <w:spacing w:line="240" w:lineRule="auto" w:before="37"/>
              <w:ind w:left="22"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09</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13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14"/>
                <w:szCs w:val="14"/>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郭治国</w:t>
            </w:r>
          </w:p>
        </w:tc>
        <w:tc>
          <w:tcPr>
            <w:tcW w:w="90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7"/>
              <w:ind w:left="22" w:right="29"/>
              <w:jc w:val="left"/>
              <w:rPr>
                <w:rFonts w:ascii="宋体" w:hAnsi="宋体" w:cs="宋体" w:eastAsia="宋体" w:hint="default"/>
                <w:sz w:val="21"/>
                <w:szCs w:val="21"/>
              </w:rPr>
            </w:pPr>
            <w:r>
              <w:rPr>
                <w:rFonts w:ascii="宋体" w:hAnsi="宋体" w:cs="宋体" w:eastAsia="宋体" w:hint="default"/>
                <w:sz w:val="21"/>
                <w:szCs w:val="21"/>
              </w:rPr>
              <w:t>监事会主 席</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14"/>
                <w:szCs w:val="14"/>
              </w:rPr>
            </w:pPr>
          </w:p>
          <w:p>
            <w:pPr>
              <w:pStyle w:val="TableParagraph"/>
              <w:spacing w:line="240" w:lineRule="auto"/>
              <w:ind w:right="89"/>
              <w:jc w:val="center"/>
              <w:rPr>
                <w:rFonts w:ascii="宋体" w:hAnsi="宋体" w:cs="宋体" w:eastAsia="宋体" w:hint="default"/>
                <w:sz w:val="21"/>
                <w:szCs w:val="21"/>
              </w:rPr>
            </w:pPr>
            <w:r>
              <w:rPr>
                <w:rFonts w:ascii="宋体" w:hAnsi="宋体" w:cs="宋体" w:eastAsia="宋体" w:hint="default"/>
                <w:sz w:val="21"/>
                <w:szCs w:val="21"/>
              </w:rPr>
              <w:t>现任</w:t>
            </w:r>
          </w:p>
        </w:tc>
        <w:tc>
          <w:tcPr>
            <w:tcW w:w="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14"/>
                <w:szCs w:val="14"/>
              </w:rPr>
            </w:pPr>
          </w:p>
          <w:p>
            <w:pPr>
              <w:pStyle w:val="TableParagraph"/>
              <w:spacing w:line="240" w:lineRule="auto"/>
              <w:ind w:right="17"/>
              <w:jc w:val="center"/>
              <w:rPr>
                <w:rFonts w:ascii="宋体" w:hAnsi="宋体" w:cs="宋体" w:eastAsia="宋体" w:hint="default"/>
                <w:sz w:val="21"/>
                <w:szCs w:val="21"/>
              </w:rPr>
            </w:pPr>
            <w:r>
              <w:rPr>
                <w:rFonts w:ascii="宋体" w:hAnsi="宋体" w:cs="宋体" w:eastAsia="宋体" w:hint="default"/>
                <w:sz w:val="21"/>
                <w:szCs w:val="21"/>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14"/>
                <w:szCs w:val="14"/>
              </w:rPr>
            </w:pPr>
          </w:p>
          <w:p>
            <w:pPr>
              <w:pStyle w:val="TableParagraph"/>
              <w:spacing w:line="240" w:lineRule="auto"/>
              <w:ind w:right="20"/>
              <w:jc w:val="right"/>
              <w:rPr>
                <w:rFonts w:ascii="宋体" w:hAnsi="宋体" w:cs="宋体" w:eastAsia="宋体" w:hint="default"/>
                <w:sz w:val="21"/>
                <w:szCs w:val="21"/>
              </w:rPr>
            </w:pPr>
            <w:r>
              <w:rPr>
                <w:rFonts w:ascii="宋体"/>
                <w:sz w:val="21"/>
              </w:rPr>
              <w:t>41</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9"/>
                <w:sz w:val="21"/>
                <w:szCs w:val="21"/>
              </w:rPr>
              <w:t> </w:t>
            </w:r>
            <w:r>
              <w:rPr>
                <w:rFonts w:ascii="宋体" w:hAnsi="宋体" w:cs="宋体" w:eastAsia="宋体" w:hint="default"/>
                <w:sz w:val="21"/>
                <w:szCs w:val="21"/>
              </w:rPr>
              <w:t>02</w:t>
            </w:r>
          </w:p>
          <w:p>
            <w:pPr>
              <w:pStyle w:val="TableParagraph"/>
              <w:spacing w:line="240" w:lineRule="auto" w:before="37"/>
              <w:ind w:left="22"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09</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2020</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宋体" w:hAnsi="宋体" w:cs="宋体" w:eastAsia="宋体" w:hint="default"/>
                <w:sz w:val="21"/>
                <w:szCs w:val="21"/>
              </w:rPr>
              <w:t>02</w:t>
            </w:r>
          </w:p>
          <w:p>
            <w:pPr>
              <w:pStyle w:val="TableParagraph"/>
              <w:spacing w:line="240" w:lineRule="auto" w:before="37"/>
              <w:ind w:left="22"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09</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14"/>
                <w:szCs w:val="14"/>
              </w:rPr>
            </w:pPr>
          </w:p>
          <w:p>
            <w:pPr>
              <w:pStyle w:val="TableParagraph"/>
              <w:spacing w:line="240" w:lineRule="auto"/>
              <w:ind w:right="23"/>
              <w:jc w:val="right"/>
              <w:rPr>
                <w:rFonts w:ascii="宋体" w:hAnsi="宋体" w:cs="宋体" w:eastAsia="宋体" w:hint="default"/>
                <w:sz w:val="21"/>
                <w:szCs w:val="21"/>
              </w:rPr>
            </w:pPr>
            <w:r>
              <w:rPr>
                <w:rFonts w:ascii="宋体"/>
                <w:sz w:val="21"/>
              </w:rPr>
              <w:t>34,626</w:t>
            </w:r>
          </w:p>
        </w:tc>
        <w:tc>
          <w:tcPr>
            <w:tcW w:w="70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14"/>
                <w:szCs w:val="14"/>
              </w:rPr>
            </w:pPr>
          </w:p>
          <w:p>
            <w:pPr>
              <w:pStyle w:val="TableParagraph"/>
              <w:spacing w:line="240" w:lineRule="auto"/>
              <w:ind w:right="23"/>
              <w:jc w:val="right"/>
              <w:rPr>
                <w:rFonts w:ascii="宋体" w:hAnsi="宋体" w:cs="宋体" w:eastAsia="宋体" w:hint="default"/>
                <w:sz w:val="21"/>
                <w:szCs w:val="21"/>
              </w:rPr>
            </w:pPr>
            <w:r>
              <w:rPr>
                <w:rFonts w:ascii="宋体"/>
                <w:sz w:val="21"/>
              </w:rPr>
              <w:t>34,626</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黄继军</w:t>
            </w:r>
          </w:p>
        </w:tc>
        <w:tc>
          <w:tcPr>
            <w:tcW w:w="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职工监事</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3"/>
                <w:szCs w:val="13"/>
              </w:rPr>
            </w:pPr>
          </w:p>
          <w:p>
            <w:pPr>
              <w:pStyle w:val="TableParagraph"/>
              <w:spacing w:line="240" w:lineRule="auto"/>
              <w:ind w:right="89"/>
              <w:jc w:val="center"/>
              <w:rPr>
                <w:rFonts w:ascii="宋体" w:hAnsi="宋体" w:cs="宋体" w:eastAsia="宋体" w:hint="default"/>
                <w:sz w:val="21"/>
                <w:szCs w:val="21"/>
              </w:rPr>
            </w:pPr>
            <w:r>
              <w:rPr>
                <w:rFonts w:ascii="宋体" w:hAnsi="宋体" w:cs="宋体" w:eastAsia="宋体" w:hint="default"/>
                <w:sz w:val="21"/>
                <w:szCs w:val="21"/>
              </w:rPr>
              <w:t>现任</w:t>
            </w:r>
          </w:p>
        </w:tc>
        <w:tc>
          <w:tcPr>
            <w:tcW w:w="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3"/>
                <w:szCs w:val="13"/>
              </w:rPr>
            </w:pPr>
          </w:p>
          <w:p>
            <w:pPr>
              <w:pStyle w:val="TableParagraph"/>
              <w:spacing w:line="240" w:lineRule="auto"/>
              <w:ind w:right="17"/>
              <w:jc w:val="center"/>
              <w:rPr>
                <w:rFonts w:ascii="宋体" w:hAnsi="宋体" w:cs="宋体" w:eastAsia="宋体" w:hint="default"/>
                <w:sz w:val="21"/>
                <w:szCs w:val="21"/>
              </w:rPr>
            </w:pPr>
            <w:r>
              <w:rPr>
                <w:rFonts w:ascii="宋体" w:hAnsi="宋体" w:cs="宋体" w:eastAsia="宋体" w:hint="default"/>
                <w:sz w:val="21"/>
                <w:szCs w:val="21"/>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3"/>
                <w:szCs w:val="13"/>
              </w:rPr>
            </w:pPr>
          </w:p>
          <w:p>
            <w:pPr>
              <w:pStyle w:val="TableParagraph"/>
              <w:spacing w:line="240" w:lineRule="auto"/>
              <w:ind w:right="20"/>
              <w:jc w:val="right"/>
              <w:rPr>
                <w:rFonts w:ascii="宋体" w:hAnsi="宋体" w:cs="宋体" w:eastAsia="宋体" w:hint="default"/>
                <w:sz w:val="21"/>
                <w:szCs w:val="21"/>
              </w:rPr>
            </w:pPr>
            <w:r>
              <w:rPr>
                <w:rFonts w:ascii="宋体"/>
                <w:sz w:val="21"/>
              </w:rPr>
              <w:t>48</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9"/>
                <w:sz w:val="21"/>
                <w:szCs w:val="21"/>
              </w:rPr>
              <w:t> </w:t>
            </w:r>
            <w:r>
              <w:rPr>
                <w:rFonts w:ascii="宋体" w:hAnsi="宋体" w:cs="宋体" w:eastAsia="宋体" w:hint="default"/>
                <w:sz w:val="21"/>
                <w:szCs w:val="21"/>
              </w:rPr>
              <w:t>02</w:t>
            </w:r>
          </w:p>
          <w:p>
            <w:pPr>
              <w:pStyle w:val="TableParagraph"/>
              <w:spacing w:line="240" w:lineRule="auto" w:before="37"/>
              <w:ind w:left="22"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09</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2020</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宋体" w:hAnsi="宋体" w:cs="宋体" w:eastAsia="宋体" w:hint="default"/>
                <w:sz w:val="21"/>
                <w:szCs w:val="21"/>
              </w:rPr>
              <w:t>02</w:t>
            </w:r>
          </w:p>
          <w:p>
            <w:pPr>
              <w:pStyle w:val="TableParagraph"/>
              <w:spacing w:line="240" w:lineRule="auto" w:before="37"/>
              <w:ind w:left="22"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09</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3"/>
                <w:szCs w:val="13"/>
              </w:rPr>
            </w:pPr>
          </w:p>
          <w:p>
            <w:pPr>
              <w:pStyle w:val="TableParagraph"/>
              <w:spacing w:line="240" w:lineRule="auto"/>
              <w:ind w:right="21"/>
              <w:jc w:val="right"/>
              <w:rPr>
                <w:rFonts w:ascii="宋体" w:hAnsi="宋体" w:cs="宋体" w:eastAsia="宋体" w:hint="default"/>
                <w:sz w:val="21"/>
                <w:szCs w:val="21"/>
              </w:rPr>
            </w:pPr>
            <w:r>
              <w:rPr>
                <w:rFonts w:ascii="宋体"/>
                <w:sz w:val="21"/>
              </w:rPr>
              <w:t>357,967</w:t>
            </w:r>
          </w:p>
        </w:tc>
        <w:tc>
          <w:tcPr>
            <w:tcW w:w="70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3"/>
                <w:szCs w:val="13"/>
              </w:rPr>
            </w:pPr>
          </w:p>
          <w:p>
            <w:pPr>
              <w:pStyle w:val="TableParagraph"/>
              <w:spacing w:line="240" w:lineRule="auto"/>
              <w:ind w:right="21"/>
              <w:jc w:val="right"/>
              <w:rPr>
                <w:rFonts w:ascii="宋体" w:hAnsi="宋体" w:cs="宋体" w:eastAsia="宋体" w:hint="default"/>
                <w:sz w:val="21"/>
                <w:szCs w:val="21"/>
              </w:rPr>
            </w:pPr>
            <w:r>
              <w:rPr>
                <w:rFonts w:ascii="宋体"/>
                <w:sz w:val="21"/>
              </w:rPr>
              <w:t>357,967</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郝恩元</w:t>
            </w:r>
          </w:p>
        </w:tc>
        <w:tc>
          <w:tcPr>
            <w:tcW w:w="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职工监事</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3"/>
                <w:szCs w:val="13"/>
              </w:rPr>
            </w:pPr>
          </w:p>
          <w:p>
            <w:pPr>
              <w:pStyle w:val="TableParagraph"/>
              <w:spacing w:line="240" w:lineRule="auto"/>
              <w:ind w:right="89"/>
              <w:jc w:val="center"/>
              <w:rPr>
                <w:rFonts w:ascii="宋体" w:hAnsi="宋体" w:cs="宋体" w:eastAsia="宋体" w:hint="default"/>
                <w:sz w:val="21"/>
                <w:szCs w:val="21"/>
              </w:rPr>
            </w:pPr>
            <w:r>
              <w:rPr>
                <w:rFonts w:ascii="宋体" w:hAnsi="宋体" w:cs="宋体" w:eastAsia="宋体" w:hint="default"/>
                <w:sz w:val="21"/>
                <w:szCs w:val="21"/>
              </w:rPr>
              <w:t>现任</w:t>
            </w:r>
          </w:p>
        </w:tc>
        <w:tc>
          <w:tcPr>
            <w:tcW w:w="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3"/>
                <w:szCs w:val="13"/>
              </w:rPr>
            </w:pPr>
          </w:p>
          <w:p>
            <w:pPr>
              <w:pStyle w:val="TableParagraph"/>
              <w:spacing w:line="240" w:lineRule="auto"/>
              <w:ind w:right="17"/>
              <w:jc w:val="center"/>
              <w:rPr>
                <w:rFonts w:ascii="宋体" w:hAnsi="宋体" w:cs="宋体" w:eastAsia="宋体" w:hint="default"/>
                <w:sz w:val="21"/>
                <w:szCs w:val="21"/>
              </w:rPr>
            </w:pPr>
            <w:r>
              <w:rPr>
                <w:rFonts w:ascii="宋体" w:hAnsi="宋体" w:cs="宋体" w:eastAsia="宋体" w:hint="default"/>
                <w:sz w:val="21"/>
                <w:szCs w:val="21"/>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3"/>
                <w:szCs w:val="13"/>
              </w:rPr>
            </w:pPr>
          </w:p>
          <w:p>
            <w:pPr>
              <w:pStyle w:val="TableParagraph"/>
              <w:spacing w:line="240" w:lineRule="auto"/>
              <w:ind w:right="20"/>
              <w:jc w:val="right"/>
              <w:rPr>
                <w:rFonts w:ascii="宋体" w:hAnsi="宋体" w:cs="宋体" w:eastAsia="宋体" w:hint="default"/>
                <w:sz w:val="21"/>
                <w:szCs w:val="21"/>
              </w:rPr>
            </w:pPr>
            <w:r>
              <w:rPr>
                <w:rFonts w:ascii="宋体"/>
                <w:sz w:val="21"/>
              </w:rPr>
              <w:t>42</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9"/>
                <w:sz w:val="21"/>
                <w:szCs w:val="21"/>
              </w:rPr>
              <w:t> </w:t>
            </w:r>
            <w:r>
              <w:rPr>
                <w:rFonts w:ascii="宋体" w:hAnsi="宋体" w:cs="宋体" w:eastAsia="宋体" w:hint="default"/>
                <w:sz w:val="21"/>
                <w:szCs w:val="21"/>
              </w:rPr>
              <w:t>02</w:t>
            </w:r>
          </w:p>
          <w:p>
            <w:pPr>
              <w:pStyle w:val="TableParagraph"/>
              <w:spacing w:line="240" w:lineRule="auto" w:before="37"/>
              <w:ind w:left="22"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09</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2020</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宋体" w:hAnsi="宋体" w:cs="宋体" w:eastAsia="宋体" w:hint="default"/>
                <w:sz w:val="21"/>
                <w:szCs w:val="21"/>
              </w:rPr>
              <w:t>02</w:t>
            </w:r>
          </w:p>
          <w:p>
            <w:pPr>
              <w:pStyle w:val="TableParagraph"/>
              <w:spacing w:line="240" w:lineRule="auto" w:before="37"/>
              <w:ind w:left="22"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09</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3"/>
                <w:szCs w:val="13"/>
              </w:rPr>
            </w:pPr>
          </w:p>
          <w:p>
            <w:pPr>
              <w:pStyle w:val="TableParagraph"/>
              <w:spacing w:line="240" w:lineRule="auto"/>
              <w:ind w:right="23"/>
              <w:jc w:val="right"/>
              <w:rPr>
                <w:rFonts w:ascii="宋体" w:hAnsi="宋体" w:cs="宋体" w:eastAsia="宋体" w:hint="default"/>
                <w:sz w:val="21"/>
                <w:szCs w:val="21"/>
              </w:rPr>
            </w:pPr>
            <w:r>
              <w:rPr>
                <w:rFonts w:ascii="宋体"/>
                <w:sz w:val="21"/>
              </w:rPr>
              <w:t>12,749</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3"/>
                <w:szCs w:val="13"/>
              </w:rPr>
            </w:pPr>
          </w:p>
          <w:p>
            <w:pPr>
              <w:pStyle w:val="TableParagraph"/>
              <w:spacing w:line="240" w:lineRule="auto"/>
              <w:ind w:right="21"/>
              <w:jc w:val="right"/>
              <w:rPr>
                <w:rFonts w:ascii="宋体" w:hAnsi="宋体" w:cs="宋体" w:eastAsia="宋体" w:hint="default"/>
                <w:sz w:val="21"/>
                <w:szCs w:val="21"/>
              </w:rPr>
            </w:pPr>
            <w:r>
              <w:rPr>
                <w:rFonts w:ascii="宋体"/>
                <w:sz w:val="21"/>
              </w:rPr>
              <w:t>1,000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3"/>
                <w:szCs w:val="13"/>
              </w:rPr>
            </w:pPr>
          </w:p>
          <w:p>
            <w:pPr>
              <w:pStyle w:val="TableParagraph"/>
              <w:spacing w:line="240" w:lineRule="auto"/>
              <w:ind w:right="23"/>
              <w:jc w:val="right"/>
              <w:rPr>
                <w:rFonts w:ascii="宋体" w:hAnsi="宋体" w:cs="宋体" w:eastAsia="宋体" w:hint="default"/>
                <w:sz w:val="21"/>
                <w:szCs w:val="21"/>
              </w:rPr>
            </w:pPr>
            <w:r>
              <w:rPr>
                <w:rFonts w:ascii="宋体"/>
                <w:sz w:val="21"/>
              </w:rPr>
              <w:t>13,749</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杜旭升</w:t>
            </w:r>
          </w:p>
        </w:tc>
        <w:tc>
          <w:tcPr>
            <w:tcW w:w="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副总经理</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3"/>
                <w:szCs w:val="13"/>
              </w:rPr>
            </w:pPr>
          </w:p>
          <w:p>
            <w:pPr>
              <w:pStyle w:val="TableParagraph"/>
              <w:spacing w:line="240" w:lineRule="auto"/>
              <w:ind w:right="89"/>
              <w:jc w:val="center"/>
              <w:rPr>
                <w:rFonts w:ascii="宋体" w:hAnsi="宋体" w:cs="宋体" w:eastAsia="宋体" w:hint="default"/>
                <w:sz w:val="21"/>
                <w:szCs w:val="21"/>
              </w:rPr>
            </w:pPr>
            <w:r>
              <w:rPr>
                <w:rFonts w:ascii="宋体" w:hAnsi="宋体" w:cs="宋体" w:eastAsia="宋体" w:hint="default"/>
                <w:sz w:val="21"/>
                <w:szCs w:val="21"/>
              </w:rPr>
              <w:t>现任</w:t>
            </w:r>
          </w:p>
        </w:tc>
        <w:tc>
          <w:tcPr>
            <w:tcW w:w="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3"/>
                <w:szCs w:val="13"/>
              </w:rPr>
            </w:pPr>
          </w:p>
          <w:p>
            <w:pPr>
              <w:pStyle w:val="TableParagraph"/>
              <w:spacing w:line="240" w:lineRule="auto"/>
              <w:ind w:right="17"/>
              <w:jc w:val="center"/>
              <w:rPr>
                <w:rFonts w:ascii="宋体" w:hAnsi="宋体" w:cs="宋体" w:eastAsia="宋体" w:hint="default"/>
                <w:sz w:val="21"/>
                <w:szCs w:val="21"/>
              </w:rPr>
            </w:pPr>
            <w:r>
              <w:rPr>
                <w:rFonts w:ascii="宋体" w:hAnsi="宋体" w:cs="宋体" w:eastAsia="宋体" w:hint="default"/>
                <w:sz w:val="21"/>
                <w:szCs w:val="21"/>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3"/>
                <w:szCs w:val="13"/>
              </w:rPr>
            </w:pPr>
          </w:p>
          <w:p>
            <w:pPr>
              <w:pStyle w:val="TableParagraph"/>
              <w:spacing w:line="240" w:lineRule="auto"/>
              <w:ind w:right="20"/>
              <w:jc w:val="right"/>
              <w:rPr>
                <w:rFonts w:ascii="宋体" w:hAnsi="宋体" w:cs="宋体" w:eastAsia="宋体" w:hint="default"/>
                <w:sz w:val="21"/>
                <w:szCs w:val="21"/>
              </w:rPr>
            </w:pPr>
            <w:r>
              <w:rPr>
                <w:rFonts w:ascii="宋体"/>
                <w:sz w:val="21"/>
              </w:rPr>
              <w:t>43</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9"/>
                <w:sz w:val="21"/>
                <w:szCs w:val="21"/>
              </w:rPr>
              <w:t> </w:t>
            </w:r>
            <w:r>
              <w:rPr>
                <w:rFonts w:ascii="宋体" w:hAnsi="宋体" w:cs="宋体" w:eastAsia="宋体" w:hint="default"/>
                <w:sz w:val="21"/>
                <w:szCs w:val="21"/>
              </w:rPr>
              <w:t>02</w:t>
            </w:r>
          </w:p>
          <w:p>
            <w:pPr>
              <w:pStyle w:val="TableParagraph"/>
              <w:spacing w:line="240" w:lineRule="auto" w:before="37"/>
              <w:ind w:left="22"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18</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2020</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宋体" w:hAnsi="宋体" w:cs="宋体" w:eastAsia="宋体" w:hint="default"/>
                <w:sz w:val="21"/>
                <w:szCs w:val="21"/>
              </w:rPr>
              <w:t>02</w:t>
            </w:r>
          </w:p>
          <w:p>
            <w:pPr>
              <w:pStyle w:val="TableParagraph"/>
              <w:spacing w:line="240" w:lineRule="auto" w:before="37"/>
              <w:ind w:left="22"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09</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3"/>
                <w:szCs w:val="13"/>
              </w:rPr>
            </w:pPr>
          </w:p>
          <w:p>
            <w:pPr>
              <w:pStyle w:val="TableParagraph"/>
              <w:spacing w:line="240" w:lineRule="auto"/>
              <w:ind w:right="21"/>
              <w:jc w:val="right"/>
              <w:rPr>
                <w:rFonts w:ascii="宋体" w:hAnsi="宋体" w:cs="宋体" w:eastAsia="宋体" w:hint="default"/>
                <w:sz w:val="21"/>
                <w:szCs w:val="21"/>
              </w:rPr>
            </w:pPr>
            <w:r>
              <w:rPr>
                <w:rFonts w:ascii="宋体"/>
                <w:sz w:val="21"/>
              </w:rPr>
              <w:t>342,380</w:t>
            </w:r>
          </w:p>
        </w:tc>
        <w:tc>
          <w:tcPr>
            <w:tcW w:w="70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3"/>
                <w:szCs w:val="13"/>
              </w:rPr>
            </w:pPr>
          </w:p>
          <w:p>
            <w:pPr>
              <w:pStyle w:val="TableParagraph"/>
              <w:spacing w:line="240" w:lineRule="auto"/>
              <w:ind w:right="21"/>
              <w:jc w:val="right"/>
              <w:rPr>
                <w:rFonts w:ascii="宋体" w:hAnsi="宋体" w:cs="宋体" w:eastAsia="宋体" w:hint="default"/>
                <w:sz w:val="21"/>
                <w:szCs w:val="21"/>
              </w:rPr>
            </w:pPr>
            <w:r>
              <w:rPr>
                <w:rFonts w:ascii="宋体"/>
                <w:sz w:val="21"/>
              </w:rPr>
              <w:t>342,380</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张奕敏</w:t>
            </w:r>
          </w:p>
        </w:tc>
        <w:tc>
          <w:tcPr>
            <w:tcW w:w="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副总经理</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3"/>
                <w:szCs w:val="13"/>
              </w:rPr>
            </w:pPr>
          </w:p>
          <w:p>
            <w:pPr>
              <w:pStyle w:val="TableParagraph"/>
              <w:spacing w:line="240" w:lineRule="auto"/>
              <w:ind w:right="89"/>
              <w:jc w:val="center"/>
              <w:rPr>
                <w:rFonts w:ascii="宋体" w:hAnsi="宋体" w:cs="宋体" w:eastAsia="宋体" w:hint="default"/>
                <w:sz w:val="21"/>
                <w:szCs w:val="21"/>
              </w:rPr>
            </w:pPr>
            <w:r>
              <w:rPr>
                <w:rFonts w:ascii="宋体" w:hAnsi="宋体" w:cs="宋体" w:eastAsia="宋体" w:hint="default"/>
                <w:sz w:val="21"/>
                <w:szCs w:val="21"/>
              </w:rPr>
              <w:t>现任</w:t>
            </w:r>
          </w:p>
        </w:tc>
        <w:tc>
          <w:tcPr>
            <w:tcW w:w="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3"/>
                <w:szCs w:val="13"/>
              </w:rPr>
            </w:pPr>
          </w:p>
          <w:p>
            <w:pPr>
              <w:pStyle w:val="TableParagraph"/>
              <w:spacing w:line="240" w:lineRule="auto"/>
              <w:ind w:right="17"/>
              <w:jc w:val="center"/>
              <w:rPr>
                <w:rFonts w:ascii="宋体" w:hAnsi="宋体" w:cs="宋体" w:eastAsia="宋体" w:hint="default"/>
                <w:sz w:val="21"/>
                <w:szCs w:val="21"/>
              </w:rPr>
            </w:pPr>
            <w:r>
              <w:rPr>
                <w:rFonts w:ascii="宋体" w:hAnsi="宋体" w:cs="宋体" w:eastAsia="宋体" w:hint="default"/>
                <w:sz w:val="21"/>
                <w:szCs w:val="21"/>
              </w:rPr>
              <w:t>女</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3"/>
                <w:szCs w:val="13"/>
              </w:rPr>
            </w:pPr>
          </w:p>
          <w:p>
            <w:pPr>
              <w:pStyle w:val="TableParagraph"/>
              <w:spacing w:line="240" w:lineRule="auto"/>
              <w:ind w:right="20"/>
              <w:jc w:val="right"/>
              <w:rPr>
                <w:rFonts w:ascii="宋体" w:hAnsi="宋体" w:cs="宋体" w:eastAsia="宋体" w:hint="default"/>
                <w:sz w:val="21"/>
                <w:szCs w:val="21"/>
              </w:rPr>
            </w:pPr>
            <w:r>
              <w:rPr>
                <w:rFonts w:ascii="宋体"/>
                <w:sz w:val="21"/>
              </w:rPr>
              <w:t>44</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9"/>
                <w:sz w:val="21"/>
                <w:szCs w:val="21"/>
              </w:rPr>
              <w:t> </w:t>
            </w:r>
            <w:r>
              <w:rPr>
                <w:rFonts w:ascii="宋体" w:hAnsi="宋体" w:cs="宋体" w:eastAsia="宋体" w:hint="default"/>
                <w:sz w:val="21"/>
                <w:szCs w:val="21"/>
              </w:rPr>
              <w:t>02</w:t>
            </w:r>
          </w:p>
          <w:p>
            <w:pPr>
              <w:pStyle w:val="TableParagraph"/>
              <w:spacing w:line="240" w:lineRule="auto" w:before="37"/>
              <w:ind w:left="22"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18</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2020</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宋体" w:hAnsi="宋体" w:cs="宋体" w:eastAsia="宋体" w:hint="default"/>
                <w:sz w:val="21"/>
                <w:szCs w:val="21"/>
              </w:rPr>
              <w:t>02</w:t>
            </w:r>
          </w:p>
          <w:p>
            <w:pPr>
              <w:pStyle w:val="TableParagraph"/>
              <w:spacing w:line="240" w:lineRule="auto" w:before="37"/>
              <w:ind w:left="22"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09</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3"/>
                <w:szCs w:val="13"/>
              </w:rPr>
            </w:pPr>
          </w:p>
          <w:p>
            <w:pPr>
              <w:pStyle w:val="TableParagraph"/>
              <w:spacing w:line="240" w:lineRule="auto"/>
              <w:ind w:right="21"/>
              <w:jc w:val="right"/>
              <w:rPr>
                <w:rFonts w:ascii="宋体" w:hAnsi="宋体" w:cs="宋体" w:eastAsia="宋体" w:hint="default"/>
                <w:sz w:val="21"/>
                <w:szCs w:val="21"/>
              </w:rPr>
            </w:pPr>
            <w:r>
              <w:rPr>
                <w:rFonts w:ascii="宋体"/>
                <w:sz w:val="21"/>
              </w:rPr>
              <w:t>183,657</w:t>
            </w:r>
          </w:p>
        </w:tc>
        <w:tc>
          <w:tcPr>
            <w:tcW w:w="70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3"/>
                <w:szCs w:val="13"/>
              </w:rPr>
            </w:pPr>
          </w:p>
          <w:p>
            <w:pPr>
              <w:pStyle w:val="TableParagraph"/>
              <w:spacing w:line="240" w:lineRule="auto"/>
              <w:ind w:right="21"/>
              <w:jc w:val="right"/>
              <w:rPr>
                <w:rFonts w:ascii="宋体" w:hAnsi="宋体" w:cs="宋体" w:eastAsia="宋体" w:hint="default"/>
                <w:sz w:val="21"/>
                <w:szCs w:val="21"/>
              </w:rPr>
            </w:pPr>
            <w:r>
              <w:rPr>
                <w:rFonts w:ascii="宋体"/>
                <w:sz w:val="21"/>
              </w:rPr>
              <w:t>183,657</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侯菊艳</w:t>
            </w:r>
          </w:p>
        </w:tc>
        <w:tc>
          <w:tcPr>
            <w:tcW w:w="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财务总监</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3"/>
                <w:szCs w:val="13"/>
              </w:rPr>
            </w:pPr>
          </w:p>
          <w:p>
            <w:pPr>
              <w:pStyle w:val="TableParagraph"/>
              <w:spacing w:line="240" w:lineRule="auto"/>
              <w:ind w:right="89"/>
              <w:jc w:val="center"/>
              <w:rPr>
                <w:rFonts w:ascii="宋体" w:hAnsi="宋体" w:cs="宋体" w:eastAsia="宋体" w:hint="default"/>
                <w:sz w:val="21"/>
                <w:szCs w:val="21"/>
              </w:rPr>
            </w:pPr>
            <w:r>
              <w:rPr>
                <w:rFonts w:ascii="宋体" w:hAnsi="宋体" w:cs="宋体" w:eastAsia="宋体" w:hint="default"/>
                <w:sz w:val="21"/>
                <w:szCs w:val="21"/>
              </w:rPr>
              <w:t>现任</w:t>
            </w:r>
          </w:p>
        </w:tc>
        <w:tc>
          <w:tcPr>
            <w:tcW w:w="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3"/>
                <w:szCs w:val="13"/>
              </w:rPr>
            </w:pPr>
          </w:p>
          <w:p>
            <w:pPr>
              <w:pStyle w:val="TableParagraph"/>
              <w:spacing w:line="240" w:lineRule="auto"/>
              <w:ind w:right="17"/>
              <w:jc w:val="center"/>
              <w:rPr>
                <w:rFonts w:ascii="宋体" w:hAnsi="宋体" w:cs="宋体" w:eastAsia="宋体" w:hint="default"/>
                <w:sz w:val="21"/>
                <w:szCs w:val="21"/>
              </w:rPr>
            </w:pPr>
            <w:r>
              <w:rPr>
                <w:rFonts w:ascii="宋体" w:hAnsi="宋体" w:cs="宋体" w:eastAsia="宋体" w:hint="default"/>
                <w:sz w:val="21"/>
                <w:szCs w:val="21"/>
              </w:rPr>
              <w:t>女</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3"/>
                <w:szCs w:val="13"/>
              </w:rPr>
            </w:pPr>
          </w:p>
          <w:p>
            <w:pPr>
              <w:pStyle w:val="TableParagraph"/>
              <w:spacing w:line="240" w:lineRule="auto"/>
              <w:ind w:right="20"/>
              <w:jc w:val="right"/>
              <w:rPr>
                <w:rFonts w:ascii="宋体" w:hAnsi="宋体" w:cs="宋体" w:eastAsia="宋体" w:hint="default"/>
                <w:sz w:val="21"/>
                <w:szCs w:val="21"/>
              </w:rPr>
            </w:pPr>
            <w:r>
              <w:rPr>
                <w:rFonts w:ascii="宋体"/>
                <w:sz w:val="21"/>
              </w:rPr>
              <w:t>51</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9"/>
                <w:sz w:val="21"/>
                <w:szCs w:val="21"/>
              </w:rPr>
              <w:t> </w:t>
            </w:r>
            <w:r>
              <w:rPr>
                <w:rFonts w:ascii="宋体" w:hAnsi="宋体" w:cs="宋体" w:eastAsia="宋体" w:hint="default"/>
                <w:sz w:val="21"/>
                <w:szCs w:val="21"/>
              </w:rPr>
              <w:t>02</w:t>
            </w:r>
          </w:p>
          <w:p>
            <w:pPr>
              <w:pStyle w:val="TableParagraph"/>
              <w:spacing w:line="240" w:lineRule="auto" w:before="37"/>
              <w:ind w:left="22"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18</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2020</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宋体" w:hAnsi="宋体" w:cs="宋体" w:eastAsia="宋体" w:hint="default"/>
                <w:sz w:val="21"/>
                <w:szCs w:val="21"/>
              </w:rPr>
              <w:t>02</w:t>
            </w:r>
          </w:p>
          <w:p>
            <w:pPr>
              <w:pStyle w:val="TableParagraph"/>
              <w:spacing w:line="240" w:lineRule="auto" w:before="37"/>
              <w:ind w:left="22"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09</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3"/>
                <w:szCs w:val="13"/>
              </w:rPr>
            </w:pPr>
          </w:p>
          <w:p>
            <w:pPr>
              <w:pStyle w:val="TableParagraph"/>
              <w:spacing w:line="240" w:lineRule="auto"/>
              <w:ind w:right="21"/>
              <w:jc w:val="right"/>
              <w:rPr>
                <w:rFonts w:ascii="宋体" w:hAnsi="宋体" w:cs="宋体" w:eastAsia="宋体" w:hint="default"/>
                <w:sz w:val="21"/>
                <w:szCs w:val="21"/>
              </w:rPr>
            </w:pPr>
            <w:r>
              <w:rPr>
                <w:rFonts w:ascii="宋体"/>
                <w:sz w:val="21"/>
              </w:rPr>
              <w:t>289</w:t>
            </w:r>
          </w:p>
        </w:tc>
        <w:tc>
          <w:tcPr>
            <w:tcW w:w="70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3"/>
                <w:szCs w:val="13"/>
              </w:rPr>
            </w:pPr>
          </w:p>
          <w:p>
            <w:pPr>
              <w:pStyle w:val="TableParagraph"/>
              <w:spacing w:line="240" w:lineRule="auto"/>
              <w:ind w:right="21"/>
              <w:jc w:val="right"/>
              <w:rPr>
                <w:rFonts w:ascii="宋体" w:hAnsi="宋体" w:cs="宋体" w:eastAsia="宋体" w:hint="default"/>
                <w:sz w:val="21"/>
                <w:szCs w:val="21"/>
              </w:rPr>
            </w:pPr>
            <w:r>
              <w:rPr>
                <w:rFonts w:ascii="宋体"/>
                <w:sz w:val="21"/>
              </w:rPr>
              <w:t>289</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25"/>
                <w:szCs w:val="25"/>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韩瑞</w:t>
            </w:r>
          </w:p>
        </w:tc>
        <w:tc>
          <w:tcPr>
            <w:tcW w:w="90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7"/>
              <w:ind w:left="22" w:right="29"/>
              <w:jc w:val="both"/>
              <w:rPr>
                <w:rFonts w:ascii="宋体" w:hAnsi="宋体" w:cs="宋体" w:eastAsia="宋体" w:hint="default"/>
                <w:sz w:val="21"/>
                <w:szCs w:val="21"/>
              </w:rPr>
            </w:pPr>
            <w:r>
              <w:rPr>
                <w:rFonts w:ascii="宋体" w:hAnsi="宋体" w:cs="宋体" w:eastAsia="宋体" w:hint="default"/>
                <w:sz w:val="21"/>
                <w:szCs w:val="21"/>
              </w:rPr>
              <w:t>董事会秘 书、副总 经理</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25"/>
                <w:szCs w:val="25"/>
              </w:rPr>
            </w:pPr>
          </w:p>
          <w:p>
            <w:pPr>
              <w:pStyle w:val="TableParagraph"/>
              <w:spacing w:line="240" w:lineRule="auto"/>
              <w:ind w:right="89"/>
              <w:jc w:val="center"/>
              <w:rPr>
                <w:rFonts w:ascii="宋体" w:hAnsi="宋体" w:cs="宋体" w:eastAsia="宋体" w:hint="default"/>
                <w:sz w:val="21"/>
                <w:szCs w:val="21"/>
              </w:rPr>
            </w:pPr>
            <w:r>
              <w:rPr>
                <w:rFonts w:ascii="宋体" w:hAnsi="宋体" w:cs="宋体" w:eastAsia="宋体" w:hint="default"/>
                <w:sz w:val="21"/>
                <w:szCs w:val="21"/>
              </w:rPr>
              <w:t>现任</w:t>
            </w:r>
          </w:p>
        </w:tc>
        <w:tc>
          <w:tcPr>
            <w:tcW w:w="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25"/>
                <w:szCs w:val="25"/>
              </w:rPr>
            </w:pPr>
          </w:p>
          <w:p>
            <w:pPr>
              <w:pStyle w:val="TableParagraph"/>
              <w:spacing w:line="240" w:lineRule="auto"/>
              <w:ind w:right="17"/>
              <w:jc w:val="center"/>
              <w:rPr>
                <w:rFonts w:ascii="宋体" w:hAnsi="宋体" w:cs="宋体" w:eastAsia="宋体" w:hint="default"/>
                <w:sz w:val="21"/>
                <w:szCs w:val="21"/>
              </w:rPr>
            </w:pPr>
            <w:r>
              <w:rPr>
                <w:rFonts w:ascii="宋体" w:hAnsi="宋体" w:cs="宋体" w:eastAsia="宋体" w:hint="default"/>
                <w:sz w:val="21"/>
                <w:szCs w:val="21"/>
              </w:rPr>
              <w:t>女</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25"/>
                <w:szCs w:val="25"/>
              </w:rPr>
            </w:pPr>
          </w:p>
          <w:p>
            <w:pPr>
              <w:pStyle w:val="TableParagraph"/>
              <w:spacing w:line="240" w:lineRule="auto"/>
              <w:ind w:right="20"/>
              <w:jc w:val="right"/>
              <w:rPr>
                <w:rFonts w:ascii="宋体" w:hAnsi="宋体" w:cs="宋体" w:eastAsia="宋体" w:hint="default"/>
                <w:sz w:val="21"/>
                <w:szCs w:val="21"/>
              </w:rPr>
            </w:pPr>
            <w:r>
              <w:rPr>
                <w:rFonts w:ascii="宋体"/>
                <w:sz w:val="21"/>
              </w:rPr>
              <w:t>34</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9"/>
                <w:sz w:val="21"/>
                <w:szCs w:val="21"/>
              </w:rPr>
              <w:t> </w:t>
            </w:r>
            <w:r>
              <w:rPr>
                <w:rFonts w:ascii="宋体" w:hAnsi="宋体" w:cs="宋体" w:eastAsia="宋体" w:hint="default"/>
                <w:sz w:val="21"/>
                <w:szCs w:val="21"/>
              </w:rPr>
              <w:t>02</w:t>
            </w:r>
          </w:p>
          <w:p>
            <w:pPr>
              <w:pStyle w:val="TableParagraph"/>
              <w:spacing w:line="240" w:lineRule="auto" w:before="37"/>
              <w:ind w:left="22"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18</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2020</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宋体" w:hAnsi="宋体" w:cs="宋体" w:eastAsia="宋体" w:hint="default"/>
                <w:sz w:val="21"/>
                <w:szCs w:val="21"/>
              </w:rPr>
              <w:t>02</w:t>
            </w:r>
          </w:p>
          <w:p>
            <w:pPr>
              <w:pStyle w:val="TableParagraph"/>
              <w:spacing w:line="240" w:lineRule="auto" w:before="37"/>
              <w:ind w:left="22"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09</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13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9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right="1"/>
              <w:jc w:val="center"/>
              <w:rPr>
                <w:rFonts w:ascii="宋体" w:hAnsi="宋体" w:cs="宋体" w:eastAsia="宋体" w:hint="default"/>
                <w:sz w:val="21"/>
                <w:szCs w:val="21"/>
              </w:rPr>
            </w:pPr>
            <w:r>
              <w:rPr>
                <w:rFonts w:ascii="宋体"/>
                <w:sz w:val="21"/>
              </w:rPr>
              <w:t>--</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right="0"/>
              <w:jc w:val="center"/>
              <w:rPr>
                <w:rFonts w:ascii="宋体" w:hAnsi="宋体" w:cs="宋体" w:eastAsia="宋体" w:hint="default"/>
                <w:sz w:val="21"/>
                <w:szCs w:val="21"/>
              </w:rPr>
            </w:pPr>
            <w:r>
              <w:rPr>
                <w:rFonts w:ascii="宋体"/>
                <w:sz w:val="21"/>
              </w:rPr>
              <w:t>--</w:t>
            </w:r>
          </w:p>
        </w:tc>
        <w:tc>
          <w:tcPr>
            <w:tcW w:w="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right="1"/>
              <w:jc w:val="center"/>
              <w:rPr>
                <w:rFonts w:ascii="宋体" w:hAnsi="宋体" w:cs="宋体" w:eastAsia="宋体" w:hint="default"/>
                <w:sz w:val="21"/>
                <w:szCs w:val="21"/>
              </w:rPr>
            </w:pPr>
            <w:r>
              <w:rPr>
                <w:rFonts w:ascii="宋体"/>
                <w:sz w:val="21"/>
              </w:rPr>
              <w:t>--</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102" w:right="0"/>
              <w:jc w:val="left"/>
              <w:rPr>
                <w:rFonts w:ascii="宋体" w:hAnsi="宋体" w:cs="宋体" w:eastAsia="宋体" w:hint="default"/>
                <w:sz w:val="21"/>
                <w:szCs w:val="21"/>
              </w:rPr>
            </w:pPr>
            <w:r>
              <w:rPr>
                <w:rFonts w:ascii="宋体"/>
                <w:sz w:val="21"/>
              </w:rPr>
              <w:t>--</w:t>
            </w:r>
          </w:p>
        </w:tc>
        <w:tc>
          <w:tcPr>
            <w:tcW w:w="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right="1"/>
              <w:jc w:val="center"/>
              <w:rPr>
                <w:rFonts w:ascii="宋体" w:hAnsi="宋体" w:cs="宋体" w:eastAsia="宋体" w:hint="default"/>
                <w:sz w:val="21"/>
                <w:szCs w:val="21"/>
              </w:rPr>
            </w:pPr>
            <w:r>
              <w:rPr>
                <w:rFonts w:ascii="宋体"/>
                <w:sz w:val="21"/>
              </w:rPr>
              <w:t>--</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1" w:right="0"/>
              <w:jc w:val="center"/>
              <w:rPr>
                <w:rFonts w:ascii="宋体" w:hAnsi="宋体" w:cs="宋体" w:eastAsia="宋体" w:hint="default"/>
                <w:sz w:val="21"/>
                <w:szCs w:val="21"/>
              </w:rPr>
            </w:pPr>
            <w:r>
              <w:rPr>
                <w:rFonts w:ascii="宋体"/>
                <w:sz w:val="21"/>
              </w:rPr>
              <w:t>--</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3"/>
              <w:jc w:val="right"/>
              <w:rPr>
                <w:rFonts w:ascii="宋体" w:hAnsi="宋体" w:cs="宋体" w:eastAsia="宋体" w:hint="default"/>
                <w:sz w:val="21"/>
                <w:szCs w:val="21"/>
              </w:rPr>
            </w:pPr>
            <w:r>
              <w:rPr>
                <w:rFonts w:ascii="宋体"/>
                <w:sz w:val="21"/>
              </w:rPr>
              <w:t>78,125,268</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1"/>
              <w:jc w:val="right"/>
              <w:rPr>
                <w:rFonts w:ascii="宋体" w:hAnsi="宋体" w:cs="宋体" w:eastAsia="宋体" w:hint="default"/>
                <w:sz w:val="21"/>
                <w:szCs w:val="21"/>
              </w:rPr>
            </w:pPr>
            <w:r>
              <w:rPr>
                <w:rFonts w:ascii="宋体"/>
                <w:sz w:val="21"/>
              </w:rPr>
              <w:t>1,000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1"/>
              <w:jc w:val="right"/>
              <w:rPr>
                <w:rFonts w:ascii="宋体" w:hAnsi="宋体" w:cs="宋体" w:eastAsia="宋体" w:hint="default"/>
                <w:sz w:val="21"/>
                <w:szCs w:val="21"/>
              </w:rPr>
            </w:pPr>
            <w:r>
              <w:rPr>
                <w:rFonts w:ascii="宋体"/>
                <w:sz w:val="21"/>
              </w:rPr>
              <w:t>7,533,300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1"/>
              <w:jc w:val="right"/>
              <w:rPr>
                <w:rFonts w:ascii="宋体" w:hAnsi="宋体" w:cs="宋体" w:eastAsia="宋体" w:hint="default"/>
                <w:sz w:val="21"/>
                <w:szCs w:val="21"/>
              </w:rPr>
            </w:pPr>
            <w:r>
              <w:rPr>
                <w:rFonts w:ascii="宋体"/>
                <w:sz w:val="21"/>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3"/>
              <w:jc w:val="right"/>
              <w:rPr>
                <w:rFonts w:ascii="宋体" w:hAnsi="宋体" w:cs="宋体" w:eastAsia="宋体" w:hint="default"/>
                <w:sz w:val="21"/>
                <w:szCs w:val="21"/>
              </w:rPr>
            </w:pPr>
            <w:r>
              <w:rPr>
                <w:rFonts w:ascii="宋体"/>
                <w:sz w:val="21"/>
              </w:rPr>
              <w:t>70,592,968</w:t>
            </w:r>
          </w:p>
        </w:tc>
      </w:tr>
    </w:tbl>
    <w:p>
      <w:pPr>
        <w:spacing w:after="0" w:line="240" w:lineRule="auto"/>
        <w:jc w:val="right"/>
        <w:rPr>
          <w:rFonts w:ascii="宋体" w:hAnsi="宋体" w:cs="宋体" w:eastAsia="宋体" w:hint="default"/>
          <w:sz w:val="21"/>
          <w:szCs w:val="21"/>
        </w:rPr>
        <w:sectPr>
          <w:pgSz w:w="11910" w:h="16840"/>
          <w:pgMar w:header="747" w:footer="979" w:top="1060" w:bottom="1160" w:left="980" w:right="0"/>
        </w:sectPr>
      </w:pPr>
    </w:p>
    <w:p>
      <w:pPr>
        <w:spacing w:line="240" w:lineRule="auto" w:before="7"/>
        <w:rPr>
          <w:rFonts w:ascii="宋体" w:hAnsi="宋体" w:cs="宋体" w:eastAsia="宋体" w:hint="default"/>
          <w:b/>
          <w:bCs/>
          <w:sz w:val="23"/>
          <w:szCs w:val="23"/>
        </w:rPr>
      </w:pPr>
    </w:p>
    <w:p>
      <w:pPr>
        <w:pStyle w:val="Heading2"/>
        <w:spacing w:line="240" w:lineRule="auto"/>
        <w:ind w:left="153" w:right="996"/>
        <w:jc w:val="left"/>
        <w:rPr>
          <w:b w:val="0"/>
          <w:bCs w:val="0"/>
        </w:rPr>
      </w:pPr>
      <w:bookmarkStart w:name="二、公司董事、监事、高级管理人员变动情况" w:id="143"/>
      <w:bookmarkEnd w:id="143"/>
      <w:r>
        <w:rPr>
          <w:b w:val="0"/>
          <w:bCs w:val="0"/>
        </w:rPr>
      </w:r>
      <w:r>
        <w:rPr/>
        <w:t>二、公司董事、监事、高级管理人员变动情况</w:t>
      </w:r>
      <w:r>
        <w:rPr>
          <w:b w:val="0"/>
          <w:bCs w:val="0"/>
        </w:rPr>
      </w:r>
    </w:p>
    <w:p>
      <w:pPr>
        <w:spacing w:line="240" w:lineRule="auto" w:before="6"/>
        <w:rPr>
          <w:rFonts w:ascii="宋体" w:hAnsi="宋体" w:cs="宋体" w:eastAsia="宋体" w:hint="default"/>
          <w:b/>
          <w:bCs/>
          <w:sz w:val="32"/>
          <w:szCs w:val="32"/>
        </w:rPr>
      </w:pPr>
    </w:p>
    <w:p>
      <w:pPr>
        <w:pStyle w:val="BodyText"/>
        <w:spacing w:line="240" w:lineRule="auto" w:before="0"/>
        <w:ind w:left="633" w:right="996"/>
        <w:jc w:val="left"/>
      </w:pPr>
      <w:r>
        <w:rPr/>
        <w:t>√ 适用 □ 不适用</w:t>
      </w:r>
    </w:p>
    <w:p>
      <w:pPr>
        <w:spacing w:line="240" w:lineRule="auto" w:before="6"/>
        <w:rPr>
          <w:rFonts w:ascii="宋体" w:hAnsi="宋体" w:cs="宋体" w:eastAsia="宋体" w:hint="default"/>
          <w:sz w:val="4"/>
          <w:szCs w:val="4"/>
        </w:rPr>
      </w:pPr>
    </w:p>
    <w:tbl>
      <w:tblPr>
        <w:tblW w:w="0" w:type="auto"/>
        <w:jc w:val="left"/>
        <w:tblInd w:w="149" w:type="dxa"/>
        <w:tblLayout w:type="fixed"/>
        <w:tblCellMar>
          <w:top w:w="0" w:type="dxa"/>
          <w:left w:w="0" w:type="dxa"/>
          <w:bottom w:w="0" w:type="dxa"/>
          <w:right w:w="0" w:type="dxa"/>
        </w:tblCellMar>
        <w:tblLook w:val="01E0"/>
      </w:tblPr>
      <w:tblGrid>
        <w:gridCol w:w="1419"/>
        <w:gridCol w:w="1843"/>
        <w:gridCol w:w="1701"/>
        <w:gridCol w:w="2268"/>
        <w:gridCol w:w="2338"/>
      </w:tblGrid>
      <w:tr>
        <w:trPr>
          <w:trHeight w:val="402" w:hRule="exact"/>
        </w:trPr>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姓名</w:t>
            </w:r>
          </w:p>
        </w:tc>
        <w:tc>
          <w:tcPr>
            <w:tcW w:w="18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391" w:right="0"/>
              <w:jc w:val="left"/>
              <w:rPr>
                <w:rFonts w:ascii="宋体" w:hAnsi="宋体" w:cs="宋体" w:eastAsia="宋体" w:hint="default"/>
                <w:sz w:val="21"/>
                <w:szCs w:val="21"/>
              </w:rPr>
            </w:pPr>
            <w:r>
              <w:rPr>
                <w:rFonts w:ascii="宋体" w:hAnsi="宋体" w:cs="宋体" w:eastAsia="宋体" w:hint="default"/>
                <w:sz w:val="21"/>
                <w:szCs w:val="21"/>
              </w:rPr>
              <w:t>担任的职务</w:t>
            </w:r>
          </w:p>
        </w:tc>
        <w:tc>
          <w:tcPr>
            <w:tcW w:w="17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635"/>
              <w:jc w:val="right"/>
              <w:rPr>
                <w:rFonts w:ascii="宋体" w:hAnsi="宋体" w:cs="宋体" w:eastAsia="宋体" w:hint="default"/>
                <w:sz w:val="21"/>
                <w:szCs w:val="21"/>
              </w:rPr>
            </w:pPr>
            <w:r>
              <w:rPr>
                <w:rFonts w:ascii="宋体" w:hAnsi="宋体" w:cs="宋体" w:eastAsia="宋体" w:hint="default"/>
                <w:sz w:val="21"/>
                <w:szCs w:val="21"/>
              </w:rPr>
              <w:t>类型</w:t>
            </w:r>
          </w:p>
        </w:tc>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日期</w:t>
            </w:r>
          </w:p>
        </w:tc>
        <w:tc>
          <w:tcPr>
            <w:tcW w:w="23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原因</w:t>
            </w:r>
          </w:p>
        </w:tc>
      </w:tr>
      <w:tr>
        <w:trPr>
          <w:trHeight w:val="402"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唐涛</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616"/>
              <w:jc w:val="right"/>
              <w:rPr>
                <w:rFonts w:ascii="宋体" w:hAnsi="宋体" w:cs="宋体" w:eastAsia="宋体" w:hint="default"/>
                <w:sz w:val="21"/>
                <w:szCs w:val="21"/>
              </w:rPr>
            </w:pPr>
            <w:r>
              <w:rPr>
                <w:rFonts w:ascii="宋体" w:hAnsi="宋体" w:cs="宋体" w:eastAsia="宋体" w:hint="default"/>
                <w:sz w:val="21"/>
                <w:szCs w:val="21"/>
              </w:rPr>
              <w:t>任期满离任</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02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09</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任期满离任</w:t>
            </w:r>
          </w:p>
        </w:tc>
      </w:tr>
      <w:tr>
        <w:trPr>
          <w:trHeight w:val="402"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谭宪才</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616"/>
              <w:jc w:val="right"/>
              <w:rPr>
                <w:rFonts w:ascii="宋体" w:hAnsi="宋体" w:cs="宋体" w:eastAsia="宋体" w:hint="default"/>
                <w:sz w:val="21"/>
                <w:szCs w:val="21"/>
              </w:rPr>
            </w:pPr>
            <w:r>
              <w:rPr>
                <w:rFonts w:ascii="宋体" w:hAnsi="宋体" w:cs="宋体" w:eastAsia="宋体" w:hint="default"/>
                <w:sz w:val="21"/>
                <w:szCs w:val="21"/>
              </w:rPr>
              <w:t>任期满离任</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02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09</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任期满离任</w:t>
            </w:r>
          </w:p>
        </w:tc>
      </w:tr>
      <w:tr>
        <w:trPr>
          <w:trHeight w:val="402"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蒋承</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616"/>
              <w:jc w:val="right"/>
              <w:rPr>
                <w:rFonts w:ascii="宋体" w:hAnsi="宋体" w:cs="宋体" w:eastAsia="宋体" w:hint="default"/>
                <w:sz w:val="21"/>
                <w:szCs w:val="21"/>
              </w:rPr>
            </w:pPr>
            <w:r>
              <w:rPr>
                <w:rFonts w:ascii="宋体" w:hAnsi="宋体" w:cs="宋体" w:eastAsia="宋体" w:hint="default"/>
                <w:sz w:val="21"/>
                <w:szCs w:val="21"/>
              </w:rPr>
              <w:t>任期满离任</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02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09</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任期满离任</w:t>
            </w:r>
          </w:p>
        </w:tc>
      </w:tr>
      <w:tr>
        <w:trPr>
          <w:trHeight w:val="403"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刘宝利</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监事会主席</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616"/>
              <w:jc w:val="right"/>
              <w:rPr>
                <w:rFonts w:ascii="宋体" w:hAnsi="宋体" w:cs="宋体" w:eastAsia="宋体" w:hint="default"/>
                <w:sz w:val="21"/>
                <w:szCs w:val="21"/>
              </w:rPr>
            </w:pPr>
            <w:r>
              <w:rPr>
                <w:rFonts w:ascii="宋体" w:hAnsi="宋体" w:cs="宋体" w:eastAsia="宋体" w:hint="default"/>
                <w:sz w:val="21"/>
                <w:szCs w:val="21"/>
              </w:rPr>
              <w:t>任期满离任</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02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09</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任期满离任</w:t>
            </w:r>
          </w:p>
        </w:tc>
      </w:tr>
    </w:tbl>
    <w:p>
      <w:pPr>
        <w:spacing w:line="240" w:lineRule="auto" w:before="12"/>
        <w:rPr>
          <w:rFonts w:ascii="宋体" w:hAnsi="宋体" w:cs="宋体" w:eastAsia="宋体" w:hint="default"/>
          <w:sz w:val="17"/>
          <w:szCs w:val="17"/>
        </w:rPr>
      </w:pPr>
    </w:p>
    <w:p>
      <w:pPr>
        <w:pStyle w:val="Heading2"/>
        <w:spacing w:line="240" w:lineRule="auto"/>
        <w:ind w:left="154" w:right="996"/>
        <w:jc w:val="left"/>
        <w:rPr>
          <w:b w:val="0"/>
          <w:bCs w:val="0"/>
        </w:rPr>
      </w:pPr>
      <w:bookmarkStart w:name="三、任职情况" w:id="144"/>
      <w:bookmarkEnd w:id="144"/>
      <w:r>
        <w:rPr>
          <w:b w:val="0"/>
          <w:bCs w:val="0"/>
        </w:rPr>
      </w:r>
      <w:r>
        <w:rPr/>
        <w:t>三、任职情况</w:t>
      </w:r>
      <w:r>
        <w:rPr>
          <w:b w:val="0"/>
          <w:bCs w:val="0"/>
        </w:rPr>
      </w:r>
    </w:p>
    <w:p>
      <w:pPr>
        <w:spacing w:line="240" w:lineRule="auto" w:before="0"/>
        <w:rPr>
          <w:rFonts w:ascii="宋体" w:hAnsi="宋体" w:cs="宋体" w:eastAsia="宋体" w:hint="default"/>
          <w:b/>
          <w:bCs/>
          <w:sz w:val="20"/>
          <w:szCs w:val="20"/>
        </w:rPr>
      </w:pPr>
    </w:p>
    <w:p>
      <w:pPr>
        <w:pStyle w:val="BodyText"/>
        <w:spacing w:line="240" w:lineRule="auto" w:before="163"/>
        <w:ind w:left="633" w:right="996"/>
        <w:jc w:val="left"/>
      </w:pPr>
      <w:r>
        <w:rPr/>
        <w:t>公司现任董事、监事、高级管理人员专业背景、主要工作经历以及目前在公司的主要职</w:t>
      </w:r>
    </w:p>
    <w:p>
      <w:pPr>
        <w:pStyle w:val="BodyText"/>
        <w:spacing w:line="240" w:lineRule="auto" w:before="145"/>
        <w:ind w:right="996"/>
        <w:jc w:val="left"/>
      </w:pPr>
      <w:r>
        <w:rPr/>
        <w:t>责</w:t>
      </w:r>
    </w:p>
    <w:p>
      <w:pPr>
        <w:pStyle w:val="BodyText"/>
        <w:spacing w:line="240" w:lineRule="auto" w:before="145"/>
        <w:ind w:left="634" w:right="996"/>
        <w:jc w:val="left"/>
      </w:pPr>
      <w:r>
        <w:rPr>
          <w:rFonts w:ascii="宋体" w:hAnsi="宋体" w:cs="宋体" w:eastAsia="宋体" w:hint="default"/>
        </w:rPr>
        <w:t>1</w:t>
      </w:r>
      <w:r>
        <w:rPr/>
        <w:t>、董事</w:t>
      </w:r>
    </w:p>
    <w:p>
      <w:pPr>
        <w:pStyle w:val="BodyText"/>
        <w:spacing w:line="240" w:lineRule="auto" w:before="146"/>
        <w:ind w:left="633" w:right="996"/>
        <w:jc w:val="left"/>
      </w:pPr>
      <w:r>
        <w:rPr/>
        <w:t>（</w:t>
      </w:r>
      <w:r>
        <w:rPr>
          <w:rFonts w:ascii="宋体" w:hAnsi="宋体" w:cs="宋体" w:eastAsia="宋体" w:hint="default"/>
        </w:rPr>
        <w:t>1</w:t>
      </w:r>
      <w:r>
        <w:rPr/>
        <w:t>）李海鹰先生，</w:t>
      </w:r>
      <w:r>
        <w:rPr>
          <w:rFonts w:ascii="宋体" w:hAnsi="宋体" w:cs="宋体" w:eastAsia="宋体" w:hint="default"/>
        </w:rPr>
        <w:t>51</w:t>
      </w:r>
      <w:r>
        <w:rPr>
          <w:rFonts w:ascii="宋体" w:hAnsi="宋体" w:cs="宋体" w:eastAsia="宋体" w:hint="default"/>
          <w:spacing w:val="-60"/>
        </w:rPr>
        <w:t> </w:t>
      </w:r>
      <w:r>
        <w:rPr/>
        <w:t>岁，本科学历，工程师。</w:t>
      </w:r>
      <w:r>
        <w:rPr>
          <w:rFonts w:ascii="宋体" w:hAnsi="宋体" w:cs="宋体" w:eastAsia="宋体" w:hint="default"/>
        </w:rPr>
        <w:t>2001</w:t>
      </w:r>
      <w:r>
        <w:rPr>
          <w:rFonts w:ascii="宋体" w:hAnsi="宋体" w:cs="宋体" w:eastAsia="宋体" w:hint="default"/>
          <w:spacing w:val="-60"/>
        </w:rPr>
        <w:t> </w:t>
      </w:r>
      <w:r>
        <w:rPr/>
        <w:t>年</w:t>
      </w:r>
      <w:r>
        <w:rPr>
          <w:spacing w:val="-60"/>
        </w:rPr>
        <w:t> </w:t>
      </w:r>
      <w:r>
        <w:rPr>
          <w:rFonts w:ascii="宋体" w:hAnsi="宋体" w:cs="宋体" w:eastAsia="宋体" w:hint="default"/>
        </w:rPr>
        <w:t>10</w:t>
      </w:r>
      <w:r>
        <w:rPr>
          <w:rFonts w:ascii="宋体" w:hAnsi="宋体" w:cs="宋体" w:eastAsia="宋体" w:hint="default"/>
          <w:spacing w:val="-60"/>
        </w:rPr>
        <w:t> </w:t>
      </w:r>
      <w:r>
        <w:rPr/>
        <w:t>月至</w:t>
      </w:r>
      <w:r>
        <w:rPr>
          <w:spacing w:val="-60"/>
        </w:rPr>
        <w:t> </w:t>
      </w:r>
      <w:r>
        <w:rPr>
          <w:rFonts w:ascii="宋体" w:hAnsi="宋体" w:cs="宋体" w:eastAsia="宋体" w:hint="default"/>
        </w:rPr>
        <w:t>2004</w:t>
      </w:r>
      <w:r>
        <w:rPr>
          <w:rFonts w:ascii="宋体" w:hAnsi="宋体" w:cs="宋体" w:eastAsia="宋体" w:hint="default"/>
          <w:spacing w:val="-60"/>
        </w:rPr>
        <w:t> </w:t>
      </w:r>
      <w:r>
        <w:rPr/>
        <w:t>年</w:t>
      </w:r>
      <w:r>
        <w:rPr>
          <w:spacing w:val="-60"/>
        </w:rPr>
        <w:t> </w:t>
      </w:r>
      <w:r>
        <w:rPr>
          <w:rFonts w:ascii="宋体" w:hAnsi="宋体" w:cs="宋体" w:eastAsia="宋体" w:hint="default"/>
        </w:rPr>
        <w:t>2</w:t>
      </w:r>
      <w:r>
        <w:rPr>
          <w:rFonts w:ascii="宋体" w:hAnsi="宋体" w:cs="宋体" w:eastAsia="宋体" w:hint="default"/>
          <w:spacing w:val="-60"/>
        </w:rPr>
        <w:t> </w:t>
      </w:r>
      <w:r>
        <w:rPr/>
        <w:t>月任公司董事</w:t>
      </w:r>
    </w:p>
    <w:p>
      <w:pPr>
        <w:spacing w:line="240" w:lineRule="auto" w:before="2"/>
        <w:rPr>
          <w:rFonts w:ascii="宋体" w:hAnsi="宋体" w:cs="宋体" w:eastAsia="宋体" w:hint="default"/>
          <w:sz w:val="9"/>
          <w:szCs w:val="9"/>
        </w:rPr>
      </w:pPr>
    </w:p>
    <w:p>
      <w:pPr>
        <w:pStyle w:val="BodyText"/>
        <w:spacing w:line="350" w:lineRule="auto" w:before="26"/>
        <w:ind w:right="1153"/>
        <w:jc w:val="left"/>
      </w:pPr>
      <w:r>
        <w:rPr/>
        <w:t>长兼总经理；</w:t>
      </w:r>
      <w:r>
        <w:rPr>
          <w:rFonts w:ascii="宋体" w:hAnsi="宋体" w:cs="宋体" w:eastAsia="宋体" w:hint="default"/>
        </w:rPr>
        <w:t>2004</w:t>
      </w:r>
      <w:r>
        <w:rPr>
          <w:rFonts w:ascii="宋体" w:hAnsi="宋体" w:cs="宋体" w:eastAsia="宋体" w:hint="default"/>
          <w:spacing w:val="-60"/>
        </w:rPr>
        <w:t> </w:t>
      </w:r>
      <w:r>
        <w:rPr/>
        <w:t>年</w:t>
      </w:r>
      <w:r>
        <w:rPr>
          <w:spacing w:val="-60"/>
        </w:rPr>
        <w:t> </w:t>
      </w:r>
      <w:r>
        <w:rPr>
          <w:rFonts w:ascii="宋体" w:hAnsi="宋体" w:cs="宋体" w:eastAsia="宋体" w:hint="default"/>
        </w:rPr>
        <w:t>2</w:t>
      </w:r>
      <w:r>
        <w:rPr>
          <w:rFonts w:ascii="宋体" w:hAnsi="宋体" w:cs="宋体" w:eastAsia="宋体" w:hint="default"/>
          <w:spacing w:val="-60"/>
        </w:rPr>
        <w:t> </w:t>
      </w:r>
      <w:r>
        <w:rPr/>
        <w:t>月至今担任本公司董事长。</w:t>
      </w:r>
      <w:r>
        <w:rPr>
          <w:rFonts w:ascii="宋体" w:hAnsi="宋体" w:cs="宋体" w:eastAsia="宋体" w:hint="default"/>
        </w:rPr>
        <w:t>2015</w:t>
      </w:r>
      <w:r>
        <w:rPr>
          <w:rFonts w:ascii="宋体" w:hAnsi="宋体" w:cs="宋体" w:eastAsia="宋体" w:hint="default"/>
          <w:spacing w:val="-60"/>
        </w:rPr>
        <w:t> </w:t>
      </w:r>
      <w:r>
        <w:rPr/>
        <w:t>年</w:t>
      </w:r>
      <w:r>
        <w:rPr>
          <w:spacing w:val="-60"/>
        </w:rPr>
        <w:t> </w:t>
      </w:r>
      <w:r>
        <w:rPr>
          <w:rFonts w:ascii="宋体" w:hAnsi="宋体" w:cs="宋体" w:eastAsia="宋体" w:hint="default"/>
        </w:rPr>
        <w:t>12</w:t>
      </w:r>
      <w:r>
        <w:rPr>
          <w:rFonts w:ascii="宋体" w:hAnsi="宋体" w:cs="宋体" w:eastAsia="宋体" w:hint="default"/>
          <w:spacing w:val="-60"/>
        </w:rPr>
        <w:t> </w:t>
      </w:r>
      <w:r>
        <w:rPr/>
        <w:t>月</w:t>
      </w:r>
      <w:r>
        <w:rPr>
          <w:spacing w:val="-60"/>
        </w:rPr>
        <w:t> </w:t>
      </w:r>
      <w:r>
        <w:rPr>
          <w:rFonts w:ascii="宋体" w:hAnsi="宋体" w:cs="宋体" w:eastAsia="宋体" w:hint="default"/>
        </w:rPr>
        <w:t>6</w:t>
      </w:r>
      <w:r>
        <w:rPr>
          <w:rFonts w:ascii="宋体" w:hAnsi="宋体" w:cs="宋体" w:eastAsia="宋体" w:hint="default"/>
          <w:spacing w:val="-60"/>
        </w:rPr>
        <w:t> </w:t>
      </w:r>
      <w:r>
        <w:rPr/>
        <w:t>日至今担任北京七彩通达 传媒股份有限公司董事。</w:t>
      </w:r>
    </w:p>
    <w:p>
      <w:pPr>
        <w:pStyle w:val="BodyText"/>
        <w:spacing w:line="240" w:lineRule="auto"/>
        <w:ind w:left="634" w:right="996"/>
        <w:jc w:val="left"/>
      </w:pPr>
      <w:r>
        <w:rPr/>
        <w:t>（</w:t>
      </w:r>
      <w:r>
        <w:rPr>
          <w:rFonts w:ascii="宋体" w:hAnsi="宋体" w:cs="宋体" w:eastAsia="宋体" w:hint="default"/>
        </w:rPr>
        <w:t>2</w:t>
      </w:r>
      <w:r>
        <w:rPr/>
        <w:t>）谢春生先生，</w:t>
      </w:r>
      <w:r>
        <w:rPr>
          <w:rFonts w:ascii="宋体" w:hAnsi="宋体" w:cs="宋体" w:eastAsia="宋体" w:hint="default"/>
        </w:rPr>
        <w:t>49</w:t>
      </w:r>
      <w:r>
        <w:rPr>
          <w:rFonts w:ascii="宋体" w:hAnsi="宋体" w:cs="宋体" w:eastAsia="宋体" w:hint="default"/>
          <w:spacing w:val="-60"/>
        </w:rPr>
        <w:t> </w:t>
      </w:r>
      <w:r>
        <w:rPr/>
        <w:t>岁，本科学历，高级工程师。</w:t>
      </w:r>
      <w:r>
        <w:rPr>
          <w:rFonts w:ascii="宋体" w:hAnsi="宋体" w:cs="宋体" w:eastAsia="宋体" w:hint="default"/>
        </w:rPr>
        <w:t>2001</w:t>
      </w:r>
      <w:r>
        <w:rPr>
          <w:rFonts w:ascii="宋体" w:hAnsi="宋体" w:cs="宋体" w:eastAsia="宋体" w:hint="default"/>
          <w:spacing w:val="-60"/>
        </w:rPr>
        <w:t> </w:t>
      </w:r>
      <w:r>
        <w:rPr/>
        <w:t>年</w:t>
      </w:r>
      <w:r>
        <w:rPr>
          <w:spacing w:val="-60"/>
        </w:rPr>
        <w:t> </w:t>
      </w:r>
      <w:r>
        <w:rPr>
          <w:rFonts w:ascii="宋体" w:hAnsi="宋体" w:cs="宋体" w:eastAsia="宋体" w:hint="default"/>
        </w:rPr>
        <w:t>10</w:t>
      </w:r>
      <w:r>
        <w:rPr>
          <w:rFonts w:ascii="宋体" w:hAnsi="宋体" w:cs="宋体" w:eastAsia="宋体" w:hint="default"/>
          <w:spacing w:val="-60"/>
        </w:rPr>
        <w:t> </w:t>
      </w:r>
      <w:r>
        <w:rPr/>
        <w:t>月至</w:t>
      </w:r>
      <w:r>
        <w:rPr>
          <w:spacing w:val="-60"/>
        </w:rPr>
        <w:t> </w:t>
      </w:r>
      <w:r>
        <w:rPr>
          <w:rFonts w:ascii="宋体" w:hAnsi="宋体" w:cs="宋体" w:eastAsia="宋体" w:hint="default"/>
        </w:rPr>
        <w:t>2004</w:t>
      </w:r>
      <w:r>
        <w:rPr>
          <w:rFonts w:ascii="宋体" w:hAnsi="宋体" w:cs="宋体" w:eastAsia="宋体" w:hint="default"/>
          <w:spacing w:val="-60"/>
        </w:rPr>
        <w:t> </w:t>
      </w:r>
      <w:r>
        <w:rPr/>
        <w:t>年</w:t>
      </w:r>
      <w:r>
        <w:rPr>
          <w:spacing w:val="-60"/>
        </w:rPr>
        <w:t> </w:t>
      </w:r>
      <w:r>
        <w:rPr>
          <w:rFonts w:ascii="宋体" w:hAnsi="宋体" w:cs="宋体" w:eastAsia="宋体" w:hint="default"/>
        </w:rPr>
        <w:t>2</w:t>
      </w:r>
      <w:r>
        <w:rPr>
          <w:rFonts w:ascii="宋体" w:hAnsi="宋体" w:cs="宋体" w:eastAsia="宋体" w:hint="default"/>
          <w:spacing w:val="-60"/>
        </w:rPr>
        <w:t> </w:t>
      </w:r>
      <w:r>
        <w:rPr/>
        <w:t>月任公司</w:t>
      </w:r>
    </w:p>
    <w:p>
      <w:pPr>
        <w:pStyle w:val="BodyText"/>
        <w:spacing w:line="240" w:lineRule="auto" w:before="145"/>
        <w:ind w:right="996"/>
        <w:jc w:val="left"/>
      </w:pPr>
      <w:r>
        <w:rPr/>
        <w:t>董事兼副总经理；</w:t>
      </w:r>
      <w:r>
        <w:rPr>
          <w:rFonts w:ascii="宋体" w:hAnsi="宋体" w:cs="宋体" w:eastAsia="宋体" w:hint="default"/>
        </w:rPr>
        <w:t>2004</w:t>
      </w:r>
      <w:r>
        <w:rPr>
          <w:rFonts w:ascii="宋体" w:hAnsi="宋体" w:cs="宋体" w:eastAsia="宋体" w:hint="default"/>
          <w:spacing w:val="-60"/>
        </w:rPr>
        <w:t> </w:t>
      </w:r>
      <w:r>
        <w:rPr/>
        <w:t>年</w:t>
      </w:r>
      <w:r>
        <w:rPr>
          <w:spacing w:val="-60"/>
        </w:rPr>
        <w:t> </w:t>
      </w:r>
      <w:r>
        <w:rPr>
          <w:rFonts w:ascii="宋体" w:hAnsi="宋体" w:cs="宋体" w:eastAsia="宋体" w:hint="default"/>
        </w:rPr>
        <w:t>2</w:t>
      </w:r>
      <w:r>
        <w:rPr>
          <w:rFonts w:ascii="宋体" w:hAnsi="宋体" w:cs="宋体" w:eastAsia="宋体" w:hint="default"/>
          <w:spacing w:val="-60"/>
        </w:rPr>
        <w:t> </w:t>
      </w:r>
      <w:r>
        <w:rPr/>
        <w:t>月至</w:t>
      </w:r>
      <w:r>
        <w:rPr>
          <w:spacing w:val="-60"/>
        </w:rPr>
        <w:t> </w:t>
      </w:r>
      <w:r>
        <w:rPr>
          <w:rFonts w:ascii="宋体" w:hAnsi="宋体" w:cs="宋体" w:eastAsia="宋体" w:hint="default"/>
        </w:rPr>
        <w:t>2004</w:t>
      </w:r>
      <w:r>
        <w:rPr>
          <w:rFonts w:ascii="宋体" w:hAnsi="宋体" w:cs="宋体" w:eastAsia="宋体" w:hint="default"/>
          <w:spacing w:val="-60"/>
        </w:rPr>
        <w:t> </w:t>
      </w:r>
      <w:r>
        <w:rPr/>
        <w:t>年</w:t>
      </w:r>
      <w:r>
        <w:rPr>
          <w:spacing w:val="-60"/>
        </w:rPr>
        <w:t> </w:t>
      </w:r>
      <w:r>
        <w:rPr>
          <w:rFonts w:ascii="宋体" w:hAnsi="宋体" w:cs="宋体" w:eastAsia="宋体" w:hint="default"/>
        </w:rPr>
        <w:t>4</w:t>
      </w:r>
      <w:r>
        <w:rPr>
          <w:rFonts w:ascii="宋体" w:hAnsi="宋体" w:cs="宋体" w:eastAsia="宋体" w:hint="default"/>
          <w:spacing w:val="-60"/>
        </w:rPr>
        <w:t> </w:t>
      </w:r>
      <w:r>
        <w:rPr/>
        <w:t>月任公司董事兼总经理；</w:t>
      </w:r>
      <w:r>
        <w:rPr>
          <w:rFonts w:ascii="宋体" w:hAnsi="宋体" w:cs="宋体" w:eastAsia="宋体" w:hint="default"/>
        </w:rPr>
        <w:t>2004</w:t>
      </w:r>
      <w:r>
        <w:rPr>
          <w:rFonts w:ascii="宋体" w:hAnsi="宋体" w:cs="宋体" w:eastAsia="宋体" w:hint="default"/>
          <w:spacing w:val="-60"/>
        </w:rPr>
        <w:t> </w:t>
      </w:r>
      <w:r>
        <w:rPr/>
        <w:t>年</w:t>
      </w:r>
      <w:r>
        <w:rPr>
          <w:spacing w:val="-60"/>
        </w:rPr>
        <w:t> </w:t>
      </w:r>
      <w:r>
        <w:rPr>
          <w:rFonts w:ascii="宋体" w:hAnsi="宋体" w:cs="宋体" w:eastAsia="宋体" w:hint="default"/>
        </w:rPr>
        <w:t>4</w:t>
      </w:r>
      <w:r>
        <w:rPr>
          <w:rFonts w:ascii="宋体" w:hAnsi="宋体" w:cs="宋体" w:eastAsia="宋体" w:hint="default"/>
          <w:spacing w:val="-60"/>
        </w:rPr>
        <w:t> </w:t>
      </w:r>
      <w:r>
        <w:rPr/>
        <w:t>月至</w:t>
      </w:r>
      <w:r>
        <w:rPr>
          <w:spacing w:val="-60"/>
        </w:rPr>
        <w:t> </w:t>
      </w:r>
      <w:r>
        <w:rPr>
          <w:rFonts w:ascii="宋体" w:hAnsi="宋体" w:cs="宋体" w:eastAsia="宋体" w:hint="default"/>
        </w:rPr>
        <w:t>2010</w:t>
      </w:r>
      <w:r>
        <w:rPr>
          <w:rFonts w:ascii="宋体" w:hAnsi="宋体" w:cs="宋体" w:eastAsia="宋体" w:hint="default"/>
          <w:spacing w:val="-60"/>
        </w:rPr>
        <w:t> </w:t>
      </w:r>
      <w:r>
        <w:rPr/>
        <w:t>年</w:t>
      </w:r>
    </w:p>
    <w:p>
      <w:pPr>
        <w:pStyle w:val="BodyText"/>
        <w:spacing w:line="240" w:lineRule="auto" w:before="145"/>
        <w:ind w:right="996"/>
        <w:jc w:val="left"/>
      </w:pPr>
      <w:r>
        <w:rPr>
          <w:rFonts w:ascii="宋体" w:hAnsi="宋体" w:cs="宋体" w:eastAsia="宋体" w:hint="default"/>
        </w:rPr>
        <w:t>12</w:t>
      </w:r>
      <w:r>
        <w:rPr>
          <w:rFonts w:ascii="宋体" w:hAnsi="宋体" w:cs="宋体" w:eastAsia="宋体" w:hint="default"/>
          <w:spacing w:val="-62"/>
        </w:rPr>
        <w:t> </w:t>
      </w:r>
      <w:r>
        <w:rPr>
          <w:spacing w:val="-3"/>
        </w:rPr>
        <w:t>月任公司总经理；</w:t>
      </w:r>
      <w:r>
        <w:rPr>
          <w:rFonts w:ascii="宋体" w:hAnsi="宋体" w:cs="宋体" w:eastAsia="宋体" w:hint="default"/>
          <w:spacing w:val="-3"/>
        </w:rPr>
        <w:t>2010</w:t>
      </w:r>
      <w:r>
        <w:rPr>
          <w:rFonts w:ascii="宋体" w:hAnsi="宋体" w:cs="宋体" w:eastAsia="宋体" w:hint="default"/>
          <w:spacing w:val="-62"/>
        </w:rPr>
        <w:t> </w:t>
      </w:r>
      <w:r>
        <w:rPr/>
        <w:t>年</w:t>
      </w:r>
      <w:r>
        <w:rPr>
          <w:spacing w:val="-62"/>
        </w:rPr>
        <w:t> </w:t>
      </w:r>
      <w:r>
        <w:rPr>
          <w:rFonts w:ascii="宋体" w:hAnsi="宋体" w:cs="宋体" w:eastAsia="宋体" w:hint="default"/>
        </w:rPr>
        <w:t>12</w:t>
      </w:r>
      <w:r>
        <w:rPr>
          <w:rFonts w:ascii="宋体" w:hAnsi="宋体" w:cs="宋体" w:eastAsia="宋体" w:hint="default"/>
          <w:spacing w:val="-62"/>
        </w:rPr>
        <w:t> </w:t>
      </w:r>
      <w:r>
        <w:rPr>
          <w:spacing w:val="-3"/>
        </w:rPr>
        <w:t>月至今任公司董事；</w:t>
      </w:r>
      <w:r>
        <w:rPr>
          <w:rFonts w:ascii="宋体" w:hAnsi="宋体" w:cs="宋体" w:eastAsia="宋体" w:hint="default"/>
          <w:spacing w:val="-3"/>
        </w:rPr>
        <w:t>2014</w:t>
      </w:r>
      <w:r>
        <w:rPr>
          <w:rFonts w:ascii="宋体" w:hAnsi="宋体" w:cs="宋体" w:eastAsia="宋体" w:hint="default"/>
          <w:spacing w:val="-62"/>
        </w:rPr>
        <w:t> </w:t>
      </w:r>
      <w:r>
        <w:rPr/>
        <w:t>年</w:t>
      </w:r>
      <w:r>
        <w:rPr>
          <w:spacing w:val="-62"/>
        </w:rPr>
        <w:t> </w:t>
      </w:r>
      <w:r>
        <w:rPr>
          <w:rFonts w:ascii="宋体" w:hAnsi="宋体" w:cs="宋体" w:eastAsia="宋体" w:hint="default"/>
        </w:rPr>
        <w:t>2</w:t>
      </w:r>
      <w:r>
        <w:rPr>
          <w:rFonts w:ascii="宋体" w:hAnsi="宋体" w:cs="宋体" w:eastAsia="宋体" w:hint="default"/>
          <w:spacing w:val="-62"/>
        </w:rPr>
        <w:t> </w:t>
      </w:r>
      <w:r>
        <w:rPr/>
        <w:t>月至今任公司总经理。</w:t>
      </w:r>
      <w:r>
        <w:rPr>
          <w:rFonts w:ascii="宋体" w:hAnsi="宋体" w:cs="宋体" w:eastAsia="宋体" w:hint="default"/>
        </w:rPr>
        <w:t>2006</w:t>
      </w:r>
      <w:r>
        <w:rPr>
          <w:rFonts w:ascii="宋体" w:hAnsi="宋体" w:cs="宋体" w:eastAsia="宋体" w:hint="default"/>
          <w:spacing w:val="-62"/>
        </w:rPr>
        <w:t> </w:t>
      </w:r>
      <w:r>
        <w:rPr/>
        <w:t>年</w:t>
      </w:r>
    </w:p>
    <w:p>
      <w:pPr>
        <w:pStyle w:val="BodyText"/>
        <w:spacing w:line="240" w:lineRule="auto" w:before="146"/>
        <w:ind w:right="996"/>
        <w:jc w:val="left"/>
      </w:pPr>
      <w:r>
        <w:rPr>
          <w:rFonts w:ascii="宋体" w:hAnsi="宋体" w:cs="宋体" w:eastAsia="宋体" w:hint="default"/>
        </w:rPr>
        <w:t>5</w:t>
      </w:r>
      <w:r>
        <w:rPr>
          <w:rFonts w:ascii="宋体" w:hAnsi="宋体" w:cs="宋体" w:eastAsia="宋体" w:hint="default"/>
          <w:spacing w:val="-60"/>
        </w:rPr>
        <w:t> </w:t>
      </w:r>
      <w:r>
        <w:rPr/>
        <w:t>月至今兼任河南辉煌软件有限公司执行董事。</w:t>
      </w:r>
      <w:r>
        <w:rPr>
          <w:rFonts w:ascii="宋体" w:hAnsi="宋体" w:cs="宋体" w:eastAsia="宋体" w:hint="default"/>
        </w:rPr>
        <w:t>2014</w:t>
      </w:r>
      <w:r>
        <w:rPr>
          <w:rFonts w:ascii="宋体" w:hAnsi="宋体" w:cs="宋体" w:eastAsia="宋体" w:hint="default"/>
          <w:spacing w:val="-60"/>
        </w:rPr>
        <w:t> </w:t>
      </w:r>
      <w:r>
        <w:rPr/>
        <w:t>年</w:t>
      </w:r>
      <w:r>
        <w:rPr>
          <w:spacing w:val="-60"/>
        </w:rPr>
        <w:t> </w:t>
      </w:r>
      <w:r>
        <w:rPr>
          <w:rFonts w:ascii="宋体" w:hAnsi="宋体" w:cs="宋体" w:eastAsia="宋体" w:hint="default"/>
        </w:rPr>
        <w:t>4</w:t>
      </w:r>
      <w:r>
        <w:rPr>
          <w:rFonts w:ascii="宋体" w:hAnsi="宋体" w:cs="宋体" w:eastAsia="宋体" w:hint="default"/>
          <w:spacing w:val="-60"/>
        </w:rPr>
        <w:t> </w:t>
      </w:r>
      <w:r>
        <w:rPr/>
        <w:t>月至今任河南辉煌信通软件有限公</w:t>
      </w:r>
    </w:p>
    <w:p>
      <w:pPr>
        <w:pStyle w:val="BodyText"/>
        <w:spacing w:line="240" w:lineRule="auto" w:before="145"/>
        <w:ind w:right="996"/>
        <w:jc w:val="left"/>
      </w:pPr>
      <w:r>
        <w:rPr/>
        <w:t>司执行董事、担任北京全路信通软件科技有限公司执行董事。</w:t>
      </w:r>
      <w:r>
        <w:rPr>
          <w:rFonts w:ascii="宋体" w:hAnsi="宋体" w:cs="宋体" w:eastAsia="宋体" w:hint="default"/>
        </w:rPr>
        <w:t>2014</w:t>
      </w:r>
      <w:r>
        <w:rPr>
          <w:rFonts w:ascii="宋体" w:hAnsi="宋体" w:cs="宋体" w:eastAsia="宋体" w:hint="default"/>
          <w:spacing w:val="-60"/>
        </w:rPr>
        <w:t> </w:t>
      </w:r>
      <w:r>
        <w:rPr/>
        <w:t>年</w:t>
      </w:r>
      <w:r>
        <w:rPr>
          <w:spacing w:val="-60"/>
        </w:rPr>
        <w:t> </w:t>
      </w:r>
      <w:r>
        <w:rPr>
          <w:rFonts w:ascii="宋体" w:hAnsi="宋体" w:cs="宋体" w:eastAsia="宋体" w:hint="default"/>
        </w:rPr>
        <w:t>12</w:t>
      </w:r>
      <w:r>
        <w:rPr>
          <w:rFonts w:ascii="宋体" w:hAnsi="宋体" w:cs="宋体" w:eastAsia="宋体" w:hint="default"/>
          <w:spacing w:val="-60"/>
        </w:rPr>
        <w:t> </w:t>
      </w:r>
      <w:r>
        <w:rPr/>
        <w:t>月至</w:t>
      </w:r>
      <w:r>
        <w:rPr>
          <w:spacing w:val="-60"/>
        </w:rPr>
        <w:t> </w:t>
      </w:r>
      <w:r>
        <w:rPr>
          <w:rFonts w:ascii="宋体" w:hAnsi="宋体" w:cs="宋体" w:eastAsia="宋体" w:hint="default"/>
        </w:rPr>
        <w:t>2017</w:t>
      </w:r>
      <w:r>
        <w:rPr>
          <w:rFonts w:ascii="宋体" w:hAnsi="宋体" w:cs="宋体" w:eastAsia="宋体" w:hint="default"/>
          <w:spacing w:val="-60"/>
        </w:rPr>
        <w:t> </w:t>
      </w:r>
      <w:r>
        <w:rPr/>
        <w:t>年</w:t>
      </w:r>
      <w:r>
        <w:rPr>
          <w:spacing w:val="-60"/>
        </w:rPr>
        <w:t> </w:t>
      </w:r>
      <w:r>
        <w:rPr>
          <w:rFonts w:ascii="宋体" w:hAnsi="宋体" w:cs="宋体" w:eastAsia="宋体" w:hint="default"/>
        </w:rPr>
        <w:t>10</w:t>
      </w:r>
      <w:r>
        <w:rPr>
          <w:rFonts w:ascii="宋体" w:hAnsi="宋体" w:cs="宋体" w:eastAsia="宋体" w:hint="default"/>
          <w:spacing w:val="-60"/>
        </w:rPr>
        <w:t> </w:t>
      </w:r>
      <w:r>
        <w:rPr/>
        <w:t>月</w:t>
      </w:r>
    </w:p>
    <w:p>
      <w:pPr>
        <w:pStyle w:val="BodyText"/>
        <w:spacing w:line="352" w:lineRule="auto" w:before="145"/>
        <w:ind w:right="1213"/>
        <w:jc w:val="left"/>
      </w:pPr>
      <w:r>
        <w:rPr/>
        <w:t>任飞天联合（北京）系统技术有限公司董事。</w:t>
      </w:r>
      <w:r>
        <w:rPr>
          <w:rFonts w:ascii="宋体" w:hAnsi="宋体" w:cs="宋体" w:eastAsia="宋体" w:hint="default"/>
        </w:rPr>
        <w:t>2015</w:t>
      </w:r>
      <w:r>
        <w:rPr>
          <w:rFonts w:ascii="宋体" w:hAnsi="宋体" w:cs="宋体" w:eastAsia="宋体" w:hint="default"/>
          <w:spacing w:val="-60"/>
        </w:rPr>
        <w:t> </w:t>
      </w:r>
      <w:r>
        <w:rPr/>
        <w:t>年</w:t>
      </w:r>
      <w:r>
        <w:rPr>
          <w:spacing w:val="-60"/>
        </w:rPr>
        <w:t> </w:t>
      </w:r>
      <w:r>
        <w:rPr>
          <w:rFonts w:ascii="宋体" w:hAnsi="宋体" w:cs="宋体" w:eastAsia="宋体" w:hint="default"/>
        </w:rPr>
        <w:t>7</w:t>
      </w:r>
      <w:r>
        <w:rPr>
          <w:rFonts w:ascii="宋体" w:hAnsi="宋体" w:cs="宋体" w:eastAsia="宋体" w:hint="default"/>
          <w:spacing w:val="-60"/>
        </w:rPr>
        <w:t> </w:t>
      </w:r>
      <w:r>
        <w:rPr/>
        <w:t>月至</w:t>
      </w:r>
      <w:r>
        <w:rPr>
          <w:spacing w:val="-60"/>
        </w:rPr>
        <w:t> </w:t>
      </w:r>
      <w:r>
        <w:rPr>
          <w:rFonts w:ascii="宋体" w:hAnsi="宋体" w:cs="宋体" w:eastAsia="宋体" w:hint="default"/>
        </w:rPr>
        <w:t>2017</w:t>
      </w:r>
      <w:r>
        <w:rPr>
          <w:rFonts w:ascii="宋体" w:hAnsi="宋体" w:cs="宋体" w:eastAsia="宋体" w:hint="default"/>
          <w:spacing w:val="-60"/>
        </w:rPr>
        <w:t> </w:t>
      </w:r>
      <w:r>
        <w:rPr/>
        <w:t>年</w:t>
      </w:r>
      <w:r>
        <w:rPr>
          <w:spacing w:val="-60"/>
        </w:rPr>
        <w:t> </w:t>
      </w:r>
      <w:r>
        <w:rPr>
          <w:rFonts w:ascii="宋体" w:hAnsi="宋体" w:cs="宋体" w:eastAsia="宋体" w:hint="default"/>
        </w:rPr>
        <w:t>5</w:t>
      </w:r>
      <w:r>
        <w:rPr>
          <w:rFonts w:ascii="宋体" w:hAnsi="宋体" w:cs="宋体" w:eastAsia="宋体" w:hint="default"/>
          <w:spacing w:val="-60"/>
        </w:rPr>
        <w:t> </w:t>
      </w:r>
      <w:r>
        <w:rPr/>
        <w:t>月担任北京赛弗网络 科技有限责任公司董事。</w:t>
      </w:r>
    </w:p>
    <w:p>
      <w:pPr>
        <w:pStyle w:val="BodyText"/>
        <w:spacing w:line="350" w:lineRule="auto" w:before="32"/>
        <w:ind w:right="1170" w:firstLine="480"/>
        <w:jc w:val="both"/>
      </w:pPr>
      <w:r>
        <w:rPr/>
        <w:t>（</w:t>
      </w:r>
      <w:r>
        <w:rPr>
          <w:rFonts w:ascii="宋体" w:hAnsi="宋体" w:cs="宋体" w:eastAsia="宋体" w:hint="default"/>
        </w:rPr>
        <w:t>3</w:t>
      </w:r>
      <w:r>
        <w:rPr/>
        <w:t>）郑建彪先生，</w:t>
      </w:r>
      <w:r>
        <w:rPr>
          <w:rFonts w:ascii="宋体" w:hAnsi="宋体" w:cs="宋体" w:eastAsia="宋体" w:hint="default"/>
        </w:rPr>
        <w:t>54</w:t>
      </w:r>
      <w:r>
        <w:rPr>
          <w:rFonts w:ascii="宋体" w:hAnsi="宋体" w:cs="宋体" w:eastAsia="宋体" w:hint="default"/>
          <w:spacing w:val="-60"/>
        </w:rPr>
        <w:t> </w:t>
      </w:r>
      <w:r>
        <w:rPr/>
        <w:t>岁，经济学硕士</w:t>
      </w:r>
      <w:r>
        <w:rPr>
          <w:rFonts w:ascii="宋体" w:hAnsi="宋体" w:cs="宋体" w:eastAsia="宋体" w:hint="default"/>
        </w:rPr>
        <w:t>/</w:t>
      </w:r>
      <w:r>
        <w:rPr/>
        <w:t>工商管理硕士学位</w:t>
      </w:r>
      <w:r>
        <w:rPr>
          <w:rFonts w:ascii="宋体" w:hAnsi="宋体" w:cs="宋体" w:eastAsia="宋体" w:hint="default"/>
        </w:rPr>
        <w:t>,</w:t>
      </w:r>
      <w:r>
        <w:rPr/>
        <w:t>高级会计师、注册会计师， 中共党员。历任：北京市财政局干部、深圳蛇口中华会计师事务所经理、京都会计师事务所 副主任；现任致同会计师事务所合伙人、中国证监会第三届上市公司并购重组专家咨询委员 会专家委员、南方基金管理有限公司独立董事、北京东方中科集成科技股份有限公司独立董 事；现任辉煌科技独立董事。</w:t>
      </w:r>
    </w:p>
    <w:p>
      <w:pPr>
        <w:pStyle w:val="BodyText"/>
        <w:spacing w:line="350" w:lineRule="auto"/>
        <w:ind w:right="1132" w:firstLine="480"/>
        <w:jc w:val="both"/>
        <w:rPr>
          <w:rFonts w:ascii="宋体" w:hAnsi="宋体" w:cs="宋体" w:eastAsia="宋体" w:hint="default"/>
        </w:rPr>
      </w:pPr>
      <w:r>
        <w:rPr/>
        <w:t>（</w:t>
      </w:r>
      <w:r>
        <w:rPr>
          <w:rFonts w:ascii="宋体" w:hAnsi="宋体" w:cs="宋体" w:eastAsia="宋体" w:hint="default"/>
        </w:rPr>
        <w:t>4</w:t>
      </w:r>
      <w:r>
        <w:rPr/>
        <w:t>）康斌生先生，</w:t>
      </w:r>
      <w:r>
        <w:rPr>
          <w:rFonts w:ascii="宋体" w:hAnsi="宋体" w:cs="宋体" w:eastAsia="宋体" w:hint="default"/>
        </w:rPr>
        <w:t>51</w:t>
      </w:r>
      <w:r>
        <w:rPr>
          <w:rFonts w:ascii="宋体" w:hAnsi="宋体" w:cs="宋体" w:eastAsia="宋体" w:hint="default"/>
          <w:spacing w:val="-69"/>
        </w:rPr>
        <w:t> </w:t>
      </w:r>
      <w:r>
        <w:rPr/>
        <w:t>岁，硕士，高级工程师，清华大学首届</w:t>
      </w:r>
      <w:r>
        <w:rPr>
          <w:spacing w:val="-69"/>
        </w:rPr>
        <w:t> </w:t>
      </w:r>
      <w:r>
        <w:rPr>
          <w:rFonts w:ascii="宋体" w:hAnsi="宋体" w:cs="宋体" w:eastAsia="宋体" w:hint="default"/>
        </w:rPr>
        <w:t>EMBA</w:t>
      </w:r>
      <w:r>
        <w:rPr/>
        <w:t>，中共党员。</w:t>
      </w:r>
      <w:r>
        <w:rPr>
          <w:rFonts w:ascii="宋体" w:hAnsi="宋体" w:cs="宋体" w:eastAsia="宋体" w:hint="default"/>
        </w:rPr>
        <w:t>1990</w:t>
      </w:r>
      <w:r>
        <w:rPr>
          <w:rFonts w:ascii="宋体" w:hAnsi="宋体" w:cs="宋体" w:eastAsia="宋体" w:hint="default"/>
          <w:spacing w:val="-68"/>
        </w:rPr>
        <w:t> </w:t>
      </w:r>
      <w:r>
        <w:rPr/>
        <w:t>年 至 </w:t>
      </w:r>
      <w:r>
        <w:rPr>
          <w:rFonts w:ascii="宋体" w:hAnsi="宋体" w:cs="宋体" w:eastAsia="宋体" w:hint="default"/>
        </w:rPr>
        <w:t>2014</w:t>
      </w:r>
      <w:r>
        <w:rPr>
          <w:rFonts w:ascii="宋体" w:hAnsi="宋体" w:cs="宋体" w:eastAsia="宋体" w:hint="default"/>
          <w:spacing w:val="-96"/>
        </w:rPr>
        <w:t> </w:t>
      </w:r>
      <w:r>
        <w:rPr>
          <w:spacing w:val="-3"/>
        </w:rPr>
        <w:t>年曾先后在北京录音机厂、松下电器（中国）有限公司、同方威视股份有限公司、易</w:t>
      </w:r>
      <w:r>
        <w:rPr/>
        <w:t> </w:t>
      </w:r>
      <w:r>
        <w:rPr>
          <w:spacing w:val="-5"/>
        </w:rPr>
        <w:t>程科技股份有限公司工作，</w:t>
      </w:r>
      <w:r>
        <w:rPr>
          <w:rFonts w:ascii="宋体" w:hAnsi="宋体" w:cs="宋体" w:eastAsia="宋体" w:hint="default"/>
          <w:spacing w:val="-5"/>
        </w:rPr>
        <w:t>2014</w:t>
      </w:r>
      <w:r>
        <w:rPr>
          <w:rFonts w:ascii="宋体" w:hAnsi="宋体" w:cs="宋体" w:eastAsia="宋体" w:hint="default"/>
          <w:spacing w:val="-49"/>
        </w:rPr>
        <w:t> </w:t>
      </w:r>
      <w:r>
        <w:rPr/>
        <w:t>年</w:t>
      </w:r>
      <w:r>
        <w:rPr>
          <w:spacing w:val="-49"/>
        </w:rPr>
        <w:t> </w:t>
      </w:r>
      <w:r>
        <w:rPr>
          <w:rFonts w:ascii="宋体" w:hAnsi="宋体" w:cs="宋体" w:eastAsia="宋体" w:hint="default"/>
        </w:rPr>
        <w:t>7</w:t>
      </w:r>
      <w:r>
        <w:rPr>
          <w:rFonts w:ascii="宋体" w:hAnsi="宋体" w:cs="宋体" w:eastAsia="宋体" w:hint="default"/>
          <w:spacing w:val="-49"/>
        </w:rPr>
        <w:t> </w:t>
      </w:r>
      <w:r>
        <w:rPr>
          <w:spacing w:val="-8"/>
        </w:rPr>
        <w:t>月至今担任中科天艺（北京）科技有限公司董事长，</w:t>
      </w:r>
      <w:r>
        <w:rPr>
          <w:rFonts w:ascii="宋体" w:hAnsi="宋体" w:cs="宋体" w:eastAsia="宋体" w:hint="default"/>
          <w:spacing w:val="-8"/>
        </w:rPr>
        <w:t>2015</w:t>
      </w:r>
    </w:p>
    <w:p>
      <w:pPr>
        <w:spacing w:after="0" w:line="350" w:lineRule="auto"/>
        <w:jc w:val="both"/>
        <w:rPr>
          <w:rFonts w:ascii="宋体" w:hAnsi="宋体" w:cs="宋体" w:eastAsia="宋体" w:hint="default"/>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240" w:lineRule="auto" w:before="199"/>
        <w:ind w:right="996"/>
        <w:jc w:val="left"/>
      </w:pPr>
      <w:r>
        <w:rPr/>
        <w:t>年</w:t>
      </w:r>
      <w:r>
        <w:rPr>
          <w:spacing w:val="-60"/>
        </w:rPr>
        <w:t> </w:t>
      </w:r>
      <w:r>
        <w:rPr>
          <w:rFonts w:ascii="宋体" w:hAnsi="宋体" w:cs="宋体" w:eastAsia="宋体" w:hint="default"/>
        </w:rPr>
        <w:t>7</w:t>
      </w:r>
      <w:r>
        <w:rPr>
          <w:rFonts w:ascii="宋体" w:hAnsi="宋体" w:cs="宋体" w:eastAsia="宋体" w:hint="default"/>
          <w:spacing w:val="-60"/>
        </w:rPr>
        <w:t> </w:t>
      </w:r>
      <w:r>
        <w:rPr/>
        <w:t>月至今担任清谊汇（北京）科技有限公司董事长兼</w:t>
      </w:r>
      <w:r>
        <w:rPr>
          <w:spacing w:val="-60"/>
        </w:rPr>
        <w:t> </w:t>
      </w:r>
      <w:r>
        <w:rPr>
          <w:rFonts w:ascii="宋体" w:hAnsi="宋体" w:cs="宋体" w:eastAsia="宋体" w:hint="default"/>
        </w:rPr>
        <w:t>CEO</w:t>
      </w:r>
      <w:r>
        <w:rPr/>
        <w:t>；现任辉煌科技独立董事。</w:t>
      </w:r>
    </w:p>
    <w:p>
      <w:pPr>
        <w:pStyle w:val="BodyText"/>
        <w:spacing w:line="352" w:lineRule="auto" w:before="145"/>
        <w:ind w:right="995" w:firstLine="480"/>
        <w:jc w:val="left"/>
      </w:pPr>
      <w:r>
        <w:rPr>
          <w:spacing w:val="-3"/>
        </w:rPr>
        <w:t>（</w:t>
      </w:r>
      <w:r>
        <w:rPr>
          <w:rFonts w:ascii="宋体" w:hAnsi="宋体" w:cs="宋体" w:eastAsia="宋体" w:hint="default"/>
          <w:spacing w:val="-3"/>
        </w:rPr>
        <w:t>5</w:t>
      </w:r>
      <w:r>
        <w:rPr>
          <w:spacing w:val="-3"/>
        </w:rPr>
        <w:t>）张宇锋先生，</w:t>
      </w:r>
      <w:r>
        <w:rPr>
          <w:rFonts w:ascii="宋体" w:hAnsi="宋体" w:cs="宋体" w:eastAsia="宋体" w:hint="default"/>
          <w:spacing w:val="-3"/>
        </w:rPr>
        <w:t>55</w:t>
      </w:r>
      <w:r>
        <w:rPr>
          <w:rFonts w:ascii="宋体" w:hAnsi="宋体" w:cs="宋体" w:eastAsia="宋体" w:hint="default"/>
          <w:spacing w:val="-59"/>
        </w:rPr>
        <w:t> </w:t>
      </w:r>
      <w:r>
        <w:rPr>
          <w:spacing w:val="-3"/>
        </w:rPr>
        <w:t>岁，硕士，经济师，律师，中共党员。</w:t>
      </w:r>
      <w:r>
        <w:rPr>
          <w:rFonts w:ascii="宋体" w:hAnsi="宋体" w:cs="宋体" w:eastAsia="宋体" w:hint="default"/>
          <w:spacing w:val="-3"/>
        </w:rPr>
        <w:t>1989</w:t>
      </w:r>
      <w:r>
        <w:rPr>
          <w:rFonts w:ascii="宋体" w:hAnsi="宋体" w:cs="宋体" w:eastAsia="宋体" w:hint="default"/>
          <w:spacing w:val="-59"/>
        </w:rPr>
        <w:t> </w:t>
      </w:r>
      <w:r>
        <w:rPr/>
        <w:t>年至</w:t>
      </w:r>
      <w:r>
        <w:rPr>
          <w:spacing w:val="-59"/>
        </w:rPr>
        <w:t> </w:t>
      </w:r>
      <w:r>
        <w:rPr>
          <w:rFonts w:ascii="宋体" w:hAnsi="宋体" w:cs="宋体" w:eastAsia="宋体" w:hint="default"/>
        </w:rPr>
        <w:t>1999</w:t>
      </w:r>
      <w:r>
        <w:rPr>
          <w:rFonts w:ascii="宋体" w:hAnsi="宋体" w:cs="宋体" w:eastAsia="宋体" w:hint="default"/>
          <w:spacing w:val="-59"/>
        </w:rPr>
        <w:t> </w:t>
      </w:r>
      <w:r>
        <w:rPr/>
        <w:t>年先后在中 纪委驻卫生部纪检组、中国康华房地产开发公司、中国建筑工程总公司进出口部从事行政管 理、房地产开发、进出口贸易等工作。</w:t>
      </w:r>
      <w:r>
        <w:rPr>
          <w:rFonts w:ascii="宋体" w:hAnsi="宋体" w:cs="宋体" w:eastAsia="宋体" w:hint="default"/>
        </w:rPr>
        <w:t>1999</w:t>
      </w:r>
      <w:r>
        <w:rPr>
          <w:rFonts w:ascii="宋体" w:hAnsi="宋体" w:cs="宋体" w:eastAsia="宋体" w:hint="default"/>
          <w:spacing w:val="-68"/>
        </w:rPr>
        <w:t> </w:t>
      </w:r>
      <w:r>
        <w:rPr/>
        <w:t>年至今任北京市华城律师事务所创始合伙人。现 </w:t>
      </w:r>
      <w:r>
        <w:rPr>
          <w:spacing w:val="-2"/>
        </w:rPr>
        <w:t>兼任中国政法大学金融法研究中心研究员，中国政法大学国际银行法律实务研究中心研究员，</w:t>
      </w:r>
      <w:r>
        <w:rPr/>
        <w:t> 中国贸促会、中国国际商会调解中心商事调解员、广州仲裁委员会仲裁员、武汉仲裁委员会 仲裁员、无锡仲裁委员会仲裁员、中国保健协会常务理事兼副秘书长、中华全国律师协会金 融证券保险专业委员会委员，廊坊银行、神州长城股份有限公司和德展大健康股份有限公司 的独立董事，互联网金融安全专家顾问委员会委员等职务；现任辉煌科技独立董事。</w:t>
      </w:r>
    </w:p>
    <w:p>
      <w:pPr>
        <w:pStyle w:val="BodyText"/>
        <w:spacing w:line="240" w:lineRule="auto" w:before="32"/>
        <w:ind w:left="633" w:right="996"/>
        <w:jc w:val="left"/>
      </w:pPr>
      <w:r>
        <w:rPr>
          <w:rFonts w:ascii="宋体" w:hAnsi="宋体" w:cs="宋体" w:eastAsia="宋体" w:hint="default"/>
        </w:rPr>
        <w:t>2</w:t>
      </w:r>
      <w:r>
        <w:rPr/>
        <w:t>、监事</w:t>
      </w:r>
    </w:p>
    <w:p>
      <w:pPr>
        <w:pStyle w:val="BodyText"/>
        <w:spacing w:line="352" w:lineRule="auto" w:before="145"/>
        <w:ind w:right="1153" w:firstLine="480"/>
        <w:jc w:val="left"/>
      </w:pPr>
      <w:r>
        <w:rPr/>
        <w:t>（</w:t>
      </w:r>
      <w:r>
        <w:rPr>
          <w:rFonts w:ascii="宋体" w:hAnsi="宋体" w:cs="宋体" w:eastAsia="宋体" w:hint="default"/>
        </w:rPr>
        <w:t>1</w:t>
      </w:r>
      <w:r>
        <w:rPr/>
        <w:t>）郭治国先生，</w:t>
      </w:r>
      <w:r>
        <w:rPr>
          <w:rFonts w:ascii="宋体" w:hAnsi="宋体" w:cs="宋体" w:eastAsia="宋体" w:hint="default"/>
        </w:rPr>
        <w:t>41</w:t>
      </w:r>
      <w:r>
        <w:rPr>
          <w:rFonts w:ascii="宋体" w:hAnsi="宋体" w:cs="宋体" w:eastAsia="宋体" w:hint="default"/>
          <w:spacing w:val="-60"/>
        </w:rPr>
        <w:t> </w:t>
      </w:r>
      <w:r>
        <w:rPr/>
        <w:t>岁，武汉大学计算机科学工程硕士、高级工程师。</w:t>
      </w:r>
      <w:r>
        <w:rPr>
          <w:rFonts w:ascii="宋体" w:hAnsi="宋体" w:cs="宋体" w:eastAsia="宋体" w:hint="default"/>
        </w:rPr>
        <w:t>2000</w:t>
      </w:r>
      <w:r>
        <w:rPr>
          <w:rFonts w:ascii="宋体" w:hAnsi="宋体" w:cs="宋体" w:eastAsia="宋体" w:hint="default"/>
          <w:spacing w:val="-60"/>
        </w:rPr>
        <w:t> </w:t>
      </w:r>
      <w:r>
        <w:rPr/>
        <w:t>年至今历 任公司项目经理、总工程师助理、副总工程师、总经理助理；现任公司监事会主席。</w:t>
      </w:r>
    </w:p>
    <w:p>
      <w:pPr>
        <w:pStyle w:val="BodyText"/>
        <w:spacing w:line="350" w:lineRule="auto" w:before="32"/>
        <w:ind w:right="996" w:firstLine="480"/>
        <w:jc w:val="left"/>
      </w:pPr>
      <w:r>
        <w:rPr>
          <w:spacing w:val="-4"/>
        </w:rPr>
        <w:t>（</w:t>
      </w:r>
      <w:r>
        <w:rPr>
          <w:rFonts w:ascii="宋体" w:hAnsi="宋体" w:cs="宋体" w:eastAsia="宋体" w:hint="default"/>
          <w:spacing w:val="-4"/>
        </w:rPr>
        <w:t>2</w:t>
      </w:r>
      <w:r>
        <w:rPr>
          <w:spacing w:val="-4"/>
        </w:rPr>
        <w:t>）黄继军先生，</w:t>
      </w:r>
      <w:r>
        <w:rPr>
          <w:rFonts w:ascii="宋体" w:hAnsi="宋体" w:cs="宋体" w:eastAsia="宋体" w:hint="default"/>
          <w:spacing w:val="-4"/>
        </w:rPr>
        <w:t>48</w:t>
      </w:r>
      <w:r>
        <w:rPr>
          <w:rFonts w:ascii="宋体" w:hAnsi="宋体" w:cs="宋体" w:eastAsia="宋体" w:hint="default"/>
          <w:spacing w:val="-59"/>
        </w:rPr>
        <w:t> </w:t>
      </w:r>
      <w:r>
        <w:rPr>
          <w:spacing w:val="-3"/>
        </w:rPr>
        <w:t>岁，本科学历，助理工程师。</w:t>
      </w:r>
      <w:r>
        <w:rPr>
          <w:rFonts w:ascii="宋体" w:hAnsi="宋体" w:cs="宋体" w:eastAsia="宋体" w:hint="default"/>
          <w:spacing w:val="-3"/>
        </w:rPr>
        <w:t>2001</w:t>
      </w:r>
      <w:r>
        <w:rPr>
          <w:rFonts w:ascii="宋体" w:hAnsi="宋体" w:cs="宋体" w:eastAsia="宋体" w:hint="default"/>
          <w:spacing w:val="-59"/>
        </w:rPr>
        <w:t> </w:t>
      </w:r>
      <w:r>
        <w:rPr/>
        <w:t>年</w:t>
      </w:r>
      <w:r>
        <w:rPr>
          <w:spacing w:val="-59"/>
        </w:rPr>
        <w:t> </w:t>
      </w:r>
      <w:r>
        <w:rPr>
          <w:rFonts w:ascii="宋体" w:hAnsi="宋体" w:cs="宋体" w:eastAsia="宋体" w:hint="default"/>
        </w:rPr>
        <w:t>10</w:t>
      </w:r>
      <w:r>
        <w:rPr>
          <w:rFonts w:ascii="宋体" w:hAnsi="宋体" w:cs="宋体" w:eastAsia="宋体" w:hint="default"/>
          <w:spacing w:val="-59"/>
        </w:rPr>
        <w:t> </w:t>
      </w:r>
      <w:r>
        <w:rPr/>
        <w:t>月至今任公司职工代表监 </w:t>
      </w:r>
      <w:r>
        <w:rPr>
          <w:spacing w:val="-3"/>
        </w:rPr>
        <w:t>事，现兼任公司物资部经理。最近五年无在其他公司担任董事、监事、高级管理人员的情况。</w:t>
      </w:r>
    </w:p>
    <w:p>
      <w:pPr>
        <w:pStyle w:val="BodyText"/>
        <w:spacing w:line="350" w:lineRule="auto"/>
        <w:ind w:right="1132" w:firstLine="480"/>
        <w:jc w:val="both"/>
      </w:pPr>
      <w:r>
        <w:rPr>
          <w:spacing w:val="-4"/>
        </w:rPr>
        <w:t>（</w:t>
      </w:r>
      <w:r>
        <w:rPr>
          <w:rFonts w:ascii="宋体" w:hAnsi="宋体" w:cs="宋体" w:eastAsia="宋体" w:hint="default"/>
          <w:spacing w:val="-4"/>
        </w:rPr>
        <w:t>3</w:t>
      </w:r>
      <w:r>
        <w:rPr>
          <w:spacing w:val="-4"/>
        </w:rPr>
        <w:t>）郝恩元先生，</w:t>
      </w:r>
      <w:r>
        <w:rPr>
          <w:rFonts w:ascii="宋体" w:hAnsi="宋体" w:cs="宋体" w:eastAsia="宋体" w:hint="default"/>
          <w:spacing w:val="-4"/>
        </w:rPr>
        <w:t>42</w:t>
      </w:r>
      <w:r>
        <w:rPr>
          <w:rFonts w:ascii="宋体" w:hAnsi="宋体" w:cs="宋体" w:eastAsia="宋体" w:hint="default"/>
          <w:spacing w:val="-55"/>
        </w:rPr>
        <w:t> </w:t>
      </w:r>
      <w:r>
        <w:rPr>
          <w:spacing w:val="-3"/>
        </w:rPr>
        <w:t>岁，郑州大学本科学历，中级会计师。</w:t>
      </w:r>
      <w:r>
        <w:rPr>
          <w:rFonts w:ascii="宋体" w:hAnsi="宋体" w:cs="宋体" w:eastAsia="宋体" w:hint="default"/>
          <w:spacing w:val="-3"/>
        </w:rPr>
        <w:t>2001</w:t>
      </w:r>
      <w:r>
        <w:rPr>
          <w:rFonts w:ascii="宋体" w:hAnsi="宋体" w:cs="宋体" w:eastAsia="宋体" w:hint="default"/>
          <w:spacing w:val="-55"/>
        </w:rPr>
        <w:t> </w:t>
      </w:r>
      <w:r>
        <w:rPr/>
        <w:t>年</w:t>
      </w:r>
      <w:r>
        <w:rPr>
          <w:spacing w:val="-55"/>
        </w:rPr>
        <w:t> </w:t>
      </w:r>
      <w:r>
        <w:rPr>
          <w:rFonts w:ascii="宋体" w:hAnsi="宋体" w:cs="宋体" w:eastAsia="宋体" w:hint="default"/>
        </w:rPr>
        <w:t>10</w:t>
      </w:r>
      <w:r>
        <w:rPr>
          <w:rFonts w:ascii="宋体" w:hAnsi="宋体" w:cs="宋体" w:eastAsia="宋体" w:hint="default"/>
          <w:spacing w:val="-55"/>
        </w:rPr>
        <w:t> </w:t>
      </w:r>
      <w:r>
        <w:rPr/>
        <w:t>月至今任公司职 工代表监事；现兼任本公司财务部会计。最近五年无在其他公司担任董事、监事、高级管理 人员的情况。</w:t>
      </w:r>
    </w:p>
    <w:p>
      <w:pPr>
        <w:pStyle w:val="BodyText"/>
        <w:spacing w:line="240" w:lineRule="auto"/>
        <w:ind w:left="633" w:right="996"/>
        <w:jc w:val="left"/>
      </w:pPr>
      <w:r>
        <w:rPr>
          <w:rFonts w:ascii="宋体" w:hAnsi="宋体" w:cs="宋体" w:eastAsia="宋体" w:hint="default"/>
        </w:rPr>
        <w:t>3</w:t>
      </w:r>
      <w:r>
        <w:rPr/>
        <w:t>、高级管理人员</w:t>
      </w:r>
    </w:p>
    <w:p>
      <w:pPr>
        <w:pStyle w:val="BodyText"/>
        <w:spacing w:line="240" w:lineRule="auto" w:before="145"/>
        <w:ind w:left="634" w:right="996"/>
        <w:jc w:val="left"/>
      </w:pPr>
      <w:r>
        <w:rPr/>
        <w:t>（</w:t>
      </w:r>
      <w:r>
        <w:rPr>
          <w:rFonts w:ascii="宋体" w:hAnsi="宋体" w:cs="宋体" w:eastAsia="宋体" w:hint="default"/>
        </w:rPr>
        <w:t>1</w:t>
      </w:r>
      <w:r>
        <w:rPr/>
        <w:t>）谢春生先生，现任公司董事、总经理，其最近五年工作经历详见本节“董事</w:t>
      </w:r>
      <w:r>
        <w:rPr>
          <w:spacing w:val="-120"/>
        </w:rPr>
        <w:t>”</w:t>
      </w:r>
      <w:r>
        <w:rPr/>
        <w:t>。</w:t>
      </w:r>
    </w:p>
    <w:p>
      <w:pPr>
        <w:pStyle w:val="BodyText"/>
        <w:spacing w:line="352" w:lineRule="auto" w:before="145"/>
        <w:ind w:right="1153" w:firstLine="480"/>
        <w:jc w:val="left"/>
      </w:pPr>
      <w:r>
        <w:rPr/>
        <w:t>（</w:t>
      </w:r>
      <w:r>
        <w:rPr>
          <w:rFonts w:ascii="宋体" w:hAnsi="宋体" w:cs="宋体" w:eastAsia="宋体" w:hint="default"/>
        </w:rPr>
        <w:t>2</w:t>
      </w:r>
      <w:r>
        <w:rPr/>
        <w:t>）杜旭升先生，</w:t>
      </w:r>
      <w:r>
        <w:rPr>
          <w:rFonts w:ascii="宋体" w:hAnsi="宋体" w:cs="宋体" w:eastAsia="宋体" w:hint="default"/>
        </w:rPr>
        <w:t>43</w:t>
      </w:r>
      <w:r>
        <w:rPr>
          <w:rFonts w:ascii="宋体" w:hAnsi="宋体" w:cs="宋体" w:eastAsia="宋体" w:hint="default"/>
          <w:spacing w:val="-60"/>
        </w:rPr>
        <w:t> </w:t>
      </w:r>
      <w:r>
        <w:rPr/>
        <w:t>岁，大专学历，工程师。</w:t>
      </w:r>
      <w:r>
        <w:rPr>
          <w:rFonts w:ascii="宋体" w:hAnsi="宋体" w:cs="宋体" w:eastAsia="宋体" w:hint="default"/>
        </w:rPr>
        <w:t>2001</w:t>
      </w:r>
      <w:r>
        <w:rPr>
          <w:rFonts w:ascii="宋体" w:hAnsi="宋体" w:cs="宋体" w:eastAsia="宋体" w:hint="default"/>
          <w:spacing w:val="-60"/>
        </w:rPr>
        <w:t> </w:t>
      </w:r>
      <w:r>
        <w:rPr/>
        <w:t>年至今历任公司副总工程师、常务 副总工程师、总工程师，现任公司副总经理。</w:t>
      </w:r>
    </w:p>
    <w:p>
      <w:pPr>
        <w:pStyle w:val="BodyText"/>
        <w:spacing w:line="350" w:lineRule="auto" w:before="32"/>
        <w:ind w:right="1153" w:firstLine="480"/>
        <w:jc w:val="left"/>
      </w:pPr>
      <w:r>
        <w:rPr/>
        <w:t>（</w:t>
      </w:r>
      <w:r>
        <w:rPr>
          <w:rFonts w:ascii="宋体" w:hAnsi="宋体" w:cs="宋体" w:eastAsia="宋体" w:hint="default"/>
        </w:rPr>
        <w:t>3</w:t>
      </w:r>
      <w:r>
        <w:rPr/>
        <w:t>）张奕敏女士，</w:t>
      </w:r>
      <w:r>
        <w:rPr>
          <w:rFonts w:ascii="宋体" w:hAnsi="宋体" w:cs="宋体" w:eastAsia="宋体" w:hint="default"/>
        </w:rPr>
        <w:t>44</w:t>
      </w:r>
      <w:r>
        <w:rPr>
          <w:rFonts w:ascii="宋体" w:hAnsi="宋体" w:cs="宋体" w:eastAsia="宋体" w:hint="default"/>
          <w:spacing w:val="-60"/>
        </w:rPr>
        <w:t> </w:t>
      </w:r>
      <w:r>
        <w:rPr/>
        <w:t>岁，硕士学位，工程师。</w:t>
      </w:r>
      <w:r>
        <w:rPr>
          <w:rFonts w:ascii="宋体" w:hAnsi="宋体" w:cs="宋体" w:eastAsia="宋体" w:hint="default"/>
        </w:rPr>
        <w:t>2001</w:t>
      </w:r>
      <w:r>
        <w:rPr>
          <w:rFonts w:ascii="宋体" w:hAnsi="宋体" w:cs="宋体" w:eastAsia="宋体" w:hint="default"/>
          <w:spacing w:val="-60"/>
        </w:rPr>
        <w:t> </w:t>
      </w:r>
      <w:r>
        <w:rPr/>
        <w:t>年至今历任营销总监、总裁助理、 河南辉煌城轨科技有限公司董事长，现任公司副总经理。</w:t>
      </w:r>
    </w:p>
    <w:p>
      <w:pPr>
        <w:pStyle w:val="BodyText"/>
        <w:spacing w:line="350" w:lineRule="auto"/>
        <w:ind w:right="1153" w:firstLine="480"/>
        <w:jc w:val="left"/>
      </w:pPr>
      <w:r>
        <w:rPr/>
        <w:t>（</w:t>
      </w:r>
      <w:r>
        <w:rPr>
          <w:rFonts w:ascii="宋体" w:hAnsi="宋体" w:cs="宋体" w:eastAsia="宋体" w:hint="default"/>
        </w:rPr>
        <w:t>4</w:t>
      </w:r>
      <w:r>
        <w:rPr/>
        <w:t>）侯菊艳女士，</w:t>
      </w:r>
      <w:r>
        <w:rPr>
          <w:rFonts w:ascii="宋体" w:hAnsi="宋体" w:cs="宋体" w:eastAsia="宋体" w:hint="default"/>
        </w:rPr>
        <w:t>51</w:t>
      </w:r>
      <w:r>
        <w:rPr>
          <w:rFonts w:ascii="宋体" w:hAnsi="宋体" w:cs="宋体" w:eastAsia="宋体" w:hint="default"/>
          <w:spacing w:val="-60"/>
        </w:rPr>
        <w:t> </w:t>
      </w:r>
      <w:r>
        <w:rPr/>
        <w:t>岁，本科学历，会计师。</w:t>
      </w:r>
      <w:r>
        <w:rPr>
          <w:rFonts w:ascii="宋体" w:hAnsi="宋体" w:cs="宋体" w:eastAsia="宋体" w:hint="default"/>
        </w:rPr>
        <w:t>2004</w:t>
      </w:r>
      <w:r>
        <w:rPr>
          <w:rFonts w:ascii="宋体" w:hAnsi="宋体" w:cs="宋体" w:eastAsia="宋体" w:hint="default"/>
          <w:spacing w:val="-60"/>
        </w:rPr>
        <w:t> </w:t>
      </w:r>
      <w:r>
        <w:rPr/>
        <w:t>年</w:t>
      </w:r>
      <w:r>
        <w:rPr>
          <w:spacing w:val="-60"/>
        </w:rPr>
        <w:t> </w:t>
      </w:r>
      <w:r>
        <w:rPr>
          <w:rFonts w:ascii="宋体" w:hAnsi="宋体" w:cs="宋体" w:eastAsia="宋体" w:hint="default"/>
        </w:rPr>
        <w:t>6</w:t>
      </w:r>
      <w:r>
        <w:rPr>
          <w:rFonts w:ascii="宋体" w:hAnsi="宋体" w:cs="宋体" w:eastAsia="宋体" w:hint="default"/>
          <w:spacing w:val="-60"/>
        </w:rPr>
        <w:t> </w:t>
      </w:r>
      <w:r>
        <w:rPr/>
        <w:t>月至今在本公司财务部工作， </w:t>
      </w:r>
      <w:r>
        <w:rPr>
          <w:rFonts w:ascii="宋体" w:hAnsi="宋体" w:cs="宋体" w:eastAsia="宋体" w:hint="default"/>
        </w:rPr>
        <w:t>2014</w:t>
      </w:r>
      <w:r>
        <w:rPr>
          <w:rFonts w:ascii="宋体" w:hAnsi="宋体" w:cs="宋体" w:eastAsia="宋体" w:hint="default"/>
          <w:spacing w:val="-60"/>
        </w:rPr>
        <w:t> </w:t>
      </w:r>
      <w:r>
        <w:rPr/>
        <w:t>年</w:t>
      </w:r>
      <w:r>
        <w:rPr>
          <w:spacing w:val="-60"/>
        </w:rPr>
        <w:t> </w:t>
      </w:r>
      <w:r>
        <w:rPr>
          <w:rFonts w:ascii="宋体" w:hAnsi="宋体" w:cs="宋体" w:eastAsia="宋体" w:hint="default"/>
        </w:rPr>
        <w:t>2</w:t>
      </w:r>
      <w:r>
        <w:rPr>
          <w:rFonts w:ascii="宋体" w:hAnsi="宋体" w:cs="宋体" w:eastAsia="宋体" w:hint="default"/>
          <w:spacing w:val="-60"/>
        </w:rPr>
        <w:t> </w:t>
      </w:r>
      <w:r>
        <w:rPr/>
        <w:t>月至今担任公司财务总监。</w:t>
      </w:r>
    </w:p>
    <w:p>
      <w:pPr>
        <w:pStyle w:val="BodyText"/>
        <w:spacing w:line="352" w:lineRule="auto" w:before="35"/>
        <w:ind w:right="1123" w:firstLine="480"/>
        <w:jc w:val="left"/>
      </w:pPr>
      <w:r>
        <w:rPr>
          <w:spacing w:val="-9"/>
        </w:rPr>
        <w:t>（</w:t>
      </w:r>
      <w:r>
        <w:rPr>
          <w:rFonts w:ascii="宋体" w:hAnsi="宋体" w:cs="宋体" w:eastAsia="宋体" w:hint="default"/>
          <w:spacing w:val="-9"/>
        </w:rPr>
        <w:t>5</w:t>
      </w:r>
      <w:r>
        <w:rPr>
          <w:spacing w:val="-9"/>
        </w:rPr>
        <w:t>）韩瑞女士，</w:t>
      </w:r>
      <w:r>
        <w:rPr>
          <w:rFonts w:ascii="宋体" w:hAnsi="宋体" w:cs="宋体" w:eastAsia="宋体" w:hint="default"/>
          <w:spacing w:val="-9"/>
        </w:rPr>
        <w:t>34</w:t>
      </w:r>
      <w:r>
        <w:rPr>
          <w:rFonts w:ascii="宋体" w:hAnsi="宋体" w:cs="宋体" w:eastAsia="宋体" w:hint="default"/>
          <w:spacing w:val="-54"/>
        </w:rPr>
        <w:t> </w:t>
      </w:r>
      <w:r>
        <w:rPr>
          <w:spacing w:val="-7"/>
        </w:rPr>
        <w:t>岁，会计学硕士。</w:t>
      </w:r>
      <w:r>
        <w:rPr>
          <w:rFonts w:ascii="宋体" w:hAnsi="宋体" w:cs="宋体" w:eastAsia="宋体" w:hint="default"/>
          <w:spacing w:val="-7"/>
        </w:rPr>
        <w:t>2010</w:t>
      </w:r>
      <w:r>
        <w:rPr>
          <w:rFonts w:ascii="宋体" w:hAnsi="宋体" w:cs="宋体" w:eastAsia="宋体" w:hint="default"/>
          <w:spacing w:val="-54"/>
        </w:rPr>
        <w:t> </w:t>
      </w:r>
      <w:r>
        <w:rPr/>
        <w:t>年</w:t>
      </w:r>
      <w:r>
        <w:rPr>
          <w:spacing w:val="-54"/>
        </w:rPr>
        <w:t> </w:t>
      </w:r>
      <w:r>
        <w:rPr>
          <w:rFonts w:ascii="宋体" w:hAnsi="宋体" w:cs="宋体" w:eastAsia="宋体" w:hint="default"/>
        </w:rPr>
        <w:t>9</w:t>
      </w:r>
      <w:r>
        <w:rPr>
          <w:rFonts w:ascii="宋体" w:hAnsi="宋体" w:cs="宋体" w:eastAsia="宋体" w:hint="default"/>
          <w:spacing w:val="-54"/>
        </w:rPr>
        <w:t> </w:t>
      </w:r>
      <w:r>
        <w:rPr>
          <w:spacing w:val="-3"/>
        </w:rPr>
        <w:t>月份进入辉煌科技证券办公室工作，</w:t>
      </w:r>
      <w:r>
        <w:rPr>
          <w:rFonts w:ascii="宋体" w:hAnsi="宋体" w:cs="宋体" w:eastAsia="宋体" w:hint="default"/>
          <w:spacing w:val="-3"/>
        </w:rPr>
        <w:t>2011</w:t>
      </w:r>
      <w:r>
        <w:rPr>
          <w:rFonts w:ascii="宋体" w:hAnsi="宋体" w:cs="宋体" w:eastAsia="宋体" w:hint="default"/>
        </w:rPr>
        <w:t> </w:t>
      </w:r>
      <w:r>
        <w:rPr/>
        <w:t>年</w:t>
      </w:r>
      <w:r>
        <w:rPr>
          <w:spacing w:val="-60"/>
        </w:rPr>
        <w:t> </w:t>
      </w:r>
      <w:r>
        <w:rPr>
          <w:rFonts w:ascii="宋体" w:hAnsi="宋体" w:cs="宋体" w:eastAsia="宋体" w:hint="default"/>
        </w:rPr>
        <w:t>3</w:t>
      </w:r>
      <w:r>
        <w:rPr>
          <w:rFonts w:ascii="宋体" w:hAnsi="宋体" w:cs="宋体" w:eastAsia="宋体" w:hint="default"/>
          <w:spacing w:val="-60"/>
        </w:rPr>
        <w:t> </w:t>
      </w:r>
      <w:r>
        <w:rPr/>
        <w:t>月至</w:t>
      </w:r>
      <w:r>
        <w:rPr>
          <w:spacing w:val="-60"/>
        </w:rPr>
        <w:t> </w:t>
      </w:r>
      <w:r>
        <w:rPr>
          <w:rFonts w:ascii="宋体" w:hAnsi="宋体" w:cs="宋体" w:eastAsia="宋体" w:hint="default"/>
        </w:rPr>
        <w:t>2014</w:t>
      </w:r>
      <w:r>
        <w:rPr>
          <w:rFonts w:ascii="宋体" w:hAnsi="宋体" w:cs="宋体" w:eastAsia="宋体" w:hint="default"/>
          <w:spacing w:val="-60"/>
        </w:rPr>
        <w:t> </w:t>
      </w:r>
      <w:r>
        <w:rPr/>
        <w:t>年</w:t>
      </w:r>
      <w:r>
        <w:rPr>
          <w:spacing w:val="-60"/>
        </w:rPr>
        <w:t> </w:t>
      </w:r>
      <w:r>
        <w:rPr>
          <w:rFonts w:ascii="宋体" w:hAnsi="宋体" w:cs="宋体" w:eastAsia="宋体" w:hint="default"/>
        </w:rPr>
        <w:t>2</w:t>
      </w:r>
      <w:r>
        <w:rPr>
          <w:rFonts w:ascii="宋体" w:hAnsi="宋体" w:cs="宋体" w:eastAsia="宋体" w:hint="default"/>
          <w:spacing w:val="-60"/>
        </w:rPr>
        <w:t> </w:t>
      </w:r>
      <w:r>
        <w:rPr/>
        <w:t>月任公司证券事务代表，</w:t>
      </w:r>
      <w:r>
        <w:rPr>
          <w:rFonts w:ascii="宋体" w:hAnsi="宋体" w:cs="宋体" w:eastAsia="宋体" w:hint="default"/>
        </w:rPr>
        <w:t>2014</w:t>
      </w:r>
      <w:r>
        <w:rPr>
          <w:rFonts w:ascii="宋体" w:hAnsi="宋体" w:cs="宋体" w:eastAsia="宋体" w:hint="default"/>
          <w:spacing w:val="-60"/>
        </w:rPr>
        <w:t> </w:t>
      </w:r>
      <w:r>
        <w:rPr/>
        <w:t>年</w:t>
      </w:r>
      <w:r>
        <w:rPr>
          <w:spacing w:val="-60"/>
        </w:rPr>
        <w:t> </w:t>
      </w:r>
      <w:r>
        <w:rPr>
          <w:rFonts w:ascii="宋体" w:hAnsi="宋体" w:cs="宋体" w:eastAsia="宋体" w:hint="default"/>
        </w:rPr>
        <w:t>2</w:t>
      </w:r>
      <w:r>
        <w:rPr>
          <w:rFonts w:ascii="宋体" w:hAnsi="宋体" w:cs="宋体" w:eastAsia="宋体" w:hint="default"/>
          <w:spacing w:val="-60"/>
        </w:rPr>
        <w:t> </w:t>
      </w:r>
      <w:r>
        <w:rPr/>
        <w:t>月至本报告期末任公司董事会秘书、 副总经理。</w:t>
      </w:r>
    </w:p>
    <w:p>
      <w:pPr>
        <w:pStyle w:val="BodyText"/>
        <w:spacing w:line="240" w:lineRule="auto" w:before="32"/>
        <w:ind w:left="634" w:right="996"/>
        <w:jc w:val="left"/>
      </w:pPr>
      <w:r>
        <w:rPr/>
        <w:t>在股东单位任职情况</w:t>
      </w:r>
    </w:p>
    <w:p>
      <w:pPr>
        <w:pStyle w:val="BodyText"/>
        <w:spacing w:line="240" w:lineRule="auto" w:before="146"/>
        <w:ind w:left="634" w:right="996"/>
        <w:jc w:val="left"/>
      </w:pPr>
      <w:r>
        <w:rPr/>
        <w:t>□ 适用 √ 不适用</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240" w:lineRule="auto" w:before="199"/>
        <w:ind w:left="633" w:right="996"/>
        <w:jc w:val="left"/>
      </w:pPr>
      <w:r>
        <w:rPr/>
        <w:t>在其他单位任职情况</w:t>
      </w:r>
    </w:p>
    <w:p>
      <w:pPr>
        <w:pStyle w:val="BodyText"/>
        <w:spacing w:line="240" w:lineRule="auto" w:before="145"/>
        <w:ind w:left="633" w:right="996"/>
        <w:jc w:val="left"/>
      </w:pPr>
      <w:r>
        <w:rPr/>
        <w:t>√ 适用 □ 不适用</w:t>
      </w:r>
    </w:p>
    <w:p>
      <w:pPr>
        <w:spacing w:line="240" w:lineRule="auto" w:before="6"/>
        <w:rPr>
          <w:rFonts w:ascii="宋体" w:hAnsi="宋体" w:cs="宋体" w:eastAsia="宋体" w:hint="default"/>
          <w:sz w:val="4"/>
          <w:szCs w:val="4"/>
        </w:rPr>
      </w:pPr>
    </w:p>
    <w:tbl>
      <w:tblPr>
        <w:tblW w:w="0" w:type="auto"/>
        <w:jc w:val="left"/>
        <w:tblInd w:w="149" w:type="dxa"/>
        <w:tblLayout w:type="fixed"/>
        <w:tblCellMar>
          <w:top w:w="0" w:type="dxa"/>
          <w:left w:w="0" w:type="dxa"/>
          <w:bottom w:w="0" w:type="dxa"/>
          <w:right w:w="0" w:type="dxa"/>
        </w:tblCellMar>
        <w:tblLook w:val="01E0"/>
      </w:tblPr>
      <w:tblGrid>
        <w:gridCol w:w="994"/>
        <w:gridCol w:w="3118"/>
        <w:gridCol w:w="1134"/>
        <w:gridCol w:w="1700"/>
        <w:gridCol w:w="1844"/>
        <w:gridCol w:w="992"/>
      </w:tblGrid>
      <w:tr>
        <w:trPr>
          <w:trHeight w:val="1338" w:hRule="exact"/>
        </w:trPr>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25"/>
                <w:szCs w:val="25"/>
              </w:rPr>
            </w:pPr>
          </w:p>
          <w:p>
            <w:pPr>
              <w:pStyle w:val="TableParagraph"/>
              <w:spacing w:line="273" w:lineRule="auto"/>
              <w:ind w:left="280" w:right="71" w:hanging="210"/>
              <w:jc w:val="left"/>
              <w:rPr>
                <w:rFonts w:ascii="宋体" w:hAnsi="宋体" w:cs="宋体" w:eastAsia="宋体" w:hint="default"/>
                <w:sz w:val="21"/>
                <w:szCs w:val="21"/>
              </w:rPr>
            </w:pPr>
            <w:r>
              <w:rPr>
                <w:rFonts w:ascii="宋体" w:hAnsi="宋体" w:cs="宋体" w:eastAsia="宋体" w:hint="default"/>
                <w:sz w:val="21"/>
                <w:szCs w:val="21"/>
              </w:rPr>
              <w:t>任职人员 姓名</w:t>
            </w:r>
          </w:p>
        </w:tc>
        <w:tc>
          <w:tcPr>
            <w:tcW w:w="31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923" w:right="0"/>
              <w:jc w:val="left"/>
              <w:rPr>
                <w:rFonts w:ascii="宋体" w:hAnsi="宋体" w:cs="宋体" w:eastAsia="宋体" w:hint="default"/>
                <w:sz w:val="21"/>
                <w:szCs w:val="21"/>
              </w:rPr>
            </w:pPr>
            <w:r>
              <w:rPr>
                <w:rFonts w:ascii="宋体" w:hAnsi="宋体" w:cs="宋体" w:eastAsia="宋体" w:hint="default"/>
                <w:sz w:val="21"/>
                <w:szCs w:val="21"/>
              </w:rPr>
              <w:t>其他单位名称</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25"/>
                <w:szCs w:val="25"/>
              </w:rPr>
            </w:pPr>
          </w:p>
          <w:p>
            <w:pPr>
              <w:pStyle w:val="TableParagraph"/>
              <w:spacing w:line="273" w:lineRule="auto"/>
              <w:ind w:left="35" w:right="36"/>
              <w:jc w:val="left"/>
              <w:rPr>
                <w:rFonts w:ascii="宋体" w:hAnsi="宋体" w:cs="宋体" w:eastAsia="宋体" w:hint="default"/>
                <w:sz w:val="21"/>
                <w:szCs w:val="21"/>
              </w:rPr>
            </w:pPr>
            <w:r>
              <w:rPr>
                <w:rFonts w:ascii="宋体" w:hAnsi="宋体" w:cs="宋体" w:eastAsia="宋体" w:hint="default"/>
                <w:sz w:val="21"/>
                <w:szCs w:val="21"/>
              </w:rPr>
              <w:t>在其他单位 担任的职务</w:t>
            </w:r>
          </w:p>
        </w:tc>
        <w:tc>
          <w:tcPr>
            <w:tcW w:w="17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14" w:right="0"/>
              <w:jc w:val="left"/>
              <w:rPr>
                <w:rFonts w:ascii="宋体" w:hAnsi="宋体" w:cs="宋体" w:eastAsia="宋体" w:hint="default"/>
                <w:sz w:val="21"/>
                <w:szCs w:val="21"/>
              </w:rPr>
            </w:pPr>
            <w:r>
              <w:rPr>
                <w:rFonts w:ascii="宋体" w:hAnsi="宋体" w:cs="宋体" w:eastAsia="宋体" w:hint="default"/>
                <w:sz w:val="21"/>
                <w:szCs w:val="21"/>
              </w:rPr>
              <w:t>任期起始日期</w:t>
            </w:r>
          </w:p>
        </w:tc>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任期终止日期</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70" w:right="71"/>
              <w:jc w:val="center"/>
              <w:rPr>
                <w:rFonts w:ascii="宋体" w:hAnsi="宋体" w:cs="宋体" w:eastAsia="宋体" w:hint="default"/>
                <w:sz w:val="21"/>
                <w:szCs w:val="21"/>
              </w:rPr>
            </w:pPr>
            <w:r>
              <w:rPr>
                <w:rFonts w:ascii="宋体" w:hAnsi="宋体" w:cs="宋体" w:eastAsia="宋体" w:hint="default"/>
                <w:sz w:val="21"/>
                <w:szCs w:val="21"/>
              </w:rPr>
              <w:t>在其他单 位是否领 取报酬津 贴</w:t>
            </w:r>
          </w:p>
        </w:tc>
      </w:tr>
      <w:tr>
        <w:trPr>
          <w:trHeight w:val="714"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李海鹰</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北京七彩通达传媒股份有限公司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06</w:t>
            </w:r>
          </w:p>
          <w:p>
            <w:pPr>
              <w:pStyle w:val="TableParagraph"/>
              <w:spacing w:line="240" w:lineRule="auto" w:before="37"/>
              <w:ind w:left="22" w:right="0"/>
              <w:jc w:val="left"/>
              <w:rPr>
                <w:rFonts w:ascii="宋体" w:hAnsi="宋体" w:cs="宋体" w:eastAsia="宋体" w:hint="default"/>
                <w:sz w:val="21"/>
                <w:szCs w:val="21"/>
              </w:rPr>
            </w:pPr>
            <w:r>
              <w:rPr>
                <w:rFonts w:ascii="宋体" w:hAnsi="宋体" w:cs="宋体" w:eastAsia="宋体" w:hint="default"/>
                <w:sz w:val="21"/>
                <w:szCs w:val="21"/>
              </w:rPr>
              <w:t>日</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50"/>
              <w:jc w:val="center"/>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06</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385"/>
              <w:jc w:val="right"/>
              <w:rPr>
                <w:rFonts w:ascii="宋体" w:hAnsi="宋体" w:cs="宋体" w:eastAsia="宋体" w:hint="default"/>
                <w:sz w:val="21"/>
                <w:szCs w:val="21"/>
              </w:rPr>
            </w:pPr>
            <w:r>
              <w:rPr>
                <w:rFonts w:ascii="宋体" w:hAnsi="宋体" w:cs="宋体" w:eastAsia="宋体" w:hint="default"/>
                <w:sz w:val="21"/>
                <w:szCs w:val="21"/>
              </w:rPr>
              <w:t>否</w:t>
            </w:r>
          </w:p>
        </w:tc>
      </w:tr>
      <w:tr>
        <w:trPr>
          <w:trHeight w:val="714"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谢春生</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河南辉煌软件有限公司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执行董事</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05</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29</w:t>
            </w:r>
          </w:p>
          <w:p>
            <w:pPr>
              <w:pStyle w:val="TableParagraph"/>
              <w:spacing w:line="240" w:lineRule="auto" w:before="37"/>
              <w:ind w:left="22" w:right="0"/>
              <w:jc w:val="left"/>
              <w:rPr>
                <w:rFonts w:ascii="宋体" w:hAnsi="宋体" w:cs="宋体" w:eastAsia="宋体" w:hint="default"/>
                <w:sz w:val="21"/>
                <w:szCs w:val="21"/>
              </w:rPr>
            </w:pPr>
            <w:r>
              <w:rPr>
                <w:rFonts w:ascii="宋体" w:hAnsi="宋体" w:cs="宋体" w:eastAsia="宋体" w:hint="default"/>
                <w:sz w:val="21"/>
                <w:szCs w:val="21"/>
              </w:rPr>
              <w:t>日</w:t>
            </w:r>
          </w:p>
        </w:tc>
        <w:tc>
          <w:tcPr>
            <w:tcW w:w="1844"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385"/>
              <w:jc w:val="right"/>
              <w:rPr>
                <w:rFonts w:ascii="宋体" w:hAnsi="宋体" w:cs="宋体" w:eastAsia="宋体" w:hint="default"/>
                <w:sz w:val="21"/>
                <w:szCs w:val="21"/>
              </w:rPr>
            </w:pPr>
            <w:r>
              <w:rPr>
                <w:rFonts w:ascii="宋体" w:hAnsi="宋体" w:cs="宋体" w:eastAsia="宋体" w:hint="default"/>
                <w:sz w:val="21"/>
                <w:szCs w:val="21"/>
              </w:rPr>
              <w:t>否</w:t>
            </w:r>
          </w:p>
        </w:tc>
      </w:tr>
      <w:tr>
        <w:trPr>
          <w:trHeight w:val="714"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谢春生</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北京全路信通软件科技有限公司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执行董事</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04</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09</w:t>
            </w:r>
          </w:p>
          <w:p>
            <w:pPr>
              <w:pStyle w:val="TableParagraph"/>
              <w:spacing w:line="240" w:lineRule="auto" w:before="37"/>
              <w:ind w:left="22" w:right="0"/>
              <w:jc w:val="left"/>
              <w:rPr>
                <w:rFonts w:ascii="宋体" w:hAnsi="宋体" w:cs="宋体" w:eastAsia="宋体" w:hint="default"/>
                <w:sz w:val="21"/>
                <w:szCs w:val="21"/>
              </w:rPr>
            </w:pPr>
            <w:r>
              <w:rPr>
                <w:rFonts w:ascii="宋体" w:hAnsi="宋体" w:cs="宋体" w:eastAsia="宋体" w:hint="default"/>
                <w:sz w:val="21"/>
                <w:szCs w:val="21"/>
              </w:rPr>
              <w:t>日</w:t>
            </w:r>
          </w:p>
        </w:tc>
        <w:tc>
          <w:tcPr>
            <w:tcW w:w="1844"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385"/>
              <w:jc w:val="right"/>
              <w:rPr>
                <w:rFonts w:ascii="宋体" w:hAnsi="宋体" w:cs="宋体" w:eastAsia="宋体" w:hint="default"/>
                <w:sz w:val="21"/>
                <w:szCs w:val="21"/>
              </w:rPr>
            </w:pPr>
            <w:r>
              <w:rPr>
                <w:rFonts w:ascii="宋体" w:hAnsi="宋体" w:cs="宋体" w:eastAsia="宋体" w:hint="default"/>
                <w:sz w:val="21"/>
                <w:szCs w:val="21"/>
              </w:rPr>
              <w:t>否</w:t>
            </w:r>
          </w:p>
        </w:tc>
      </w:tr>
      <w:tr>
        <w:trPr>
          <w:trHeight w:val="714"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谢春生</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河南辉煌信通软件有限公司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执行董事</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04</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09</w:t>
            </w:r>
          </w:p>
          <w:p>
            <w:pPr>
              <w:pStyle w:val="TableParagraph"/>
              <w:spacing w:line="240" w:lineRule="auto" w:before="37"/>
              <w:ind w:left="22" w:right="0"/>
              <w:jc w:val="left"/>
              <w:rPr>
                <w:rFonts w:ascii="宋体" w:hAnsi="宋体" w:cs="宋体" w:eastAsia="宋体" w:hint="default"/>
                <w:sz w:val="21"/>
                <w:szCs w:val="21"/>
              </w:rPr>
            </w:pPr>
            <w:r>
              <w:rPr>
                <w:rFonts w:ascii="宋体" w:hAnsi="宋体" w:cs="宋体" w:eastAsia="宋体" w:hint="default"/>
                <w:sz w:val="21"/>
                <w:szCs w:val="21"/>
              </w:rPr>
              <w:t>日</w:t>
            </w:r>
          </w:p>
        </w:tc>
        <w:tc>
          <w:tcPr>
            <w:tcW w:w="1844"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385"/>
              <w:jc w:val="right"/>
              <w:rPr>
                <w:rFonts w:ascii="宋体" w:hAnsi="宋体" w:cs="宋体" w:eastAsia="宋体" w:hint="default"/>
                <w:sz w:val="21"/>
                <w:szCs w:val="21"/>
              </w:rPr>
            </w:pPr>
            <w:r>
              <w:rPr>
                <w:rFonts w:ascii="宋体" w:hAnsi="宋体" w:cs="宋体" w:eastAsia="宋体" w:hint="default"/>
                <w:sz w:val="21"/>
                <w:szCs w:val="21"/>
              </w:rPr>
              <w:t>否</w:t>
            </w:r>
          </w:p>
        </w:tc>
      </w:tr>
      <w:tr>
        <w:trPr>
          <w:trHeight w:val="714"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谢春生</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2" w:right="22"/>
              <w:jc w:val="left"/>
              <w:rPr>
                <w:rFonts w:ascii="宋体" w:hAnsi="宋体" w:cs="宋体" w:eastAsia="宋体" w:hint="default"/>
                <w:sz w:val="21"/>
                <w:szCs w:val="21"/>
              </w:rPr>
            </w:pPr>
            <w:r>
              <w:rPr>
                <w:rFonts w:ascii="宋体" w:hAnsi="宋体" w:cs="宋体" w:eastAsia="宋体" w:hint="default"/>
                <w:spacing w:val="-6"/>
                <w:sz w:val="21"/>
                <w:szCs w:val="21"/>
              </w:rPr>
              <w:t>飞天联合（北京）系统技术有限公</w:t>
            </w:r>
            <w:r>
              <w:rPr>
                <w:rFonts w:ascii="宋体" w:hAnsi="宋体" w:cs="宋体" w:eastAsia="宋体" w:hint="default"/>
                <w:sz w:val="21"/>
                <w:szCs w:val="21"/>
              </w:rPr>
              <w:t> 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01</w:t>
            </w:r>
          </w:p>
          <w:p>
            <w:pPr>
              <w:pStyle w:val="TableParagraph"/>
              <w:spacing w:line="240" w:lineRule="auto" w:before="37"/>
              <w:ind w:left="22" w:right="0"/>
              <w:jc w:val="left"/>
              <w:rPr>
                <w:rFonts w:ascii="宋体" w:hAnsi="宋体" w:cs="宋体" w:eastAsia="宋体" w:hint="default"/>
                <w:sz w:val="21"/>
                <w:szCs w:val="21"/>
              </w:rPr>
            </w:pPr>
            <w:r>
              <w:rPr>
                <w:rFonts w:ascii="宋体" w:hAnsi="宋体" w:cs="宋体" w:eastAsia="宋体" w:hint="default"/>
                <w:sz w:val="21"/>
                <w:szCs w:val="21"/>
              </w:rPr>
              <w:t>日</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50"/>
              <w:jc w:val="center"/>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18</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385"/>
              <w:jc w:val="right"/>
              <w:rPr>
                <w:rFonts w:ascii="宋体" w:hAnsi="宋体" w:cs="宋体" w:eastAsia="宋体" w:hint="default"/>
                <w:sz w:val="21"/>
                <w:szCs w:val="21"/>
              </w:rPr>
            </w:pPr>
            <w:r>
              <w:rPr>
                <w:rFonts w:ascii="宋体" w:hAnsi="宋体" w:cs="宋体" w:eastAsia="宋体" w:hint="default"/>
                <w:sz w:val="21"/>
                <w:szCs w:val="21"/>
              </w:rPr>
              <w:t>否</w:t>
            </w:r>
          </w:p>
        </w:tc>
      </w:tr>
      <w:tr>
        <w:trPr>
          <w:trHeight w:val="714"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谢春生</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北京赛弗网络科技有限责任公司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07</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06</w:t>
            </w:r>
          </w:p>
          <w:p>
            <w:pPr>
              <w:pStyle w:val="TableParagraph"/>
              <w:spacing w:line="240" w:lineRule="auto" w:before="37"/>
              <w:ind w:left="22" w:right="0"/>
              <w:jc w:val="left"/>
              <w:rPr>
                <w:rFonts w:ascii="宋体" w:hAnsi="宋体" w:cs="宋体" w:eastAsia="宋体" w:hint="default"/>
                <w:sz w:val="21"/>
                <w:szCs w:val="21"/>
              </w:rPr>
            </w:pPr>
            <w:r>
              <w:rPr>
                <w:rFonts w:ascii="宋体" w:hAnsi="宋体" w:cs="宋体" w:eastAsia="宋体" w:hint="default"/>
                <w:sz w:val="21"/>
                <w:szCs w:val="21"/>
              </w:rPr>
              <w:t>日</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50"/>
              <w:jc w:val="center"/>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05</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26</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385"/>
              <w:jc w:val="right"/>
              <w:rPr>
                <w:rFonts w:ascii="宋体" w:hAnsi="宋体" w:cs="宋体" w:eastAsia="宋体" w:hint="default"/>
                <w:sz w:val="21"/>
                <w:szCs w:val="21"/>
              </w:rPr>
            </w:pPr>
            <w:r>
              <w:rPr>
                <w:rFonts w:ascii="宋体" w:hAnsi="宋体" w:cs="宋体" w:eastAsia="宋体" w:hint="default"/>
                <w:sz w:val="21"/>
                <w:szCs w:val="21"/>
              </w:rPr>
              <w:t>否</w:t>
            </w:r>
          </w:p>
        </w:tc>
      </w:tr>
      <w:tr>
        <w:trPr>
          <w:trHeight w:val="714"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郑建彪</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致同会计师事务所</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合伙人</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1998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02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12</w:t>
            </w:r>
          </w:p>
          <w:p>
            <w:pPr>
              <w:pStyle w:val="TableParagraph"/>
              <w:spacing w:line="240" w:lineRule="auto" w:before="37"/>
              <w:ind w:left="22" w:right="0"/>
              <w:jc w:val="left"/>
              <w:rPr>
                <w:rFonts w:ascii="宋体" w:hAnsi="宋体" w:cs="宋体" w:eastAsia="宋体" w:hint="default"/>
                <w:sz w:val="21"/>
                <w:szCs w:val="21"/>
              </w:rPr>
            </w:pPr>
            <w:r>
              <w:rPr>
                <w:rFonts w:ascii="宋体" w:hAnsi="宋体" w:cs="宋体" w:eastAsia="宋体" w:hint="default"/>
                <w:sz w:val="21"/>
                <w:szCs w:val="21"/>
              </w:rPr>
              <w:t>日</w:t>
            </w:r>
          </w:p>
        </w:tc>
        <w:tc>
          <w:tcPr>
            <w:tcW w:w="1844"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385"/>
              <w:jc w:val="right"/>
              <w:rPr>
                <w:rFonts w:ascii="宋体" w:hAnsi="宋体" w:cs="宋体" w:eastAsia="宋体" w:hint="default"/>
                <w:sz w:val="21"/>
                <w:szCs w:val="21"/>
              </w:rPr>
            </w:pPr>
            <w:r>
              <w:rPr>
                <w:rFonts w:ascii="宋体" w:hAnsi="宋体" w:cs="宋体" w:eastAsia="宋体" w:hint="default"/>
                <w:sz w:val="21"/>
                <w:szCs w:val="21"/>
              </w:rPr>
              <w:t>是</w:t>
            </w:r>
          </w:p>
        </w:tc>
      </w:tr>
      <w:tr>
        <w:trPr>
          <w:trHeight w:val="714"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郑建彪</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2" w:right="143"/>
              <w:jc w:val="left"/>
              <w:rPr>
                <w:rFonts w:ascii="宋体" w:hAnsi="宋体" w:cs="宋体" w:eastAsia="宋体" w:hint="default"/>
                <w:sz w:val="21"/>
                <w:szCs w:val="21"/>
              </w:rPr>
            </w:pPr>
            <w:r>
              <w:rPr>
                <w:rFonts w:ascii="宋体" w:hAnsi="宋体" w:cs="宋体" w:eastAsia="宋体" w:hint="default"/>
                <w:sz w:val="21"/>
                <w:szCs w:val="21"/>
              </w:rPr>
              <w:t>北京东方中科集成科技股份有限 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01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15</w:t>
            </w:r>
          </w:p>
          <w:p>
            <w:pPr>
              <w:pStyle w:val="TableParagraph"/>
              <w:spacing w:line="240" w:lineRule="auto" w:before="37"/>
              <w:ind w:left="22" w:right="0"/>
              <w:jc w:val="left"/>
              <w:rPr>
                <w:rFonts w:ascii="宋体" w:hAnsi="宋体" w:cs="宋体" w:eastAsia="宋体" w:hint="default"/>
                <w:sz w:val="21"/>
                <w:szCs w:val="21"/>
              </w:rPr>
            </w:pPr>
            <w:r>
              <w:rPr>
                <w:rFonts w:ascii="宋体" w:hAnsi="宋体" w:cs="宋体" w:eastAsia="宋体" w:hint="default"/>
                <w:sz w:val="21"/>
                <w:szCs w:val="21"/>
              </w:rPr>
              <w:t>日</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50"/>
              <w:jc w:val="center"/>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07</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04</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385"/>
              <w:jc w:val="right"/>
              <w:rPr>
                <w:rFonts w:ascii="宋体" w:hAnsi="宋体" w:cs="宋体" w:eastAsia="宋体" w:hint="default"/>
                <w:sz w:val="21"/>
                <w:szCs w:val="21"/>
              </w:rPr>
            </w:pPr>
            <w:r>
              <w:rPr>
                <w:rFonts w:ascii="宋体" w:hAnsi="宋体" w:cs="宋体" w:eastAsia="宋体" w:hint="default"/>
                <w:sz w:val="21"/>
                <w:szCs w:val="21"/>
              </w:rPr>
              <w:t>是</w:t>
            </w:r>
          </w:p>
        </w:tc>
      </w:tr>
      <w:tr>
        <w:trPr>
          <w:trHeight w:val="714"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康斌生</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中科天艺（北京）科技有限公司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07</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21</w:t>
            </w:r>
          </w:p>
          <w:p>
            <w:pPr>
              <w:pStyle w:val="TableParagraph"/>
              <w:spacing w:line="240" w:lineRule="auto" w:before="37"/>
              <w:ind w:left="22" w:right="0"/>
              <w:jc w:val="left"/>
              <w:rPr>
                <w:rFonts w:ascii="宋体" w:hAnsi="宋体" w:cs="宋体" w:eastAsia="宋体" w:hint="default"/>
                <w:sz w:val="21"/>
                <w:szCs w:val="21"/>
              </w:rPr>
            </w:pPr>
            <w:r>
              <w:rPr>
                <w:rFonts w:ascii="宋体" w:hAnsi="宋体" w:cs="宋体" w:eastAsia="宋体" w:hint="default"/>
                <w:sz w:val="21"/>
                <w:szCs w:val="21"/>
              </w:rPr>
              <w:t>日</w:t>
            </w:r>
          </w:p>
        </w:tc>
        <w:tc>
          <w:tcPr>
            <w:tcW w:w="1844"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385"/>
              <w:jc w:val="right"/>
              <w:rPr>
                <w:rFonts w:ascii="宋体" w:hAnsi="宋体" w:cs="宋体" w:eastAsia="宋体" w:hint="default"/>
                <w:sz w:val="21"/>
                <w:szCs w:val="21"/>
              </w:rPr>
            </w:pPr>
            <w:r>
              <w:rPr>
                <w:rFonts w:ascii="宋体" w:hAnsi="宋体" w:cs="宋体" w:eastAsia="宋体" w:hint="default"/>
                <w:sz w:val="21"/>
                <w:szCs w:val="21"/>
              </w:rPr>
              <w:t>是</w:t>
            </w:r>
          </w:p>
        </w:tc>
      </w:tr>
      <w:tr>
        <w:trPr>
          <w:trHeight w:val="714"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康斌生</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清谊汇（北京）科技有限公司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2" w:right="259"/>
              <w:jc w:val="left"/>
              <w:rPr>
                <w:rFonts w:ascii="宋体" w:hAnsi="宋体" w:cs="宋体" w:eastAsia="宋体" w:hint="default"/>
                <w:sz w:val="21"/>
                <w:szCs w:val="21"/>
              </w:rPr>
            </w:pPr>
            <w:r>
              <w:rPr>
                <w:rFonts w:ascii="宋体" w:hAnsi="宋体" w:cs="宋体" w:eastAsia="宋体" w:hint="default"/>
                <w:sz w:val="21"/>
                <w:szCs w:val="21"/>
              </w:rPr>
              <w:t>董事长兼 </w:t>
            </w:r>
            <w:r>
              <w:rPr>
                <w:rFonts w:ascii="宋体" w:hAnsi="宋体" w:cs="宋体" w:eastAsia="宋体" w:hint="default"/>
                <w:sz w:val="21"/>
                <w:szCs w:val="21"/>
              </w:rPr>
              <w:t>CEO</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07</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06</w:t>
            </w:r>
          </w:p>
          <w:p>
            <w:pPr>
              <w:pStyle w:val="TableParagraph"/>
              <w:spacing w:line="240" w:lineRule="auto" w:before="37"/>
              <w:ind w:left="22" w:right="0"/>
              <w:jc w:val="left"/>
              <w:rPr>
                <w:rFonts w:ascii="宋体" w:hAnsi="宋体" w:cs="宋体" w:eastAsia="宋体" w:hint="default"/>
                <w:sz w:val="21"/>
                <w:szCs w:val="21"/>
              </w:rPr>
            </w:pPr>
            <w:r>
              <w:rPr>
                <w:rFonts w:ascii="宋体" w:hAnsi="宋体" w:cs="宋体" w:eastAsia="宋体" w:hint="default"/>
                <w:sz w:val="21"/>
                <w:szCs w:val="21"/>
              </w:rPr>
              <w:t>日</w:t>
            </w:r>
          </w:p>
        </w:tc>
        <w:tc>
          <w:tcPr>
            <w:tcW w:w="1844"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385"/>
              <w:jc w:val="right"/>
              <w:rPr>
                <w:rFonts w:ascii="宋体" w:hAnsi="宋体" w:cs="宋体" w:eastAsia="宋体" w:hint="default"/>
                <w:sz w:val="21"/>
                <w:szCs w:val="21"/>
              </w:rPr>
            </w:pPr>
            <w:r>
              <w:rPr>
                <w:rFonts w:ascii="宋体" w:hAnsi="宋体" w:cs="宋体" w:eastAsia="宋体" w:hint="default"/>
                <w:sz w:val="21"/>
                <w:szCs w:val="21"/>
              </w:rPr>
              <w:t>是</w:t>
            </w:r>
          </w:p>
        </w:tc>
      </w:tr>
      <w:tr>
        <w:trPr>
          <w:trHeight w:val="714"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张宇锋</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神州长城股份有限公司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29</w:t>
            </w:r>
          </w:p>
          <w:p>
            <w:pPr>
              <w:pStyle w:val="TableParagraph"/>
              <w:spacing w:line="240" w:lineRule="auto" w:before="37"/>
              <w:ind w:left="22" w:right="0"/>
              <w:jc w:val="left"/>
              <w:rPr>
                <w:rFonts w:ascii="宋体" w:hAnsi="宋体" w:cs="宋体" w:eastAsia="宋体" w:hint="default"/>
                <w:sz w:val="21"/>
                <w:szCs w:val="21"/>
              </w:rPr>
            </w:pPr>
            <w:r>
              <w:rPr>
                <w:rFonts w:ascii="宋体" w:hAnsi="宋体" w:cs="宋体" w:eastAsia="宋体" w:hint="default"/>
                <w:sz w:val="21"/>
                <w:szCs w:val="21"/>
              </w:rPr>
              <w:t>日</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50"/>
              <w:jc w:val="center"/>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28</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385"/>
              <w:jc w:val="right"/>
              <w:rPr>
                <w:rFonts w:ascii="宋体" w:hAnsi="宋体" w:cs="宋体" w:eastAsia="宋体" w:hint="default"/>
                <w:sz w:val="21"/>
                <w:szCs w:val="21"/>
              </w:rPr>
            </w:pPr>
            <w:r>
              <w:rPr>
                <w:rFonts w:ascii="宋体" w:hAnsi="宋体" w:cs="宋体" w:eastAsia="宋体" w:hint="default"/>
                <w:sz w:val="21"/>
                <w:szCs w:val="21"/>
              </w:rPr>
              <w:t>是</w:t>
            </w:r>
          </w:p>
        </w:tc>
      </w:tr>
      <w:tr>
        <w:trPr>
          <w:trHeight w:val="714"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张宇锋</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德展大健康股份有限公司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25</w:t>
            </w:r>
          </w:p>
          <w:p>
            <w:pPr>
              <w:pStyle w:val="TableParagraph"/>
              <w:spacing w:line="240" w:lineRule="auto" w:before="37"/>
              <w:ind w:left="22" w:right="0"/>
              <w:jc w:val="left"/>
              <w:rPr>
                <w:rFonts w:ascii="宋体" w:hAnsi="宋体" w:cs="宋体" w:eastAsia="宋体" w:hint="default"/>
                <w:sz w:val="21"/>
                <w:szCs w:val="21"/>
              </w:rPr>
            </w:pPr>
            <w:r>
              <w:rPr>
                <w:rFonts w:ascii="宋体" w:hAnsi="宋体" w:cs="宋体" w:eastAsia="宋体" w:hint="default"/>
                <w:sz w:val="21"/>
                <w:szCs w:val="21"/>
              </w:rPr>
              <w:t>日</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50"/>
              <w:jc w:val="center"/>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25</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385"/>
              <w:jc w:val="right"/>
              <w:rPr>
                <w:rFonts w:ascii="宋体" w:hAnsi="宋体" w:cs="宋体" w:eastAsia="宋体" w:hint="default"/>
                <w:sz w:val="21"/>
                <w:szCs w:val="21"/>
              </w:rPr>
            </w:pPr>
            <w:r>
              <w:rPr>
                <w:rFonts w:ascii="宋体" w:hAnsi="宋体" w:cs="宋体" w:eastAsia="宋体" w:hint="default"/>
                <w:sz w:val="21"/>
                <w:szCs w:val="21"/>
              </w:rPr>
              <w:t>是</w:t>
            </w:r>
          </w:p>
        </w:tc>
      </w:tr>
      <w:tr>
        <w:trPr>
          <w:trHeight w:val="714"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张宇锋</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廊坊银行</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05</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01</w:t>
            </w:r>
          </w:p>
          <w:p>
            <w:pPr>
              <w:pStyle w:val="TableParagraph"/>
              <w:spacing w:line="240" w:lineRule="auto" w:before="37"/>
              <w:ind w:left="22" w:right="0"/>
              <w:jc w:val="left"/>
              <w:rPr>
                <w:rFonts w:ascii="宋体" w:hAnsi="宋体" w:cs="宋体" w:eastAsia="宋体" w:hint="default"/>
                <w:sz w:val="21"/>
                <w:szCs w:val="21"/>
              </w:rPr>
            </w:pPr>
            <w:r>
              <w:rPr>
                <w:rFonts w:ascii="宋体" w:hAnsi="宋体" w:cs="宋体" w:eastAsia="宋体" w:hint="default"/>
                <w:sz w:val="21"/>
                <w:szCs w:val="21"/>
              </w:rPr>
              <w:t>日</w:t>
            </w:r>
          </w:p>
        </w:tc>
        <w:tc>
          <w:tcPr>
            <w:tcW w:w="1844"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385"/>
              <w:jc w:val="right"/>
              <w:rPr>
                <w:rFonts w:ascii="宋体" w:hAnsi="宋体" w:cs="宋体" w:eastAsia="宋体" w:hint="default"/>
                <w:sz w:val="21"/>
                <w:szCs w:val="21"/>
              </w:rPr>
            </w:pPr>
            <w:r>
              <w:rPr>
                <w:rFonts w:ascii="宋体" w:hAnsi="宋体" w:cs="宋体" w:eastAsia="宋体" w:hint="default"/>
                <w:sz w:val="21"/>
                <w:szCs w:val="21"/>
              </w:rPr>
              <w:t>是</w:t>
            </w:r>
          </w:p>
        </w:tc>
      </w:tr>
      <w:tr>
        <w:trPr>
          <w:trHeight w:val="714"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张宇锋</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北京市华城律师事务所</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主任</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1999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06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01</w:t>
            </w:r>
          </w:p>
          <w:p>
            <w:pPr>
              <w:pStyle w:val="TableParagraph"/>
              <w:spacing w:line="240" w:lineRule="auto" w:before="37"/>
              <w:ind w:left="22" w:right="0"/>
              <w:jc w:val="left"/>
              <w:rPr>
                <w:rFonts w:ascii="宋体" w:hAnsi="宋体" w:cs="宋体" w:eastAsia="宋体" w:hint="default"/>
                <w:sz w:val="21"/>
                <w:szCs w:val="21"/>
              </w:rPr>
            </w:pPr>
            <w:r>
              <w:rPr>
                <w:rFonts w:ascii="宋体" w:hAnsi="宋体" w:cs="宋体" w:eastAsia="宋体" w:hint="default"/>
                <w:sz w:val="21"/>
                <w:szCs w:val="21"/>
              </w:rPr>
              <w:t>日</w:t>
            </w:r>
          </w:p>
        </w:tc>
        <w:tc>
          <w:tcPr>
            <w:tcW w:w="1844"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385"/>
              <w:jc w:val="right"/>
              <w:rPr>
                <w:rFonts w:ascii="宋体" w:hAnsi="宋体" w:cs="宋体" w:eastAsia="宋体" w:hint="default"/>
                <w:sz w:val="21"/>
                <w:szCs w:val="21"/>
              </w:rPr>
            </w:pPr>
            <w:r>
              <w:rPr>
                <w:rFonts w:ascii="宋体" w:hAnsi="宋体" w:cs="宋体" w:eastAsia="宋体" w:hint="default"/>
                <w:sz w:val="21"/>
                <w:szCs w:val="21"/>
              </w:rPr>
              <w:t>是</w:t>
            </w:r>
          </w:p>
        </w:tc>
      </w:tr>
      <w:tr>
        <w:trPr>
          <w:trHeight w:val="714"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张奕敏</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河南辉煌城轨科技有限公司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01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06</w:t>
            </w:r>
          </w:p>
          <w:p>
            <w:pPr>
              <w:pStyle w:val="TableParagraph"/>
              <w:spacing w:line="240" w:lineRule="auto" w:before="37"/>
              <w:ind w:left="22" w:right="0"/>
              <w:jc w:val="left"/>
              <w:rPr>
                <w:rFonts w:ascii="宋体" w:hAnsi="宋体" w:cs="宋体" w:eastAsia="宋体" w:hint="default"/>
                <w:sz w:val="21"/>
                <w:szCs w:val="21"/>
              </w:rPr>
            </w:pPr>
            <w:r>
              <w:rPr>
                <w:rFonts w:ascii="宋体" w:hAnsi="宋体" w:cs="宋体" w:eastAsia="宋体" w:hint="default"/>
                <w:sz w:val="21"/>
                <w:szCs w:val="21"/>
              </w:rPr>
              <w:t>日</w:t>
            </w:r>
          </w:p>
        </w:tc>
        <w:tc>
          <w:tcPr>
            <w:tcW w:w="1844"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385"/>
              <w:jc w:val="right"/>
              <w:rPr>
                <w:rFonts w:ascii="宋体" w:hAnsi="宋体" w:cs="宋体" w:eastAsia="宋体" w:hint="default"/>
                <w:sz w:val="21"/>
                <w:szCs w:val="21"/>
              </w:rPr>
            </w:pPr>
            <w:r>
              <w:rPr>
                <w:rFonts w:ascii="宋体" w:hAnsi="宋体" w:cs="宋体" w:eastAsia="宋体" w:hint="default"/>
                <w:sz w:val="21"/>
                <w:szCs w:val="21"/>
              </w:rPr>
              <w:t>否</w:t>
            </w:r>
          </w:p>
        </w:tc>
      </w:tr>
      <w:tr>
        <w:trPr>
          <w:trHeight w:val="674" w:hRule="exact"/>
        </w:trPr>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auto" w:before="26"/>
              <w:ind w:left="22" w:right="119"/>
              <w:jc w:val="left"/>
              <w:rPr>
                <w:rFonts w:ascii="宋体" w:hAnsi="宋体" w:cs="宋体" w:eastAsia="宋体" w:hint="default"/>
                <w:sz w:val="21"/>
                <w:szCs w:val="21"/>
              </w:rPr>
            </w:pPr>
            <w:r>
              <w:rPr>
                <w:rFonts w:ascii="宋体" w:hAnsi="宋体" w:cs="宋体" w:eastAsia="宋体" w:hint="default"/>
                <w:sz w:val="21"/>
                <w:szCs w:val="21"/>
              </w:rPr>
              <w:t>在其他单 位任职情</w:t>
            </w:r>
          </w:p>
        </w:tc>
        <w:tc>
          <w:tcPr>
            <w:tcW w:w="8788" w:type="dxa"/>
            <w:gridSpan w:val="5"/>
            <w:tcBorders>
              <w:top w:val="single" w:sz="4" w:space="0" w:color="000000"/>
              <w:left w:val="single" w:sz="4" w:space="0" w:color="000000"/>
              <w:bottom w:val="single" w:sz="4" w:space="0" w:color="000000"/>
              <w:right w:val="single" w:sz="4" w:space="0" w:color="000000"/>
            </w:tcBorders>
          </w:tcPr>
          <w:p>
            <w:pPr>
              <w:pStyle w:val="TableParagraph"/>
              <w:spacing w:line="271" w:lineRule="auto" w:before="26"/>
              <w:ind w:left="22" w:right="38"/>
              <w:jc w:val="left"/>
              <w:rPr>
                <w:rFonts w:ascii="宋体" w:hAnsi="宋体" w:cs="宋体" w:eastAsia="宋体" w:hint="default"/>
                <w:sz w:val="21"/>
                <w:szCs w:val="21"/>
              </w:rPr>
            </w:pPr>
            <w:r>
              <w:rPr>
                <w:rFonts w:ascii="宋体" w:hAnsi="宋体" w:cs="宋体" w:eastAsia="宋体" w:hint="default"/>
                <w:sz w:val="21"/>
                <w:szCs w:val="21"/>
              </w:rPr>
              <w:t>郑建彪：</w:t>
            </w: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年至今兼任中国证监会上市公司并购重组专家咨询委员会专家委员，</w:t>
            </w: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年至今 兼任南方基金管理有限公司独立董事。张宇锋：</w:t>
            </w:r>
            <w:r>
              <w:rPr>
                <w:rFonts w:ascii="宋体" w:hAnsi="宋体" w:cs="宋体" w:eastAsia="宋体" w:hint="default"/>
                <w:sz w:val="21"/>
                <w:szCs w:val="21"/>
              </w:rPr>
              <w:t>2008</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3</w:t>
            </w:r>
            <w:r>
              <w:rPr>
                <w:rFonts w:ascii="宋体" w:hAnsi="宋体" w:cs="宋体" w:eastAsia="宋体" w:hint="default"/>
                <w:spacing w:val="-53"/>
                <w:sz w:val="21"/>
                <w:szCs w:val="21"/>
              </w:rPr>
              <w:t> </w:t>
            </w:r>
            <w:r>
              <w:rPr>
                <w:rFonts w:ascii="宋体" w:hAnsi="宋体" w:cs="宋体" w:eastAsia="宋体" w:hint="default"/>
                <w:sz w:val="21"/>
                <w:szCs w:val="21"/>
              </w:rPr>
              <w:t>月至今兼任中国保健协会常务理事、</w:t>
            </w:r>
          </w:p>
        </w:tc>
      </w:tr>
    </w:tbl>
    <w:p>
      <w:pPr>
        <w:spacing w:after="0" w:line="271" w:lineRule="auto"/>
        <w:jc w:val="left"/>
        <w:rPr>
          <w:rFonts w:ascii="宋体" w:hAnsi="宋体" w:cs="宋体" w:eastAsia="宋体" w:hint="default"/>
          <w:sz w:val="21"/>
          <w:szCs w:val="21"/>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993"/>
        <w:gridCol w:w="8789"/>
      </w:tblGrid>
      <w:tr>
        <w:trPr>
          <w:trHeight w:val="2235" w:hRule="exact"/>
        </w:trPr>
        <w:tc>
          <w:tcPr>
            <w:tcW w:w="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1" w:lineRule="exact"/>
              <w:ind w:left="22" w:right="0"/>
              <w:jc w:val="left"/>
              <w:rPr>
                <w:rFonts w:ascii="宋体" w:hAnsi="宋体" w:cs="宋体" w:eastAsia="宋体" w:hint="default"/>
                <w:sz w:val="21"/>
                <w:szCs w:val="21"/>
              </w:rPr>
            </w:pPr>
            <w:r>
              <w:rPr>
                <w:rFonts w:ascii="宋体" w:hAnsi="宋体" w:cs="宋体" w:eastAsia="宋体" w:hint="default"/>
                <w:sz w:val="21"/>
                <w:szCs w:val="21"/>
              </w:rPr>
              <w:t>况的说明</w:t>
            </w:r>
          </w:p>
        </w:tc>
        <w:tc>
          <w:tcPr>
            <w:tcW w:w="878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3" w:right="0"/>
              <w:jc w:val="both"/>
              <w:rPr>
                <w:rFonts w:ascii="宋体" w:hAnsi="宋体" w:cs="宋体" w:eastAsia="宋体" w:hint="default"/>
                <w:sz w:val="21"/>
                <w:szCs w:val="21"/>
              </w:rPr>
            </w:pPr>
            <w:r>
              <w:rPr>
                <w:rFonts w:ascii="宋体" w:hAnsi="宋体" w:cs="宋体" w:eastAsia="宋体" w:hint="default"/>
                <w:sz w:val="21"/>
                <w:szCs w:val="21"/>
              </w:rPr>
              <w:t>副秘书长，</w:t>
            </w: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10</w:t>
            </w:r>
            <w:r>
              <w:rPr>
                <w:rFonts w:ascii="宋体" w:hAnsi="宋体" w:cs="宋体" w:eastAsia="宋体" w:hint="default"/>
                <w:spacing w:val="-53"/>
                <w:sz w:val="21"/>
                <w:szCs w:val="21"/>
              </w:rPr>
              <w:t> </w:t>
            </w:r>
            <w:r>
              <w:rPr>
                <w:rFonts w:ascii="宋体" w:hAnsi="宋体" w:cs="宋体" w:eastAsia="宋体" w:hint="default"/>
                <w:sz w:val="21"/>
                <w:szCs w:val="21"/>
              </w:rPr>
              <w:t>月至今兼任中国政法大学金融法研究中心研究员，</w:t>
            </w: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月至今兼任</w:t>
            </w:r>
          </w:p>
          <w:p>
            <w:pPr>
              <w:pStyle w:val="TableParagraph"/>
              <w:spacing w:line="273" w:lineRule="auto" w:before="37"/>
              <w:ind w:left="23" w:right="22"/>
              <w:jc w:val="both"/>
              <w:rPr>
                <w:rFonts w:ascii="宋体" w:hAnsi="宋体" w:cs="宋体" w:eastAsia="宋体" w:hint="default"/>
                <w:sz w:val="21"/>
                <w:szCs w:val="21"/>
              </w:rPr>
            </w:pPr>
            <w:r>
              <w:rPr>
                <w:rFonts w:ascii="宋体" w:hAnsi="宋体" w:cs="宋体" w:eastAsia="宋体" w:hint="default"/>
                <w:sz w:val="21"/>
                <w:szCs w:val="21"/>
              </w:rPr>
              <w:t>广州仲裁委员会仲裁员，</w:t>
            </w:r>
            <w:r>
              <w:rPr>
                <w:rFonts w:ascii="宋体" w:hAnsi="宋体" w:cs="宋体" w:eastAsia="宋体" w:hint="default"/>
                <w:sz w:val="21"/>
                <w:szCs w:val="21"/>
              </w:rPr>
              <w:t>2010</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4</w:t>
            </w:r>
            <w:r>
              <w:rPr>
                <w:rFonts w:ascii="宋体" w:hAnsi="宋体" w:cs="宋体" w:eastAsia="宋体" w:hint="default"/>
                <w:spacing w:val="-53"/>
                <w:sz w:val="21"/>
                <w:szCs w:val="21"/>
              </w:rPr>
              <w:t> </w:t>
            </w:r>
            <w:r>
              <w:rPr>
                <w:rFonts w:ascii="宋体" w:hAnsi="宋体" w:cs="宋体" w:eastAsia="宋体" w:hint="default"/>
                <w:sz w:val="21"/>
                <w:szCs w:val="21"/>
              </w:rPr>
              <w:t>月至今兼任无锡仲裁委员会仲裁员，</w:t>
            </w:r>
            <w:r>
              <w:rPr>
                <w:rFonts w:ascii="宋体" w:hAnsi="宋体" w:cs="宋体" w:eastAsia="宋体" w:hint="default"/>
                <w:sz w:val="21"/>
                <w:szCs w:val="21"/>
              </w:rPr>
              <w:t>2010</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8</w:t>
            </w:r>
            <w:r>
              <w:rPr>
                <w:rFonts w:ascii="宋体" w:hAnsi="宋体" w:cs="宋体" w:eastAsia="宋体" w:hint="default"/>
                <w:spacing w:val="-53"/>
                <w:sz w:val="21"/>
                <w:szCs w:val="21"/>
              </w:rPr>
              <w:t> </w:t>
            </w:r>
            <w:r>
              <w:rPr>
                <w:rFonts w:ascii="宋体" w:hAnsi="宋体" w:cs="宋体" w:eastAsia="宋体" w:hint="default"/>
                <w:sz w:val="21"/>
                <w:szCs w:val="21"/>
              </w:rPr>
              <w:t>月至今兼任中 国政法大学国际银行法律实务研究中心研究员。康斌生：</w:t>
            </w:r>
            <w:r>
              <w:rPr>
                <w:rFonts w:ascii="宋体" w:hAnsi="宋体" w:cs="宋体" w:eastAsia="宋体" w:hint="default"/>
                <w:sz w:val="21"/>
                <w:szCs w:val="21"/>
              </w:rPr>
              <w:t>2012</w:t>
            </w:r>
            <w:r>
              <w:rPr>
                <w:rFonts w:ascii="宋体" w:hAnsi="宋体" w:cs="宋体" w:eastAsia="宋体" w:hint="default"/>
                <w:spacing w:val="-54"/>
                <w:sz w:val="21"/>
                <w:szCs w:val="21"/>
              </w:rPr>
              <w:t> </w:t>
            </w:r>
            <w:r>
              <w:rPr>
                <w:rFonts w:ascii="宋体" w:hAnsi="宋体" w:cs="宋体" w:eastAsia="宋体" w:hint="default"/>
                <w:sz w:val="21"/>
                <w:szCs w:val="21"/>
              </w:rPr>
              <w:t>年至今担任北京天艺创新科技有 限公司执行董事，</w:t>
            </w:r>
            <w:r>
              <w:rPr>
                <w:rFonts w:ascii="宋体" w:hAnsi="宋体" w:cs="宋体" w:eastAsia="宋体" w:hint="default"/>
                <w:sz w:val="21"/>
                <w:szCs w:val="21"/>
              </w:rPr>
              <w:t>2014</w:t>
            </w:r>
            <w:r>
              <w:rPr>
                <w:rFonts w:ascii="宋体" w:hAnsi="宋体" w:cs="宋体" w:eastAsia="宋体" w:hint="default"/>
                <w:spacing w:val="-53"/>
                <w:sz w:val="21"/>
                <w:szCs w:val="21"/>
              </w:rPr>
              <w:t> </w:t>
            </w:r>
            <w:r>
              <w:rPr>
                <w:rFonts w:ascii="宋体" w:hAnsi="宋体" w:cs="宋体" w:eastAsia="宋体" w:hint="default"/>
                <w:sz w:val="21"/>
                <w:szCs w:val="21"/>
              </w:rPr>
              <w:t>年至今担任中科天艺信息技术江苏有限公司董事长，</w:t>
            </w:r>
            <w:r>
              <w:rPr>
                <w:rFonts w:ascii="宋体" w:hAnsi="宋体" w:cs="宋体" w:eastAsia="宋体" w:hint="default"/>
                <w:sz w:val="21"/>
                <w:szCs w:val="21"/>
              </w:rPr>
              <w:t>2015</w:t>
            </w:r>
            <w:r>
              <w:rPr>
                <w:rFonts w:ascii="宋体" w:hAnsi="宋体" w:cs="宋体" w:eastAsia="宋体" w:hint="default"/>
                <w:spacing w:val="-53"/>
                <w:sz w:val="21"/>
                <w:szCs w:val="21"/>
              </w:rPr>
              <w:t> </w:t>
            </w:r>
            <w:r>
              <w:rPr>
                <w:rFonts w:ascii="宋体" w:hAnsi="宋体" w:cs="宋体" w:eastAsia="宋体" w:hint="default"/>
                <w:sz w:val="21"/>
                <w:szCs w:val="21"/>
              </w:rPr>
              <w:t>年至今江苏绿 </w:t>
            </w:r>
            <w:r>
              <w:rPr>
                <w:rFonts w:ascii="宋体" w:hAnsi="宋体" w:cs="宋体" w:eastAsia="宋体" w:hint="default"/>
                <w:spacing w:val="-3"/>
                <w:sz w:val="21"/>
                <w:szCs w:val="21"/>
              </w:rPr>
              <w:t>海物联科技有限责任公司、南通行车宝网络科技有限公司、江苏中汇宏飞智能科技南通有限公司</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董事，</w:t>
            </w: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年至今担任天飨（北京）网络科技有限公司董事，</w:t>
            </w:r>
            <w:r>
              <w:rPr>
                <w:rFonts w:ascii="宋体" w:hAnsi="宋体" w:cs="宋体" w:eastAsia="宋体" w:hint="default"/>
                <w:sz w:val="21"/>
                <w:szCs w:val="21"/>
              </w:rPr>
              <w:t>2016</w:t>
            </w:r>
            <w:r>
              <w:rPr>
                <w:rFonts w:ascii="宋体" w:hAnsi="宋体" w:cs="宋体" w:eastAsia="宋体" w:hint="default"/>
                <w:spacing w:val="-52"/>
                <w:sz w:val="21"/>
                <w:szCs w:val="21"/>
              </w:rPr>
              <w:t> </w:t>
            </w:r>
            <w:r>
              <w:rPr>
                <w:rFonts w:ascii="宋体" w:hAnsi="宋体" w:cs="宋体" w:eastAsia="宋体" w:hint="default"/>
                <w:sz w:val="21"/>
                <w:szCs w:val="21"/>
              </w:rPr>
              <w:t>年至今担任清谊惠（北京） 网络科技有限公司执行董事。</w:t>
            </w:r>
          </w:p>
        </w:tc>
      </w:tr>
    </w:tbl>
    <w:p>
      <w:pPr>
        <w:spacing w:line="240" w:lineRule="auto" w:before="10"/>
        <w:rPr>
          <w:rFonts w:ascii="宋体" w:hAnsi="宋体" w:cs="宋体" w:eastAsia="宋体" w:hint="default"/>
          <w:sz w:val="4"/>
          <w:szCs w:val="4"/>
        </w:rPr>
      </w:pPr>
    </w:p>
    <w:p>
      <w:pPr>
        <w:pStyle w:val="BodyText"/>
        <w:spacing w:line="240" w:lineRule="auto" w:before="26"/>
        <w:ind w:left="634" w:right="996"/>
        <w:jc w:val="left"/>
      </w:pPr>
      <w:r>
        <w:rPr/>
        <w:t>公司现任及报告期内离任董事、监事和高级管理人员近三年证券监管机构处罚的情况</w:t>
      </w:r>
    </w:p>
    <w:p>
      <w:pPr>
        <w:spacing w:line="484" w:lineRule="auto" w:before="145"/>
        <w:ind w:left="153" w:right="6192" w:firstLine="480"/>
        <w:jc w:val="left"/>
        <w:rPr>
          <w:rFonts w:ascii="宋体" w:hAnsi="宋体" w:cs="宋体" w:eastAsia="宋体" w:hint="default"/>
          <w:sz w:val="24"/>
          <w:szCs w:val="24"/>
        </w:rPr>
      </w:pPr>
      <w:r>
        <w:rPr>
          <w:rFonts w:ascii="宋体" w:hAnsi="宋体" w:cs="宋体" w:eastAsia="宋体" w:hint="default"/>
          <w:sz w:val="24"/>
          <w:szCs w:val="24"/>
        </w:rPr>
        <w:t>□ 适用 √ 不适用 </w:t>
      </w:r>
      <w:bookmarkStart w:name="四、董事、监事、高级管理人员报酬情况" w:id="145"/>
      <w:bookmarkEnd w:id="145"/>
      <w:r>
        <w:rPr>
          <w:rFonts w:ascii="宋体" w:hAnsi="宋体" w:cs="宋体" w:eastAsia="宋体" w:hint="default"/>
          <w:sz w:val="24"/>
          <w:szCs w:val="24"/>
        </w:rPr>
      </w:r>
      <w:r>
        <w:rPr>
          <w:rFonts w:ascii="宋体" w:hAnsi="宋体" w:cs="宋体" w:eastAsia="宋体" w:hint="default"/>
          <w:b/>
          <w:bCs/>
          <w:w w:val="95"/>
          <w:sz w:val="24"/>
          <w:szCs w:val="24"/>
        </w:rPr>
        <w:t>四、董事、监事、高级管理人员报酬情况</w:t>
      </w:r>
      <w:r>
        <w:rPr>
          <w:rFonts w:ascii="宋体" w:hAnsi="宋体" w:cs="宋体" w:eastAsia="宋体" w:hint="default"/>
          <w:sz w:val="24"/>
          <w:szCs w:val="24"/>
        </w:rPr>
      </w:r>
    </w:p>
    <w:p>
      <w:pPr>
        <w:pStyle w:val="BodyText"/>
        <w:spacing w:line="350" w:lineRule="auto" w:before="180"/>
        <w:ind w:left="633" w:right="996"/>
        <w:jc w:val="left"/>
      </w:pPr>
      <w:r>
        <w:rPr/>
        <w:t>董事、监事、高级管理人员报酬的决策程序、确定依据、实际支付情况 </w:t>
      </w:r>
      <w:r>
        <w:rPr>
          <w:spacing w:val="-7"/>
        </w:rPr>
        <w:t>公司董事、监事、高级管理人员的报酬按照公司《薪酬体系管理规定》、《高级管理人员</w:t>
      </w:r>
    </w:p>
    <w:p>
      <w:pPr>
        <w:pStyle w:val="BodyText"/>
        <w:spacing w:line="352" w:lineRule="auto" w:before="35"/>
        <w:ind w:right="1153"/>
        <w:jc w:val="left"/>
      </w:pPr>
      <w:r>
        <w:rPr/>
        <w:t>薪酬管理制度》的规定进行考核，并由公司董事会审议后提交公司股东大会审议。公司根据 薪酬计划按月发放薪酬，报告期内共支付董事、监事、高级管理人员薪酬</w:t>
      </w:r>
      <w:r>
        <w:rPr>
          <w:spacing w:val="-59"/>
        </w:rPr>
        <w:t> </w:t>
      </w:r>
      <w:r>
        <w:rPr>
          <w:rFonts w:ascii="宋体" w:hAnsi="宋体" w:cs="宋体" w:eastAsia="宋体" w:hint="default"/>
        </w:rPr>
        <w:t>291.91</w:t>
      </w:r>
      <w:r>
        <w:rPr>
          <w:rFonts w:ascii="宋体" w:hAnsi="宋体" w:cs="宋体" w:eastAsia="宋体" w:hint="default"/>
          <w:spacing w:val="-60"/>
        </w:rPr>
        <w:t> </w:t>
      </w:r>
      <w:r>
        <w:rPr/>
        <w:t>万元。</w:t>
      </w:r>
    </w:p>
    <w:p>
      <w:pPr>
        <w:pStyle w:val="BodyText"/>
        <w:spacing w:line="240" w:lineRule="auto" w:before="32"/>
        <w:ind w:left="633" w:right="996"/>
        <w:jc w:val="left"/>
      </w:pPr>
      <w:r>
        <w:rPr/>
        <w:t>公司报告期内董事、监事和高级管理人员报酬情况</w:t>
      </w:r>
    </w:p>
    <w:p>
      <w:pPr>
        <w:spacing w:before="83"/>
        <w:ind w:left="0" w:right="1130" w:firstLine="0"/>
        <w:jc w:val="right"/>
        <w:rPr>
          <w:rFonts w:ascii="宋体" w:hAnsi="宋体" w:cs="宋体" w:eastAsia="宋体" w:hint="default"/>
          <w:sz w:val="21"/>
          <w:szCs w:val="21"/>
        </w:rPr>
      </w:pPr>
      <w:r>
        <w:rPr>
          <w:rFonts w:ascii="宋体" w:hAnsi="宋体" w:cs="宋体" w:eastAsia="宋体" w:hint="default"/>
          <w:sz w:val="21"/>
          <w:szCs w:val="21"/>
        </w:rPr>
        <w:t>单位：万元</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70"/>
        <w:gridCol w:w="1608"/>
        <w:gridCol w:w="1126"/>
        <w:gridCol w:w="1142"/>
        <w:gridCol w:w="1134"/>
        <w:gridCol w:w="1559"/>
        <w:gridCol w:w="1633"/>
      </w:tblGrid>
      <w:tr>
        <w:trPr>
          <w:trHeight w:val="714"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姓名</w:t>
            </w:r>
          </w:p>
        </w:tc>
        <w:tc>
          <w:tcPr>
            <w:tcW w:w="16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职务</w:t>
            </w: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性别</w:t>
            </w:r>
          </w:p>
        </w:tc>
        <w:tc>
          <w:tcPr>
            <w:tcW w:w="11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年龄</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任职状态</w:t>
            </w:r>
          </w:p>
        </w:tc>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248" w:right="39" w:hanging="210"/>
              <w:jc w:val="left"/>
              <w:rPr>
                <w:rFonts w:ascii="宋体" w:hAnsi="宋体" w:cs="宋体" w:eastAsia="宋体" w:hint="default"/>
                <w:sz w:val="21"/>
                <w:szCs w:val="21"/>
              </w:rPr>
            </w:pPr>
            <w:r>
              <w:rPr>
                <w:rFonts w:ascii="宋体" w:hAnsi="宋体" w:cs="宋体" w:eastAsia="宋体" w:hint="default"/>
                <w:sz w:val="21"/>
                <w:szCs w:val="21"/>
              </w:rPr>
              <w:t>从公司获得的税 前报酬总额</w:t>
            </w:r>
          </w:p>
        </w:tc>
        <w:tc>
          <w:tcPr>
            <w:tcW w:w="16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285" w:right="77" w:hanging="210"/>
              <w:jc w:val="left"/>
              <w:rPr>
                <w:rFonts w:ascii="宋体" w:hAnsi="宋体" w:cs="宋体" w:eastAsia="宋体" w:hint="default"/>
                <w:sz w:val="21"/>
                <w:szCs w:val="21"/>
              </w:rPr>
            </w:pPr>
            <w:r>
              <w:rPr>
                <w:rFonts w:ascii="宋体" w:hAnsi="宋体" w:cs="宋体" w:eastAsia="宋体" w:hint="default"/>
                <w:sz w:val="21"/>
                <w:szCs w:val="21"/>
              </w:rPr>
              <w:t>是否在公司关联 方获取报酬</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李海鹰</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男</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sz w:val="21"/>
              </w:rPr>
              <w:t>51</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现任</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511"/>
              <w:jc w:val="right"/>
              <w:rPr>
                <w:rFonts w:ascii="宋体" w:hAnsi="宋体" w:cs="宋体" w:eastAsia="宋体" w:hint="default"/>
                <w:sz w:val="21"/>
                <w:szCs w:val="21"/>
              </w:rPr>
            </w:pPr>
            <w:r>
              <w:rPr>
                <w:rFonts w:ascii="宋体"/>
                <w:sz w:val="21"/>
              </w:rPr>
              <w:t>18.89</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谢春生</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董事、总经理</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男</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sz w:val="21"/>
              </w:rPr>
              <w:t>49</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现任</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511"/>
              <w:jc w:val="right"/>
              <w:rPr>
                <w:rFonts w:ascii="宋体" w:hAnsi="宋体" w:cs="宋体" w:eastAsia="宋体" w:hint="default"/>
                <w:sz w:val="21"/>
                <w:szCs w:val="21"/>
              </w:rPr>
            </w:pPr>
            <w:r>
              <w:rPr>
                <w:rFonts w:ascii="宋体"/>
                <w:sz w:val="21"/>
              </w:rPr>
              <w:t>81.68</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郑建彪</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男</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sz w:val="21"/>
              </w:rPr>
              <w:t>54</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现任</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615"/>
              <w:jc w:val="right"/>
              <w:rPr>
                <w:rFonts w:ascii="宋体" w:hAnsi="宋体" w:cs="宋体" w:eastAsia="宋体" w:hint="default"/>
                <w:sz w:val="21"/>
                <w:szCs w:val="21"/>
              </w:rPr>
            </w:pPr>
            <w:r>
              <w:rPr>
                <w:rFonts w:ascii="宋体"/>
                <w:sz w:val="21"/>
              </w:rPr>
              <w:t>4.2</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康斌生</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男</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sz w:val="21"/>
              </w:rPr>
              <w:t>51</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现任</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615"/>
              <w:jc w:val="right"/>
              <w:rPr>
                <w:rFonts w:ascii="宋体" w:hAnsi="宋体" w:cs="宋体" w:eastAsia="宋体" w:hint="default"/>
                <w:sz w:val="21"/>
                <w:szCs w:val="21"/>
              </w:rPr>
            </w:pPr>
            <w:r>
              <w:rPr>
                <w:rFonts w:ascii="宋体"/>
                <w:sz w:val="21"/>
              </w:rPr>
              <w:t>4.2</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张宇锋</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男</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sz w:val="21"/>
              </w:rPr>
              <w:t>55</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现任</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615"/>
              <w:jc w:val="right"/>
              <w:rPr>
                <w:rFonts w:ascii="宋体" w:hAnsi="宋体" w:cs="宋体" w:eastAsia="宋体" w:hint="default"/>
                <w:sz w:val="21"/>
                <w:szCs w:val="21"/>
              </w:rPr>
            </w:pPr>
            <w:r>
              <w:rPr>
                <w:rFonts w:ascii="宋体"/>
                <w:sz w:val="21"/>
              </w:rPr>
              <w:t>4.2</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唐涛</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男</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sz w:val="21"/>
              </w:rPr>
              <w:t>55</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离任</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563"/>
              <w:jc w:val="right"/>
              <w:rPr>
                <w:rFonts w:ascii="宋体" w:hAnsi="宋体" w:cs="宋体" w:eastAsia="宋体" w:hint="default"/>
                <w:sz w:val="21"/>
                <w:szCs w:val="21"/>
              </w:rPr>
            </w:pPr>
            <w:r>
              <w:rPr>
                <w:rFonts w:ascii="宋体"/>
                <w:sz w:val="21"/>
              </w:rPr>
              <w:t>0.84</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谭宪才</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男</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sz w:val="21"/>
              </w:rPr>
              <w:t>53</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离任</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563"/>
              <w:jc w:val="right"/>
              <w:rPr>
                <w:rFonts w:ascii="宋体" w:hAnsi="宋体" w:cs="宋体" w:eastAsia="宋体" w:hint="default"/>
                <w:sz w:val="21"/>
                <w:szCs w:val="21"/>
              </w:rPr>
            </w:pPr>
            <w:r>
              <w:rPr>
                <w:rFonts w:ascii="宋体"/>
                <w:sz w:val="21"/>
              </w:rPr>
              <w:t>0.84</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蒋承</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男</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sz w:val="21"/>
              </w:rPr>
              <w:t>39</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离任</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563"/>
              <w:jc w:val="right"/>
              <w:rPr>
                <w:rFonts w:ascii="宋体" w:hAnsi="宋体" w:cs="宋体" w:eastAsia="宋体" w:hint="default"/>
                <w:sz w:val="21"/>
                <w:szCs w:val="21"/>
              </w:rPr>
            </w:pPr>
            <w:r>
              <w:rPr>
                <w:rFonts w:ascii="宋体"/>
                <w:sz w:val="21"/>
              </w:rPr>
              <w:t>0.84</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刘宝利</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监事会主席</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男</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sz w:val="21"/>
              </w:rPr>
              <w:t>47</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离任</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563"/>
              <w:jc w:val="right"/>
              <w:rPr>
                <w:rFonts w:ascii="宋体" w:hAnsi="宋体" w:cs="宋体" w:eastAsia="宋体" w:hint="default"/>
                <w:sz w:val="21"/>
                <w:szCs w:val="21"/>
              </w:rPr>
            </w:pPr>
            <w:r>
              <w:rPr>
                <w:rFonts w:ascii="宋体"/>
                <w:sz w:val="21"/>
              </w:rPr>
              <w:t>29.7</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郭治国</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监事会主席</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男</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sz w:val="21"/>
              </w:rPr>
              <w:t>41</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现任</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511"/>
              <w:jc w:val="right"/>
              <w:rPr>
                <w:rFonts w:ascii="宋体" w:hAnsi="宋体" w:cs="宋体" w:eastAsia="宋体" w:hint="default"/>
                <w:sz w:val="21"/>
                <w:szCs w:val="21"/>
              </w:rPr>
            </w:pPr>
            <w:r>
              <w:rPr>
                <w:rFonts w:ascii="宋体"/>
                <w:sz w:val="21"/>
              </w:rPr>
              <w:t>24.42</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黄继军</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职工监事</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男</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sz w:val="21"/>
              </w:rPr>
              <w:t>48</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现任</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511"/>
              <w:jc w:val="right"/>
              <w:rPr>
                <w:rFonts w:ascii="宋体" w:hAnsi="宋体" w:cs="宋体" w:eastAsia="宋体" w:hint="default"/>
                <w:sz w:val="21"/>
                <w:szCs w:val="21"/>
              </w:rPr>
            </w:pPr>
            <w:r>
              <w:rPr>
                <w:rFonts w:ascii="宋体"/>
                <w:sz w:val="21"/>
              </w:rPr>
              <w:t>13.84</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郝恩元</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职工监事</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男</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sz w:val="21"/>
              </w:rPr>
              <w:t>42</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现任</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511"/>
              <w:jc w:val="right"/>
              <w:rPr>
                <w:rFonts w:ascii="宋体" w:hAnsi="宋体" w:cs="宋体" w:eastAsia="宋体" w:hint="default"/>
                <w:sz w:val="21"/>
                <w:szCs w:val="21"/>
              </w:rPr>
            </w:pPr>
            <w:r>
              <w:rPr>
                <w:rFonts w:ascii="宋体"/>
                <w:sz w:val="21"/>
              </w:rPr>
              <w:t>10.17</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杜旭升</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副总经理</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男</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sz w:val="21"/>
              </w:rPr>
              <w:t>43</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现任</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511"/>
              <w:jc w:val="right"/>
              <w:rPr>
                <w:rFonts w:ascii="宋体" w:hAnsi="宋体" w:cs="宋体" w:eastAsia="宋体" w:hint="default"/>
                <w:sz w:val="21"/>
                <w:szCs w:val="21"/>
              </w:rPr>
            </w:pPr>
            <w:r>
              <w:rPr>
                <w:rFonts w:ascii="宋体"/>
                <w:sz w:val="21"/>
              </w:rPr>
              <w:t>31.62</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张奕敏</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副总经理</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女</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sz w:val="21"/>
              </w:rPr>
              <w:t>44</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现任</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511"/>
              <w:jc w:val="right"/>
              <w:rPr>
                <w:rFonts w:ascii="宋体" w:hAnsi="宋体" w:cs="宋体" w:eastAsia="宋体" w:hint="default"/>
                <w:sz w:val="21"/>
                <w:szCs w:val="21"/>
              </w:rPr>
            </w:pPr>
            <w:r>
              <w:rPr>
                <w:rFonts w:ascii="宋体"/>
                <w:sz w:val="21"/>
              </w:rPr>
              <w:t>31.62</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侯菊艳</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财务总监</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女</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sz w:val="21"/>
              </w:rPr>
              <w:t>51</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现任</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511"/>
              <w:jc w:val="right"/>
              <w:rPr>
                <w:rFonts w:ascii="宋体" w:hAnsi="宋体" w:cs="宋体" w:eastAsia="宋体" w:hint="default"/>
                <w:sz w:val="21"/>
                <w:szCs w:val="21"/>
              </w:rPr>
            </w:pPr>
            <w:r>
              <w:rPr>
                <w:rFonts w:ascii="宋体"/>
                <w:sz w:val="21"/>
              </w:rPr>
              <w:t>19.62</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韩瑞</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2" w:right="0"/>
              <w:jc w:val="left"/>
              <w:rPr>
                <w:rFonts w:ascii="宋体" w:hAnsi="宋体" w:cs="宋体" w:eastAsia="宋体" w:hint="default"/>
                <w:sz w:val="21"/>
                <w:szCs w:val="21"/>
              </w:rPr>
            </w:pPr>
            <w:r>
              <w:rPr>
                <w:rFonts w:ascii="宋体" w:hAnsi="宋体" w:cs="宋体" w:eastAsia="宋体" w:hint="default"/>
                <w:sz w:val="21"/>
                <w:szCs w:val="21"/>
              </w:rPr>
              <w:t>董事会秘书、副</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女</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sz w:val="21"/>
              </w:rPr>
              <w:t>34</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现任</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511"/>
              <w:jc w:val="right"/>
              <w:rPr>
                <w:rFonts w:ascii="宋体" w:hAnsi="宋体" w:cs="宋体" w:eastAsia="宋体" w:hint="default"/>
                <w:sz w:val="21"/>
                <w:szCs w:val="21"/>
              </w:rPr>
            </w:pPr>
            <w:r>
              <w:rPr>
                <w:rFonts w:ascii="宋体"/>
                <w:sz w:val="21"/>
              </w:rPr>
              <w:t>15.23</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否</w:t>
            </w:r>
          </w:p>
        </w:tc>
      </w:tr>
    </w:tbl>
    <w:p>
      <w:pPr>
        <w:spacing w:after="0" w:line="240" w:lineRule="auto"/>
        <w:jc w:val="center"/>
        <w:rPr>
          <w:rFonts w:ascii="宋体" w:hAnsi="宋体" w:cs="宋体" w:eastAsia="宋体" w:hint="default"/>
          <w:sz w:val="21"/>
          <w:szCs w:val="21"/>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70"/>
        <w:gridCol w:w="1608"/>
        <w:gridCol w:w="1126"/>
        <w:gridCol w:w="1142"/>
        <w:gridCol w:w="1134"/>
        <w:gridCol w:w="1559"/>
        <w:gridCol w:w="1633"/>
      </w:tblGrid>
      <w:tr>
        <w:trPr>
          <w:trHeight w:val="362" w:hRule="exact"/>
        </w:trPr>
        <w:tc>
          <w:tcPr>
            <w:tcW w:w="1370" w:type="dxa"/>
            <w:tcBorders>
              <w:top w:val="single" w:sz="4" w:space="0" w:color="000000"/>
              <w:left w:val="single" w:sz="4" w:space="0" w:color="000000"/>
              <w:bottom w:val="single" w:sz="4" w:space="0" w:color="000000"/>
              <w:right w:val="single" w:sz="4" w:space="0" w:color="000000"/>
            </w:tcBorders>
          </w:tcPr>
          <w:p>
            <w:pP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22" w:right="0"/>
              <w:jc w:val="left"/>
              <w:rPr>
                <w:rFonts w:ascii="宋体" w:hAnsi="宋体" w:cs="宋体" w:eastAsia="宋体" w:hint="default"/>
                <w:sz w:val="21"/>
                <w:szCs w:val="21"/>
              </w:rPr>
            </w:pPr>
            <w:r>
              <w:rPr>
                <w:rFonts w:ascii="宋体" w:hAnsi="宋体" w:cs="宋体" w:eastAsia="宋体" w:hint="default"/>
                <w:sz w:val="21"/>
                <w:szCs w:val="21"/>
              </w:rPr>
              <w:t>总经理</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4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63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6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sz w:val="21"/>
              </w:rPr>
              <w:t>--</w:t>
            </w: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sz w:val="21"/>
              </w:rPr>
              <w:t>--</w:t>
            </w:r>
          </w:p>
        </w:tc>
        <w:tc>
          <w:tcPr>
            <w:tcW w:w="11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sz w:val="21"/>
              </w:rPr>
              <w:t>--</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1"/>
              <w:jc w:val="center"/>
              <w:rPr>
                <w:rFonts w:ascii="宋体" w:hAnsi="宋体" w:cs="宋体" w:eastAsia="宋体" w:hint="default"/>
                <w:sz w:val="21"/>
                <w:szCs w:val="21"/>
              </w:rPr>
            </w:pPr>
            <w:r>
              <w:rPr>
                <w:rFonts w:ascii="宋体"/>
                <w:sz w:val="21"/>
              </w:rPr>
              <w:t>--</w:t>
            </w:r>
          </w:p>
        </w:tc>
        <w:tc>
          <w:tcPr>
            <w:tcW w:w="1559"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26"/>
              <w:ind w:left="458" w:right="0"/>
              <w:jc w:val="left"/>
              <w:rPr>
                <w:rFonts w:ascii="宋体" w:hAnsi="宋体" w:cs="宋体" w:eastAsia="宋体" w:hint="default"/>
                <w:sz w:val="21"/>
                <w:szCs w:val="21"/>
              </w:rPr>
            </w:pPr>
            <w:r>
              <w:rPr>
                <w:rFonts w:ascii="宋体"/>
                <w:sz w:val="21"/>
              </w:rPr>
              <w:t>291.91</w:t>
            </w:r>
          </w:p>
        </w:tc>
        <w:tc>
          <w:tcPr>
            <w:tcW w:w="16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1"/>
              <w:jc w:val="center"/>
              <w:rPr>
                <w:rFonts w:ascii="宋体" w:hAnsi="宋体" w:cs="宋体" w:eastAsia="宋体" w:hint="default"/>
                <w:sz w:val="21"/>
                <w:szCs w:val="21"/>
              </w:rPr>
            </w:pPr>
            <w:r>
              <w:rPr>
                <w:rFonts w:ascii="宋体"/>
                <w:sz w:val="21"/>
              </w:rPr>
              <w:t>--</w:t>
            </w:r>
          </w:p>
        </w:tc>
      </w:tr>
    </w:tbl>
    <w:p>
      <w:pPr>
        <w:spacing w:line="240" w:lineRule="auto" w:before="10"/>
        <w:rPr>
          <w:rFonts w:ascii="宋体" w:hAnsi="宋体" w:cs="宋体" w:eastAsia="宋体" w:hint="default"/>
          <w:sz w:val="4"/>
          <w:szCs w:val="4"/>
        </w:rPr>
      </w:pPr>
    </w:p>
    <w:p>
      <w:pPr>
        <w:pStyle w:val="BodyText"/>
        <w:spacing w:line="240" w:lineRule="auto" w:before="26"/>
        <w:ind w:left="634" w:right="996"/>
        <w:jc w:val="left"/>
      </w:pPr>
      <w:r>
        <w:rPr/>
        <w:t>公司董事、高级管理人员报告期内被授予的股权激励情况</w:t>
      </w:r>
    </w:p>
    <w:p>
      <w:pPr>
        <w:spacing w:line="484" w:lineRule="auto" w:before="146"/>
        <w:ind w:left="153" w:right="8233" w:firstLine="480"/>
        <w:jc w:val="left"/>
        <w:rPr>
          <w:rFonts w:ascii="宋体" w:hAnsi="宋体" w:cs="宋体" w:eastAsia="宋体" w:hint="default"/>
          <w:sz w:val="24"/>
          <w:szCs w:val="24"/>
        </w:rPr>
      </w:pPr>
      <w:r>
        <w:rPr>
          <w:rFonts w:ascii="宋体" w:hAnsi="宋体" w:cs="宋体" w:eastAsia="宋体" w:hint="default"/>
          <w:sz w:val="24"/>
          <w:szCs w:val="24"/>
        </w:rPr>
        <w:t>□ 适用 √ 不适用 </w:t>
      </w:r>
      <w:bookmarkStart w:name="五、公司员工情况" w:id="146"/>
      <w:bookmarkEnd w:id="146"/>
      <w:r>
        <w:rPr>
          <w:rFonts w:ascii="宋体" w:hAnsi="宋体" w:cs="宋体" w:eastAsia="宋体" w:hint="default"/>
          <w:sz w:val="24"/>
          <w:szCs w:val="24"/>
        </w:rPr>
      </w:r>
      <w:r>
        <w:rPr>
          <w:rFonts w:ascii="宋体" w:hAnsi="宋体" w:cs="宋体" w:eastAsia="宋体" w:hint="default"/>
          <w:b/>
          <w:bCs/>
          <w:sz w:val="24"/>
          <w:szCs w:val="24"/>
        </w:rPr>
        <w:t>五、公司员工情况</w:t>
      </w:r>
      <w:r>
        <w:rPr>
          <w:rFonts w:ascii="宋体" w:hAnsi="宋体" w:cs="宋体" w:eastAsia="宋体" w:hint="default"/>
          <w:sz w:val="24"/>
          <w:szCs w:val="24"/>
        </w:rPr>
      </w:r>
    </w:p>
    <w:p>
      <w:pPr>
        <w:pStyle w:val="Heading2"/>
        <w:spacing w:line="240" w:lineRule="auto" w:before="180"/>
        <w:ind w:right="996"/>
        <w:jc w:val="left"/>
        <w:rPr>
          <w:b w:val="0"/>
          <w:bCs w:val="0"/>
        </w:rPr>
      </w:pPr>
      <w:bookmarkStart w:name="1、员工数量、专业构成及教育程度" w:id="147"/>
      <w:bookmarkEnd w:id="147"/>
      <w:r>
        <w:rPr>
          <w:b w:val="0"/>
          <w:bCs w:val="0"/>
        </w:rPr>
      </w:r>
      <w:r>
        <w:rPr>
          <w:rFonts w:ascii="Times New Roman" w:hAnsi="Times New Roman" w:cs="Times New Roman" w:eastAsia="Times New Roman" w:hint="default"/>
        </w:rPr>
        <w:t>1</w:t>
      </w:r>
      <w:r>
        <w:rPr/>
        <w:t>、员工数量、专业构成及教育程度</w:t>
      </w:r>
      <w:r>
        <w:rPr>
          <w:b w:val="0"/>
          <w:bCs w:val="0"/>
        </w:rPr>
      </w:r>
    </w:p>
    <w:p>
      <w:pPr>
        <w:spacing w:line="240" w:lineRule="auto" w:before="0"/>
        <w:rPr>
          <w:rFonts w:ascii="宋体" w:hAnsi="宋体" w:cs="宋体" w:eastAsia="宋体" w:hint="default"/>
          <w:b/>
          <w:bCs/>
          <w:sz w:val="3"/>
          <w:szCs w:val="3"/>
        </w:rPr>
      </w:pPr>
    </w:p>
    <w:tbl>
      <w:tblPr>
        <w:tblW w:w="0" w:type="auto"/>
        <w:jc w:val="left"/>
        <w:tblInd w:w="160" w:type="dxa"/>
        <w:tblLayout w:type="fixed"/>
        <w:tblCellMar>
          <w:top w:w="0" w:type="dxa"/>
          <w:left w:w="0" w:type="dxa"/>
          <w:bottom w:w="0" w:type="dxa"/>
          <w:right w:w="0" w:type="dxa"/>
        </w:tblCellMar>
        <w:tblLook w:val="01E0"/>
      </w:tblPr>
      <w:tblGrid>
        <w:gridCol w:w="4766"/>
        <w:gridCol w:w="4792"/>
      </w:tblGrid>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母公司在职员工的数量（人）</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368</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主要子公司在职员工的数量（人）</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384</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在职员工的数量合计（人）</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752</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当期领取薪酬员工总人数（人）</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752</w:t>
            </w:r>
          </w:p>
        </w:tc>
      </w:tr>
      <w:tr>
        <w:trPr>
          <w:trHeight w:val="719"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母公司及主要子公司需承担费用的离退休职工人数</w:t>
            </w:r>
          </w:p>
          <w:p>
            <w:pPr>
              <w:pStyle w:val="TableParagraph"/>
              <w:spacing w:line="240" w:lineRule="auto" w:before="38"/>
              <w:ind w:left="11" w:right="0"/>
              <w:jc w:val="left"/>
              <w:rPr>
                <w:rFonts w:ascii="宋体" w:hAnsi="宋体" w:cs="宋体" w:eastAsia="宋体" w:hint="default"/>
                <w:sz w:val="21"/>
                <w:szCs w:val="21"/>
              </w:rPr>
            </w:pPr>
            <w:r>
              <w:rPr>
                <w:rFonts w:ascii="宋体" w:hAnsi="宋体" w:cs="宋体" w:eastAsia="宋体" w:hint="default"/>
                <w:sz w:val="21"/>
                <w:szCs w:val="21"/>
              </w:rPr>
              <w:t>（人）</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20"/>
              <w:jc w:val="right"/>
              <w:rPr>
                <w:rFonts w:ascii="宋体" w:hAnsi="宋体" w:cs="宋体" w:eastAsia="宋体" w:hint="default"/>
                <w:sz w:val="21"/>
                <w:szCs w:val="21"/>
              </w:rPr>
            </w:pPr>
            <w:r>
              <w:rPr>
                <w:rFonts w:ascii="宋体"/>
                <w:sz w:val="21"/>
              </w:rPr>
              <w:t>0</w:t>
            </w:r>
          </w:p>
        </w:tc>
      </w:tr>
      <w:tr>
        <w:trPr>
          <w:trHeight w:val="392"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1" w:right="10"/>
              <w:jc w:val="center"/>
              <w:rPr>
                <w:rFonts w:ascii="宋体" w:hAnsi="宋体" w:cs="宋体" w:eastAsia="宋体" w:hint="default"/>
                <w:sz w:val="21"/>
                <w:szCs w:val="21"/>
              </w:rPr>
            </w:pPr>
            <w:r>
              <w:rPr>
                <w:rFonts w:ascii="宋体" w:hAnsi="宋体" w:cs="宋体" w:eastAsia="宋体" w:hint="default"/>
                <w:sz w:val="21"/>
                <w:szCs w:val="21"/>
              </w:rPr>
              <w:t>专业构成</w:t>
            </w:r>
          </w:p>
        </w:tc>
      </w:tr>
      <w:tr>
        <w:trPr>
          <w:trHeight w:val="407"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1" w:right="2"/>
              <w:jc w:val="center"/>
              <w:rPr>
                <w:rFonts w:ascii="宋体" w:hAnsi="宋体" w:cs="宋体" w:eastAsia="宋体" w:hint="default"/>
                <w:sz w:val="21"/>
                <w:szCs w:val="21"/>
              </w:rPr>
            </w:pPr>
            <w:r>
              <w:rPr>
                <w:rFonts w:ascii="宋体" w:hAnsi="宋体" w:cs="宋体" w:eastAsia="宋体" w:hint="default"/>
                <w:sz w:val="21"/>
                <w:szCs w:val="21"/>
              </w:rPr>
              <w:t>专业构成类别</w:t>
            </w:r>
          </w:p>
        </w:tc>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1449" w:right="0"/>
              <w:jc w:val="left"/>
              <w:rPr>
                <w:rFonts w:ascii="宋体" w:hAnsi="宋体" w:cs="宋体" w:eastAsia="宋体" w:hint="default"/>
                <w:sz w:val="21"/>
                <w:szCs w:val="21"/>
              </w:rPr>
            </w:pPr>
            <w:r>
              <w:rPr>
                <w:rFonts w:ascii="宋体" w:hAnsi="宋体" w:cs="宋体" w:eastAsia="宋体" w:hint="default"/>
                <w:sz w:val="21"/>
                <w:szCs w:val="21"/>
              </w:rPr>
              <w:t>专业构成人数（人）</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生产人员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135</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销售人员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19"/>
              <w:jc w:val="right"/>
              <w:rPr>
                <w:rFonts w:ascii="宋体" w:hAnsi="宋体" w:cs="宋体" w:eastAsia="宋体" w:hint="default"/>
                <w:sz w:val="21"/>
                <w:szCs w:val="21"/>
              </w:rPr>
            </w:pPr>
            <w:r>
              <w:rPr>
                <w:rFonts w:ascii="宋体"/>
                <w:sz w:val="21"/>
              </w:rPr>
              <w:t>68</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技术人员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449</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财务人员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19"/>
              <w:jc w:val="right"/>
              <w:rPr>
                <w:rFonts w:ascii="宋体" w:hAnsi="宋体" w:cs="宋体" w:eastAsia="宋体" w:hint="default"/>
                <w:sz w:val="21"/>
                <w:szCs w:val="21"/>
              </w:rPr>
            </w:pPr>
            <w:r>
              <w:rPr>
                <w:rFonts w:ascii="宋体"/>
                <w:sz w:val="21"/>
              </w:rPr>
              <w:t>24</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行政人员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19"/>
              <w:jc w:val="right"/>
              <w:rPr>
                <w:rFonts w:ascii="宋体" w:hAnsi="宋体" w:cs="宋体" w:eastAsia="宋体" w:hint="default"/>
                <w:sz w:val="21"/>
                <w:szCs w:val="21"/>
              </w:rPr>
            </w:pPr>
            <w:r>
              <w:rPr>
                <w:rFonts w:ascii="宋体"/>
                <w:sz w:val="21"/>
              </w:rPr>
              <w:t>76</w:t>
            </w:r>
          </w:p>
        </w:tc>
      </w:tr>
      <w:tr>
        <w:trPr>
          <w:trHeight w:val="407"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752</w:t>
            </w:r>
          </w:p>
        </w:tc>
      </w:tr>
      <w:tr>
        <w:trPr>
          <w:trHeight w:val="392"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1" w:right="10"/>
              <w:jc w:val="center"/>
              <w:rPr>
                <w:rFonts w:ascii="宋体" w:hAnsi="宋体" w:cs="宋体" w:eastAsia="宋体" w:hint="default"/>
                <w:sz w:val="21"/>
                <w:szCs w:val="21"/>
              </w:rPr>
            </w:pPr>
            <w:r>
              <w:rPr>
                <w:rFonts w:ascii="宋体" w:hAnsi="宋体" w:cs="宋体" w:eastAsia="宋体" w:hint="default"/>
                <w:sz w:val="21"/>
                <w:szCs w:val="21"/>
              </w:rPr>
              <w:t>教育程度</w:t>
            </w:r>
          </w:p>
        </w:tc>
      </w:tr>
      <w:tr>
        <w:trPr>
          <w:trHeight w:val="407"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11" w:right="0"/>
              <w:jc w:val="left"/>
              <w:rPr>
                <w:rFonts w:ascii="宋体" w:hAnsi="宋体" w:cs="宋体" w:eastAsia="宋体" w:hint="default"/>
                <w:sz w:val="21"/>
                <w:szCs w:val="21"/>
              </w:rPr>
            </w:pPr>
            <w:r>
              <w:rPr>
                <w:rFonts w:ascii="宋体" w:hAnsi="宋体" w:cs="宋体" w:eastAsia="宋体" w:hint="default"/>
                <w:sz w:val="21"/>
                <w:szCs w:val="21"/>
              </w:rPr>
              <w:t>教育程度类别</w:t>
            </w:r>
          </w:p>
        </w:tc>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30" w:right="0"/>
              <w:jc w:val="left"/>
              <w:rPr>
                <w:rFonts w:ascii="宋体" w:hAnsi="宋体" w:cs="宋体" w:eastAsia="宋体" w:hint="default"/>
                <w:sz w:val="21"/>
                <w:szCs w:val="21"/>
              </w:rPr>
            </w:pPr>
            <w:r>
              <w:rPr>
                <w:rFonts w:ascii="宋体" w:hAnsi="宋体" w:cs="宋体" w:eastAsia="宋体" w:hint="default"/>
                <w:sz w:val="21"/>
                <w:szCs w:val="21"/>
              </w:rPr>
              <w:t>数量（人）</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硕士及以上</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9"/>
              <w:jc w:val="right"/>
              <w:rPr>
                <w:rFonts w:ascii="宋体" w:hAnsi="宋体" w:cs="宋体" w:eastAsia="宋体" w:hint="default"/>
                <w:sz w:val="21"/>
                <w:szCs w:val="21"/>
              </w:rPr>
            </w:pPr>
            <w:r>
              <w:rPr>
                <w:rFonts w:ascii="宋体"/>
                <w:sz w:val="21"/>
              </w:rPr>
              <w:t>49</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本科</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357</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专科及以下</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346</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752</w:t>
            </w:r>
          </w:p>
        </w:tc>
      </w:tr>
    </w:tbl>
    <w:p>
      <w:pPr>
        <w:spacing w:line="240" w:lineRule="auto" w:before="10"/>
        <w:rPr>
          <w:rFonts w:ascii="宋体" w:hAnsi="宋体" w:cs="宋体" w:eastAsia="宋体" w:hint="default"/>
          <w:b/>
          <w:bCs/>
          <w:sz w:val="4"/>
          <w:szCs w:val="4"/>
        </w:rPr>
      </w:pPr>
    </w:p>
    <w:p>
      <w:pPr>
        <w:pStyle w:val="Heading2"/>
        <w:spacing w:line="240" w:lineRule="auto"/>
        <w:ind w:right="996"/>
        <w:jc w:val="left"/>
        <w:rPr>
          <w:b w:val="0"/>
          <w:bCs w:val="0"/>
        </w:rPr>
      </w:pPr>
      <w:bookmarkStart w:name="2、薪酬政策" w:id="148"/>
      <w:bookmarkEnd w:id="148"/>
      <w:r>
        <w:rPr>
          <w:b w:val="0"/>
          <w:bCs w:val="0"/>
        </w:rPr>
      </w:r>
      <w:r>
        <w:rPr>
          <w:rFonts w:ascii="Times New Roman" w:hAnsi="Times New Roman" w:cs="Times New Roman" w:eastAsia="Times New Roman" w:hint="default"/>
        </w:rPr>
        <w:t>2</w:t>
      </w:r>
      <w:r>
        <w:rPr/>
        <w:t>、薪酬政策</w:t>
      </w:r>
      <w:r>
        <w:rPr>
          <w:b w:val="0"/>
          <w:bCs w:val="0"/>
        </w:rPr>
      </w:r>
    </w:p>
    <w:p>
      <w:pPr>
        <w:pStyle w:val="BodyText"/>
        <w:spacing w:line="350" w:lineRule="auto" w:before="128"/>
        <w:ind w:right="995" w:firstLine="480"/>
        <w:jc w:val="left"/>
      </w:pPr>
      <w:r>
        <w:rPr>
          <w:rFonts w:ascii="宋体" w:hAnsi="宋体" w:cs="宋体" w:eastAsia="宋体" w:hint="default"/>
        </w:rPr>
        <w:t>2017</w:t>
      </w:r>
      <w:r>
        <w:rPr>
          <w:rFonts w:ascii="宋体" w:hAnsi="宋体" w:cs="宋体" w:eastAsia="宋体" w:hint="default"/>
          <w:spacing w:val="-54"/>
        </w:rPr>
        <w:t> </w:t>
      </w:r>
      <w:r>
        <w:rPr>
          <w:spacing w:val="-4"/>
        </w:rPr>
        <w:t>年度，公司严格执行国家用工制度、劳动保护制度、社会保障制度和医疗保障制度，</w:t>
      </w:r>
      <w:r>
        <w:rPr/>
        <w:t> 按照国家法律法规及时为员工缴纳医疗保险金、养老保险、失业保险、工伤保险、生育保险 和公积金。在此基础上，公司结合所处行业及经营特点，充分考虑公平性和竞争力，形成了</w:t>
      </w:r>
    </w:p>
    <w:p>
      <w:pPr>
        <w:pStyle w:val="BodyText"/>
        <w:spacing w:line="350" w:lineRule="auto"/>
        <w:ind w:right="1153"/>
        <w:jc w:val="left"/>
      </w:pPr>
      <w:r>
        <w:rPr>
          <w:spacing w:val="-6"/>
        </w:rPr>
        <w:t>《薪酬体系管理规定》、《高级管理人员薪酬管理规定》等一系列富有竞争力的薪酬考核制度</w:t>
      </w:r>
      <w:r>
        <w:rPr>
          <w:spacing w:val="-114"/>
        </w:rPr>
        <w:t> </w:t>
      </w:r>
      <w:r>
        <w:rPr>
          <w:spacing w:val="-114"/>
        </w:rPr>
      </w:r>
      <w:r>
        <w:rPr/>
        <w:t>及绩效考核制度。报告期内，公司实施了第一期员工持股计划，用激励基金奖励员工，充分</w:t>
      </w:r>
    </w:p>
    <w:p>
      <w:pPr>
        <w:spacing w:after="0" w:line="35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350" w:lineRule="auto" w:before="199"/>
        <w:ind w:right="1153"/>
        <w:jc w:val="left"/>
      </w:pPr>
      <w:r>
        <w:rPr/>
        <w:t>调动员工的积极性和创造性，稳定公司人才队伍和吸引外部优秀人才，为公司发展提供人力 资源保障。</w:t>
      </w:r>
    </w:p>
    <w:p>
      <w:pPr>
        <w:pStyle w:val="BodyText"/>
        <w:spacing w:line="331" w:lineRule="auto"/>
        <w:ind w:left="633" w:right="1153" w:firstLine="2"/>
        <w:jc w:val="left"/>
      </w:pPr>
      <w:bookmarkStart w:name="3、培训计划" w:id="149"/>
      <w:bookmarkEnd w:id="149"/>
      <w:r>
        <w:rPr/>
      </w:r>
      <w:r>
        <w:rPr>
          <w:rFonts w:ascii="Times New Roman" w:hAnsi="Times New Roman" w:cs="Times New Roman" w:eastAsia="Times New Roman" w:hint="default"/>
          <w:b/>
          <w:bCs/>
        </w:rPr>
        <w:t>3</w:t>
      </w:r>
      <w:r>
        <w:rPr>
          <w:rFonts w:ascii="宋体" w:hAnsi="宋体" w:cs="宋体" w:eastAsia="宋体" w:hint="default"/>
          <w:b/>
          <w:bCs/>
        </w:rPr>
        <w:t>、培训计划</w:t>
      </w:r>
      <w:r>
        <w:rPr>
          <w:rFonts w:ascii="宋体" w:hAnsi="宋体" w:cs="宋体" w:eastAsia="宋体" w:hint="default"/>
          <w:b/>
          <w:bCs/>
          <w:w w:val="99"/>
        </w:rPr>
        <w:t> </w:t>
      </w:r>
      <w:r>
        <w:rPr/>
        <w:t>公司充分认识到对员工培训的重要性，根据公司的经营发展状况及员工个人发展需要而</w:t>
      </w:r>
    </w:p>
    <w:p>
      <w:pPr>
        <w:pStyle w:val="BodyText"/>
        <w:spacing w:line="352" w:lineRule="auto" w:before="54"/>
        <w:ind w:right="1153"/>
        <w:jc w:val="left"/>
      </w:pPr>
      <w:r>
        <w:rPr/>
        <w:t>选择合适培训方式进行培训，培训方式为外派和内训相结合。报告期内，公司持续建立学习 型组织，帮助员工制定职业生涯规划，制订科学有效的培训制度。</w:t>
      </w:r>
    </w:p>
    <w:p>
      <w:pPr>
        <w:pStyle w:val="BodyText"/>
        <w:spacing w:line="350" w:lineRule="auto" w:before="32"/>
        <w:ind w:left="154" w:right="1112" w:firstLine="480"/>
        <w:jc w:val="left"/>
      </w:pPr>
      <w:r>
        <w:rPr>
          <w:rFonts w:ascii="宋体" w:hAnsi="宋体" w:cs="宋体" w:eastAsia="宋体" w:hint="default"/>
        </w:rPr>
        <w:t>2018</w:t>
      </w:r>
      <w:r>
        <w:rPr>
          <w:rFonts w:ascii="宋体" w:hAnsi="宋体" w:cs="宋体" w:eastAsia="宋体" w:hint="default"/>
          <w:spacing w:val="-80"/>
        </w:rPr>
        <w:t> </w:t>
      </w:r>
      <w:r>
        <w:rPr/>
        <w:t>年公司将持续完善公司的培训体系，丰富培训的方式方法，满足各部门的业务需求 和公司发展的需要。</w:t>
      </w:r>
    </w:p>
    <w:p>
      <w:pPr>
        <w:pStyle w:val="Heading2"/>
        <w:spacing w:line="240" w:lineRule="auto" w:before="36"/>
        <w:ind w:right="996"/>
        <w:jc w:val="left"/>
        <w:rPr>
          <w:b w:val="0"/>
          <w:bCs w:val="0"/>
        </w:rPr>
      </w:pPr>
      <w:bookmarkStart w:name="4、劳务外包情况" w:id="150"/>
      <w:bookmarkEnd w:id="150"/>
      <w:r>
        <w:rPr>
          <w:b w:val="0"/>
          <w:bCs w:val="0"/>
        </w:rPr>
      </w:r>
      <w:r>
        <w:rPr>
          <w:rFonts w:ascii="Times New Roman" w:hAnsi="Times New Roman" w:cs="Times New Roman" w:eastAsia="Times New Roman" w:hint="default"/>
        </w:rPr>
        <w:t>4</w:t>
      </w:r>
      <w:r>
        <w:rPr/>
        <w:t>、劳务外包情况</w:t>
      </w:r>
      <w:r>
        <w:rPr>
          <w:b w:val="0"/>
          <w:bCs w:val="0"/>
        </w:rPr>
      </w:r>
    </w:p>
    <w:p>
      <w:pPr>
        <w:pStyle w:val="BodyText"/>
        <w:spacing w:line="240" w:lineRule="auto" w:before="127"/>
        <w:ind w:left="633" w:right="996"/>
        <w:jc w:val="left"/>
      </w:pPr>
      <w:r>
        <w:rPr/>
        <w:t>□ 适用 √ 不适用</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3"/>
          <w:szCs w:val="23"/>
        </w:rPr>
      </w:pPr>
    </w:p>
    <w:p>
      <w:pPr>
        <w:pStyle w:val="Heading1"/>
        <w:spacing w:line="240" w:lineRule="auto"/>
        <w:ind w:right="993"/>
        <w:jc w:val="center"/>
        <w:rPr>
          <w:b w:val="0"/>
          <w:bCs w:val="0"/>
        </w:rPr>
      </w:pPr>
      <w:bookmarkStart w:name="第九节 公司治理" w:id="151"/>
      <w:bookmarkEnd w:id="151"/>
      <w:r>
        <w:rPr>
          <w:b w:val="0"/>
          <w:bCs w:val="0"/>
        </w:rPr>
      </w:r>
      <w:bookmarkStart w:name="_bookmark9" w:id="152"/>
      <w:bookmarkEnd w:id="152"/>
      <w:r>
        <w:rPr>
          <w:b w:val="0"/>
          <w:bCs w:val="0"/>
        </w:rPr>
      </w:r>
      <w:r>
        <w:rPr/>
        <w:t>第九节</w:t>
      </w:r>
      <w:r>
        <w:rPr>
          <w:spacing w:val="-5"/>
        </w:rPr>
        <w:t> </w:t>
      </w:r>
      <w:r>
        <w:rPr/>
        <w:t>公司治理</w:t>
      </w:r>
      <w:r>
        <w:rPr>
          <w:b w:val="0"/>
          <w:bCs w:val="0"/>
        </w:rPr>
      </w: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6"/>
          <w:szCs w:val="16"/>
        </w:rPr>
      </w:pPr>
    </w:p>
    <w:p>
      <w:pPr>
        <w:pStyle w:val="Heading2"/>
        <w:spacing w:line="240" w:lineRule="auto"/>
        <w:ind w:left="153" w:right="996"/>
        <w:jc w:val="left"/>
        <w:rPr>
          <w:b w:val="0"/>
          <w:bCs w:val="0"/>
        </w:rPr>
      </w:pPr>
      <w:bookmarkStart w:name="一、公司治理的基本状况" w:id="153"/>
      <w:bookmarkEnd w:id="153"/>
      <w:r>
        <w:rPr>
          <w:b w:val="0"/>
          <w:bCs w:val="0"/>
        </w:rPr>
      </w:r>
      <w:r>
        <w:rPr/>
        <w:t>一、公司治理的基本状况</w:t>
      </w:r>
      <w:r>
        <w:rPr>
          <w:b w:val="0"/>
          <w:bCs w:val="0"/>
        </w:rPr>
      </w:r>
    </w:p>
    <w:p>
      <w:pPr>
        <w:spacing w:line="240" w:lineRule="auto" w:before="6"/>
        <w:rPr>
          <w:rFonts w:ascii="宋体" w:hAnsi="宋体" w:cs="宋体" w:eastAsia="宋体" w:hint="default"/>
          <w:b/>
          <w:bCs/>
          <w:sz w:val="32"/>
          <w:szCs w:val="32"/>
        </w:rPr>
      </w:pPr>
    </w:p>
    <w:p>
      <w:pPr>
        <w:pStyle w:val="BodyText"/>
        <w:spacing w:line="350" w:lineRule="auto" w:before="0"/>
        <w:ind w:right="1170" w:firstLine="480"/>
        <w:jc w:val="both"/>
      </w:pPr>
      <w:r>
        <w:rPr>
          <w:spacing w:val="-18"/>
        </w:rPr>
        <w:t>报告期内，公司严格按照《公司法》、《证券法》、《上市公司治理准则》、《深圳证券交易</w:t>
      </w:r>
      <w:r>
        <w:rPr/>
        <w:t> 所中小板上市公司规范运作指引》等相关法律、法规的要求，建立健全公司法人治理结构及 内部控制体系，持续深入开展公司治理活动，以进一步规范公司运作，提高公司治理水平， 充分维护公司及投资者的利益。</w:t>
      </w:r>
    </w:p>
    <w:p>
      <w:pPr>
        <w:pStyle w:val="BodyText"/>
        <w:spacing w:line="350" w:lineRule="auto"/>
        <w:ind w:right="1169" w:firstLine="480"/>
        <w:jc w:val="both"/>
      </w:pPr>
      <w:r>
        <w:rPr/>
        <w:t>报告期内，公司治理情况符合中国证监会、深圳证券交易所发布的有关上市公司治理的 规范性文件要求。</w:t>
      </w:r>
    </w:p>
    <w:p>
      <w:pPr>
        <w:pStyle w:val="BodyText"/>
        <w:spacing w:line="352" w:lineRule="auto" w:before="35"/>
        <w:ind w:right="1170" w:firstLine="480"/>
        <w:jc w:val="both"/>
      </w:pPr>
      <w:r>
        <w:rPr/>
        <w:t>公司治理的实际状况与中国证监会发布的有关上市公司治理的规范性文件是否存在重大 差异</w:t>
      </w:r>
    </w:p>
    <w:p>
      <w:pPr>
        <w:pStyle w:val="BodyText"/>
        <w:spacing w:line="350" w:lineRule="auto" w:before="32"/>
        <w:ind w:left="634" w:right="1152"/>
        <w:jc w:val="left"/>
      </w:pPr>
      <w:r>
        <w:rPr/>
        <w:t>□ 是 √ 否 公司治理的实际状况与中国证监会发布的有关上市公司治理的规范性文件不存在重大差</w:t>
      </w:r>
    </w:p>
    <w:p>
      <w:pPr>
        <w:pStyle w:val="Heading2"/>
        <w:spacing w:line="482" w:lineRule="auto" w:before="36"/>
        <w:ind w:left="154" w:right="2592"/>
        <w:jc w:val="left"/>
        <w:rPr>
          <w:b w:val="0"/>
          <w:bCs w:val="0"/>
        </w:rPr>
      </w:pPr>
      <w:r>
        <w:rPr>
          <w:rFonts w:ascii="宋体" w:hAnsi="宋体" w:cs="宋体" w:eastAsia="宋体" w:hint="default"/>
          <w:b w:val="0"/>
          <w:bCs w:val="0"/>
        </w:rPr>
        <w:t>异。 </w:t>
      </w:r>
      <w:bookmarkStart w:name="二、公司相对于控股股东在业务、人员、资产、机构、财务等方面的独立情况" w:id="154"/>
      <w:bookmarkEnd w:id="154"/>
      <w:r>
        <w:rPr>
          <w:rFonts w:ascii="宋体" w:hAnsi="宋体" w:cs="宋体" w:eastAsia="宋体" w:hint="default"/>
          <w:b w:val="0"/>
          <w:bCs w:val="0"/>
        </w:rPr>
      </w:r>
      <w:r>
        <w:rPr>
          <w:w w:val="95"/>
        </w:rPr>
        <w:t>二、公司相对于控股股东在业务、人员、资产、机构、财务等方面的独立情况</w:t>
      </w:r>
      <w:r>
        <w:rPr>
          <w:b w:val="0"/>
          <w:bCs w:val="0"/>
        </w:rPr>
      </w:r>
    </w:p>
    <w:p>
      <w:pPr>
        <w:pStyle w:val="BodyText"/>
        <w:spacing w:line="352" w:lineRule="auto" w:before="182"/>
        <w:ind w:right="1170" w:firstLine="480"/>
        <w:jc w:val="both"/>
      </w:pPr>
      <w:r>
        <w:rPr/>
        <w:t>公司不存在控股股东，公司在业务、人员、资产、机构、财务等方面与第一大股东之间 相互独立，具有独立完整的业务及面向市场自主经营的能力，具有完整的供应、生产和销售 系统。</w:t>
      </w:r>
    </w:p>
    <w:p>
      <w:pPr>
        <w:pStyle w:val="BodyText"/>
        <w:spacing w:line="240" w:lineRule="auto" w:before="32"/>
        <w:ind w:left="634" w:right="996"/>
        <w:jc w:val="left"/>
      </w:pPr>
      <w:r>
        <w:rPr>
          <w:rFonts w:ascii="宋体" w:hAnsi="宋体" w:cs="宋体" w:eastAsia="宋体" w:hint="default"/>
        </w:rPr>
        <w:t>1</w:t>
      </w:r>
      <w:r>
        <w:rPr/>
        <w:t>、业务独立</w:t>
      </w:r>
    </w:p>
    <w:p>
      <w:pPr>
        <w:pStyle w:val="BodyText"/>
        <w:spacing w:line="350" w:lineRule="auto" w:before="145"/>
        <w:ind w:left="154" w:right="1132" w:firstLine="480"/>
        <w:jc w:val="both"/>
      </w:pPr>
      <w:r>
        <w:rPr>
          <w:spacing w:val="-3"/>
        </w:rPr>
        <w:t>（</w:t>
      </w:r>
      <w:r>
        <w:rPr>
          <w:rFonts w:ascii="宋体" w:hAnsi="宋体" w:cs="宋体" w:eastAsia="宋体" w:hint="default"/>
          <w:spacing w:val="-3"/>
        </w:rPr>
        <w:t>1</w:t>
      </w:r>
      <w:r>
        <w:rPr>
          <w:spacing w:val="-3"/>
        </w:rPr>
        <w:t>）公司与第一大股东之间不存在同业竞争。公司第一大股东承诺：在持有辉煌科技股</w:t>
      </w:r>
      <w:r>
        <w:rPr/>
        <w:t> 权期间或担任辉煌科技董事、监事、高级管理人员或核心技术人员期间及法定期限内，不经 营或投资于任何与辉煌科技主营业务构成同业竞争的企业。第一大股东现除持有本公司股份 外，未拥有其他经营性资产，亦未从事其他经营业务。</w:t>
      </w:r>
    </w:p>
    <w:p>
      <w:pPr>
        <w:pStyle w:val="BodyText"/>
        <w:spacing w:line="350" w:lineRule="auto"/>
        <w:ind w:right="1131" w:firstLine="480"/>
        <w:jc w:val="both"/>
      </w:pPr>
      <w:r>
        <w:rPr>
          <w:spacing w:val="-3"/>
        </w:rPr>
        <w:t>（</w:t>
      </w:r>
      <w:r>
        <w:rPr>
          <w:rFonts w:ascii="宋体" w:hAnsi="宋体" w:cs="宋体" w:eastAsia="宋体" w:hint="default"/>
          <w:spacing w:val="-3"/>
        </w:rPr>
        <w:t>2</w:t>
      </w:r>
      <w:r>
        <w:rPr>
          <w:spacing w:val="-3"/>
        </w:rPr>
        <w:t>）公司拥有独立完整的研发、供应、生产和销售业务体系，具有直接面向市场独立经</w:t>
      </w:r>
      <w:r>
        <w:rPr/>
        <w:t> 营的能力。</w:t>
      </w:r>
    </w:p>
    <w:p>
      <w:pPr>
        <w:pStyle w:val="BodyText"/>
        <w:spacing w:line="240" w:lineRule="auto" w:before="35"/>
        <w:ind w:left="633" w:right="996"/>
        <w:jc w:val="left"/>
      </w:pPr>
      <w:r>
        <w:rPr>
          <w:rFonts w:ascii="宋体" w:hAnsi="宋体" w:cs="宋体" w:eastAsia="宋体" w:hint="default"/>
        </w:rPr>
        <w:t>2</w:t>
      </w:r>
      <w:r>
        <w:rPr/>
        <w:t>、人员独立</w:t>
      </w:r>
    </w:p>
    <w:p>
      <w:pPr>
        <w:pStyle w:val="BodyText"/>
        <w:spacing w:line="240" w:lineRule="auto" w:before="146"/>
        <w:ind w:left="634" w:right="996"/>
        <w:jc w:val="left"/>
      </w:pPr>
      <w:r>
        <w:rPr>
          <w:spacing w:val="-3"/>
        </w:rPr>
        <w:t>（</w:t>
      </w:r>
      <w:r>
        <w:rPr>
          <w:rFonts w:ascii="宋体" w:hAnsi="宋体" w:cs="宋体" w:eastAsia="宋体" w:hint="default"/>
          <w:spacing w:val="-3"/>
        </w:rPr>
        <w:t>1</w:t>
      </w:r>
      <w:r>
        <w:rPr>
          <w:spacing w:val="-3"/>
        </w:rPr>
        <w:t>）公司董事、监事、高级管理人员均依合法程序选举或聘任，不存在第一大股东超越</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240" w:lineRule="auto" w:before="199"/>
        <w:ind w:right="996"/>
        <w:jc w:val="left"/>
      </w:pPr>
      <w:r>
        <w:rPr/>
        <w:t>本公司董事会和股东大会作出人事任免决定的情况。</w:t>
      </w:r>
    </w:p>
    <w:p>
      <w:pPr>
        <w:pStyle w:val="BodyText"/>
        <w:spacing w:line="352" w:lineRule="auto" w:before="145"/>
        <w:ind w:right="1131" w:firstLine="480"/>
        <w:jc w:val="both"/>
      </w:pPr>
      <w:r>
        <w:rPr>
          <w:spacing w:val="-3"/>
        </w:rPr>
        <w:t>（</w:t>
      </w:r>
      <w:r>
        <w:rPr>
          <w:rFonts w:ascii="宋体" w:hAnsi="宋体" w:cs="宋体" w:eastAsia="宋体" w:hint="default"/>
          <w:spacing w:val="-3"/>
        </w:rPr>
        <w:t>2</w:t>
      </w:r>
      <w:r>
        <w:rPr>
          <w:spacing w:val="-3"/>
        </w:rPr>
        <w:t>）公司总经理、副总经理、财务负责人、董事会秘书等高级管理人员均在本公司工作</w:t>
      </w:r>
      <w:r>
        <w:rPr/>
        <w:t> 并领取报酬。</w:t>
      </w:r>
    </w:p>
    <w:p>
      <w:pPr>
        <w:pStyle w:val="BodyText"/>
        <w:spacing w:line="350" w:lineRule="auto" w:before="33"/>
        <w:ind w:left="633" w:right="2953"/>
        <w:jc w:val="left"/>
      </w:pPr>
      <w:r>
        <w:rPr/>
        <w:t>（</w:t>
      </w:r>
      <w:r>
        <w:rPr>
          <w:rFonts w:ascii="宋体" w:hAnsi="宋体" w:cs="宋体" w:eastAsia="宋体" w:hint="default"/>
        </w:rPr>
        <w:t>3</w:t>
      </w:r>
      <w:r>
        <w:rPr/>
        <w:t>）公司拥有独立完整的人事和劳资管理体系，完全独立于各股东。 </w:t>
      </w:r>
      <w:r>
        <w:rPr>
          <w:rFonts w:ascii="宋体" w:hAnsi="宋体" w:cs="宋体" w:eastAsia="宋体" w:hint="default"/>
        </w:rPr>
        <w:t>3</w:t>
      </w:r>
      <w:r>
        <w:rPr/>
        <w:t>、资产独立</w:t>
      </w:r>
    </w:p>
    <w:p>
      <w:pPr>
        <w:pStyle w:val="BodyText"/>
        <w:spacing w:line="350" w:lineRule="auto"/>
        <w:ind w:left="154" w:right="1170" w:firstLine="480"/>
        <w:jc w:val="both"/>
      </w:pPr>
      <w:r>
        <w:rPr/>
        <w:t>公司业务和生产经营必需的土地使用权、房产、机器设备、商标、专利和专有技术及其 他资产的权属完全由公司独立享有，不存在与第一大股东共用的情况，公司对所有资产拥有 完全的控制和支配权。</w:t>
      </w:r>
    </w:p>
    <w:p>
      <w:pPr>
        <w:pStyle w:val="BodyText"/>
        <w:spacing w:line="350" w:lineRule="auto"/>
        <w:ind w:left="634" w:right="1152"/>
        <w:jc w:val="left"/>
      </w:pPr>
      <w:r>
        <w:rPr>
          <w:rFonts w:ascii="宋体" w:hAnsi="宋体" w:cs="宋体" w:eastAsia="宋体" w:hint="default"/>
        </w:rPr>
        <w:t>4</w:t>
      </w:r>
      <w:r>
        <w:rPr/>
        <w:t>、机构独立 公司设有健全的组织结构体系，股东大会、董事会、监事会及董事会下设专业委员会等</w:t>
      </w:r>
    </w:p>
    <w:p>
      <w:pPr>
        <w:pStyle w:val="BodyText"/>
        <w:spacing w:line="352" w:lineRule="auto" w:before="35"/>
        <w:ind w:left="154" w:right="1152"/>
        <w:jc w:val="left"/>
      </w:pPr>
      <w:r>
        <w:rPr/>
        <w:t>决策监督机构独立运作，不存在股东及其他任何单位或个人干预公司机构设置及日常运作的 情形。</w:t>
      </w:r>
    </w:p>
    <w:p>
      <w:pPr>
        <w:pStyle w:val="BodyText"/>
        <w:spacing w:line="350" w:lineRule="auto" w:before="32"/>
        <w:ind w:left="634" w:right="1152"/>
        <w:jc w:val="left"/>
      </w:pPr>
      <w:r>
        <w:rPr>
          <w:rFonts w:ascii="宋体" w:hAnsi="宋体" w:cs="宋体" w:eastAsia="宋体" w:hint="default"/>
        </w:rPr>
        <w:t>5</w:t>
      </w:r>
      <w:r>
        <w:rPr/>
        <w:t>、财务独立 公司设有独立的财务部门、财务负责人和财务会计工作人员，有完整、独立的财务核算</w:t>
      </w:r>
    </w:p>
    <w:p>
      <w:pPr>
        <w:pStyle w:val="BodyText"/>
        <w:spacing w:line="482" w:lineRule="auto"/>
        <w:ind w:right="2593"/>
        <w:jc w:val="left"/>
        <w:rPr>
          <w:rFonts w:ascii="宋体" w:hAnsi="宋体" w:cs="宋体" w:eastAsia="宋体" w:hint="default"/>
        </w:rPr>
      </w:pPr>
      <w:r>
        <w:rPr/>
        <w:t>体系和财务管理制度，并独立开设银行账户、独立纳税、独立做出财务决策。 </w:t>
      </w:r>
      <w:bookmarkStart w:name="三、同业竞争情况" w:id="155"/>
      <w:bookmarkEnd w:id="155"/>
      <w:r>
        <w:rPr/>
      </w:r>
      <w:r>
        <w:rPr>
          <w:rFonts w:ascii="宋体" w:hAnsi="宋体" w:cs="宋体" w:eastAsia="宋体" w:hint="default"/>
          <w:b/>
          <w:bCs/>
        </w:rPr>
        <w:t>三、同业竞争情况</w:t>
      </w:r>
      <w:r>
        <w:rPr>
          <w:rFonts w:ascii="宋体" w:hAnsi="宋体" w:cs="宋体" w:eastAsia="宋体" w:hint="default"/>
        </w:rPr>
      </w:r>
    </w:p>
    <w:p>
      <w:pPr>
        <w:spacing w:line="482" w:lineRule="auto" w:before="182"/>
        <w:ind w:left="153" w:right="3433" w:firstLine="480"/>
        <w:jc w:val="left"/>
        <w:rPr>
          <w:rFonts w:ascii="宋体" w:hAnsi="宋体" w:cs="宋体" w:eastAsia="宋体" w:hint="default"/>
          <w:sz w:val="24"/>
          <w:szCs w:val="24"/>
        </w:rPr>
      </w:pPr>
      <w:r>
        <w:rPr>
          <w:rFonts w:ascii="宋体" w:hAnsi="宋体" w:cs="宋体" w:eastAsia="宋体" w:hint="default"/>
          <w:sz w:val="24"/>
          <w:szCs w:val="24"/>
        </w:rPr>
        <w:t>□ 适用 √ 不适用 </w:t>
      </w:r>
      <w:bookmarkStart w:name="四、报告期内召开的年度股东大会和临时股东大会的有关情况" w:id="156"/>
      <w:bookmarkEnd w:id="156"/>
      <w:r>
        <w:rPr>
          <w:rFonts w:ascii="宋体" w:hAnsi="宋体" w:cs="宋体" w:eastAsia="宋体" w:hint="default"/>
          <w:sz w:val="24"/>
          <w:szCs w:val="24"/>
        </w:rPr>
      </w:r>
      <w:r>
        <w:rPr>
          <w:rFonts w:ascii="宋体" w:hAnsi="宋体" w:cs="宋体" w:eastAsia="宋体" w:hint="default"/>
          <w:b/>
          <w:bCs/>
          <w:w w:val="95"/>
          <w:sz w:val="24"/>
          <w:szCs w:val="24"/>
        </w:rPr>
        <w:t>四、报告期内召开的年度股东大会和临时股东大会的有关情况</w:t>
      </w:r>
      <w:r>
        <w:rPr>
          <w:rFonts w:ascii="宋体" w:hAnsi="宋体" w:cs="宋体" w:eastAsia="宋体" w:hint="default"/>
          <w:sz w:val="24"/>
          <w:szCs w:val="24"/>
        </w:rPr>
      </w:r>
    </w:p>
    <w:p>
      <w:pPr>
        <w:pStyle w:val="Heading2"/>
        <w:spacing w:line="240" w:lineRule="auto" w:before="182"/>
        <w:ind w:right="996"/>
        <w:jc w:val="left"/>
        <w:rPr>
          <w:b w:val="0"/>
          <w:bCs w:val="0"/>
        </w:rPr>
      </w:pPr>
      <w:bookmarkStart w:name="1、本报告期股东大会情况" w:id="157"/>
      <w:bookmarkEnd w:id="157"/>
      <w:r>
        <w:rPr>
          <w:b w:val="0"/>
          <w:bCs w:val="0"/>
        </w:rPr>
      </w:r>
      <w:r>
        <w:rPr>
          <w:rFonts w:ascii="宋体" w:hAnsi="宋体" w:cs="宋体" w:eastAsia="宋体" w:hint="default"/>
        </w:rPr>
        <w:t>1</w:t>
      </w:r>
      <w:r>
        <w:rPr/>
        <w:t>、本报告期股东大会情况</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2"/>
          <w:szCs w:val="22"/>
        </w:rPr>
      </w:pPr>
    </w:p>
    <w:p>
      <w:pPr>
        <w:spacing w:before="35"/>
        <w:ind w:left="0" w:right="1138" w:firstLine="0"/>
        <w:jc w:val="right"/>
        <w:rPr>
          <w:rFonts w:ascii="宋体" w:hAnsi="宋体" w:cs="宋体" w:eastAsia="宋体" w:hint="default"/>
          <w:sz w:val="21"/>
          <w:szCs w:val="21"/>
        </w:rPr>
      </w:pPr>
      <w:r>
        <w:rPr/>
        <w:pict>
          <v:shape style="position:absolute;margin-left:56.459999pt;margin-top:-51.266323pt;width:479.1pt;height:201.2pt;mso-position-horizontal-relative:page;mso-position-vertical-relative:paragraph;z-index:167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560"/>
                    <w:gridCol w:w="1417"/>
                    <w:gridCol w:w="993"/>
                    <w:gridCol w:w="1276"/>
                    <w:gridCol w:w="1418"/>
                    <w:gridCol w:w="2903"/>
                  </w:tblGrid>
                  <w:tr>
                    <w:trPr>
                      <w:trHeight w:val="714"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354" w:right="0"/>
                          <w:jc w:val="left"/>
                          <w:rPr>
                            <w:rFonts w:ascii="宋体" w:hAnsi="宋体" w:cs="宋体" w:eastAsia="宋体" w:hint="default"/>
                            <w:sz w:val="21"/>
                            <w:szCs w:val="21"/>
                          </w:rPr>
                        </w:pPr>
                        <w:r>
                          <w:rPr>
                            <w:rFonts w:ascii="宋体" w:hAnsi="宋体" w:cs="宋体" w:eastAsia="宋体" w:hint="default"/>
                            <w:sz w:val="21"/>
                            <w:szCs w:val="21"/>
                          </w:rPr>
                          <w:t>会议届次</w:t>
                        </w:r>
                      </w:p>
                    </w:tc>
                    <w:tc>
                      <w:tcPr>
                        <w:tcW w:w="1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83" w:right="0"/>
                          <w:jc w:val="left"/>
                          <w:rPr>
                            <w:rFonts w:ascii="宋体" w:hAnsi="宋体" w:cs="宋体" w:eastAsia="宋体" w:hint="default"/>
                            <w:sz w:val="21"/>
                            <w:szCs w:val="21"/>
                          </w:rPr>
                        </w:pPr>
                        <w:r>
                          <w:rPr>
                            <w:rFonts w:ascii="宋体" w:hAnsi="宋体" w:cs="宋体" w:eastAsia="宋体" w:hint="default"/>
                            <w:sz w:val="21"/>
                            <w:szCs w:val="21"/>
                          </w:rPr>
                          <w:t>会议类型</w:t>
                        </w:r>
                      </w:p>
                    </w:tc>
                    <w:tc>
                      <w:tcPr>
                        <w:tcW w:w="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175" w:right="70" w:hanging="105"/>
                          <w:jc w:val="left"/>
                          <w:rPr>
                            <w:rFonts w:ascii="宋体" w:hAnsi="宋体" w:cs="宋体" w:eastAsia="宋体" w:hint="default"/>
                            <w:sz w:val="21"/>
                            <w:szCs w:val="21"/>
                          </w:rPr>
                        </w:pPr>
                        <w:r>
                          <w:rPr>
                            <w:rFonts w:ascii="宋体" w:hAnsi="宋体" w:cs="宋体" w:eastAsia="宋体" w:hint="default"/>
                            <w:sz w:val="21"/>
                            <w:szCs w:val="21"/>
                          </w:rPr>
                          <w:t>投资者参 与比例</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12" w:right="0"/>
                          <w:jc w:val="left"/>
                          <w:rPr>
                            <w:rFonts w:ascii="宋体" w:hAnsi="宋体" w:cs="宋体" w:eastAsia="宋体" w:hint="default"/>
                            <w:sz w:val="21"/>
                            <w:szCs w:val="21"/>
                          </w:rPr>
                        </w:pPr>
                        <w:r>
                          <w:rPr>
                            <w:rFonts w:ascii="宋体" w:hAnsi="宋体" w:cs="宋体" w:eastAsia="宋体" w:hint="default"/>
                            <w:sz w:val="21"/>
                            <w:szCs w:val="21"/>
                          </w:rPr>
                          <w:t>召开日期</w:t>
                        </w:r>
                      </w:p>
                    </w:tc>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83" w:right="0"/>
                          <w:jc w:val="left"/>
                          <w:rPr>
                            <w:rFonts w:ascii="宋体" w:hAnsi="宋体" w:cs="宋体" w:eastAsia="宋体" w:hint="default"/>
                            <w:sz w:val="21"/>
                            <w:szCs w:val="21"/>
                          </w:rPr>
                        </w:pPr>
                        <w:r>
                          <w:rPr>
                            <w:rFonts w:ascii="宋体" w:hAnsi="宋体" w:cs="宋体" w:eastAsia="宋体" w:hint="default"/>
                            <w:sz w:val="21"/>
                            <w:szCs w:val="21"/>
                          </w:rPr>
                          <w:t>披露日期</w:t>
                        </w:r>
                      </w:p>
                    </w:tc>
                    <w:tc>
                      <w:tcPr>
                        <w:tcW w:w="2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披露索引</w:t>
                        </w:r>
                      </w:p>
                    </w:tc>
                  </w:tr>
                  <w:tr>
                    <w:trPr>
                      <w:trHeight w:val="1650"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256" w:lineRule="auto"/>
                          <w:ind w:left="22" w:right="22"/>
                          <w:jc w:val="left"/>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20"/>
                            <w:sz w:val="21"/>
                            <w:szCs w:val="21"/>
                          </w:rPr>
                          <w:t> </w:t>
                        </w:r>
                        <w:r>
                          <w:rPr>
                            <w:rFonts w:ascii="宋体" w:hAnsi="宋体" w:cs="宋体" w:eastAsia="宋体" w:hint="default"/>
                            <w:sz w:val="21"/>
                            <w:szCs w:val="21"/>
                          </w:rPr>
                          <w:t>年第一次临 时股东大会</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9"/>
                            <w:szCs w:val="29"/>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临时股东大会</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5"/>
                          <w:ind w:right="21"/>
                          <w:jc w:val="right"/>
                          <w:rPr>
                            <w:rFonts w:ascii="Times New Roman" w:hAnsi="Times New Roman" w:cs="Times New Roman" w:eastAsia="Times New Roman" w:hint="default"/>
                            <w:sz w:val="21"/>
                            <w:szCs w:val="21"/>
                          </w:rPr>
                        </w:pPr>
                        <w:r>
                          <w:rPr>
                            <w:rFonts w:ascii="Times New Roman"/>
                            <w:sz w:val="21"/>
                          </w:rPr>
                          <w:t>21.44%</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02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p>
                      <w:p>
                        <w:pPr>
                          <w:pStyle w:val="TableParagraph"/>
                          <w:spacing w:line="240" w:lineRule="auto" w:before="21"/>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09 </w:t>
                        </w:r>
                        <w:r>
                          <w:rPr>
                            <w:rFonts w:ascii="宋体" w:hAnsi="宋体" w:cs="宋体" w:eastAsia="宋体" w:hint="default"/>
                            <w:sz w:val="21"/>
                            <w:szCs w:val="21"/>
                          </w:rPr>
                          <w:t>日</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02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p>
                      <w:p>
                        <w:pPr>
                          <w:pStyle w:val="TableParagraph"/>
                          <w:spacing w:line="240" w:lineRule="auto" w:before="21"/>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10 </w:t>
                        </w:r>
                        <w:r>
                          <w:rPr>
                            <w:rFonts w:ascii="宋体" w:hAnsi="宋体" w:cs="宋体" w:eastAsia="宋体" w:hint="default"/>
                            <w:sz w:val="21"/>
                            <w:szCs w:val="21"/>
                          </w:rPr>
                          <w:t>日</w:t>
                        </w:r>
                      </w:p>
                    </w:tc>
                    <w:tc>
                      <w:tcPr>
                        <w:tcW w:w="2903" w:type="dxa"/>
                        <w:tcBorders>
                          <w:top w:val="single" w:sz="4" w:space="0" w:color="000000"/>
                          <w:left w:val="single" w:sz="4" w:space="0" w:color="000000"/>
                          <w:bottom w:val="single" w:sz="4" w:space="0" w:color="000000"/>
                          <w:right w:val="single" w:sz="4" w:space="0" w:color="000000"/>
                        </w:tcBorders>
                      </w:tcPr>
                      <w:p>
                        <w:pPr>
                          <w:pStyle w:val="TableParagraph"/>
                          <w:spacing w:line="261" w:lineRule="auto" w:before="26"/>
                          <w:ind w:left="22" w:right="23"/>
                          <w:jc w:val="left"/>
                          <w:rPr>
                            <w:rFonts w:ascii="宋体" w:hAnsi="宋体" w:cs="宋体" w:eastAsia="宋体" w:hint="default"/>
                            <w:sz w:val="21"/>
                            <w:szCs w:val="21"/>
                          </w:rPr>
                        </w:pPr>
                        <w:r>
                          <w:rPr>
                            <w:rFonts w:ascii="宋体" w:hAnsi="宋体" w:cs="宋体" w:eastAsia="宋体" w:hint="default"/>
                            <w:sz w:val="21"/>
                            <w:szCs w:val="21"/>
                          </w:rPr>
                          <w:t>详见公司</w:t>
                        </w:r>
                        <w:r>
                          <w:rPr>
                            <w:rFonts w:ascii="宋体" w:hAnsi="宋体" w:cs="宋体" w:eastAsia="宋体" w:hint="default"/>
                            <w:spacing w:val="-69"/>
                            <w:sz w:val="21"/>
                            <w:szCs w:val="21"/>
                          </w:rPr>
                          <w:t> </w:t>
                        </w: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17"/>
                            <w:sz w:val="21"/>
                            <w:szCs w:val="21"/>
                          </w:rPr>
                          <w:t> </w:t>
                        </w:r>
                        <w:r>
                          <w:rPr>
                            <w:rFonts w:ascii="宋体" w:hAnsi="宋体" w:cs="宋体" w:eastAsia="宋体" w:hint="default"/>
                            <w:sz w:val="21"/>
                            <w:szCs w:val="21"/>
                          </w:rPr>
                          <w:t>年</w:t>
                        </w:r>
                        <w:r>
                          <w:rPr>
                            <w:rFonts w:ascii="宋体" w:hAnsi="宋体" w:cs="宋体" w:eastAsia="宋体" w:hint="default"/>
                            <w:spacing w:val="-70"/>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6"/>
                            <w:sz w:val="21"/>
                            <w:szCs w:val="21"/>
                          </w:rPr>
                          <w:t> </w:t>
                        </w:r>
                        <w:r>
                          <w:rPr>
                            <w:rFonts w:ascii="宋体" w:hAnsi="宋体" w:cs="宋体" w:eastAsia="宋体" w:hint="default"/>
                            <w:sz w:val="21"/>
                            <w:szCs w:val="21"/>
                          </w:rPr>
                          <w:t>月</w:t>
                        </w:r>
                        <w:r>
                          <w:rPr>
                            <w:rFonts w:ascii="宋体" w:hAnsi="宋体" w:cs="宋体" w:eastAsia="宋体" w:hint="default"/>
                            <w:spacing w:val="-69"/>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7"/>
                            <w:sz w:val="21"/>
                            <w:szCs w:val="21"/>
                          </w:rPr>
                          <w:t> </w:t>
                        </w:r>
                        <w:r>
                          <w:rPr>
                            <w:rFonts w:ascii="宋体" w:hAnsi="宋体" w:cs="宋体" w:eastAsia="宋体" w:hint="default"/>
                            <w:sz w:val="21"/>
                            <w:szCs w:val="21"/>
                          </w:rPr>
                          <w:t>日刊登 </w:t>
                        </w:r>
                        <w:r>
                          <w:rPr>
                            <w:rFonts w:ascii="宋体" w:hAnsi="宋体" w:cs="宋体" w:eastAsia="宋体" w:hint="default"/>
                            <w:spacing w:val="-16"/>
                            <w:sz w:val="21"/>
                            <w:szCs w:val="21"/>
                          </w:rPr>
                          <w:t>于《证券时报》、《中国证券报</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及巨潮资讯网上的《</w:t>
                        </w:r>
                        <w:r>
                          <w:rPr>
                            <w:rFonts w:ascii="Times New Roman" w:hAnsi="Times New Roman" w:cs="Times New Roman" w:eastAsia="Times New Roman" w:hint="default"/>
                            <w:sz w:val="21"/>
                            <w:szCs w:val="21"/>
                          </w:rPr>
                          <w:t>2017 </w:t>
                        </w:r>
                        <w:r>
                          <w:rPr>
                            <w:rFonts w:ascii="宋体" w:hAnsi="宋体" w:cs="宋体" w:eastAsia="宋体" w:hint="default"/>
                            <w:sz w:val="21"/>
                            <w:szCs w:val="21"/>
                          </w:rPr>
                          <w:t>年第 一次临时股东大会决议公告》</w:t>
                        </w:r>
                      </w:p>
                      <w:p>
                        <w:pPr>
                          <w:pStyle w:val="TableParagraph"/>
                          <w:spacing w:line="240" w:lineRule="auto" w:before="19"/>
                          <w:ind w:left="22"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2017-011</w:t>
                        </w:r>
                        <w:r>
                          <w:rPr>
                            <w:rFonts w:ascii="宋体" w:hAnsi="宋体" w:cs="宋体" w:eastAsia="宋体" w:hint="default"/>
                            <w:sz w:val="21"/>
                            <w:szCs w:val="21"/>
                          </w:rPr>
                          <w:t>）</w:t>
                        </w:r>
                      </w:p>
                    </w:tc>
                  </w:tr>
                  <w:tr>
                    <w:trPr>
                      <w:trHeight w:val="1650"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256" w:lineRule="auto"/>
                          <w:ind w:left="22" w:right="22"/>
                          <w:jc w:val="left"/>
                          <w:rPr>
                            <w:rFonts w:ascii="宋体" w:hAnsi="宋体" w:cs="宋体" w:eastAsia="宋体" w:hint="default"/>
                            <w:sz w:val="21"/>
                            <w:szCs w:val="21"/>
                          </w:rPr>
                        </w:pPr>
                        <w:r>
                          <w:rPr>
                            <w:rFonts w:ascii="Times New Roman" w:hAnsi="Times New Roman" w:cs="Times New Roman" w:eastAsia="Times New Roman" w:hint="default"/>
                            <w:sz w:val="21"/>
                            <w:szCs w:val="21"/>
                          </w:rPr>
                          <w:t>2016</w:t>
                        </w:r>
                        <w:r>
                          <w:rPr>
                            <w:rFonts w:ascii="Times New Roman" w:hAnsi="Times New Roman" w:cs="Times New Roman" w:eastAsia="Times New Roman" w:hint="default"/>
                            <w:spacing w:val="-20"/>
                            <w:sz w:val="21"/>
                            <w:szCs w:val="21"/>
                          </w:rPr>
                          <w:t> </w:t>
                        </w:r>
                        <w:r>
                          <w:rPr>
                            <w:rFonts w:ascii="宋体" w:hAnsi="宋体" w:cs="宋体" w:eastAsia="宋体" w:hint="default"/>
                            <w:sz w:val="21"/>
                            <w:szCs w:val="21"/>
                          </w:rPr>
                          <w:t>年年度股东 大会</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9"/>
                            <w:szCs w:val="29"/>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年度股东大会</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6"/>
                          <w:ind w:right="21"/>
                          <w:jc w:val="right"/>
                          <w:rPr>
                            <w:rFonts w:ascii="Times New Roman" w:hAnsi="Times New Roman" w:cs="Times New Roman" w:eastAsia="Times New Roman" w:hint="default"/>
                            <w:sz w:val="21"/>
                            <w:szCs w:val="21"/>
                          </w:rPr>
                        </w:pPr>
                        <w:r>
                          <w:rPr>
                            <w:rFonts w:ascii="Times New Roman"/>
                            <w:sz w:val="21"/>
                          </w:rPr>
                          <w:t>21.81%</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05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p>
                      <w:p>
                        <w:pPr>
                          <w:pStyle w:val="TableParagraph"/>
                          <w:spacing w:line="240" w:lineRule="auto" w:before="21"/>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03 </w:t>
                        </w:r>
                        <w:r>
                          <w:rPr>
                            <w:rFonts w:ascii="宋体" w:hAnsi="宋体" w:cs="宋体" w:eastAsia="宋体" w:hint="default"/>
                            <w:sz w:val="21"/>
                            <w:szCs w:val="21"/>
                          </w:rPr>
                          <w:t>日</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05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p>
                      <w:p>
                        <w:pPr>
                          <w:pStyle w:val="TableParagraph"/>
                          <w:spacing w:line="240" w:lineRule="auto" w:before="21"/>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04 </w:t>
                        </w:r>
                        <w:r>
                          <w:rPr>
                            <w:rFonts w:ascii="宋体" w:hAnsi="宋体" w:cs="宋体" w:eastAsia="宋体" w:hint="default"/>
                            <w:sz w:val="21"/>
                            <w:szCs w:val="21"/>
                          </w:rPr>
                          <w:t>日</w:t>
                        </w:r>
                      </w:p>
                    </w:tc>
                    <w:tc>
                      <w:tcPr>
                        <w:tcW w:w="2903" w:type="dxa"/>
                        <w:tcBorders>
                          <w:top w:val="single" w:sz="4" w:space="0" w:color="000000"/>
                          <w:left w:val="single" w:sz="4" w:space="0" w:color="000000"/>
                          <w:bottom w:val="single" w:sz="4" w:space="0" w:color="000000"/>
                          <w:right w:val="single" w:sz="4" w:space="0" w:color="000000"/>
                        </w:tcBorders>
                      </w:tcPr>
                      <w:p>
                        <w:pPr>
                          <w:pStyle w:val="TableParagraph"/>
                          <w:spacing w:line="261" w:lineRule="auto" w:before="26"/>
                          <w:ind w:left="22" w:right="34"/>
                          <w:jc w:val="left"/>
                          <w:rPr>
                            <w:rFonts w:ascii="宋体" w:hAnsi="宋体" w:cs="宋体" w:eastAsia="宋体" w:hint="default"/>
                            <w:sz w:val="21"/>
                            <w:szCs w:val="21"/>
                          </w:rPr>
                        </w:pPr>
                        <w:r>
                          <w:rPr>
                            <w:rFonts w:ascii="宋体" w:hAnsi="宋体" w:cs="宋体" w:eastAsia="宋体" w:hint="default"/>
                            <w:sz w:val="21"/>
                            <w:szCs w:val="21"/>
                          </w:rPr>
                          <w:t>详见公司</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日刊登 </w:t>
                        </w:r>
                        <w:r>
                          <w:rPr>
                            <w:rFonts w:ascii="宋体" w:hAnsi="宋体" w:cs="宋体" w:eastAsia="宋体" w:hint="default"/>
                            <w:spacing w:val="-16"/>
                            <w:sz w:val="21"/>
                            <w:szCs w:val="21"/>
                          </w:rPr>
                          <w:t>于《证券时报》、《中国证券报</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及巨潮资讯网上的《</w:t>
                        </w:r>
                        <w:r>
                          <w:rPr>
                            <w:rFonts w:ascii="Times New Roman" w:hAnsi="Times New Roman" w:cs="Times New Roman" w:eastAsia="Times New Roman" w:hint="default"/>
                            <w:sz w:val="21"/>
                            <w:szCs w:val="21"/>
                          </w:rPr>
                          <w:t>2016 </w:t>
                        </w:r>
                        <w:r>
                          <w:rPr>
                            <w:rFonts w:ascii="宋体" w:hAnsi="宋体" w:cs="宋体" w:eastAsia="宋体" w:hint="default"/>
                            <w:sz w:val="21"/>
                            <w:szCs w:val="21"/>
                          </w:rPr>
                          <w:t>年年 度股东大会决议公告》</w:t>
                        </w:r>
                      </w:p>
                      <w:p>
                        <w:pPr>
                          <w:pStyle w:val="TableParagraph"/>
                          <w:spacing w:line="240" w:lineRule="auto" w:before="19"/>
                          <w:ind w:left="22"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2017-036</w:t>
                        </w:r>
                        <w:r>
                          <w:rPr>
                            <w:rFonts w:ascii="宋体" w:hAnsi="宋体" w:cs="宋体" w:eastAsia="宋体" w:hint="default"/>
                            <w:sz w:val="21"/>
                            <w:szCs w:val="21"/>
                          </w:rPr>
                          <w:t>）</w:t>
                        </w:r>
                      </w:p>
                    </w:tc>
                  </w:tr>
                </w:tbl>
                <w:p>
                  <w:pPr/>
                </w:p>
              </w:txbxContent>
            </v:textbox>
            <w10:wrap type="none"/>
          </v:shape>
        </w:pict>
      </w:r>
      <w:r>
        <w:rPr>
          <w:rFonts w:ascii="宋体" w:hAnsi="宋体" w:cs="宋体" w:eastAsia="宋体" w:hint="default"/>
          <w:sz w:val="21"/>
          <w:szCs w:val="21"/>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2"/>
          <w:szCs w:val="22"/>
        </w:rPr>
      </w:pPr>
    </w:p>
    <w:p>
      <w:pPr>
        <w:spacing w:before="35"/>
        <w:ind w:left="0" w:right="1138" w:firstLine="0"/>
        <w:jc w:val="right"/>
        <w:rPr>
          <w:rFonts w:ascii="宋体" w:hAnsi="宋体" w:cs="宋体" w:eastAsia="宋体" w:hint="default"/>
          <w:sz w:val="21"/>
          <w:szCs w:val="21"/>
        </w:rPr>
      </w:pPr>
      <w:r>
        <w:rPr>
          <w:rFonts w:ascii="宋体" w:hAnsi="宋体" w:cs="宋体" w:eastAsia="宋体" w:hint="default"/>
          <w:sz w:val="21"/>
          <w:szCs w:val="21"/>
        </w:rPr>
        <w:t>》</w:t>
      </w:r>
    </w:p>
    <w:p>
      <w:pPr>
        <w:spacing w:after="0"/>
        <w:jc w:val="right"/>
        <w:rPr>
          <w:rFonts w:ascii="宋体" w:hAnsi="宋体" w:cs="宋体" w:eastAsia="宋体" w:hint="default"/>
          <w:sz w:val="21"/>
          <w:szCs w:val="21"/>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Heading2"/>
        <w:spacing w:line="240" w:lineRule="auto" w:before="199"/>
        <w:ind w:right="996"/>
        <w:jc w:val="left"/>
        <w:rPr>
          <w:b w:val="0"/>
          <w:bCs w:val="0"/>
        </w:rPr>
      </w:pPr>
      <w:bookmarkStart w:name="2、表决权恢复的优先股股东请求召开临时股东大会" w:id="158"/>
      <w:bookmarkEnd w:id="158"/>
      <w:r>
        <w:rPr>
          <w:b w:val="0"/>
          <w:bCs w:val="0"/>
        </w:rPr>
      </w:r>
      <w:r>
        <w:rPr>
          <w:rFonts w:ascii="宋体" w:hAnsi="宋体" w:cs="宋体" w:eastAsia="宋体" w:hint="default"/>
        </w:rPr>
        <w:t>2</w:t>
      </w:r>
      <w:r>
        <w:rPr/>
        <w:t>、表决权恢复的优先股股东请求召开临时股东大会</w:t>
      </w:r>
      <w:r>
        <w:rPr>
          <w:b w:val="0"/>
          <w:bCs w:val="0"/>
        </w:rPr>
      </w:r>
    </w:p>
    <w:p>
      <w:pPr>
        <w:spacing w:line="484" w:lineRule="auto" w:before="145"/>
        <w:ind w:left="153" w:right="6192" w:firstLine="480"/>
        <w:jc w:val="left"/>
        <w:rPr>
          <w:rFonts w:ascii="宋体" w:hAnsi="宋体" w:cs="宋体" w:eastAsia="宋体" w:hint="default"/>
          <w:sz w:val="24"/>
          <w:szCs w:val="24"/>
        </w:rPr>
      </w:pPr>
      <w:bookmarkStart w:name="□ 适用 √ 不适用" w:id="159"/>
      <w:bookmarkEnd w:id="159"/>
      <w:r>
        <w:rPr/>
      </w:r>
      <w:r>
        <w:rPr>
          <w:rFonts w:ascii="宋体" w:hAnsi="宋体" w:cs="宋体" w:eastAsia="宋体" w:hint="default"/>
          <w:sz w:val="24"/>
          <w:szCs w:val="24"/>
        </w:rPr>
        <w:t>□ 适用 √ 不适用 </w:t>
      </w:r>
      <w:bookmarkStart w:name="五、报告期内独立董事履行职责的情况" w:id="160"/>
      <w:bookmarkEnd w:id="160"/>
      <w:r>
        <w:rPr>
          <w:rFonts w:ascii="宋体" w:hAnsi="宋体" w:cs="宋体" w:eastAsia="宋体" w:hint="default"/>
          <w:sz w:val="24"/>
          <w:szCs w:val="24"/>
        </w:rPr>
      </w:r>
      <w:r>
        <w:rPr>
          <w:rFonts w:ascii="宋体" w:hAnsi="宋体" w:cs="宋体" w:eastAsia="宋体" w:hint="default"/>
          <w:b/>
          <w:bCs/>
          <w:w w:val="95"/>
          <w:sz w:val="24"/>
          <w:szCs w:val="24"/>
        </w:rPr>
        <w:t>五、报告期内独立董事履行职责的情况</w:t>
      </w:r>
      <w:r>
        <w:rPr>
          <w:rFonts w:ascii="宋体" w:hAnsi="宋体" w:cs="宋体" w:eastAsia="宋体" w:hint="default"/>
          <w:sz w:val="24"/>
          <w:szCs w:val="24"/>
        </w:rPr>
      </w:r>
    </w:p>
    <w:p>
      <w:pPr>
        <w:pStyle w:val="Heading2"/>
        <w:spacing w:line="240" w:lineRule="auto" w:before="180"/>
        <w:ind w:right="996"/>
        <w:jc w:val="left"/>
        <w:rPr>
          <w:b w:val="0"/>
          <w:bCs w:val="0"/>
        </w:rPr>
      </w:pPr>
      <w:bookmarkStart w:name="1、独立董事出席董事会及股东大会的情况" w:id="161"/>
      <w:bookmarkEnd w:id="161"/>
      <w:r>
        <w:rPr>
          <w:b w:val="0"/>
          <w:bCs w:val="0"/>
        </w:rPr>
      </w:r>
      <w:r>
        <w:rPr>
          <w:rFonts w:ascii="宋体" w:hAnsi="宋体" w:cs="宋体" w:eastAsia="宋体" w:hint="default"/>
        </w:rPr>
        <w:t>1</w:t>
      </w:r>
      <w:r>
        <w:rPr/>
        <w:t>、独立董事出席董事会及股东大会的情况</w:t>
      </w:r>
      <w:r>
        <w:rPr>
          <w:b w:val="0"/>
          <w:bCs w:val="0"/>
        </w:rPr>
      </w:r>
    </w:p>
    <w:p>
      <w:pPr>
        <w:spacing w:line="240" w:lineRule="auto" w:before="5"/>
        <w:rPr>
          <w:rFonts w:ascii="宋体" w:hAnsi="宋体" w:cs="宋体" w:eastAsia="宋体" w:hint="default"/>
          <w:b/>
          <w:bCs/>
          <w:sz w:val="4"/>
          <w:szCs w:val="4"/>
        </w:rPr>
      </w:pPr>
    </w:p>
    <w:tbl>
      <w:tblPr>
        <w:tblW w:w="0" w:type="auto"/>
        <w:jc w:val="left"/>
        <w:tblInd w:w="149" w:type="dxa"/>
        <w:tblLayout w:type="fixed"/>
        <w:tblCellMar>
          <w:top w:w="0" w:type="dxa"/>
          <w:left w:w="0" w:type="dxa"/>
          <w:bottom w:w="0" w:type="dxa"/>
          <w:right w:w="0" w:type="dxa"/>
        </w:tblCellMar>
        <w:tblLook w:val="01E0"/>
      </w:tblPr>
      <w:tblGrid>
        <w:gridCol w:w="2128"/>
        <w:gridCol w:w="1416"/>
        <w:gridCol w:w="1134"/>
        <w:gridCol w:w="992"/>
        <w:gridCol w:w="851"/>
        <w:gridCol w:w="851"/>
        <w:gridCol w:w="1417"/>
        <w:gridCol w:w="781"/>
      </w:tblGrid>
      <w:tr>
        <w:trPr>
          <w:trHeight w:val="402" w:hRule="exact"/>
        </w:trPr>
        <w:tc>
          <w:tcPr>
            <w:tcW w:w="9571"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994" w:right="0"/>
              <w:jc w:val="left"/>
              <w:rPr>
                <w:rFonts w:ascii="宋体" w:hAnsi="宋体" w:cs="宋体" w:eastAsia="宋体" w:hint="default"/>
                <w:sz w:val="21"/>
                <w:szCs w:val="21"/>
              </w:rPr>
            </w:pPr>
            <w:r>
              <w:rPr>
                <w:rFonts w:ascii="宋体" w:hAnsi="宋体" w:cs="宋体" w:eastAsia="宋体" w:hint="default"/>
                <w:sz w:val="21"/>
                <w:szCs w:val="21"/>
              </w:rPr>
              <w:t>独立董事出席董事会及股东大会的情况</w:t>
            </w:r>
          </w:p>
        </w:tc>
      </w:tr>
      <w:tr>
        <w:trPr>
          <w:trHeight w:val="1026" w:hRule="exact"/>
        </w:trPr>
        <w:tc>
          <w:tcPr>
            <w:tcW w:w="21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25"/>
                <w:szCs w:val="25"/>
              </w:rPr>
            </w:pPr>
          </w:p>
          <w:p>
            <w:pPr>
              <w:pStyle w:val="TableParagraph"/>
              <w:spacing w:line="240" w:lineRule="auto"/>
              <w:ind w:left="428" w:right="0"/>
              <w:jc w:val="left"/>
              <w:rPr>
                <w:rFonts w:ascii="宋体" w:hAnsi="宋体" w:cs="宋体" w:eastAsia="宋体" w:hint="default"/>
                <w:sz w:val="21"/>
                <w:szCs w:val="21"/>
              </w:rPr>
            </w:pPr>
            <w:r>
              <w:rPr>
                <w:rFonts w:ascii="宋体" w:hAnsi="宋体" w:cs="宋体" w:eastAsia="宋体" w:hint="default"/>
                <w:sz w:val="21"/>
                <w:szCs w:val="21"/>
              </w:rPr>
              <w:t>独立董事姓名</w:t>
            </w:r>
          </w:p>
        </w:tc>
        <w:tc>
          <w:tcPr>
            <w:tcW w:w="1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73" w:lineRule="auto"/>
              <w:ind w:left="73" w:right="71"/>
              <w:jc w:val="left"/>
              <w:rPr>
                <w:rFonts w:ascii="宋体" w:hAnsi="宋体" w:cs="宋体" w:eastAsia="宋体" w:hint="default"/>
                <w:sz w:val="21"/>
                <w:szCs w:val="21"/>
              </w:rPr>
            </w:pPr>
            <w:r>
              <w:rPr>
                <w:rFonts w:ascii="宋体" w:hAnsi="宋体" w:cs="宋体" w:eastAsia="宋体" w:hint="default"/>
                <w:sz w:val="21"/>
                <w:szCs w:val="21"/>
              </w:rPr>
              <w:t>本报告期应参 加董事会次数</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73" w:lineRule="auto"/>
              <w:ind w:left="142" w:right="35" w:hanging="106"/>
              <w:jc w:val="left"/>
              <w:rPr>
                <w:rFonts w:ascii="宋体" w:hAnsi="宋体" w:cs="宋体" w:eastAsia="宋体" w:hint="default"/>
                <w:sz w:val="21"/>
                <w:szCs w:val="21"/>
              </w:rPr>
            </w:pPr>
            <w:r>
              <w:rPr>
                <w:rFonts w:ascii="宋体" w:hAnsi="宋体" w:cs="宋体" w:eastAsia="宋体" w:hint="default"/>
                <w:sz w:val="21"/>
                <w:szCs w:val="21"/>
              </w:rPr>
              <w:t>现场出席董 事会次数</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71" w:right="68"/>
              <w:jc w:val="both"/>
              <w:rPr>
                <w:rFonts w:ascii="宋体" w:hAnsi="宋体" w:cs="宋体" w:eastAsia="宋体" w:hint="default"/>
                <w:sz w:val="21"/>
                <w:szCs w:val="21"/>
              </w:rPr>
            </w:pPr>
            <w:r>
              <w:rPr>
                <w:rFonts w:ascii="宋体" w:hAnsi="宋体" w:cs="宋体" w:eastAsia="宋体" w:hint="default"/>
                <w:sz w:val="21"/>
                <w:szCs w:val="21"/>
              </w:rPr>
              <w:t>以通讯方 式参加董 事会次数</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105" w:right="103"/>
              <w:jc w:val="both"/>
              <w:rPr>
                <w:rFonts w:ascii="宋体" w:hAnsi="宋体" w:cs="宋体" w:eastAsia="宋体" w:hint="default"/>
                <w:sz w:val="21"/>
                <w:szCs w:val="21"/>
              </w:rPr>
            </w:pPr>
            <w:r>
              <w:rPr>
                <w:rFonts w:ascii="宋体" w:hAnsi="宋体" w:cs="宋体" w:eastAsia="宋体" w:hint="default"/>
                <w:sz w:val="21"/>
                <w:szCs w:val="21"/>
              </w:rPr>
              <w:t>委托出 席董事 会次数</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104" w:right="105"/>
              <w:jc w:val="center"/>
              <w:rPr>
                <w:rFonts w:ascii="宋体" w:hAnsi="宋体" w:cs="宋体" w:eastAsia="宋体" w:hint="default"/>
                <w:sz w:val="21"/>
                <w:szCs w:val="21"/>
              </w:rPr>
            </w:pPr>
            <w:r>
              <w:rPr>
                <w:rFonts w:ascii="宋体" w:hAnsi="宋体" w:cs="宋体" w:eastAsia="宋体" w:hint="default"/>
                <w:sz w:val="21"/>
                <w:szCs w:val="21"/>
              </w:rPr>
              <w:t>缺席董 事会次 数</w:t>
            </w:r>
          </w:p>
        </w:tc>
        <w:tc>
          <w:tcPr>
            <w:tcW w:w="1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73" w:right="72"/>
              <w:jc w:val="center"/>
              <w:rPr>
                <w:rFonts w:ascii="宋体" w:hAnsi="宋体" w:cs="宋体" w:eastAsia="宋体" w:hint="default"/>
                <w:sz w:val="21"/>
                <w:szCs w:val="21"/>
              </w:rPr>
            </w:pPr>
            <w:r>
              <w:rPr>
                <w:rFonts w:ascii="宋体" w:hAnsi="宋体" w:cs="宋体" w:eastAsia="宋体" w:hint="default"/>
                <w:sz w:val="21"/>
                <w:szCs w:val="21"/>
              </w:rPr>
              <w:t>是否连续两次 未亲自参加董 事会会议</w:t>
            </w:r>
          </w:p>
        </w:tc>
        <w:tc>
          <w:tcPr>
            <w:tcW w:w="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69" w:right="71"/>
              <w:jc w:val="both"/>
              <w:rPr>
                <w:rFonts w:ascii="宋体" w:hAnsi="宋体" w:cs="宋体" w:eastAsia="宋体" w:hint="default"/>
                <w:sz w:val="21"/>
                <w:szCs w:val="21"/>
              </w:rPr>
            </w:pPr>
            <w:r>
              <w:rPr>
                <w:rFonts w:ascii="宋体" w:hAnsi="宋体" w:cs="宋体" w:eastAsia="宋体" w:hint="default"/>
                <w:sz w:val="21"/>
                <w:szCs w:val="21"/>
              </w:rPr>
              <w:t>出席股 东大会 次数</w:t>
            </w:r>
          </w:p>
        </w:tc>
      </w:tr>
      <w:tr>
        <w:trPr>
          <w:trHeight w:val="402"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唐涛（第五届）</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650" w:right="0"/>
              <w:jc w:val="left"/>
              <w:rPr>
                <w:rFonts w:ascii="宋体" w:hAnsi="宋体" w:cs="宋体" w:eastAsia="宋体" w:hint="default"/>
                <w:sz w:val="21"/>
                <w:szCs w:val="21"/>
              </w:rPr>
            </w:pPr>
            <w:r>
              <w:rPr>
                <w:rFonts w:ascii="宋体"/>
                <w:sz w:val="21"/>
              </w:rPr>
              <w:t>1</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 w:right="0"/>
              <w:jc w:val="center"/>
              <w:rPr>
                <w:rFonts w:ascii="宋体" w:hAnsi="宋体" w:cs="宋体" w:eastAsia="宋体" w:hint="default"/>
                <w:sz w:val="21"/>
                <w:szCs w:val="21"/>
              </w:rPr>
            </w:pPr>
            <w:r>
              <w:rPr>
                <w:rFonts w:ascii="宋体"/>
                <w:sz w:val="21"/>
              </w:rPr>
              <w:t>1</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sz w:val="21"/>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sz w:val="21"/>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sz w:val="21"/>
              </w:rPr>
              <w:t>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596"/>
              <w:jc w:val="right"/>
              <w:rPr>
                <w:rFonts w:ascii="宋体" w:hAnsi="宋体" w:cs="宋体" w:eastAsia="宋体" w:hint="default"/>
                <w:sz w:val="21"/>
                <w:szCs w:val="21"/>
              </w:rPr>
            </w:pPr>
            <w:r>
              <w:rPr>
                <w:rFonts w:ascii="宋体" w:hAnsi="宋体" w:cs="宋体" w:eastAsia="宋体" w:hint="default"/>
                <w:sz w:val="21"/>
                <w:szCs w:val="21"/>
              </w:rPr>
              <w:t>否</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宋体" w:hAnsi="宋体" w:cs="宋体" w:eastAsia="宋体" w:hint="default"/>
                <w:sz w:val="21"/>
                <w:szCs w:val="21"/>
              </w:rPr>
            </w:pPr>
            <w:r>
              <w:rPr>
                <w:rFonts w:ascii="宋体"/>
                <w:sz w:val="21"/>
              </w:rPr>
              <w:t>1</w:t>
            </w:r>
          </w:p>
        </w:tc>
      </w:tr>
      <w:tr>
        <w:trPr>
          <w:trHeight w:val="402"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谭宪才（第五届）</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650" w:right="0"/>
              <w:jc w:val="left"/>
              <w:rPr>
                <w:rFonts w:ascii="宋体" w:hAnsi="宋体" w:cs="宋体" w:eastAsia="宋体" w:hint="default"/>
                <w:sz w:val="21"/>
                <w:szCs w:val="21"/>
              </w:rPr>
            </w:pPr>
            <w:r>
              <w:rPr>
                <w:rFonts w:ascii="宋体"/>
                <w:sz w:val="21"/>
              </w:rPr>
              <w:t>1</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 w:right="0"/>
              <w:jc w:val="center"/>
              <w:rPr>
                <w:rFonts w:ascii="宋体" w:hAnsi="宋体" w:cs="宋体" w:eastAsia="宋体" w:hint="default"/>
                <w:sz w:val="21"/>
                <w:szCs w:val="21"/>
              </w:rPr>
            </w:pPr>
            <w:r>
              <w:rPr>
                <w:rFonts w:ascii="宋体"/>
                <w:sz w:val="21"/>
              </w:rPr>
              <w:t>1</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sz w:val="21"/>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sz w:val="21"/>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sz w:val="21"/>
              </w:rPr>
              <w:t>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596"/>
              <w:jc w:val="right"/>
              <w:rPr>
                <w:rFonts w:ascii="宋体" w:hAnsi="宋体" w:cs="宋体" w:eastAsia="宋体" w:hint="default"/>
                <w:sz w:val="21"/>
                <w:szCs w:val="21"/>
              </w:rPr>
            </w:pPr>
            <w:r>
              <w:rPr>
                <w:rFonts w:ascii="宋体" w:hAnsi="宋体" w:cs="宋体" w:eastAsia="宋体" w:hint="default"/>
                <w:sz w:val="21"/>
                <w:szCs w:val="21"/>
              </w:rPr>
              <w:t>否</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宋体" w:hAnsi="宋体" w:cs="宋体" w:eastAsia="宋体" w:hint="default"/>
                <w:sz w:val="21"/>
                <w:szCs w:val="21"/>
              </w:rPr>
            </w:pPr>
            <w:r>
              <w:rPr>
                <w:rFonts w:ascii="宋体"/>
                <w:sz w:val="21"/>
              </w:rPr>
              <w:t>0</w:t>
            </w:r>
          </w:p>
        </w:tc>
      </w:tr>
      <w:tr>
        <w:trPr>
          <w:trHeight w:val="402"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蒋承（第五届）</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650" w:right="0"/>
              <w:jc w:val="left"/>
              <w:rPr>
                <w:rFonts w:ascii="宋体" w:hAnsi="宋体" w:cs="宋体" w:eastAsia="宋体" w:hint="default"/>
                <w:sz w:val="21"/>
                <w:szCs w:val="21"/>
              </w:rPr>
            </w:pPr>
            <w:r>
              <w:rPr>
                <w:rFonts w:ascii="宋体"/>
                <w:sz w:val="21"/>
              </w:rPr>
              <w:t>1</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 w:right="0"/>
              <w:jc w:val="center"/>
              <w:rPr>
                <w:rFonts w:ascii="宋体" w:hAnsi="宋体" w:cs="宋体" w:eastAsia="宋体" w:hint="default"/>
                <w:sz w:val="21"/>
                <w:szCs w:val="21"/>
              </w:rPr>
            </w:pPr>
            <w:r>
              <w:rPr>
                <w:rFonts w:ascii="宋体"/>
                <w:sz w:val="21"/>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sz w:val="21"/>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sz w:val="21"/>
              </w:rPr>
              <w:t>1</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sz w:val="21"/>
              </w:rPr>
              <w:t>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596"/>
              <w:jc w:val="right"/>
              <w:rPr>
                <w:rFonts w:ascii="宋体" w:hAnsi="宋体" w:cs="宋体" w:eastAsia="宋体" w:hint="default"/>
                <w:sz w:val="21"/>
                <w:szCs w:val="21"/>
              </w:rPr>
            </w:pPr>
            <w:r>
              <w:rPr>
                <w:rFonts w:ascii="宋体" w:hAnsi="宋体" w:cs="宋体" w:eastAsia="宋体" w:hint="default"/>
                <w:sz w:val="21"/>
                <w:szCs w:val="21"/>
              </w:rPr>
              <w:t>否</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宋体" w:hAnsi="宋体" w:cs="宋体" w:eastAsia="宋体" w:hint="default"/>
                <w:sz w:val="21"/>
                <w:szCs w:val="21"/>
              </w:rPr>
            </w:pPr>
            <w:r>
              <w:rPr>
                <w:rFonts w:ascii="宋体"/>
                <w:sz w:val="21"/>
              </w:rPr>
              <w:t>0</w:t>
            </w:r>
          </w:p>
        </w:tc>
      </w:tr>
      <w:tr>
        <w:trPr>
          <w:trHeight w:val="402"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郑建彪（第六届）</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597" w:right="0"/>
              <w:jc w:val="left"/>
              <w:rPr>
                <w:rFonts w:ascii="宋体" w:hAnsi="宋体" w:cs="宋体" w:eastAsia="宋体" w:hint="default"/>
                <w:sz w:val="21"/>
                <w:szCs w:val="21"/>
              </w:rPr>
            </w:pPr>
            <w:r>
              <w:rPr>
                <w:rFonts w:ascii="宋体"/>
                <w:sz w:val="21"/>
              </w:rPr>
              <w:t>10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 w:right="0"/>
              <w:jc w:val="center"/>
              <w:rPr>
                <w:rFonts w:ascii="宋体" w:hAnsi="宋体" w:cs="宋体" w:eastAsia="宋体" w:hint="default"/>
                <w:sz w:val="21"/>
                <w:szCs w:val="21"/>
              </w:rPr>
            </w:pPr>
            <w:r>
              <w:rPr>
                <w:rFonts w:ascii="宋体"/>
                <w:sz w:val="21"/>
              </w:rPr>
              <w:t>5</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sz w:val="21"/>
              </w:rPr>
              <w:t>4</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sz w:val="21"/>
              </w:rPr>
              <w:t>1</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sz w:val="21"/>
              </w:rPr>
              <w:t>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596"/>
              <w:jc w:val="right"/>
              <w:rPr>
                <w:rFonts w:ascii="宋体" w:hAnsi="宋体" w:cs="宋体" w:eastAsia="宋体" w:hint="default"/>
                <w:sz w:val="21"/>
                <w:szCs w:val="21"/>
              </w:rPr>
            </w:pPr>
            <w:r>
              <w:rPr>
                <w:rFonts w:ascii="宋体" w:hAnsi="宋体" w:cs="宋体" w:eastAsia="宋体" w:hint="default"/>
                <w:sz w:val="21"/>
                <w:szCs w:val="21"/>
              </w:rPr>
              <w:t>否</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宋体" w:hAnsi="宋体" w:cs="宋体" w:eastAsia="宋体" w:hint="default"/>
                <w:sz w:val="21"/>
                <w:szCs w:val="21"/>
              </w:rPr>
            </w:pPr>
            <w:r>
              <w:rPr>
                <w:rFonts w:ascii="宋体"/>
                <w:sz w:val="21"/>
              </w:rPr>
              <w:t>0</w:t>
            </w:r>
          </w:p>
        </w:tc>
      </w:tr>
      <w:tr>
        <w:trPr>
          <w:trHeight w:val="402"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康斌生（第六届）</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597" w:right="0"/>
              <w:jc w:val="left"/>
              <w:rPr>
                <w:rFonts w:ascii="宋体" w:hAnsi="宋体" w:cs="宋体" w:eastAsia="宋体" w:hint="default"/>
                <w:sz w:val="21"/>
                <w:szCs w:val="21"/>
              </w:rPr>
            </w:pPr>
            <w:r>
              <w:rPr>
                <w:rFonts w:ascii="宋体"/>
                <w:sz w:val="21"/>
              </w:rPr>
              <w:t>10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 w:right="0"/>
              <w:jc w:val="center"/>
              <w:rPr>
                <w:rFonts w:ascii="宋体" w:hAnsi="宋体" w:cs="宋体" w:eastAsia="宋体" w:hint="default"/>
                <w:sz w:val="21"/>
                <w:szCs w:val="21"/>
              </w:rPr>
            </w:pPr>
            <w:r>
              <w:rPr>
                <w:rFonts w:ascii="宋体"/>
                <w:sz w:val="21"/>
              </w:rPr>
              <w:t>6</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sz w:val="21"/>
              </w:rPr>
              <w:t>4</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sz w:val="21"/>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sz w:val="21"/>
              </w:rPr>
              <w:t>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596"/>
              <w:jc w:val="right"/>
              <w:rPr>
                <w:rFonts w:ascii="宋体" w:hAnsi="宋体" w:cs="宋体" w:eastAsia="宋体" w:hint="default"/>
                <w:sz w:val="21"/>
                <w:szCs w:val="21"/>
              </w:rPr>
            </w:pPr>
            <w:r>
              <w:rPr>
                <w:rFonts w:ascii="宋体" w:hAnsi="宋体" w:cs="宋体" w:eastAsia="宋体" w:hint="default"/>
                <w:sz w:val="21"/>
                <w:szCs w:val="21"/>
              </w:rPr>
              <w:t>否</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宋体" w:hAnsi="宋体" w:cs="宋体" w:eastAsia="宋体" w:hint="default"/>
                <w:sz w:val="21"/>
                <w:szCs w:val="21"/>
              </w:rPr>
            </w:pPr>
            <w:r>
              <w:rPr>
                <w:rFonts w:ascii="宋体"/>
                <w:sz w:val="21"/>
              </w:rPr>
              <w:t>0</w:t>
            </w:r>
          </w:p>
        </w:tc>
      </w:tr>
      <w:tr>
        <w:trPr>
          <w:trHeight w:val="402"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张宇锋（第六届）</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597" w:right="0"/>
              <w:jc w:val="left"/>
              <w:rPr>
                <w:rFonts w:ascii="宋体" w:hAnsi="宋体" w:cs="宋体" w:eastAsia="宋体" w:hint="default"/>
                <w:sz w:val="21"/>
                <w:szCs w:val="21"/>
              </w:rPr>
            </w:pPr>
            <w:r>
              <w:rPr>
                <w:rFonts w:ascii="宋体"/>
                <w:sz w:val="21"/>
              </w:rPr>
              <w:t>10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 w:right="0"/>
              <w:jc w:val="center"/>
              <w:rPr>
                <w:rFonts w:ascii="宋体" w:hAnsi="宋体" w:cs="宋体" w:eastAsia="宋体" w:hint="default"/>
                <w:sz w:val="21"/>
                <w:szCs w:val="21"/>
              </w:rPr>
            </w:pPr>
            <w:r>
              <w:rPr>
                <w:rFonts w:ascii="宋体"/>
                <w:sz w:val="21"/>
              </w:rPr>
              <w:t>6</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sz w:val="21"/>
              </w:rPr>
              <w:t>4</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sz w:val="21"/>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sz w:val="21"/>
              </w:rPr>
              <w:t>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596"/>
              <w:jc w:val="right"/>
              <w:rPr>
                <w:rFonts w:ascii="宋体" w:hAnsi="宋体" w:cs="宋体" w:eastAsia="宋体" w:hint="default"/>
                <w:sz w:val="21"/>
                <w:szCs w:val="21"/>
              </w:rPr>
            </w:pPr>
            <w:r>
              <w:rPr>
                <w:rFonts w:ascii="宋体" w:hAnsi="宋体" w:cs="宋体" w:eastAsia="宋体" w:hint="default"/>
                <w:sz w:val="21"/>
                <w:szCs w:val="21"/>
              </w:rPr>
              <w:t>否</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宋体" w:hAnsi="宋体" w:cs="宋体" w:eastAsia="宋体" w:hint="default"/>
                <w:sz w:val="21"/>
                <w:szCs w:val="21"/>
              </w:rPr>
            </w:pPr>
            <w:r>
              <w:rPr>
                <w:rFonts w:ascii="宋体"/>
                <w:sz w:val="21"/>
              </w:rPr>
              <w:t>0</w:t>
            </w:r>
          </w:p>
        </w:tc>
      </w:tr>
    </w:tbl>
    <w:p>
      <w:pPr>
        <w:spacing w:line="240" w:lineRule="auto" w:before="10"/>
        <w:rPr>
          <w:rFonts w:ascii="宋体" w:hAnsi="宋体" w:cs="宋体" w:eastAsia="宋体" w:hint="default"/>
          <w:b/>
          <w:bCs/>
          <w:sz w:val="4"/>
          <w:szCs w:val="4"/>
        </w:rPr>
      </w:pPr>
    </w:p>
    <w:p>
      <w:pPr>
        <w:spacing w:line="352" w:lineRule="auto" w:before="26"/>
        <w:ind w:left="633" w:right="4273" w:firstLine="0"/>
        <w:jc w:val="left"/>
        <w:rPr>
          <w:rFonts w:ascii="宋体" w:hAnsi="宋体" w:cs="宋体" w:eastAsia="宋体" w:hint="default"/>
          <w:sz w:val="24"/>
          <w:szCs w:val="24"/>
        </w:rPr>
      </w:pPr>
      <w:r>
        <w:rPr>
          <w:rFonts w:ascii="宋体" w:hAnsi="宋体" w:cs="宋体" w:eastAsia="宋体" w:hint="default"/>
          <w:sz w:val="24"/>
          <w:szCs w:val="24"/>
        </w:rPr>
        <w:t>连续两次未亲自出席董事会的说明 报告期内独立董事无连续两次未亲自出席董事会的情况。 </w:t>
      </w:r>
      <w:bookmarkStart w:name="2、独立董事对公司有关事项提出异议的情况" w:id="162"/>
      <w:bookmarkEnd w:id="162"/>
      <w:r>
        <w:rPr>
          <w:rFonts w:ascii="宋体" w:hAnsi="宋体" w:cs="宋体" w:eastAsia="宋体" w:hint="default"/>
          <w:sz w:val="24"/>
          <w:szCs w:val="24"/>
        </w:rPr>
      </w:r>
      <w:r>
        <w:rPr>
          <w:rFonts w:ascii="宋体" w:hAnsi="宋体" w:cs="宋体" w:eastAsia="宋体" w:hint="default"/>
          <w:b/>
          <w:bCs/>
          <w:sz w:val="24"/>
          <w:szCs w:val="24"/>
        </w:rPr>
        <w:t>2</w:t>
      </w:r>
      <w:r>
        <w:rPr>
          <w:rFonts w:ascii="宋体" w:hAnsi="宋体" w:cs="宋体" w:eastAsia="宋体" w:hint="default"/>
          <w:b/>
          <w:bCs/>
          <w:sz w:val="24"/>
          <w:szCs w:val="24"/>
        </w:rPr>
        <w:t>、独立董事对公司有关事项提出异议的情况</w:t>
      </w:r>
      <w:r>
        <w:rPr>
          <w:rFonts w:ascii="宋体" w:hAnsi="宋体" w:cs="宋体" w:eastAsia="宋体" w:hint="default"/>
          <w:b/>
          <w:bCs/>
          <w:w w:val="99"/>
          <w:sz w:val="24"/>
          <w:szCs w:val="24"/>
        </w:rPr>
        <w:t> </w:t>
      </w:r>
      <w:r>
        <w:rPr>
          <w:rFonts w:ascii="宋体" w:hAnsi="宋体" w:cs="宋体" w:eastAsia="宋体" w:hint="default"/>
          <w:sz w:val="24"/>
          <w:szCs w:val="24"/>
        </w:rPr>
        <w:t>独立董事对公司有关事项是否提出异议</w:t>
      </w:r>
    </w:p>
    <w:p>
      <w:pPr>
        <w:spacing w:line="350" w:lineRule="auto" w:before="34"/>
        <w:ind w:left="634" w:right="5232" w:firstLine="0"/>
        <w:jc w:val="left"/>
        <w:rPr>
          <w:rFonts w:ascii="宋体" w:hAnsi="宋体" w:cs="宋体" w:eastAsia="宋体" w:hint="default"/>
          <w:sz w:val="24"/>
          <w:szCs w:val="24"/>
        </w:rPr>
      </w:pPr>
      <w:r>
        <w:rPr>
          <w:rFonts w:ascii="宋体" w:hAnsi="宋体" w:cs="宋体" w:eastAsia="宋体" w:hint="default"/>
          <w:sz w:val="24"/>
          <w:szCs w:val="24"/>
        </w:rPr>
        <w:t>□ 是 √ 否 报告期内独立董事对公司有关事项未提出异议。 </w:t>
      </w:r>
      <w:bookmarkStart w:name="3、独立董事履行职责的其他说明" w:id="163"/>
      <w:bookmarkEnd w:id="163"/>
      <w:r>
        <w:rPr>
          <w:rFonts w:ascii="宋体" w:hAnsi="宋体" w:cs="宋体" w:eastAsia="宋体" w:hint="default"/>
          <w:sz w:val="24"/>
          <w:szCs w:val="24"/>
        </w:rPr>
      </w:r>
      <w:r>
        <w:rPr>
          <w:rFonts w:ascii="宋体" w:hAnsi="宋体" w:cs="宋体" w:eastAsia="宋体" w:hint="default"/>
          <w:b/>
          <w:bCs/>
          <w:sz w:val="24"/>
          <w:szCs w:val="24"/>
        </w:rPr>
        <w:t>3</w:t>
      </w:r>
      <w:r>
        <w:rPr>
          <w:rFonts w:ascii="宋体" w:hAnsi="宋体" w:cs="宋体" w:eastAsia="宋体" w:hint="default"/>
          <w:b/>
          <w:bCs/>
          <w:sz w:val="24"/>
          <w:szCs w:val="24"/>
        </w:rPr>
        <w:t>、独立董事履行职责的其他说明</w:t>
      </w:r>
      <w:r>
        <w:rPr>
          <w:rFonts w:ascii="宋体" w:hAnsi="宋体" w:cs="宋体" w:eastAsia="宋体" w:hint="default"/>
          <w:b/>
          <w:bCs/>
          <w:w w:val="99"/>
          <w:sz w:val="24"/>
          <w:szCs w:val="24"/>
        </w:rPr>
        <w:t> </w:t>
      </w:r>
      <w:r>
        <w:rPr>
          <w:rFonts w:ascii="宋体" w:hAnsi="宋体" w:cs="宋体" w:eastAsia="宋体" w:hint="default"/>
          <w:sz w:val="24"/>
          <w:szCs w:val="24"/>
        </w:rPr>
        <w:t>独立董事对公司有关建议是否被采纳</w:t>
      </w:r>
    </w:p>
    <w:p>
      <w:pPr>
        <w:pStyle w:val="BodyText"/>
        <w:spacing w:line="350" w:lineRule="auto" w:before="35"/>
        <w:ind w:left="634" w:right="4992"/>
        <w:jc w:val="left"/>
      </w:pPr>
      <w:r>
        <w:rPr/>
        <w:t>√ 是 □ 否 独立董事对公司有关建议被采纳或未被采纳的说明</w:t>
      </w:r>
    </w:p>
    <w:p>
      <w:pPr>
        <w:pStyle w:val="BodyText"/>
        <w:spacing w:line="350" w:lineRule="auto"/>
        <w:ind w:right="1169" w:firstLine="480"/>
        <w:jc w:val="both"/>
      </w:pPr>
      <w:r>
        <w:rPr/>
        <w:t>报告期内，独立董事严格按照有关法律、法规的规定履行诚信和勤勉的职责，维护公司 和全体股东利益，尤其是中小股东的合法权益。积极参加历次董事会并认真审议各项议案， 对公司的相关重大事项进行事先审核并发表独立意见。同时通过电话或邮件等方式与公司的 董事、监事、高级管理人员保持密切的联系，深入了解公司生产经营情况、内部控制建设及 董事会各项议案执行情况，运用专业优势为公司管理、规范化运作等提出合理化的意见和建 议，公司认真听取并根据公司实际情况采纳独立董事的意见或建议。</w:t>
      </w:r>
    </w:p>
    <w:p>
      <w:pPr>
        <w:spacing w:after="0" w:line="350" w:lineRule="auto"/>
        <w:jc w:val="both"/>
        <w:sectPr>
          <w:pgSz w:w="11910" w:h="16840"/>
          <w:pgMar w:header="747" w:footer="979" w:top="1060" w:bottom="1160" w:left="980" w:right="0"/>
        </w:sectPr>
      </w:pPr>
    </w:p>
    <w:p>
      <w:pPr>
        <w:spacing w:line="240" w:lineRule="auto" w:before="7"/>
        <w:rPr>
          <w:rFonts w:ascii="宋体" w:hAnsi="宋体" w:cs="宋体" w:eastAsia="宋体" w:hint="default"/>
          <w:sz w:val="23"/>
          <w:szCs w:val="23"/>
        </w:rPr>
      </w:pPr>
    </w:p>
    <w:p>
      <w:pPr>
        <w:pStyle w:val="Heading2"/>
        <w:spacing w:line="240" w:lineRule="auto"/>
        <w:ind w:left="153" w:right="996"/>
        <w:jc w:val="left"/>
        <w:rPr>
          <w:b w:val="0"/>
          <w:bCs w:val="0"/>
        </w:rPr>
      </w:pPr>
      <w:bookmarkStart w:name="六、董事会下设专门委员会在报告期内履行职责情况" w:id="164"/>
      <w:bookmarkEnd w:id="164"/>
      <w:r>
        <w:rPr>
          <w:b w:val="0"/>
          <w:bCs w:val="0"/>
        </w:rPr>
      </w:r>
      <w:r>
        <w:rPr/>
        <w:t>六、董事会下设专门委员会在报告期内履行职责情况</w:t>
      </w:r>
      <w:r>
        <w:rPr>
          <w:b w:val="0"/>
          <w:bCs w:val="0"/>
        </w:rPr>
      </w:r>
    </w:p>
    <w:p>
      <w:pPr>
        <w:spacing w:line="240" w:lineRule="auto" w:before="6"/>
        <w:rPr>
          <w:rFonts w:ascii="宋体" w:hAnsi="宋体" w:cs="宋体" w:eastAsia="宋体" w:hint="default"/>
          <w:b/>
          <w:bCs/>
          <w:sz w:val="32"/>
          <w:szCs w:val="32"/>
        </w:rPr>
      </w:pPr>
    </w:p>
    <w:p>
      <w:pPr>
        <w:pStyle w:val="BodyText"/>
        <w:spacing w:line="352" w:lineRule="auto" w:before="0"/>
        <w:ind w:right="1130" w:firstLine="480"/>
        <w:jc w:val="both"/>
      </w:pPr>
      <w:r>
        <w:rPr/>
        <w:t>公司董事会下设审计委员会、薪酬与考核委员会、提名委员会及战略决策委员会。报告 </w:t>
      </w:r>
      <w:r>
        <w:rPr>
          <w:spacing w:val="-3"/>
        </w:rPr>
        <w:t>期内，公司董事会各专门委员会充分发挥专业性作用，科学决策，审慎监督，为公司</w:t>
      </w:r>
      <w:r>
        <w:rPr>
          <w:spacing w:val="-47"/>
        </w:rPr>
        <w:t> </w:t>
      </w:r>
      <w:r>
        <w:rPr>
          <w:rFonts w:ascii="宋体" w:hAnsi="宋体" w:cs="宋体" w:eastAsia="宋体" w:hint="default"/>
        </w:rPr>
        <w:t>2017</w:t>
      </w:r>
      <w:r>
        <w:rPr>
          <w:rFonts w:ascii="宋体" w:hAnsi="宋体" w:cs="宋体" w:eastAsia="宋体" w:hint="default"/>
          <w:spacing w:val="-48"/>
        </w:rPr>
        <w:t> </w:t>
      </w:r>
      <w:r>
        <w:rPr/>
        <w:t>年</w:t>
      </w:r>
      <w:r>
        <w:rPr>
          <w:spacing w:val="-118"/>
        </w:rPr>
        <w:t> </w:t>
      </w:r>
      <w:r>
        <w:rPr/>
        <w:t>度的经营管理、组织建设做了大量的工作，有效提升了公司管理水平。</w:t>
      </w:r>
    </w:p>
    <w:p>
      <w:pPr>
        <w:pStyle w:val="BodyText"/>
        <w:spacing w:line="240" w:lineRule="auto" w:before="32"/>
        <w:ind w:left="633" w:right="996"/>
        <w:jc w:val="left"/>
      </w:pPr>
      <w:r>
        <w:rPr>
          <w:rFonts w:ascii="宋体" w:hAnsi="宋体" w:cs="宋体" w:eastAsia="宋体" w:hint="default"/>
        </w:rPr>
        <w:t>1</w:t>
      </w:r>
      <w:r>
        <w:rPr/>
        <w:t>、董事会审计委员会的履职情况</w:t>
      </w:r>
    </w:p>
    <w:p>
      <w:pPr>
        <w:pStyle w:val="BodyText"/>
        <w:spacing w:line="352" w:lineRule="auto" w:before="145"/>
        <w:ind w:left="154" w:right="1169" w:firstLine="480"/>
        <w:jc w:val="both"/>
      </w:pPr>
      <w:r>
        <w:rPr/>
        <w:t>报告期内，董事会审计委员会共召开会议</w:t>
      </w:r>
      <w:r>
        <w:rPr>
          <w:spacing w:val="-60"/>
        </w:rPr>
        <w:t> </w:t>
      </w:r>
      <w:r>
        <w:rPr>
          <w:rFonts w:ascii="宋体" w:hAnsi="宋体" w:cs="宋体" w:eastAsia="宋体" w:hint="default"/>
        </w:rPr>
        <w:t>5</w:t>
      </w:r>
      <w:r>
        <w:rPr>
          <w:rFonts w:ascii="宋体" w:hAnsi="宋体" w:cs="宋体" w:eastAsia="宋体" w:hint="default"/>
          <w:spacing w:val="-60"/>
        </w:rPr>
        <w:t> </w:t>
      </w:r>
      <w:r>
        <w:rPr/>
        <w:t>次，重点对公司财务报告、募集资金使用情 况、内部审计部门的工作计划及总结等事项进行审议，并形成相关的内部审计报告。</w:t>
      </w:r>
    </w:p>
    <w:p>
      <w:pPr>
        <w:pStyle w:val="BodyText"/>
        <w:spacing w:line="240" w:lineRule="auto" w:before="32"/>
        <w:ind w:left="633" w:right="996"/>
        <w:jc w:val="left"/>
      </w:pPr>
      <w:r>
        <w:rPr>
          <w:rFonts w:ascii="宋体" w:hAnsi="宋体" w:cs="宋体" w:eastAsia="宋体" w:hint="default"/>
        </w:rPr>
        <w:t>2</w:t>
      </w:r>
      <w:r>
        <w:rPr/>
        <w:t>、董事会薪酬与考核委员会履职情况</w:t>
      </w:r>
    </w:p>
    <w:p>
      <w:pPr>
        <w:pStyle w:val="BodyText"/>
        <w:spacing w:line="352" w:lineRule="auto" w:before="145"/>
        <w:ind w:right="1132" w:firstLine="480"/>
        <w:jc w:val="both"/>
      </w:pPr>
      <w:r>
        <w:rPr/>
        <w:t>报告期内，公司薪酬与考核委员会共召开</w:t>
      </w:r>
      <w:r>
        <w:rPr>
          <w:spacing w:val="-66"/>
        </w:rPr>
        <w:t> </w:t>
      </w:r>
      <w:r>
        <w:rPr>
          <w:rFonts w:ascii="宋体" w:hAnsi="宋体" w:cs="宋体" w:eastAsia="宋体" w:hint="default"/>
        </w:rPr>
        <w:t>1</w:t>
      </w:r>
      <w:r>
        <w:rPr>
          <w:rFonts w:ascii="宋体" w:hAnsi="宋体" w:cs="宋体" w:eastAsia="宋体" w:hint="default"/>
          <w:spacing w:val="-66"/>
        </w:rPr>
        <w:t> </w:t>
      </w:r>
      <w:r>
        <w:rPr>
          <w:spacing w:val="-3"/>
        </w:rPr>
        <w:t>次会议，讨论审议了公司</w:t>
      </w:r>
      <w:r>
        <w:rPr>
          <w:spacing w:val="-66"/>
        </w:rPr>
        <w:t> </w:t>
      </w:r>
      <w:r>
        <w:rPr>
          <w:rFonts w:ascii="宋体" w:hAnsi="宋体" w:cs="宋体" w:eastAsia="宋体" w:hint="default"/>
        </w:rPr>
        <w:t>2016</w:t>
      </w:r>
      <w:r>
        <w:rPr>
          <w:rFonts w:ascii="宋体" w:hAnsi="宋体" w:cs="宋体" w:eastAsia="宋体" w:hint="default"/>
          <w:spacing w:val="-66"/>
        </w:rPr>
        <w:t> </w:t>
      </w:r>
      <w:r>
        <w:rPr>
          <w:spacing w:val="-5"/>
        </w:rPr>
        <w:t>年度董事、监</w:t>
      </w:r>
      <w:r>
        <w:rPr/>
        <w:t> 事及高级管理人员薪酬以及调整公司董事长薪酬事项，形成了相关的决议并提交公司董事会 审议。</w:t>
      </w:r>
    </w:p>
    <w:p>
      <w:pPr>
        <w:pStyle w:val="BodyText"/>
        <w:spacing w:line="240" w:lineRule="auto" w:before="32"/>
        <w:ind w:left="634" w:right="996"/>
        <w:jc w:val="left"/>
      </w:pPr>
      <w:r>
        <w:rPr>
          <w:rFonts w:ascii="宋体" w:hAnsi="宋体" w:cs="宋体" w:eastAsia="宋体" w:hint="default"/>
        </w:rPr>
        <w:t>3</w:t>
      </w:r>
      <w:r>
        <w:rPr/>
        <w:t>、董事会提名委员会履职情况</w:t>
      </w:r>
    </w:p>
    <w:p>
      <w:pPr>
        <w:pStyle w:val="BodyText"/>
        <w:spacing w:line="350" w:lineRule="auto" w:before="146"/>
        <w:ind w:left="154" w:right="1132" w:firstLine="480"/>
        <w:jc w:val="both"/>
      </w:pPr>
      <w:r>
        <w:rPr/>
        <w:t>报告期内，公司董事会提名委员会共召开</w:t>
      </w:r>
      <w:r>
        <w:rPr>
          <w:spacing w:val="-60"/>
        </w:rPr>
        <w:t> </w:t>
      </w:r>
      <w:r>
        <w:rPr>
          <w:rFonts w:ascii="宋体" w:hAnsi="宋体" w:cs="宋体" w:eastAsia="宋体" w:hint="default"/>
        </w:rPr>
        <w:t>2</w:t>
      </w:r>
      <w:r>
        <w:rPr>
          <w:rFonts w:ascii="宋体" w:hAnsi="宋体" w:cs="宋体" w:eastAsia="宋体" w:hint="default"/>
          <w:spacing w:val="-60"/>
        </w:rPr>
        <w:t> </w:t>
      </w:r>
      <w:r>
        <w:rPr/>
        <w:t>次会议，分别审议了《关于董事会换届选举 </w:t>
      </w:r>
      <w:r>
        <w:rPr>
          <w:spacing w:val="-5"/>
        </w:rPr>
        <w:t>的议案》和《关于提名参股公司董事的议案》，对各候选人的任职资格、学历、工作经历等情</w:t>
      </w:r>
      <w:r>
        <w:rPr/>
        <w:t> 况详细调查，形成决议并将候选人材料分别提交公司董事会和参股公司审议。</w:t>
      </w:r>
    </w:p>
    <w:p>
      <w:pPr>
        <w:pStyle w:val="BodyText"/>
        <w:spacing w:line="240" w:lineRule="auto"/>
        <w:ind w:left="633" w:right="996"/>
        <w:jc w:val="left"/>
      </w:pPr>
      <w:r>
        <w:rPr>
          <w:rFonts w:ascii="宋体" w:hAnsi="宋体" w:cs="宋体" w:eastAsia="宋体" w:hint="default"/>
        </w:rPr>
        <w:t>4</w:t>
      </w:r>
      <w:r>
        <w:rPr/>
        <w:t>、董事会战略决策委员会履职工作情况</w:t>
      </w:r>
    </w:p>
    <w:p>
      <w:pPr>
        <w:pStyle w:val="BodyText"/>
        <w:spacing w:line="350" w:lineRule="auto" w:before="145"/>
        <w:ind w:right="1117" w:firstLine="600"/>
        <w:jc w:val="left"/>
      </w:pPr>
      <w:r>
        <w:rPr>
          <w:spacing w:val="-3"/>
        </w:rPr>
        <w:t>报告期内，公司董事会战略决策委员会共召开 </w:t>
      </w:r>
      <w:r>
        <w:rPr>
          <w:rFonts w:ascii="宋体" w:hAnsi="宋体" w:cs="宋体" w:eastAsia="宋体" w:hint="default"/>
        </w:rPr>
        <w:t>2</w:t>
      </w:r>
      <w:r>
        <w:rPr>
          <w:rFonts w:ascii="宋体" w:hAnsi="宋体" w:cs="宋体" w:eastAsia="宋体" w:hint="default"/>
          <w:spacing w:val="-90"/>
        </w:rPr>
        <w:t> </w:t>
      </w:r>
      <w:r>
        <w:rPr>
          <w:spacing w:val="-3"/>
        </w:rPr>
        <w:t>次会议，根据公司所处的行业和市场形</w:t>
      </w:r>
      <w:r>
        <w:rPr/>
        <w:t> 势及时进行了战略规划研究，并根据公司实际情况对未来发展战略的实施提出合理建议，最 终形成议案《公司未来发展展期》提交董事会审议；为公司“深化轨道交通领域”战略的进 一步实施，审议通过了关于收购西南交大驱动</w:t>
      </w:r>
      <w:r>
        <w:rPr>
          <w:spacing w:val="-60"/>
        </w:rPr>
        <w:t> </w:t>
      </w:r>
      <w:r>
        <w:rPr>
          <w:rFonts w:ascii="宋体" w:hAnsi="宋体" w:cs="宋体" w:eastAsia="宋体" w:hint="default"/>
        </w:rPr>
        <w:t>51%</w:t>
      </w:r>
      <w:r>
        <w:rPr/>
        <w:t>股权事项；均形成了相关的决议并提交公 司董事会审议。</w:t>
      </w:r>
    </w:p>
    <w:p>
      <w:pPr>
        <w:pStyle w:val="Heading2"/>
        <w:spacing w:line="240" w:lineRule="auto" w:before="209"/>
        <w:ind w:left="154" w:right="996"/>
        <w:jc w:val="left"/>
        <w:rPr>
          <w:b w:val="0"/>
          <w:bCs w:val="0"/>
        </w:rPr>
      </w:pPr>
      <w:bookmarkStart w:name="七、监事会工作情况" w:id="165"/>
      <w:bookmarkEnd w:id="165"/>
      <w:r>
        <w:rPr>
          <w:b w:val="0"/>
          <w:bCs w:val="0"/>
        </w:rPr>
      </w:r>
      <w:r>
        <w:rPr/>
        <w:t>七、监事会工作情况</w:t>
      </w:r>
      <w:r>
        <w:rPr>
          <w:b w:val="0"/>
          <w:bCs w:val="0"/>
        </w:rPr>
      </w:r>
    </w:p>
    <w:p>
      <w:pPr>
        <w:spacing w:line="240" w:lineRule="auto" w:before="6"/>
        <w:rPr>
          <w:rFonts w:ascii="宋体" w:hAnsi="宋体" w:cs="宋体" w:eastAsia="宋体" w:hint="default"/>
          <w:b/>
          <w:bCs/>
          <w:sz w:val="32"/>
          <w:szCs w:val="32"/>
        </w:rPr>
      </w:pPr>
    </w:p>
    <w:p>
      <w:pPr>
        <w:pStyle w:val="BodyText"/>
        <w:spacing w:line="240" w:lineRule="auto" w:before="0"/>
        <w:ind w:left="633" w:right="996"/>
        <w:jc w:val="left"/>
      </w:pPr>
      <w:r>
        <w:rPr/>
        <w:t>监事会在报告期内的监督活动中发现公司是否存在风险</w:t>
      </w:r>
    </w:p>
    <w:p>
      <w:pPr>
        <w:pStyle w:val="BodyText"/>
        <w:spacing w:line="350" w:lineRule="auto" w:before="145"/>
        <w:ind w:left="634" w:right="6192"/>
        <w:jc w:val="left"/>
      </w:pPr>
      <w:r>
        <w:rPr/>
        <w:t>□ 是 √ 否 监事会对报告期内的监督事项无异议。</w:t>
      </w:r>
    </w:p>
    <w:p>
      <w:pPr>
        <w:pStyle w:val="Heading2"/>
        <w:spacing w:line="240" w:lineRule="auto" w:before="209"/>
        <w:ind w:left="154" w:right="996"/>
        <w:jc w:val="left"/>
        <w:rPr>
          <w:b w:val="0"/>
          <w:bCs w:val="0"/>
        </w:rPr>
      </w:pPr>
      <w:bookmarkStart w:name="八、高级管理人员的考评及激励情况" w:id="166"/>
      <w:bookmarkEnd w:id="166"/>
      <w:r>
        <w:rPr>
          <w:b w:val="0"/>
          <w:bCs w:val="0"/>
        </w:rPr>
      </w:r>
      <w:r>
        <w:rPr/>
        <w:t>八、高级管理人员的考评及激励情况</w:t>
      </w:r>
      <w:r>
        <w:rPr>
          <w:b w:val="0"/>
          <w:bCs w:val="0"/>
        </w:rPr>
      </w:r>
    </w:p>
    <w:p>
      <w:pPr>
        <w:spacing w:line="240" w:lineRule="auto" w:before="6"/>
        <w:rPr>
          <w:rFonts w:ascii="宋体" w:hAnsi="宋体" w:cs="宋体" w:eastAsia="宋体" w:hint="default"/>
          <w:b/>
          <w:bCs/>
          <w:sz w:val="32"/>
          <w:szCs w:val="32"/>
        </w:rPr>
      </w:pPr>
    </w:p>
    <w:p>
      <w:pPr>
        <w:pStyle w:val="BodyText"/>
        <w:spacing w:line="350" w:lineRule="auto" w:before="0"/>
        <w:ind w:left="154" w:right="1133" w:firstLine="480"/>
        <w:jc w:val="both"/>
      </w:pPr>
      <w:r>
        <w:rPr>
          <w:spacing w:val="-12"/>
        </w:rPr>
        <w:t>根据公司《薪酬体系管理规定》、《高级管理人员薪酬管理规定》，公司对高级管理人员的</w:t>
      </w:r>
      <w:r>
        <w:rPr/>
        <w:t> 考评实行基本薪酬与工作绩效挂钩的激励与约束机制。年末根据公司年度经营目标完成情况</w:t>
      </w:r>
    </w:p>
    <w:p>
      <w:pPr>
        <w:spacing w:after="0" w:line="350" w:lineRule="auto"/>
        <w:jc w:val="both"/>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350" w:lineRule="auto" w:before="199"/>
        <w:ind w:right="1153"/>
        <w:jc w:val="left"/>
      </w:pPr>
      <w:r>
        <w:rPr/>
        <w:t>以及高级管理人员的工作业绩，由董事会薪酬与考核委员会对高级管理人员进行年度绩效考 核，并监督薪酬制度执行情况。公司则根据绩效考核结果兑现其绩效年薪，并进行奖惩。</w:t>
      </w:r>
    </w:p>
    <w:p>
      <w:pPr>
        <w:pStyle w:val="BodyText"/>
        <w:spacing w:line="350" w:lineRule="auto"/>
        <w:ind w:right="996" w:firstLine="480"/>
        <w:jc w:val="left"/>
      </w:pPr>
      <w:r>
        <w:rPr>
          <w:spacing w:val="-3"/>
        </w:rPr>
        <w:t>公司董事会薪酬与考核委员会根据实际情况对公司高级管理人员进行考核后，一致认为：</w:t>
      </w:r>
      <w:r>
        <w:rPr/>
        <w:t> 公司</w:t>
      </w:r>
      <w:r>
        <w:rPr>
          <w:spacing w:val="-54"/>
        </w:rPr>
        <w:t> </w:t>
      </w:r>
      <w:r>
        <w:rPr>
          <w:rFonts w:ascii="宋体" w:hAnsi="宋体" w:cs="宋体" w:eastAsia="宋体" w:hint="default"/>
        </w:rPr>
        <w:t>2017</w:t>
      </w:r>
      <w:r>
        <w:rPr>
          <w:rFonts w:ascii="宋体" w:hAnsi="宋体" w:cs="宋体" w:eastAsia="宋体" w:hint="default"/>
          <w:spacing w:val="-54"/>
        </w:rPr>
        <w:t> </w:t>
      </w:r>
      <w:r>
        <w:rPr>
          <w:spacing w:val="-3"/>
        </w:rPr>
        <w:t>年度高级管理人员薪酬方案严格执行公司薪酬考核制度，薪酬方案合理，薪酬发放</w:t>
      </w:r>
      <w:r>
        <w:rPr>
          <w:spacing w:val="-107"/>
        </w:rPr>
        <w:t> </w:t>
      </w:r>
      <w:r>
        <w:rPr>
          <w:spacing w:val="-107"/>
        </w:rPr>
      </w:r>
      <w:r>
        <w:rPr/>
        <w:t>的程序符合有关法律、法规及公司制度的规定。</w:t>
      </w:r>
    </w:p>
    <w:p>
      <w:pPr>
        <w:pStyle w:val="Heading2"/>
        <w:spacing w:line="240" w:lineRule="auto" w:before="209"/>
        <w:ind w:left="153" w:right="996"/>
        <w:jc w:val="left"/>
        <w:rPr>
          <w:b w:val="0"/>
          <w:bCs w:val="0"/>
        </w:rPr>
      </w:pPr>
      <w:bookmarkStart w:name="九、内部控制评价报告" w:id="167"/>
      <w:bookmarkEnd w:id="167"/>
      <w:r>
        <w:rPr>
          <w:b w:val="0"/>
          <w:bCs w:val="0"/>
        </w:rPr>
      </w:r>
      <w:r>
        <w:rPr/>
        <w:t>九、内部控制评价报告</w:t>
      </w:r>
      <w:r>
        <w:rPr>
          <w:b w:val="0"/>
          <w:bCs w:val="0"/>
        </w:rPr>
      </w:r>
    </w:p>
    <w:p>
      <w:pPr>
        <w:spacing w:line="240" w:lineRule="auto" w:before="6"/>
        <w:rPr>
          <w:rFonts w:ascii="宋体" w:hAnsi="宋体" w:cs="宋体" w:eastAsia="宋体" w:hint="default"/>
          <w:b/>
          <w:bCs/>
          <w:sz w:val="32"/>
          <w:szCs w:val="32"/>
        </w:rPr>
      </w:pPr>
    </w:p>
    <w:p>
      <w:pPr>
        <w:pStyle w:val="Heading2"/>
        <w:spacing w:line="240" w:lineRule="auto" w:before="0"/>
        <w:ind w:right="996"/>
        <w:jc w:val="left"/>
        <w:rPr>
          <w:b w:val="0"/>
          <w:bCs w:val="0"/>
        </w:rPr>
      </w:pPr>
      <w:bookmarkStart w:name="1、报告期内发现的内部控制重大缺陷的具体情况" w:id="168"/>
      <w:bookmarkEnd w:id="168"/>
      <w:r>
        <w:rPr>
          <w:b w:val="0"/>
          <w:bCs w:val="0"/>
        </w:rPr>
      </w:r>
      <w:r>
        <w:rPr>
          <w:rFonts w:ascii="宋体" w:hAnsi="宋体" w:cs="宋体" w:eastAsia="宋体" w:hint="default"/>
        </w:rPr>
        <w:t>1</w:t>
      </w:r>
      <w:r>
        <w:rPr/>
        <w:t>、报告期内发现的内部控制重大缺陷的具体情况</w:t>
      </w:r>
      <w:r>
        <w:rPr>
          <w:b w:val="0"/>
          <w:bCs w:val="0"/>
        </w:rPr>
      </w:r>
    </w:p>
    <w:p>
      <w:pPr>
        <w:spacing w:line="350" w:lineRule="auto" w:before="145"/>
        <w:ind w:left="636" w:right="7981" w:hanging="3"/>
        <w:jc w:val="left"/>
        <w:rPr>
          <w:rFonts w:ascii="宋体" w:hAnsi="宋体" w:cs="宋体" w:eastAsia="宋体" w:hint="default"/>
          <w:sz w:val="24"/>
          <w:szCs w:val="24"/>
        </w:rPr>
      </w:pPr>
      <w:r>
        <w:rPr/>
        <w:pict>
          <v:shape style="position:absolute;margin-left:56.459999pt;margin-top:48.865631pt;width:479.2pt;height:455.75pt;mso-position-horizontal-relative:page;mso-position-vertical-relative:paragraph;z-index:172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407"/>
                    <w:gridCol w:w="1776"/>
                    <w:gridCol w:w="3481"/>
                    <w:gridCol w:w="2893"/>
                  </w:tblGrid>
                  <w:tr>
                    <w:trPr>
                      <w:trHeight w:val="402" w:hRule="exact"/>
                    </w:trPr>
                    <w:tc>
                      <w:tcPr>
                        <w:tcW w:w="318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内部控制评价报告全文披露日期</w:t>
                        </w:r>
                      </w:p>
                    </w:tc>
                    <w:tc>
                      <w:tcPr>
                        <w:tcW w:w="6374"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left="10"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04</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24</w:t>
                        </w:r>
                        <w:r>
                          <w:rPr>
                            <w:rFonts w:ascii="宋体" w:hAnsi="宋体" w:cs="宋体" w:eastAsia="宋体" w:hint="default"/>
                            <w:spacing w:val="-53"/>
                            <w:sz w:val="21"/>
                            <w:szCs w:val="21"/>
                          </w:rPr>
                          <w:t> </w:t>
                        </w:r>
                        <w:r>
                          <w:rPr>
                            <w:rFonts w:ascii="宋体" w:hAnsi="宋体" w:cs="宋体" w:eastAsia="宋体" w:hint="default"/>
                            <w:sz w:val="21"/>
                            <w:szCs w:val="21"/>
                          </w:rPr>
                          <w:t>日</w:t>
                        </w:r>
                      </w:p>
                    </w:tc>
                  </w:tr>
                  <w:tr>
                    <w:trPr>
                      <w:trHeight w:val="161" w:hRule="exact"/>
                    </w:trPr>
                    <w:tc>
                      <w:tcPr>
                        <w:tcW w:w="3183"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6374" w:type="dxa"/>
                        <w:gridSpan w:val="2"/>
                        <w:vMerge w:val="restart"/>
                        <w:tcBorders>
                          <w:top w:val="single" w:sz="4" w:space="0" w:color="000000"/>
                          <w:left w:val="single" w:sz="9" w:space="0" w:color="D2D2D2"/>
                          <w:right w:val="single" w:sz="4" w:space="0" w:color="000000"/>
                        </w:tcBorders>
                      </w:tcPr>
                      <w:p>
                        <w:pPr>
                          <w:pStyle w:val="TableParagraph"/>
                          <w:spacing w:line="273" w:lineRule="auto" w:before="26"/>
                          <w:ind w:left="16" w:right="22"/>
                          <w:jc w:val="left"/>
                          <w:rPr>
                            <w:rFonts w:ascii="宋体" w:hAnsi="宋体" w:cs="宋体" w:eastAsia="宋体" w:hint="default"/>
                            <w:sz w:val="21"/>
                            <w:szCs w:val="21"/>
                          </w:rPr>
                        </w:pPr>
                        <w:r>
                          <w:rPr>
                            <w:rFonts w:ascii="宋体" w:hAnsi="宋体" w:cs="宋体" w:eastAsia="宋体" w:hint="default"/>
                            <w:sz w:val="21"/>
                            <w:szCs w:val="21"/>
                          </w:rPr>
                          <w:t>《河南辉煌科技股份有限公司</w:t>
                        </w:r>
                        <w:r>
                          <w:rPr>
                            <w:rFonts w:ascii="宋体" w:hAnsi="宋体" w:cs="宋体" w:eastAsia="宋体" w:hint="default"/>
                            <w:spacing w:val="-52"/>
                            <w:sz w:val="21"/>
                            <w:szCs w:val="21"/>
                          </w:rPr>
                          <w:t> </w:t>
                        </w: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pacing w:val="-6"/>
                            <w:sz w:val="21"/>
                            <w:szCs w:val="21"/>
                          </w:rPr>
                          <w:t>年度内部控制评价报告》刊登于公</w:t>
                        </w:r>
                        <w:r>
                          <w:rPr>
                            <w:rFonts w:ascii="宋体" w:hAnsi="宋体" w:cs="宋体" w:eastAsia="宋体" w:hint="default"/>
                            <w:sz w:val="21"/>
                            <w:szCs w:val="21"/>
                          </w:rPr>
                          <w:t> 司指定信息披露媒体巨潮资讯网（</w:t>
                        </w:r>
                        <w:r>
                          <w:rPr>
                            <w:rFonts w:ascii="宋体" w:hAnsi="宋体" w:cs="宋体" w:eastAsia="宋体" w:hint="default"/>
                            <w:sz w:val="21"/>
                            <w:szCs w:val="21"/>
                          </w:rPr>
                          <w:t>http://www.cninfo.com.cn)</w:t>
                        </w:r>
                        <w:r>
                          <w:rPr>
                            <w:rFonts w:ascii="宋体" w:hAnsi="宋体" w:cs="宋体" w:eastAsia="宋体" w:hint="default"/>
                            <w:sz w:val="21"/>
                            <w:szCs w:val="21"/>
                          </w:rPr>
                          <w:t>。</w:t>
                        </w:r>
                      </w:p>
                    </w:tc>
                  </w:tr>
                  <w:tr>
                    <w:trPr>
                      <w:trHeight w:val="392" w:hRule="exact"/>
                    </w:trPr>
                    <w:tc>
                      <w:tcPr>
                        <w:tcW w:w="3183" w:type="dxa"/>
                        <w:gridSpan w:val="2"/>
                        <w:tcBorders>
                          <w:top w:val="nil" w:sz="6" w:space="0" w:color="auto"/>
                          <w:left w:val="single" w:sz="13" w:space="0" w:color="D2D2D2"/>
                          <w:bottom w:val="nil" w:sz="6" w:space="0" w:color="auto"/>
                          <w:right w:val="single" w:sz="13" w:space="0" w:color="D2D2D2"/>
                        </w:tcBorders>
                      </w:tcPr>
                      <w:p>
                        <w:pPr>
                          <w:pStyle w:val="TableParagraph"/>
                          <w:tabs>
                            <w:tab w:pos="3138" w:val="left" w:leader="none"/>
                          </w:tabs>
                          <w:spacing w:line="240" w:lineRule="auto" w:before="26"/>
                          <w:ind w:right="0"/>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shd w:fill="D2D2D2" w:color="auto" w:val="clear"/>
                          </w:rPr>
                          <w:t>内部控制评价报告全文披露索引</w:t>
                          <w:tab/>
                        </w:r>
                        <w:r>
                          <w:rPr>
                            <w:rFonts w:ascii="宋体" w:hAnsi="宋体" w:cs="宋体" w:eastAsia="宋体" w:hint="default"/>
                            <w:sz w:val="21"/>
                            <w:szCs w:val="21"/>
                          </w:rPr>
                        </w:r>
                      </w:p>
                    </w:tc>
                    <w:tc>
                      <w:tcPr>
                        <w:tcW w:w="6374" w:type="dxa"/>
                        <w:gridSpan w:val="2"/>
                        <w:vMerge/>
                        <w:tcBorders>
                          <w:left w:val="single" w:sz="9" w:space="0" w:color="D2D2D2"/>
                          <w:right w:val="single" w:sz="4" w:space="0" w:color="000000"/>
                        </w:tcBorders>
                      </w:tcPr>
                      <w:p>
                        <w:pPr/>
                      </w:p>
                    </w:tc>
                  </w:tr>
                  <w:tr>
                    <w:trPr>
                      <w:trHeight w:val="161" w:hRule="exact"/>
                    </w:trPr>
                    <w:tc>
                      <w:tcPr>
                        <w:tcW w:w="3183"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6374" w:type="dxa"/>
                        <w:gridSpan w:val="2"/>
                        <w:vMerge/>
                        <w:tcBorders>
                          <w:left w:val="single" w:sz="9" w:space="0" w:color="D2D2D2"/>
                          <w:bottom w:val="single" w:sz="4" w:space="0" w:color="000000"/>
                          <w:right w:val="single" w:sz="4" w:space="0" w:color="000000"/>
                        </w:tcBorders>
                      </w:tcPr>
                      <w:p>
                        <w:pPr/>
                      </w:p>
                    </w:tc>
                  </w:tr>
                  <w:tr>
                    <w:trPr>
                      <w:trHeight w:val="714" w:hRule="exact"/>
                    </w:trPr>
                    <w:tc>
                      <w:tcPr>
                        <w:tcW w:w="318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11" w:right="220"/>
                          <w:jc w:val="left"/>
                          <w:rPr>
                            <w:rFonts w:ascii="宋体" w:hAnsi="宋体" w:cs="宋体" w:eastAsia="宋体" w:hint="default"/>
                            <w:sz w:val="21"/>
                            <w:szCs w:val="21"/>
                          </w:rPr>
                        </w:pPr>
                        <w:r>
                          <w:rPr>
                            <w:rFonts w:ascii="宋体" w:hAnsi="宋体" w:cs="宋体" w:eastAsia="宋体" w:hint="default"/>
                            <w:sz w:val="21"/>
                            <w:szCs w:val="21"/>
                          </w:rPr>
                          <w:t>纳入评价范围单位资产总额占公 司合并财务报表资产总额的比例</w:t>
                        </w:r>
                      </w:p>
                    </w:tc>
                    <w:tc>
                      <w:tcPr>
                        <w:tcW w:w="6374"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20"/>
                          <w:jc w:val="right"/>
                          <w:rPr>
                            <w:rFonts w:ascii="宋体" w:hAnsi="宋体" w:cs="宋体" w:eastAsia="宋体" w:hint="default"/>
                            <w:sz w:val="21"/>
                            <w:szCs w:val="21"/>
                          </w:rPr>
                        </w:pPr>
                        <w:r>
                          <w:rPr>
                            <w:rFonts w:ascii="宋体"/>
                            <w:spacing w:val="-1"/>
                            <w:sz w:val="21"/>
                          </w:rPr>
                          <w:t>95.87%</w:t>
                        </w:r>
                      </w:p>
                    </w:tc>
                  </w:tr>
                  <w:tr>
                    <w:trPr>
                      <w:trHeight w:val="714" w:hRule="exact"/>
                    </w:trPr>
                    <w:tc>
                      <w:tcPr>
                        <w:tcW w:w="318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11" w:right="220"/>
                          <w:jc w:val="left"/>
                          <w:rPr>
                            <w:rFonts w:ascii="宋体" w:hAnsi="宋体" w:cs="宋体" w:eastAsia="宋体" w:hint="default"/>
                            <w:sz w:val="21"/>
                            <w:szCs w:val="21"/>
                          </w:rPr>
                        </w:pPr>
                        <w:r>
                          <w:rPr>
                            <w:rFonts w:ascii="宋体" w:hAnsi="宋体" w:cs="宋体" w:eastAsia="宋体" w:hint="default"/>
                            <w:sz w:val="21"/>
                            <w:szCs w:val="21"/>
                          </w:rPr>
                          <w:t>纳入评价范围单位营业收入占公 司合并财务报表营业收入的比例</w:t>
                        </w:r>
                      </w:p>
                    </w:tc>
                    <w:tc>
                      <w:tcPr>
                        <w:tcW w:w="6374"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20"/>
                          <w:jc w:val="right"/>
                          <w:rPr>
                            <w:rFonts w:ascii="宋体" w:hAnsi="宋体" w:cs="宋体" w:eastAsia="宋体" w:hint="default"/>
                            <w:sz w:val="21"/>
                            <w:szCs w:val="21"/>
                          </w:rPr>
                        </w:pPr>
                        <w:r>
                          <w:rPr>
                            <w:rFonts w:ascii="宋体"/>
                            <w:sz w:val="21"/>
                          </w:rPr>
                          <w:t>73.03%</w:t>
                        </w:r>
                      </w:p>
                    </w:tc>
                  </w:tr>
                  <w:tr>
                    <w:trPr>
                      <w:trHeight w:val="397" w:hRule="exact"/>
                    </w:trPr>
                    <w:tc>
                      <w:tcPr>
                        <w:tcW w:w="955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 w:right="10"/>
                          <w:jc w:val="center"/>
                          <w:rPr>
                            <w:rFonts w:ascii="宋体" w:hAnsi="宋体" w:cs="宋体" w:eastAsia="宋体" w:hint="default"/>
                            <w:sz w:val="21"/>
                            <w:szCs w:val="21"/>
                          </w:rPr>
                        </w:pPr>
                        <w:r>
                          <w:rPr>
                            <w:rFonts w:ascii="宋体" w:hAnsi="宋体" w:cs="宋体" w:eastAsia="宋体" w:hint="default"/>
                            <w:sz w:val="21"/>
                            <w:szCs w:val="21"/>
                          </w:rPr>
                          <w:t>缺陷认定标准</w:t>
                        </w:r>
                      </w:p>
                    </w:tc>
                  </w:tr>
                  <w:tr>
                    <w:trPr>
                      <w:trHeight w:val="407" w:hRule="exact"/>
                    </w:trPr>
                    <w:tc>
                      <w:tcPr>
                        <w:tcW w:w="14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right="11"/>
                          <w:jc w:val="center"/>
                          <w:rPr>
                            <w:rFonts w:ascii="宋体" w:hAnsi="宋体" w:cs="宋体" w:eastAsia="宋体" w:hint="default"/>
                            <w:sz w:val="21"/>
                            <w:szCs w:val="21"/>
                          </w:rPr>
                        </w:pPr>
                        <w:r>
                          <w:rPr>
                            <w:rFonts w:ascii="宋体" w:hAnsi="宋体" w:cs="宋体" w:eastAsia="宋体" w:hint="default"/>
                            <w:sz w:val="21"/>
                            <w:szCs w:val="21"/>
                          </w:rPr>
                          <w:t>类别</w:t>
                        </w:r>
                      </w:p>
                    </w:tc>
                    <w:tc>
                      <w:tcPr>
                        <w:tcW w:w="52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right="12"/>
                          <w:jc w:val="center"/>
                          <w:rPr>
                            <w:rFonts w:ascii="宋体" w:hAnsi="宋体" w:cs="宋体" w:eastAsia="宋体" w:hint="default"/>
                            <w:sz w:val="21"/>
                            <w:szCs w:val="21"/>
                          </w:rPr>
                        </w:pPr>
                        <w:r>
                          <w:rPr>
                            <w:rFonts w:ascii="宋体" w:hAnsi="宋体" w:cs="宋体" w:eastAsia="宋体" w:hint="default"/>
                            <w:sz w:val="21"/>
                            <w:szCs w:val="21"/>
                          </w:rPr>
                          <w:t>财务报告</w:t>
                        </w:r>
                      </w:p>
                    </w:tc>
                    <w:tc>
                      <w:tcPr>
                        <w:tcW w:w="28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910" w:right="0"/>
                          <w:jc w:val="left"/>
                          <w:rPr>
                            <w:rFonts w:ascii="宋体" w:hAnsi="宋体" w:cs="宋体" w:eastAsia="宋体" w:hint="default"/>
                            <w:sz w:val="21"/>
                            <w:szCs w:val="21"/>
                          </w:rPr>
                        </w:pPr>
                        <w:r>
                          <w:rPr>
                            <w:rFonts w:ascii="宋体" w:hAnsi="宋体" w:cs="宋体" w:eastAsia="宋体" w:hint="default"/>
                            <w:sz w:val="21"/>
                            <w:szCs w:val="21"/>
                          </w:rPr>
                          <w:t>非财务报告</w:t>
                        </w:r>
                      </w:p>
                    </w:tc>
                  </w:tr>
                  <w:tr>
                    <w:trPr>
                      <w:trHeight w:val="2033" w:hRule="exact"/>
                    </w:trPr>
                    <w:tc>
                      <w:tcPr>
                        <w:tcW w:w="1407" w:type="dxa"/>
                        <w:tcBorders>
                          <w:top w:val="single" w:sz="4" w:space="0" w:color="000000"/>
                          <w:left w:val="single" w:sz="4" w:space="0" w:color="000000"/>
                          <w:bottom w:val="nil" w:sz="6" w:space="0" w:color="auto"/>
                          <w:right w:val="single" w:sz="4" w:space="0" w:color="000000"/>
                        </w:tcBorders>
                        <w:shd w:val="clear" w:color="auto" w:fill="D2D2D2"/>
                      </w:tcPr>
                      <w:p>
                        <w:pPr/>
                      </w:p>
                    </w:tc>
                    <w:tc>
                      <w:tcPr>
                        <w:tcW w:w="5257" w:type="dxa"/>
                        <w:gridSpan w:val="2"/>
                        <w:vMerge w:val="restart"/>
                        <w:tcBorders>
                          <w:top w:val="single" w:sz="4" w:space="0" w:color="000000"/>
                          <w:left w:val="single" w:sz="9" w:space="0" w:color="D2D2D2"/>
                          <w:right w:val="single" w:sz="13" w:space="0" w:color="FFFFFF"/>
                        </w:tcBorders>
                      </w:tcPr>
                      <w:p>
                        <w:pPr>
                          <w:pStyle w:val="TableParagraph"/>
                          <w:spacing w:line="273" w:lineRule="auto" w:before="26"/>
                          <w:ind w:left="16" w:right="-37"/>
                          <w:jc w:val="left"/>
                          <w:rPr>
                            <w:rFonts w:ascii="宋体" w:hAnsi="宋体" w:cs="宋体" w:eastAsia="宋体" w:hint="default"/>
                            <w:sz w:val="21"/>
                            <w:szCs w:val="21"/>
                          </w:rPr>
                        </w:pPr>
                        <w:r>
                          <w:rPr>
                            <w:rFonts w:ascii="宋体" w:hAnsi="宋体" w:cs="宋体" w:eastAsia="宋体" w:hint="default"/>
                            <w:sz w:val="21"/>
                            <w:szCs w:val="21"/>
                          </w:rPr>
                          <w:t>①如公司具备以下特征之一的缺陷，应定义为重大缺陷： </w:t>
                        </w:r>
                        <w:r>
                          <w:rPr>
                            <w:rFonts w:ascii="宋体" w:hAnsi="宋体" w:cs="宋体" w:eastAsia="宋体" w:hint="default"/>
                            <w:spacing w:val="-3"/>
                            <w:sz w:val="21"/>
                            <w:szCs w:val="21"/>
                          </w:rPr>
                          <w:t>a.</w:t>
                        </w:r>
                        <w:r>
                          <w:rPr>
                            <w:rFonts w:ascii="宋体" w:hAnsi="宋体" w:cs="宋体" w:eastAsia="宋体" w:hint="default"/>
                            <w:spacing w:val="-3"/>
                            <w:sz w:val="21"/>
                            <w:szCs w:val="21"/>
                          </w:rPr>
                          <w:t>上市公司组织架构设置严重缺失；</w:t>
                        </w:r>
                        <w:r>
                          <w:rPr>
                            <w:rFonts w:ascii="宋体" w:hAnsi="宋体" w:cs="宋体" w:eastAsia="宋体" w:hint="default"/>
                            <w:spacing w:val="-3"/>
                            <w:sz w:val="21"/>
                            <w:szCs w:val="21"/>
                          </w:rPr>
                          <w:t>b.</w:t>
                        </w:r>
                        <w:r>
                          <w:rPr>
                            <w:rFonts w:ascii="宋体" w:hAnsi="宋体" w:cs="宋体" w:eastAsia="宋体" w:hint="default"/>
                            <w:spacing w:val="-3"/>
                            <w:sz w:val="21"/>
                            <w:szCs w:val="21"/>
                          </w:rPr>
                          <w:t>公司董事、监事和</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pacing w:val="-3"/>
                            <w:sz w:val="21"/>
                            <w:szCs w:val="21"/>
                          </w:rPr>
                          <w:t>高级管理人员滥用职权、发生重大舞弊行为；</w:t>
                        </w:r>
                        <w:r>
                          <w:rPr>
                            <w:rFonts w:ascii="宋体" w:hAnsi="宋体" w:cs="宋体" w:eastAsia="宋体" w:hint="default"/>
                            <w:spacing w:val="-3"/>
                            <w:sz w:val="21"/>
                            <w:szCs w:val="21"/>
                          </w:rPr>
                          <w:t>c.</w:t>
                        </w:r>
                        <w:r>
                          <w:rPr>
                            <w:rFonts w:ascii="宋体" w:hAnsi="宋体" w:cs="宋体" w:eastAsia="宋体" w:hint="default"/>
                            <w:spacing w:val="-3"/>
                            <w:sz w:val="21"/>
                            <w:szCs w:val="21"/>
                          </w:rPr>
                          <w:t>公司因发</w:t>
                        </w:r>
                        <w:r>
                          <w:rPr>
                            <w:rFonts w:ascii="宋体" w:hAnsi="宋体" w:cs="宋体" w:eastAsia="宋体" w:hint="default"/>
                            <w:spacing w:val="-89"/>
                            <w:sz w:val="21"/>
                            <w:szCs w:val="21"/>
                          </w:rPr>
                          <w:t> </w:t>
                        </w:r>
                        <w:r>
                          <w:rPr>
                            <w:rFonts w:ascii="宋体" w:hAnsi="宋体" w:cs="宋体" w:eastAsia="宋体" w:hint="default"/>
                            <w:sz w:val="21"/>
                            <w:szCs w:val="21"/>
                          </w:rPr>
                          <w:t>现以前年度存在重大会计差错，更正已披露的财务报告； </w:t>
                        </w:r>
                        <w:r>
                          <w:rPr>
                            <w:rFonts w:ascii="宋体" w:hAnsi="宋体" w:cs="宋体" w:eastAsia="宋体" w:hint="default"/>
                            <w:spacing w:val="-3"/>
                            <w:sz w:val="21"/>
                            <w:szCs w:val="21"/>
                          </w:rPr>
                          <w:t>d.</w:t>
                        </w:r>
                        <w:r>
                          <w:rPr>
                            <w:rFonts w:ascii="宋体" w:hAnsi="宋体" w:cs="宋体" w:eastAsia="宋体" w:hint="default"/>
                            <w:spacing w:val="-3"/>
                            <w:sz w:val="21"/>
                            <w:szCs w:val="21"/>
                          </w:rPr>
                          <w:t>外部审计发现当期财务报表存在重大错报，而内控在运</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pacing w:val="-3"/>
                            <w:sz w:val="21"/>
                            <w:szCs w:val="21"/>
                          </w:rPr>
                          <w:t>行过程中未能发现该错报；</w:t>
                        </w:r>
                        <w:r>
                          <w:rPr>
                            <w:rFonts w:ascii="宋体" w:hAnsi="宋体" w:cs="宋体" w:eastAsia="宋体" w:hint="default"/>
                            <w:spacing w:val="-3"/>
                            <w:sz w:val="21"/>
                            <w:szCs w:val="21"/>
                          </w:rPr>
                          <w:t>e.</w:t>
                        </w:r>
                        <w:r>
                          <w:rPr>
                            <w:rFonts w:ascii="宋体" w:hAnsi="宋体" w:cs="宋体" w:eastAsia="宋体" w:hint="default"/>
                            <w:spacing w:val="-3"/>
                            <w:sz w:val="21"/>
                            <w:szCs w:val="21"/>
                          </w:rPr>
                          <w:t>公司运营管理上存在严重违</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z w:val="21"/>
                            <w:szCs w:val="21"/>
                          </w:rPr>
                          <w:t>反法律法规的行为。②如公司具备以下特征之一的缺陷， 应定义为重要缺陷：</w:t>
                        </w:r>
                        <w:r>
                          <w:rPr>
                            <w:rFonts w:ascii="宋体" w:hAnsi="宋体" w:cs="宋体" w:eastAsia="宋体" w:hint="default"/>
                            <w:spacing w:val="-1"/>
                            <w:sz w:val="21"/>
                            <w:szCs w:val="21"/>
                          </w:rPr>
                          <w:t> </w:t>
                        </w:r>
                        <w:r>
                          <w:rPr>
                            <w:rFonts w:ascii="宋体" w:hAnsi="宋体" w:cs="宋体" w:eastAsia="宋体" w:hint="default"/>
                            <w:sz w:val="21"/>
                            <w:szCs w:val="21"/>
                          </w:rPr>
                          <w:t>a.</w:t>
                        </w:r>
                        <w:r>
                          <w:rPr>
                            <w:rFonts w:ascii="宋体" w:hAnsi="宋体" w:cs="宋体" w:eastAsia="宋体" w:hint="default"/>
                            <w:sz w:val="21"/>
                            <w:szCs w:val="21"/>
                          </w:rPr>
                          <w:t>未依照公认会计准则选择和应用 </w:t>
                        </w:r>
                        <w:r>
                          <w:rPr>
                            <w:rFonts w:ascii="宋体" w:hAnsi="宋体" w:cs="宋体" w:eastAsia="宋体" w:hint="default"/>
                            <w:spacing w:val="-3"/>
                            <w:sz w:val="21"/>
                            <w:szCs w:val="21"/>
                          </w:rPr>
                          <w:t>会计政策；</w:t>
                        </w:r>
                        <w:r>
                          <w:rPr>
                            <w:rFonts w:ascii="宋体" w:hAnsi="宋体" w:cs="宋体" w:eastAsia="宋体" w:hint="default"/>
                            <w:spacing w:val="-3"/>
                            <w:sz w:val="21"/>
                            <w:szCs w:val="21"/>
                          </w:rPr>
                          <w:t>b.</w:t>
                        </w:r>
                        <w:r>
                          <w:rPr>
                            <w:rFonts w:ascii="宋体" w:hAnsi="宋体" w:cs="宋体" w:eastAsia="宋体" w:hint="default"/>
                            <w:spacing w:val="-3"/>
                            <w:sz w:val="21"/>
                            <w:szCs w:val="21"/>
                          </w:rPr>
                          <w:t>未建立反舞弊程序和控制措施；</w:t>
                        </w:r>
                        <w:r>
                          <w:rPr>
                            <w:rFonts w:ascii="宋体" w:hAnsi="宋体" w:cs="宋体" w:eastAsia="宋体" w:hint="default"/>
                            <w:spacing w:val="-3"/>
                            <w:sz w:val="21"/>
                            <w:szCs w:val="21"/>
                          </w:rPr>
                          <w:t>c.</w:t>
                        </w:r>
                        <w:r>
                          <w:rPr>
                            <w:rFonts w:ascii="宋体" w:hAnsi="宋体" w:cs="宋体" w:eastAsia="宋体" w:hint="default"/>
                            <w:spacing w:val="-3"/>
                            <w:sz w:val="21"/>
                            <w:szCs w:val="21"/>
                          </w:rPr>
                          <w:t>对于非常</w:t>
                        </w:r>
                        <w:r>
                          <w:rPr>
                            <w:rFonts w:ascii="宋体" w:hAnsi="宋体" w:cs="宋体" w:eastAsia="宋体" w:hint="default"/>
                            <w:spacing w:val="-88"/>
                            <w:sz w:val="21"/>
                            <w:szCs w:val="21"/>
                          </w:rPr>
                          <w:t> </w:t>
                        </w:r>
                        <w:r>
                          <w:rPr>
                            <w:rFonts w:ascii="宋体" w:hAnsi="宋体" w:cs="宋体" w:eastAsia="宋体" w:hint="default"/>
                            <w:sz w:val="21"/>
                            <w:szCs w:val="21"/>
                          </w:rPr>
                          <w:t>规和特殊交易的账务处理没有建立相应的控制机制或没 </w:t>
                        </w:r>
                        <w:r>
                          <w:rPr>
                            <w:rFonts w:ascii="宋体" w:hAnsi="宋体" w:cs="宋体" w:eastAsia="宋体" w:hint="default"/>
                            <w:spacing w:val="-3"/>
                            <w:sz w:val="21"/>
                            <w:szCs w:val="21"/>
                          </w:rPr>
                          <w:t>有实施且没有相应的补偿措施；</w:t>
                        </w:r>
                        <w:r>
                          <w:rPr>
                            <w:rFonts w:ascii="宋体" w:hAnsi="宋体" w:cs="宋体" w:eastAsia="宋体" w:hint="default"/>
                            <w:spacing w:val="-3"/>
                            <w:sz w:val="21"/>
                            <w:szCs w:val="21"/>
                          </w:rPr>
                          <w:t>d.</w:t>
                        </w:r>
                        <w:r>
                          <w:rPr>
                            <w:rFonts w:ascii="宋体" w:hAnsi="宋体" w:cs="宋体" w:eastAsia="宋体" w:hint="default"/>
                            <w:spacing w:val="-3"/>
                            <w:sz w:val="21"/>
                            <w:szCs w:val="21"/>
                          </w:rPr>
                          <w:t>对于财务报告过程的控</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z w:val="21"/>
                            <w:szCs w:val="21"/>
                          </w:rPr>
                          <w:t>制存在一项或多项缺陷且不能合理保证编制的财务报表 </w:t>
                        </w:r>
                        <w:r>
                          <w:rPr>
                            <w:rFonts w:ascii="宋体" w:hAnsi="宋体" w:cs="宋体" w:eastAsia="宋体" w:hint="default"/>
                            <w:spacing w:val="-3"/>
                            <w:sz w:val="21"/>
                            <w:szCs w:val="21"/>
                          </w:rPr>
                          <w:t>达到真实、准确的目标。③除上述重大缺陷、重要缺陷之</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外的其他控制缺陷定义为一般缺陷。</w:t>
                        </w:r>
                      </w:p>
                    </w:tc>
                    <w:tc>
                      <w:tcPr>
                        <w:tcW w:w="2893" w:type="dxa"/>
                        <w:vMerge w:val="restart"/>
                        <w:tcBorders>
                          <w:top w:val="single" w:sz="4" w:space="0" w:color="000000"/>
                          <w:left w:val="single" w:sz="13" w:space="0" w:color="FFFFFF"/>
                          <w:right w:val="single" w:sz="4" w:space="0" w:color="000000"/>
                        </w:tcBorders>
                      </w:tcPr>
                      <w:p>
                        <w:pPr>
                          <w:pStyle w:val="TableParagraph"/>
                          <w:spacing w:line="273" w:lineRule="auto" w:before="26"/>
                          <w:ind w:right="19"/>
                          <w:jc w:val="left"/>
                          <w:rPr>
                            <w:rFonts w:ascii="宋体" w:hAnsi="宋体" w:cs="宋体" w:eastAsia="宋体" w:hint="default"/>
                            <w:sz w:val="21"/>
                            <w:szCs w:val="21"/>
                          </w:rPr>
                        </w:pPr>
                        <w:r>
                          <w:rPr>
                            <w:rFonts w:ascii="宋体" w:hAnsi="宋体" w:cs="宋体" w:eastAsia="宋体" w:hint="default"/>
                            <w:sz w:val="21"/>
                            <w:szCs w:val="21"/>
                          </w:rPr>
                          <w:t>①如公司具备以下特征之一的 缺陷，应定义为重大缺陷：</w:t>
                        </w:r>
                        <w:r>
                          <w:rPr>
                            <w:rFonts w:ascii="宋体" w:hAnsi="宋体" w:cs="宋体" w:eastAsia="宋体" w:hint="default"/>
                            <w:sz w:val="21"/>
                            <w:szCs w:val="21"/>
                          </w:rPr>
                          <w:t>a. </w:t>
                        </w:r>
                        <w:r>
                          <w:rPr>
                            <w:rFonts w:ascii="宋体" w:hAnsi="宋体" w:cs="宋体" w:eastAsia="宋体" w:hint="default"/>
                            <w:spacing w:val="-7"/>
                            <w:sz w:val="21"/>
                            <w:szCs w:val="21"/>
                          </w:rPr>
                          <w:t>公司缺乏民主决策程序；</w:t>
                        </w:r>
                        <w:r>
                          <w:rPr>
                            <w:rFonts w:ascii="宋体" w:hAnsi="宋体" w:cs="宋体" w:eastAsia="宋体" w:hint="default"/>
                            <w:spacing w:val="-7"/>
                            <w:sz w:val="21"/>
                            <w:szCs w:val="21"/>
                          </w:rPr>
                          <w:t>b.</w:t>
                        </w:r>
                        <w:r>
                          <w:rPr>
                            <w:rFonts w:ascii="宋体" w:hAnsi="宋体" w:cs="宋体" w:eastAsia="宋体" w:hint="default"/>
                            <w:spacing w:val="-7"/>
                            <w:sz w:val="21"/>
                            <w:szCs w:val="21"/>
                          </w:rPr>
                          <w:t>公司</w:t>
                        </w:r>
                        <w:r>
                          <w:rPr>
                            <w:rFonts w:ascii="宋体" w:hAnsi="宋体" w:cs="宋体" w:eastAsia="宋体" w:hint="default"/>
                            <w:spacing w:val="-91"/>
                            <w:sz w:val="21"/>
                            <w:szCs w:val="21"/>
                          </w:rPr>
                          <w:t> </w:t>
                        </w:r>
                        <w:r>
                          <w:rPr>
                            <w:rFonts w:ascii="宋体" w:hAnsi="宋体" w:cs="宋体" w:eastAsia="宋体" w:hint="default"/>
                            <w:spacing w:val="-7"/>
                            <w:sz w:val="21"/>
                            <w:szCs w:val="21"/>
                          </w:rPr>
                          <w:t>决策程序导致重大失误；</w:t>
                        </w:r>
                        <w:r>
                          <w:rPr>
                            <w:rFonts w:ascii="宋体" w:hAnsi="宋体" w:cs="宋体" w:eastAsia="宋体" w:hint="default"/>
                            <w:spacing w:val="-7"/>
                            <w:sz w:val="21"/>
                            <w:szCs w:val="21"/>
                          </w:rPr>
                          <w:t>c.</w:t>
                        </w:r>
                        <w:r>
                          <w:rPr>
                            <w:rFonts w:ascii="宋体" w:hAnsi="宋体" w:cs="宋体" w:eastAsia="宋体" w:hint="default"/>
                            <w:spacing w:val="-7"/>
                            <w:sz w:val="21"/>
                            <w:szCs w:val="21"/>
                          </w:rPr>
                          <w:t>公司</w:t>
                        </w:r>
                        <w:r>
                          <w:rPr>
                            <w:rFonts w:ascii="宋体" w:hAnsi="宋体" w:cs="宋体" w:eastAsia="宋体" w:hint="default"/>
                            <w:spacing w:val="-91"/>
                            <w:sz w:val="21"/>
                            <w:szCs w:val="21"/>
                          </w:rPr>
                          <w:t> </w:t>
                        </w:r>
                        <w:r>
                          <w:rPr>
                            <w:rFonts w:ascii="宋体" w:hAnsi="宋体" w:cs="宋体" w:eastAsia="宋体" w:hint="default"/>
                            <w:sz w:val="21"/>
                            <w:szCs w:val="21"/>
                          </w:rPr>
                          <w:t>高级管理人员和高级技术人员 流失严重；</w:t>
                        </w:r>
                        <w:r>
                          <w:rPr>
                            <w:rFonts w:ascii="宋体" w:hAnsi="宋体" w:cs="宋体" w:eastAsia="宋体" w:hint="default"/>
                            <w:sz w:val="21"/>
                            <w:szCs w:val="21"/>
                          </w:rPr>
                          <w:t>d.</w:t>
                        </w:r>
                        <w:r>
                          <w:rPr>
                            <w:rFonts w:ascii="宋体" w:hAnsi="宋体" w:cs="宋体" w:eastAsia="宋体" w:hint="default"/>
                            <w:sz w:val="21"/>
                            <w:szCs w:val="21"/>
                          </w:rPr>
                          <w:t>媒体频现负面新 </w:t>
                        </w:r>
                        <w:r>
                          <w:rPr>
                            <w:rFonts w:ascii="宋体" w:hAnsi="宋体" w:cs="宋体" w:eastAsia="宋体" w:hint="default"/>
                            <w:spacing w:val="-7"/>
                            <w:sz w:val="21"/>
                            <w:szCs w:val="21"/>
                          </w:rPr>
                          <w:t>闻，涉及面广且负面影响一直未</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pacing w:val="-7"/>
                            <w:sz w:val="21"/>
                            <w:szCs w:val="21"/>
                          </w:rPr>
                          <w:t>能消除；</w:t>
                        </w:r>
                        <w:r>
                          <w:rPr>
                            <w:rFonts w:ascii="宋体" w:hAnsi="宋体" w:cs="宋体" w:eastAsia="宋体" w:hint="default"/>
                            <w:spacing w:val="-7"/>
                            <w:sz w:val="21"/>
                            <w:szCs w:val="21"/>
                          </w:rPr>
                          <w:t>e.</w:t>
                        </w:r>
                        <w:r>
                          <w:rPr>
                            <w:rFonts w:ascii="宋体" w:hAnsi="宋体" w:cs="宋体" w:eastAsia="宋体" w:hint="default"/>
                            <w:spacing w:val="-7"/>
                            <w:sz w:val="21"/>
                            <w:szCs w:val="21"/>
                          </w:rPr>
                          <w:t>公司重要业务缺乏制</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pacing w:val="-7"/>
                            <w:sz w:val="21"/>
                            <w:szCs w:val="21"/>
                          </w:rPr>
                          <w:t>度控制或制度体系失效；</w:t>
                        </w:r>
                        <w:r>
                          <w:rPr>
                            <w:rFonts w:ascii="宋体" w:hAnsi="宋体" w:cs="宋体" w:eastAsia="宋体" w:hint="default"/>
                            <w:spacing w:val="-7"/>
                            <w:sz w:val="21"/>
                            <w:szCs w:val="21"/>
                          </w:rPr>
                          <w:t>f.</w:t>
                        </w:r>
                        <w:r>
                          <w:rPr>
                            <w:rFonts w:ascii="宋体" w:hAnsi="宋体" w:cs="宋体" w:eastAsia="宋体" w:hint="default"/>
                            <w:spacing w:val="-7"/>
                            <w:sz w:val="21"/>
                            <w:szCs w:val="21"/>
                          </w:rPr>
                          <w:t>公司</w:t>
                        </w:r>
                        <w:r>
                          <w:rPr>
                            <w:rFonts w:ascii="宋体" w:hAnsi="宋体" w:cs="宋体" w:eastAsia="宋体" w:hint="default"/>
                            <w:spacing w:val="-91"/>
                            <w:sz w:val="21"/>
                            <w:szCs w:val="21"/>
                          </w:rPr>
                          <w:t> </w:t>
                        </w:r>
                        <w:r>
                          <w:rPr>
                            <w:rFonts w:ascii="宋体" w:hAnsi="宋体" w:cs="宋体" w:eastAsia="宋体" w:hint="default"/>
                            <w:sz w:val="21"/>
                            <w:szCs w:val="21"/>
                          </w:rPr>
                          <w:t>内部控制重大或重要缺陷未得 </w:t>
                        </w:r>
                        <w:r>
                          <w:rPr>
                            <w:rFonts w:ascii="宋体" w:hAnsi="宋体" w:cs="宋体" w:eastAsia="宋体" w:hint="default"/>
                            <w:spacing w:val="-7"/>
                            <w:sz w:val="21"/>
                            <w:szCs w:val="21"/>
                          </w:rPr>
                          <w:t>到整改；</w:t>
                        </w:r>
                        <w:r>
                          <w:rPr>
                            <w:rFonts w:ascii="宋体" w:hAnsi="宋体" w:cs="宋体" w:eastAsia="宋体" w:hint="default"/>
                            <w:spacing w:val="-7"/>
                            <w:sz w:val="21"/>
                            <w:szCs w:val="21"/>
                          </w:rPr>
                          <w:t>g.</w:t>
                        </w:r>
                        <w:r>
                          <w:rPr>
                            <w:rFonts w:ascii="宋体" w:hAnsi="宋体" w:cs="宋体" w:eastAsia="宋体" w:hint="default"/>
                            <w:spacing w:val="-7"/>
                            <w:sz w:val="21"/>
                            <w:szCs w:val="21"/>
                          </w:rPr>
                          <w:t>公司遭受证监会处罚</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pacing w:val="-7"/>
                            <w:sz w:val="21"/>
                            <w:szCs w:val="21"/>
                          </w:rPr>
                          <w:t>或证券交易所警告。②其他情形</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按照影响程度分别确定重要缺 陷或一般缺陷。</w:t>
                        </w:r>
                      </w:p>
                    </w:tc>
                  </w:tr>
                  <w:tr>
                    <w:trPr>
                      <w:trHeight w:val="392" w:hRule="exact"/>
                    </w:trPr>
                    <w:tc>
                      <w:tcPr>
                        <w:tcW w:w="140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6"/>
                          <w:ind w:right="12"/>
                          <w:jc w:val="center"/>
                          <w:rPr>
                            <w:rFonts w:ascii="宋体" w:hAnsi="宋体" w:cs="宋体" w:eastAsia="宋体" w:hint="default"/>
                            <w:sz w:val="21"/>
                            <w:szCs w:val="21"/>
                          </w:rPr>
                        </w:pPr>
                        <w:r>
                          <w:rPr>
                            <w:rFonts w:ascii="宋体" w:hAnsi="宋体" w:cs="宋体" w:eastAsia="宋体" w:hint="default"/>
                            <w:sz w:val="21"/>
                            <w:szCs w:val="21"/>
                          </w:rPr>
                          <w:t>定性标准</w:t>
                        </w:r>
                      </w:p>
                    </w:tc>
                    <w:tc>
                      <w:tcPr>
                        <w:tcW w:w="5257" w:type="dxa"/>
                        <w:gridSpan w:val="2"/>
                        <w:vMerge/>
                        <w:tcBorders>
                          <w:left w:val="single" w:sz="9" w:space="0" w:color="D2D2D2"/>
                          <w:right w:val="single" w:sz="13" w:space="0" w:color="FFFFFF"/>
                        </w:tcBorders>
                      </w:tcPr>
                      <w:p>
                        <w:pPr/>
                      </w:p>
                    </w:tc>
                    <w:tc>
                      <w:tcPr>
                        <w:tcW w:w="2893" w:type="dxa"/>
                        <w:vMerge/>
                        <w:tcBorders>
                          <w:left w:val="single" w:sz="13" w:space="0" w:color="FFFFFF"/>
                          <w:right w:val="single" w:sz="4" w:space="0" w:color="000000"/>
                        </w:tcBorders>
                      </w:tcPr>
                      <w:p>
                        <w:pPr/>
                      </w:p>
                    </w:tc>
                  </w:tr>
                  <w:tr>
                    <w:trPr>
                      <w:trHeight w:val="2033" w:hRule="exact"/>
                    </w:trPr>
                    <w:tc>
                      <w:tcPr>
                        <w:tcW w:w="1407" w:type="dxa"/>
                        <w:tcBorders>
                          <w:top w:val="nil" w:sz="6" w:space="0" w:color="auto"/>
                          <w:left w:val="single" w:sz="4" w:space="0" w:color="000000"/>
                          <w:bottom w:val="single" w:sz="4" w:space="0" w:color="000000"/>
                          <w:right w:val="single" w:sz="4" w:space="0" w:color="000000"/>
                        </w:tcBorders>
                        <w:shd w:val="clear" w:color="auto" w:fill="D2D2D2"/>
                      </w:tcPr>
                      <w:p>
                        <w:pPr/>
                      </w:p>
                    </w:tc>
                    <w:tc>
                      <w:tcPr>
                        <w:tcW w:w="5257" w:type="dxa"/>
                        <w:gridSpan w:val="2"/>
                        <w:vMerge/>
                        <w:tcBorders>
                          <w:left w:val="single" w:sz="9" w:space="0" w:color="D2D2D2"/>
                          <w:bottom w:val="single" w:sz="4" w:space="0" w:color="000000"/>
                          <w:right w:val="single" w:sz="13" w:space="0" w:color="FFFFFF"/>
                        </w:tcBorders>
                      </w:tcPr>
                      <w:p>
                        <w:pPr/>
                      </w:p>
                    </w:tc>
                    <w:tc>
                      <w:tcPr>
                        <w:tcW w:w="2893" w:type="dxa"/>
                        <w:vMerge/>
                        <w:tcBorders>
                          <w:left w:val="single" w:sz="13" w:space="0" w:color="FFFFFF"/>
                          <w:bottom w:val="single" w:sz="4" w:space="0" w:color="000000"/>
                          <w:right w:val="single" w:sz="4" w:space="0" w:color="000000"/>
                        </w:tcBorders>
                      </w:tcPr>
                      <w:p>
                        <w:pPr/>
                      </w:p>
                    </w:tc>
                  </w:tr>
                  <w:tr>
                    <w:trPr>
                      <w:trHeight w:val="453" w:hRule="exact"/>
                    </w:trPr>
                    <w:tc>
                      <w:tcPr>
                        <w:tcW w:w="1407" w:type="dxa"/>
                        <w:tcBorders>
                          <w:top w:val="single" w:sz="4" w:space="0" w:color="000000"/>
                          <w:left w:val="single" w:sz="4" w:space="0" w:color="000000"/>
                          <w:bottom w:val="nil" w:sz="6" w:space="0" w:color="auto"/>
                          <w:right w:val="single" w:sz="4" w:space="0" w:color="000000"/>
                        </w:tcBorders>
                        <w:shd w:val="clear" w:color="auto" w:fill="D2D2D2"/>
                      </w:tcPr>
                      <w:p>
                        <w:pPr/>
                      </w:p>
                    </w:tc>
                    <w:tc>
                      <w:tcPr>
                        <w:tcW w:w="5257" w:type="dxa"/>
                        <w:gridSpan w:val="2"/>
                        <w:vMerge w:val="restart"/>
                        <w:tcBorders>
                          <w:top w:val="single" w:sz="4" w:space="0" w:color="000000"/>
                          <w:left w:val="single" w:sz="9" w:space="0" w:color="D2D2D2"/>
                          <w:right w:val="single" w:sz="13" w:space="0" w:color="FFFFFF"/>
                        </w:tcBorders>
                      </w:tcPr>
                      <w:p>
                        <w:pPr>
                          <w:pStyle w:val="TableParagraph"/>
                          <w:spacing w:line="271" w:lineRule="auto" w:before="26"/>
                          <w:ind w:left="16" w:right="-33"/>
                          <w:jc w:val="left"/>
                          <w:rPr>
                            <w:rFonts w:ascii="宋体" w:hAnsi="宋体" w:cs="宋体" w:eastAsia="宋体" w:hint="default"/>
                            <w:sz w:val="21"/>
                            <w:szCs w:val="21"/>
                          </w:rPr>
                        </w:pPr>
                        <w:r>
                          <w:rPr>
                            <w:rFonts w:ascii="宋体" w:hAnsi="宋体" w:cs="宋体" w:eastAsia="宋体" w:hint="default"/>
                            <w:sz w:val="21"/>
                            <w:szCs w:val="21"/>
                          </w:rPr>
                          <w:t>①一般缺陷：失控金额＜资产总额的</w:t>
                        </w:r>
                        <w:r>
                          <w:rPr>
                            <w:rFonts w:ascii="宋体" w:hAnsi="宋体" w:cs="宋体" w:eastAsia="宋体" w:hint="default"/>
                            <w:spacing w:val="-53"/>
                            <w:sz w:val="21"/>
                            <w:szCs w:val="21"/>
                          </w:rPr>
                          <w:t> </w:t>
                        </w:r>
                        <w:r>
                          <w:rPr>
                            <w:rFonts w:ascii="宋体" w:hAnsi="宋体" w:cs="宋体" w:eastAsia="宋体" w:hint="default"/>
                            <w:sz w:val="21"/>
                            <w:szCs w:val="21"/>
                          </w:rPr>
                          <w:t>0.1%</w:t>
                        </w:r>
                        <w:r>
                          <w:rPr>
                            <w:rFonts w:ascii="宋体" w:hAnsi="宋体" w:cs="宋体" w:eastAsia="宋体" w:hint="default"/>
                            <w:sz w:val="21"/>
                            <w:szCs w:val="21"/>
                          </w:rPr>
                          <w:t>；失控金额＜ 主营业务收入总额的</w:t>
                        </w:r>
                        <w:r>
                          <w:rPr>
                            <w:rFonts w:ascii="宋体" w:hAnsi="宋体" w:cs="宋体" w:eastAsia="宋体" w:hint="default"/>
                            <w:spacing w:val="-52"/>
                            <w:sz w:val="21"/>
                            <w:szCs w:val="21"/>
                          </w:rPr>
                          <w:t> </w:t>
                        </w:r>
                        <w:r>
                          <w:rPr>
                            <w:rFonts w:ascii="宋体" w:hAnsi="宋体" w:cs="宋体" w:eastAsia="宋体" w:hint="default"/>
                            <w:spacing w:val="-4"/>
                            <w:sz w:val="21"/>
                            <w:szCs w:val="21"/>
                          </w:rPr>
                          <w:t>0.1%</w:t>
                        </w:r>
                        <w:r>
                          <w:rPr>
                            <w:rFonts w:ascii="宋体" w:hAnsi="宋体" w:cs="宋体" w:eastAsia="宋体" w:hint="default"/>
                            <w:spacing w:val="-4"/>
                            <w:sz w:val="21"/>
                            <w:szCs w:val="21"/>
                          </w:rPr>
                          <w:t>；失控金额＜净利润总额的</w:t>
                        </w:r>
                        <w:r>
                          <w:rPr>
                            <w:rFonts w:ascii="宋体" w:hAnsi="宋体" w:cs="宋体" w:eastAsia="宋体" w:hint="default"/>
                            <w:spacing w:val="-52"/>
                            <w:sz w:val="21"/>
                            <w:szCs w:val="21"/>
                          </w:rPr>
                          <w:t> </w:t>
                        </w:r>
                        <w:r>
                          <w:rPr>
                            <w:rFonts w:ascii="宋体" w:hAnsi="宋体" w:cs="宋体" w:eastAsia="宋体" w:hint="default"/>
                            <w:spacing w:val="-17"/>
                            <w:sz w:val="21"/>
                            <w:szCs w:val="21"/>
                          </w:rPr>
                          <w:t>2%</w:t>
                        </w:r>
                        <w:r>
                          <w:rPr>
                            <w:rFonts w:ascii="宋体" w:hAnsi="宋体" w:cs="宋体" w:eastAsia="宋体" w:hint="default"/>
                            <w:spacing w:val="-17"/>
                            <w:sz w:val="21"/>
                            <w:szCs w:val="21"/>
                          </w:rPr>
                          <w:t>。</w:t>
                        </w:r>
                        <w:r>
                          <w:rPr>
                            <w:rFonts w:ascii="宋体" w:hAnsi="宋体" w:cs="宋体" w:eastAsia="宋体" w:hint="default"/>
                            <w:sz w:val="21"/>
                            <w:szCs w:val="21"/>
                          </w:rPr>
                        </w:r>
                      </w:p>
                      <w:p>
                        <w:pPr>
                          <w:pStyle w:val="TableParagraph"/>
                          <w:spacing w:line="273" w:lineRule="auto" w:before="10"/>
                          <w:ind w:left="16" w:right="22"/>
                          <w:jc w:val="left"/>
                          <w:rPr>
                            <w:rFonts w:ascii="宋体" w:hAnsi="宋体" w:cs="宋体" w:eastAsia="宋体" w:hint="default"/>
                            <w:sz w:val="21"/>
                            <w:szCs w:val="21"/>
                          </w:rPr>
                        </w:pPr>
                        <w:r>
                          <w:rPr>
                            <w:rFonts w:ascii="宋体" w:hAnsi="宋体" w:cs="宋体" w:eastAsia="宋体" w:hint="default"/>
                            <w:sz w:val="21"/>
                            <w:szCs w:val="21"/>
                          </w:rPr>
                          <w:t>②重要缺陷：资产总额的</w:t>
                        </w:r>
                        <w:r>
                          <w:rPr>
                            <w:rFonts w:ascii="宋体" w:hAnsi="宋体" w:cs="宋体" w:eastAsia="宋体" w:hint="default"/>
                            <w:spacing w:val="-53"/>
                            <w:sz w:val="21"/>
                            <w:szCs w:val="21"/>
                          </w:rPr>
                          <w:t> </w:t>
                        </w:r>
                        <w:r>
                          <w:rPr>
                            <w:rFonts w:ascii="宋体" w:hAnsi="宋体" w:cs="宋体" w:eastAsia="宋体" w:hint="default"/>
                            <w:sz w:val="21"/>
                            <w:szCs w:val="21"/>
                          </w:rPr>
                          <w:t>0.1</w:t>
                        </w:r>
                        <w:r>
                          <w:rPr>
                            <w:rFonts w:ascii="宋体" w:hAnsi="宋体" w:cs="宋体" w:eastAsia="宋体" w:hint="default"/>
                            <w:sz w:val="21"/>
                            <w:szCs w:val="21"/>
                          </w:rPr>
                          <w:t>≤失控金额＜资产总额的 </w:t>
                        </w:r>
                        <w:r>
                          <w:rPr>
                            <w:rFonts w:ascii="宋体" w:hAnsi="宋体" w:cs="宋体" w:eastAsia="宋体" w:hint="default"/>
                            <w:sz w:val="21"/>
                            <w:szCs w:val="21"/>
                          </w:rPr>
                          <w:t>0.5%</w:t>
                        </w:r>
                        <w:r>
                          <w:rPr>
                            <w:rFonts w:ascii="宋体" w:hAnsi="宋体" w:cs="宋体" w:eastAsia="宋体" w:hint="default"/>
                            <w:sz w:val="21"/>
                            <w:szCs w:val="21"/>
                          </w:rPr>
                          <w:t>；主营业务收入总额的</w:t>
                        </w:r>
                        <w:r>
                          <w:rPr>
                            <w:rFonts w:ascii="宋体" w:hAnsi="宋体" w:cs="宋体" w:eastAsia="宋体" w:hint="default"/>
                            <w:spacing w:val="-64"/>
                            <w:sz w:val="21"/>
                            <w:szCs w:val="21"/>
                          </w:rPr>
                          <w:t> </w:t>
                        </w:r>
                        <w:r>
                          <w:rPr>
                            <w:rFonts w:ascii="宋体" w:hAnsi="宋体" w:cs="宋体" w:eastAsia="宋体" w:hint="default"/>
                            <w:sz w:val="21"/>
                            <w:szCs w:val="21"/>
                          </w:rPr>
                          <w:t>0.1</w:t>
                        </w:r>
                        <w:r>
                          <w:rPr>
                            <w:rFonts w:ascii="宋体" w:hAnsi="宋体" w:cs="宋体" w:eastAsia="宋体" w:hint="default"/>
                            <w:sz w:val="21"/>
                            <w:szCs w:val="21"/>
                          </w:rPr>
                          <w:t>≤失控金额＜主营业务收</w:t>
                        </w:r>
                      </w:p>
                    </w:tc>
                    <w:tc>
                      <w:tcPr>
                        <w:tcW w:w="2893" w:type="dxa"/>
                        <w:vMerge w:val="restart"/>
                        <w:tcBorders>
                          <w:top w:val="single" w:sz="4" w:space="0" w:color="000000"/>
                          <w:left w:val="single" w:sz="13" w:space="0" w:color="FFFFFF"/>
                          <w:right w:val="single" w:sz="4" w:space="0" w:color="000000"/>
                        </w:tcBorders>
                      </w:tcPr>
                      <w:p>
                        <w:pPr>
                          <w:pStyle w:val="TableParagraph"/>
                          <w:spacing w:line="271" w:lineRule="auto" w:before="26"/>
                          <w:ind w:right="21"/>
                          <w:jc w:val="both"/>
                          <w:rPr>
                            <w:rFonts w:ascii="宋体" w:hAnsi="宋体" w:cs="宋体" w:eastAsia="宋体" w:hint="default"/>
                            <w:sz w:val="21"/>
                            <w:szCs w:val="21"/>
                          </w:rPr>
                        </w:pPr>
                        <w:r>
                          <w:rPr>
                            <w:rFonts w:ascii="宋体" w:hAnsi="宋体" w:cs="宋体" w:eastAsia="宋体" w:hint="default"/>
                            <w:spacing w:val="-7"/>
                            <w:sz w:val="21"/>
                            <w:szCs w:val="21"/>
                          </w:rPr>
                          <w:t>①一般缺陷：直接财产损失的绝</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对金额＜净利润总额的</w:t>
                        </w:r>
                        <w:r>
                          <w:rPr>
                            <w:rFonts w:ascii="宋体" w:hAnsi="宋体" w:cs="宋体" w:eastAsia="宋体" w:hint="default"/>
                            <w:spacing w:val="-53"/>
                            <w:sz w:val="21"/>
                            <w:szCs w:val="21"/>
                          </w:rPr>
                          <w:t> </w:t>
                        </w:r>
                        <w:r>
                          <w:rPr>
                            <w:rFonts w:ascii="宋体" w:hAnsi="宋体" w:cs="宋体" w:eastAsia="宋体" w:hint="default"/>
                            <w:sz w:val="21"/>
                            <w:szCs w:val="21"/>
                          </w:rPr>
                          <w:t>2%</w:t>
                        </w:r>
                        <w:r>
                          <w:rPr>
                            <w:rFonts w:ascii="宋体" w:hAnsi="宋体" w:cs="宋体" w:eastAsia="宋体" w:hint="default"/>
                            <w:sz w:val="21"/>
                            <w:szCs w:val="21"/>
                          </w:rPr>
                          <w:t>；② 重要缺陷：净利润总额的</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z w:val="21"/>
                            <w:szCs w:val="21"/>
                          </w:rPr>
                          <w:t>≤ 直接财产损失的绝对金额＜净</w:t>
                        </w:r>
                      </w:p>
                    </w:tc>
                  </w:tr>
                  <w:tr>
                    <w:trPr>
                      <w:trHeight w:val="392" w:hRule="exact"/>
                    </w:trPr>
                    <w:tc>
                      <w:tcPr>
                        <w:tcW w:w="140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6"/>
                          <w:ind w:right="12"/>
                          <w:jc w:val="center"/>
                          <w:rPr>
                            <w:rFonts w:ascii="宋体" w:hAnsi="宋体" w:cs="宋体" w:eastAsia="宋体" w:hint="default"/>
                            <w:sz w:val="21"/>
                            <w:szCs w:val="21"/>
                          </w:rPr>
                        </w:pPr>
                        <w:r>
                          <w:rPr>
                            <w:rFonts w:ascii="宋体" w:hAnsi="宋体" w:cs="宋体" w:eastAsia="宋体" w:hint="default"/>
                            <w:sz w:val="21"/>
                            <w:szCs w:val="21"/>
                          </w:rPr>
                          <w:t>定量标准</w:t>
                        </w:r>
                      </w:p>
                    </w:tc>
                    <w:tc>
                      <w:tcPr>
                        <w:tcW w:w="5257" w:type="dxa"/>
                        <w:gridSpan w:val="2"/>
                        <w:vMerge/>
                        <w:tcBorders>
                          <w:left w:val="single" w:sz="9" w:space="0" w:color="D2D2D2"/>
                          <w:right w:val="single" w:sz="13" w:space="0" w:color="FFFFFF"/>
                        </w:tcBorders>
                      </w:tcPr>
                      <w:p>
                        <w:pPr/>
                      </w:p>
                    </w:tc>
                    <w:tc>
                      <w:tcPr>
                        <w:tcW w:w="2893" w:type="dxa"/>
                        <w:vMerge/>
                        <w:tcBorders>
                          <w:left w:val="single" w:sz="13" w:space="0" w:color="FFFFFF"/>
                          <w:right w:val="single" w:sz="4" w:space="0" w:color="000000"/>
                        </w:tcBorders>
                      </w:tcPr>
                      <w:p>
                        <w:pPr/>
                      </w:p>
                    </w:tc>
                  </w:tr>
                  <w:tr>
                    <w:trPr>
                      <w:trHeight w:val="454" w:hRule="exact"/>
                    </w:trPr>
                    <w:tc>
                      <w:tcPr>
                        <w:tcW w:w="1407" w:type="dxa"/>
                        <w:tcBorders>
                          <w:top w:val="nil" w:sz="6" w:space="0" w:color="auto"/>
                          <w:left w:val="single" w:sz="4" w:space="0" w:color="000000"/>
                          <w:bottom w:val="single" w:sz="4" w:space="0" w:color="000000"/>
                          <w:right w:val="single" w:sz="4" w:space="0" w:color="000000"/>
                        </w:tcBorders>
                        <w:shd w:val="clear" w:color="auto" w:fill="D2D2D2"/>
                      </w:tcPr>
                      <w:p>
                        <w:pPr/>
                      </w:p>
                    </w:tc>
                    <w:tc>
                      <w:tcPr>
                        <w:tcW w:w="5257" w:type="dxa"/>
                        <w:gridSpan w:val="2"/>
                        <w:vMerge/>
                        <w:tcBorders>
                          <w:left w:val="single" w:sz="9" w:space="0" w:color="D2D2D2"/>
                          <w:bottom w:val="single" w:sz="4" w:space="0" w:color="000000"/>
                          <w:right w:val="single" w:sz="13" w:space="0" w:color="FFFFFF"/>
                        </w:tcBorders>
                      </w:tcPr>
                      <w:p>
                        <w:pPr/>
                      </w:p>
                    </w:tc>
                    <w:tc>
                      <w:tcPr>
                        <w:tcW w:w="2893" w:type="dxa"/>
                        <w:vMerge/>
                        <w:tcBorders>
                          <w:left w:val="single" w:sz="13" w:space="0" w:color="FFFFFF"/>
                          <w:bottom w:val="single" w:sz="4" w:space="0" w:color="000000"/>
                          <w:right w:val="single" w:sz="4" w:space="0" w:color="000000"/>
                        </w:tcBorders>
                      </w:tcPr>
                      <w:p>
                        <w:pPr/>
                      </w:p>
                    </w:tc>
                  </w:tr>
                </w:tbl>
                <w:p>
                  <w:pPr/>
                </w:p>
              </w:txbxContent>
            </v:textbox>
            <w10:wrap type="none"/>
          </v:shape>
        </w:pict>
      </w:r>
      <w:r>
        <w:rPr>
          <w:rFonts w:ascii="宋体" w:hAnsi="宋体" w:cs="宋体" w:eastAsia="宋体" w:hint="default"/>
          <w:sz w:val="24"/>
          <w:szCs w:val="24"/>
        </w:rPr>
        <w:t>□ 是 √ 否 </w:t>
      </w:r>
      <w:bookmarkStart w:name="2、内控自我评价报告" w:id="169"/>
      <w:bookmarkEnd w:id="169"/>
      <w:r>
        <w:rPr>
          <w:rFonts w:ascii="宋体" w:hAnsi="宋体" w:cs="宋体" w:eastAsia="宋体" w:hint="default"/>
          <w:sz w:val="24"/>
          <w:szCs w:val="24"/>
        </w:rPr>
      </w:r>
      <w:r>
        <w:rPr>
          <w:rFonts w:ascii="宋体" w:hAnsi="宋体" w:cs="宋体" w:eastAsia="宋体" w:hint="default"/>
          <w:b/>
          <w:bCs/>
          <w:sz w:val="24"/>
          <w:szCs w:val="24"/>
        </w:rPr>
        <w:t>2</w:t>
      </w:r>
      <w:r>
        <w:rPr>
          <w:rFonts w:ascii="宋体" w:hAnsi="宋体" w:cs="宋体" w:eastAsia="宋体" w:hint="default"/>
          <w:b/>
          <w:bCs/>
          <w:sz w:val="24"/>
          <w:szCs w:val="24"/>
        </w:rPr>
        <w:t>、内控自我评价报告</w:t>
      </w:r>
      <w:r>
        <w:rPr>
          <w:rFonts w:ascii="宋体" w:hAnsi="宋体" w:cs="宋体" w:eastAsia="宋体" w:hint="default"/>
          <w:sz w:val="24"/>
          <w:szCs w:val="24"/>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0"/>
          <w:szCs w:val="20"/>
        </w:rPr>
      </w:pPr>
    </w:p>
    <w:p>
      <w:pPr>
        <w:spacing w:line="312" w:lineRule="exact"/>
        <w:ind w:left="6846" w:right="0" w:firstLine="0"/>
        <w:rPr>
          <w:rFonts w:ascii="宋体" w:hAnsi="宋体" w:cs="宋体" w:eastAsia="宋体" w:hint="default"/>
          <w:sz w:val="20"/>
          <w:szCs w:val="20"/>
        </w:rPr>
      </w:pPr>
      <w:r>
        <w:rPr>
          <w:rFonts w:ascii="宋体" w:hAnsi="宋体" w:cs="宋体" w:eastAsia="宋体" w:hint="default"/>
          <w:position w:val="-5"/>
          <w:sz w:val="20"/>
          <w:szCs w:val="20"/>
        </w:rPr>
        <w:pict>
          <v:group style="width:142.5pt;height:15.6pt;mso-position-horizontal-relative:char;mso-position-vertical-relative:line" coordorigin="0,0" coordsize="2850,312">
            <v:group style="position:absolute;left:0;top:0;width:2850;height:312" coordorigin="0,0" coordsize="2850,312">
              <v:shape style="position:absolute;left:0;top:0;width:2850;height:312" coordorigin="0,0" coordsize="2850,312" path="m0,312l2849,312,2849,0,0,0,0,312xe" filled="true" fillcolor="#ffffff" stroked="false">
                <v:path arrowok="t"/>
                <v:fill type="solid"/>
              </v:shape>
            </v:group>
          </v:group>
        </w:pict>
      </w:r>
      <w:r>
        <w:rPr>
          <w:rFonts w:ascii="宋体" w:hAnsi="宋体" w:cs="宋体" w:eastAsia="宋体" w:hint="default"/>
          <w:position w:val="-5"/>
          <w:sz w:val="20"/>
          <w:szCs w:val="20"/>
        </w:rPr>
      </w:r>
    </w:p>
    <w:p>
      <w:pPr>
        <w:spacing w:after="0" w:line="312" w:lineRule="exact"/>
        <w:rPr>
          <w:rFonts w:ascii="宋体" w:hAnsi="宋体" w:cs="宋体" w:eastAsia="宋体" w:hint="default"/>
          <w:sz w:val="20"/>
          <w:szCs w:val="20"/>
        </w:rPr>
        <w:sectPr>
          <w:pgSz w:w="11910" w:h="16840"/>
          <w:pgMar w:header="747"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1418"/>
        <w:gridCol w:w="5246"/>
        <w:gridCol w:w="2904"/>
      </w:tblGrid>
      <w:tr>
        <w:trPr>
          <w:trHeight w:val="1298"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24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3" w:right="0"/>
              <w:jc w:val="both"/>
              <w:rPr>
                <w:rFonts w:ascii="宋体" w:hAnsi="宋体" w:cs="宋体" w:eastAsia="宋体" w:hint="default"/>
                <w:sz w:val="21"/>
                <w:szCs w:val="21"/>
              </w:rPr>
            </w:pPr>
            <w:r>
              <w:rPr>
                <w:rFonts w:ascii="宋体" w:hAnsi="宋体" w:cs="宋体" w:eastAsia="宋体" w:hint="default"/>
                <w:sz w:val="21"/>
                <w:szCs w:val="21"/>
              </w:rPr>
              <w:t>入总额的</w:t>
            </w:r>
            <w:r>
              <w:rPr>
                <w:rFonts w:ascii="宋体" w:hAnsi="宋体" w:cs="宋体" w:eastAsia="宋体" w:hint="default"/>
                <w:spacing w:val="-55"/>
                <w:sz w:val="21"/>
                <w:szCs w:val="21"/>
              </w:rPr>
              <w:t> </w:t>
            </w:r>
            <w:r>
              <w:rPr>
                <w:rFonts w:ascii="宋体" w:hAnsi="宋体" w:cs="宋体" w:eastAsia="宋体" w:hint="default"/>
                <w:sz w:val="21"/>
                <w:szCs w:val="21"/>
              </w:rPr>
              <w:t>0.5%</w:t>
            </w:r>
            <w:r>
              <w:rPr>
                <w:rFonts w:ascii="宋体" w:hAnsi="宋体" w:cs="宋体" w:eastAsia="宋体" w:hint="default"/>
                <w:sz w:val="21"/>
                <w:szCs w:val="21"/>
              </w:rPr>
              <w:t>；净利润总额的</w:t>
            </w:r>
            <w:r>
              <w:rPr>
                <w:rFonts w:ascii="宋体" w:hAnsi="宋体" w:cs="宋体" w:eastAsia="宋体" w:hint="default"/>
                <w:spacing w:val="-54"/>
                <w:sz w:val="21"/>
                <w:szCs w:val="21"/>
              </w:rPr>
              <w:t> </w:t>
            </w:r>
            <w:r>
              <w:rPr>
                <w:rFonts w:ascii="宋体" w:hAnsi="宋体" w:cs="宋体" w:eastAsia="宋体" w:hint="default"/>
                <w:sz w:val="21"/>
                <w:szCs w:val="21"/>
              </w:rPr>
              <w:t>2%</w:t>
            </w:r>
            <w:r>
              <w:rPr>
                <w:rFonts w:ascii="宋体" w:hAnsi="宋体" w:cs="宋体" w:eastAsia="宋体" w:hint="default"/>
                <w:sz w:val="21"/>
                <w:szCs w:val="21"/>
              </w:rPr>
              <w:t>≤失控金额＜净利润总</w:t>
            </w:r>
          </w:p>
          <w:p>
            <w:pPr>
              <w:pStyle w:val="TableParagraph"/>
              <w:spacing w:line="273" w:lineRule="auto" w:before="37"/>
              <w:ind w:left="23" w:right="65"/>
              <w:jc w:val="both"/>
              <w:rPr>
                <w:rFonts w:ascii="宋体" w:hAnsi="宋体" w:cs="宋体" w:eastAsia="宋体" w:hint="default"/>
                <w:sz w:val="21"/>
                <w:szCs w:val="21"/>
              </w:rPr>
            </w:pPr>
            <w:r>
              <w:rPr>
                <w:rFonts w:ascii="宋体" w:hAnsi="宋体" w:cs="宋体" w:eastAsia="宋体" w:hint="default"/>
                <w:sz w:val="21"/>
                <w:szCs w:val="21"/>
              </w:rPr>
              <w:t>额的</w:t>
            </w:r>
            <w:r>
              <w:rPr>
                <w:rFonts w:ascii="宋体" w:hAnsi="宋体" w:cs="宋体" w:eastAsia="宋体" w:hint="default"/>
                <w:spacing w:val="-54"/>
                <w:sz w:val="21"/>
                <w:szCs w:val="21"/>
              </w:rPr>
              <w:t> </w:t>
            </w:r>
            <w:r>
              <w:rPr>
                <w:rFonts w:ascii="宋体" w:hAnsi="宋体" w:cs="宋体" w:eastAsia="宋体" w:hint="default"/>
                <w:sz w:val="21"/>
                <w:szCs w:val="21"/>
              </w:rPr>
              <w:t>4%</w:t>
            </w:r>
            <w:r>
              <w:rPr>
                <w:rFonts w:ascii="宋体" w:hAnsi="宋体" w:cs="宋体" w:eastAsia="宋体" w:hint="default"/>
                <w:sz w:val="21"/>
                <w:szCs w:val="21"/>
              </w:rPr>
              <w:t>。③重大缺陷：失控金额≥资产总额的</w:t>
            </w:r>
            <w:r>
              <w:rPr>
                <w:rFonts w:ascii="宋体" w:hAnsi="宋体" w:cs="宋体" w:eastAsia="宋体" w:hint="default"/>
                <w:spacing w:val="-54"/>
                <w:sz w:val="21"/>
                <w:szCs w:val="21"/>
              </w:rPr>
              <w:t> </w:t>
            </w:r>
            <w:r>
              <w:rPr>
                <w:rFonts w:ascii="宋体" w:hAnsi="宋体" w:cs="宋体" w:eastAsia="宋体" w:hint="default"/>
                <w:sz w:val="21"/>
                <w:szCs w:val="21"/>
              </w:rPr>
              <w:t>0.5%</w:t>
            </w:r>
            <w:r>
              <w:rPr>
                <w:rFonts w:ascii="宋体" w:hAnsi="宋体" w:cs="宋体" w:eastAsia="宋体" w:hint="default"/>
                <w:sz w:val="21"/>
                <w:szCs w:val="21"/>
              </w:rPr>
              <w:t>；失 控金额≥主营业务收入总额的</w:t>
            </w:r>
            <w:r>
              <w:rPr>
                <w:rFonts w:ascii="宋体" w:hAnsi="宋体" w:cs="宋体" w:eastAsia="宋体" w:hint="default"/>
                <w:spacing w:val="-52"/>
                <w:sz w:val="21"/>
                <w:szCs w:val="21"/>
              </w:rPr>
              <w:t> </w:t>
            </w:r>
            <w:r>
              <w:rPr>
                <w:rFonts w:ascii="宋体" w:hAnsi="宋体" w:cs="宋体" w:eastAsia="宋体" w:hint="default"/>
                <w:sz w:val="21"/>
                <w:szCs w:val="21"/>
              </w:rPr>
              <w:t>0.5%</w:t>
            </w:r>
            <w:r>
              <w:rPr>
                <w:rFonts w:ascii="宋体" w:hAnsi="宋体" w:cs="宋体" w:eastAsia="宋体" w:hint="default"/>
                <w:sz w:val="21"/>
                <w:szCs w:val="21"/>
              </w:rPr>
              <w:t>；失控金额≥净利润 总额的</w:t>
            </w:r>
            <w:r>
              <w:rPr>
                <w:rFonts w:ascii="宋体" w:hAnsi="宋体" w:cs="宋体" w:eastAsia="宋体" w:hint="default"/>
                <w:spacing w:val="-53"/>
                <w:sz w:val="21"/>
                <w:szCs w:val="21"/>
              </w:rPr>
              <w:t> </w:t>
            </w:r>
            <w:r>
              <w:rPr>
                <w:rFonts w:ascii="宋体" w:hAnsi="宋体" w:cs="宋体" w:eastAsia="宋体" w:hint="default"/>
                <w:sz w:val="21"/>
                <w:szCs w:val="21"/>
              </w:rPr>
              <w:t>4%</w:t>
            </w:r>
            <w:r>
              <w:rPr>
                <w:rFonts w:ascii="宋体" w:hAnsi="宋体" w:cs="宋体" w:eastAsia="宋体" w:hint="default"/>
                <w:sz w:val="21"/>
                <w:szCs w:val="21"/>
              </w:rPr>
              <w:t>。</w:t>
            </w:r>
          </w:p>
        </w:tc>
        <w:tc>
          <w:tcPr>
            <w:tcW w:w="290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pacing w:val="-7"/>
                <w:sz w:val="21"/>
                <w:szCs w:val="21"/>
              </w:rPr>
              <w:t>利润；③重大缺陷：直接财产损</w:t>
            </w:r>
          </w:p>
          <w:p>
            <w:pPr>
              <w:pStyle w:val="TableParagraph"/>
              <w:spacing w:line="273" w:lineRule="auto" w:before="37"/>
              <w:ind w:left="22" w:right="139"/>
              <w:jc w:val="left"/>
              <w:rPr>
                <w:rFonts w:ascii="宋体" w:hAnsi="宋体" w:cs="宋体" w:eastAsia="宋体" w:hint="default"/>
                <w:sz w:val="21"/>
                <w:szCs w:val="21"/>
              </w:rPr>
            </w:pPr>
            <w:r>
              <w:rPr>
                <w:rFonts w:ascii="宋体" w:hAnsi="宋体" w:cs="宋体" w:eastAsia="宋体" w:hint="default"/>
                <w:sz w:val="21"/>
                <w:szCs w:val="21"/>
              </w:rPr>
              <w:t>失的绝对金额≥净利润总额的 </w:t>
            </w:r>
            <w:r>
              <w:rPr>
                <w:rFonts w:ascii="宋体" w:hAnsi="宋体" w:cs="宋体" w:eastAsia="宋体" w:hint="default"/>
                <w:sz w:val="21"/>
                <w:szCs w:val="21"/>
              </w:rPr>
              <w:t>4%</w:t>
            </w:r>
            <w:r>
              <w:rPr>
                <w:rFonts w:ascii="宋体" w:hAnsi="宋体" w:cs="宋体" w:eastAsia="宋体" w:hint="default"/>
                <w:sz w:val="21"/>
                <w:szCs w:val="21"/>
              </w:rPr>
              <w:t>。</w:t>
            </w:r>
          </w:p>
        </w:tc>
      </w:tr>
      <w:tr>
        <w:trPr>
          <w:trHeight w:val="402" w:hRule="exact"/>
        </w:trPr>
        <w:tc>
          <w:tcPr>
            <w:tcW w:w="666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财务报告重大缺陷数量（个）</w:t>
            </w:r>
          </w:p>
        </w:tc>
        <w:tc>
          <w:tcPr>
            <w:tcW w:w="290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0</w:t>
            </w:r>
          </w:p>
        </w:tc>
      </w:tr>
      <w:tr>
        <w:trPr>
          <w:trHeight w:val="402" w:hRule="exact"/>
        </w:trPr>
        <w:tc>
          <w:tcPr>
            <w:tcW w:w="666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非财务报告重大缺陷数量（个）</w:t>
            </w:r>
          </w:p>
        </w:tc>
        <w:tc>
          <w:tcPr>
            <w:tcW w:w="290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0</w:t>
            </w:r>
          </w:p>
        </w:tc>
      </w:tr>
      <w:tr>
        <w:trPr>
          <w:trHeight w:val="402" w:hRule="exact"/>
        </w:trPr>
        <w:tc>
          <w:tcPr>
            <w:tcW w:w="666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财务报告重要缺陷数量（个）</w:t>
            </w:r>
          </w:p>
        </w:tc>
        <w:tc>
          <w:tcPr>
            <w:tcW w:w="290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0</w:t>
            </w:r>
          </w:p>
        </w:tc>
      </w:tr>
      <w:tr>
        <w:trPr>
          <w:trHeight w:val="402" w:hRule="exact"/>
        </w:trPr>
        <w:tc>
          <w:tcPr>
            <w:tcW w:w="666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非财务报告重要缺陷数量（个）</w:t>
            </w:r>
          </w:p>
        </w:tc>
        <w:tc>
          <w:tcPr>
            <w:tcW w:w="290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0</w:t>
            </w:r>
          </w:p>
        </w:tc>
      </w:tr>
    </w:tbl>
    <w:p>
      <w:pPr>
        <w:spacing w:line="240" w:lineRule="auto" w:before="12"/>
        <w:rPr>
          <w:rFonts w:ascii="宋体" w:hAnsi="宋体" w:cs="宋体" w:eastAsia="宋体" w:hint="default"/>
          <w:b/>
          <w:bCs/>
          <w:sz w:val="17"/>
          <w:szCs w:val="17"/>
        </w:rPr>
      </w:pPr>
    </w:p>
    <w:p>
      <w:pPr>
        <w:spacing w:line="564" w:lineRule="auto" w:before="26"/>
        <w:ind w:left="633" w:right="6192" w:hanging="480"/>
        <w:jc w:val="left"/>
        <w:rPr>
          <w:rFonts w:ascii="宋体" w:hAnsi="宋体" w:cs="宋体" w:eastAsia="宋体" w:hint="default"/>
          <w:sz w:val="24"/>
          <w:szCs w:val="24"/>
        </w:rPr>
      </w:pPr>
      <w:r>
        <w:rPr/>
        <w:pict>
          <v:shape style="position:absolute;margin-left:56.459999pt;margin-top:64.665604pt;width:479.2pt;height:203.65pt;mso-position-horizontal-relative:page;mso-position-vertical-relative:paragraph;z-index:174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662"/>
                    <w:gridCol w:w="6907"/>
                  </w:tblGrid>
                  <w:tr>
                    <w:trPr>
                      <w:trHeight w:val="401"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内部控制审计报告中的审议意见段</w:t>
                        </w:r>
                      </w:p>
                    </w:tc>
                  </w:tr>
                  <w:tr>
                    <w:trPr>
                      <w:trHeight w:val="714" w:hRule="exact"/>
                    </w:trPr>
                    <w:tc>
                      <w:tcPr>
                        <w:tcW w:w="95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73" w:lineRule="auto" w:before="27"/>
                          <w:ind w:left="22" w:right="22"/>
                          <w:jc w:val="left"/>
                          <w:rPr>
                            <w:rFonts w:ascii="宋体" w:hAnsi="宋体" w:cs="宋体" w:eastAsia="宋体" w:hint="default"/>
                            <w:sz w:val="21"/>
                            <w:szCs w:val="21"/>
                          </w:rPr>
                        </w:pPr>
                        <w:r>
                          <w:rPr>
                            <w:rFonts w:ascii="宋体" w:hAnsi="宋体" w:cs="宋体" w:eastAsia="宋体" w:hint="default"/>
                            <w:sz w:val="21"/>
                            <w:szCs w:val="21"/>
                          </w:rPr>
                          <w:t>辉煌科技于</w:t>
                        </w:r>
                        <w:r>
                          <w:rPr>
                            <w:rFonts w:ascii="宋体" w:hAnsi="宋体" w:cs="宋体" w:eastAsia="宋体" w:hint="default"/>
                            <w:spacing w:val="-60"/>
                            <w:sz w:val="21"/>
                            <w:szCs w:val="21"/>
                          </w:rPr>
                          <w:t> </w:t>
                        </w:r>
                        <w:r>
                          <w:rPr>
                            <w:rFonts w:ascii="宋体" w:hAnsi="宋体" w:cs="宋体" w:eastAsia="宋体" w:hint="default"/>
                            <w:sz w:val="21"/>
                            <w:szCs w:val="21"/>
                          </w:rPr>
                          <w:t>2017</w:t>
                        </w:r>
                        <w:r>
                          <w:rPr>
                            <w:rFonts w:ascii="宋体" w:hAnsi="宋体" w:cs="宋体" w:eastAsia="宋体" w:hint="default"/>
                            <w:spacing w:val="-61"/>
                            <w:sz w:val="21"/>
                            <w:szCs w:val="21"/>
                          </w:rPr>
                          <w:t> </w:t>
                        </w:r>
                        <w:r>
                          <w:rPr>
                            <w:rFonts w:ascii="宋体" w:hAnsi="宋体" w:cs="宋体" w:eastAsia="宋体" w:hint="default"/>
                            <w:sz w:val="21"/>
                            <w:szCs w:val="21"/>
                          </w:rPr>
                          <w:t>年</w:t>
                        </w:r>
                        <w:r>
                          <w:rPr>
                            <w:rFonts w:ascii="宋体" w:hAnsi="宋体" w:cs="宋体" w:eastAsia="宋体" w:hint="default"/>
                            <w:spacing w:val="-62"/>
                            <w:sz w:val="21"/>
                            <w:szCs w:val="21"/>
                          </w:rPr>
                          <w:t> </w:t>
                        </w:r>
                        <w:r>
                          <w:rPr>
                            <w:rFonts w:ascii="宋体" w:hAnsi="宋体" w:cs="宋体" w:eastAsia="宋体" w:hint="default"/>
                            <w:sz w:val="21"/>
                            <w:szCs w:val="21"/>
                          </w:rPr>
                          <w:t>12</w:t>
                        </w:r>
                        <w:r>
                          <w:rPr>
                            <w:rFonts w:ascii="宋体" w:hAnsi="宋体" w:cs="宋体" w:eastAsia="宋体" w:hint="default"/>
                            <w:spacing w:val="-61"/>
                            <w:sz w:val="21"/>
                            <w:szCs w:val="21"/>
                          </w:rPr>
                          <w:t> </w:t>
                        </w:r>
                        <w:r>
                          <w:rPr>
                            <w:rFonts w:ascii="宋体" w:hAnsi="宋体" w:cs="宋体" w:eastAsia="宋体" w:hint="default"/>
                            <w:sz w:val="21"/>
                            <w:szCs w:val="21"/>
                          </w:rPr>
                          <w:t>月</w:t>
                        </w:r>
                        <w:r>
                          <w:rPr>
                            <w:rFonts w:ascii="宋体" w:hAnsi="宋体" w:cs="宋体" w:eastAsia="宋体" w:hint="default"/>
                            <w:spacing w:val="-62"/>
                            <w:sz w:val="21"/>
                            <w:szCs w:val="21"/>
                          </w:rPr>
                          <w:t> </w:t>
                        </w:r>
                        <w:r>
                          <w:rPr>
                            <w:rFonts w:ascii="宋体" w:hAnsi="宋体" w:cs="宋体" w:eastAsia="宋体" w:hint="default"/>
                            <w:sz w:val="21"/>
                            <w:szCs w:val="21"/>
                          </w:rPr>
                          <w:t>31</w:t>
                        </w:r>
                        <w:r>
                          <w:rPr>
                            <w:rFonts w:ascii="宋体" w:hAnsi="宋体" w:cs="宋体" w:eastAsia="宋体" w:hint="default"/>
                            <w:spacing w:val="-60"/>
                            <w:sz w:val="21"/>
                            <w:szCs w:val="21"/>
                          </w:rPr>
                          <w:t> </w:t>
                        </w:r>
                        <w:r>
                          <w:rPr>
                            <w:rFonts w:ascii="宋体" w:hAnsi="宋体" w:cs="宋体" w:eastAsia="宋体" w:hint="default"/>
                            <w:sz w:val="21"/>
                            <w:szCs w:val="21"/>
                          </w:rPr>
                          <w:t>日按照《企业内部控制基本规范》和相关规定在所有重大方面保持了有效的 财务报告内部控制。</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内控审计报告披露情况</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3" w:right="0"/>
                          <w:jc w:val="left"/>
                          <w:rPr>
                            <w:rFonts w:ascii="宋体" w:hAnsi="宋体" w:cs="宋体" w:eastAsia="宋体" w:hint="default"/>
                            <w:sz w:val="21"/>
                            <w:szCs w:val="21"/>
                          </w:rPr>
                        </w:pPr>
                        <w:r>
                          <w:rPr>
                            <w:rFonts w:ascii="宋体" w:hAnsi="宋体" w:cs="宋体" w:eastAsia="宋体" w:hint="default"/>
                            <w:sz w:val="21"/>
                            <w:szCs w:val="21"/>
                          </w:rPr>
                          <w:t>披露</w:t>
                        </w:r>
                      </w:p>
                    </w:tc>
                  </w:tr>
                  <w:tr>
                    <w:trPr>
                      <w:trHeight w:val="714"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7"/>
                          <w:ind w:left="22" w:right="107"/>
                          <w:jc w:val="left"/>
                          <w:rPr>
                            <w:rFonts w:ascii="宋体" w:hAnsi="宋体" w:cs="宋体" w:eastAsia="宋体" w:hint="default"/>
                            <w:sz w:val="21"/>
                            <w:szCs w:val="21"/>
                          </w:rPr>
                        </w:pPr>
                        <w:r>
                          <w:rPr>
                            <w:rFonts w:ascii="宋体" w:hAnsi="宋体" w:cs="宋体" w:eastAsia="宋体" w:hint="default"/>
                            <w:sz w:val="21"/>
                            <w:szCs w:val="21"/>
                          </w:rPr>
                          <w:t>内部控制审计报告全文披露 日期</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04</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24</w:t>
                        </w:r>
                        <w:r>
                          <w:rPr>
                            <w:rFonts w:ascii="宋体" w:hAnsi="宋体" w:cs="宋体" w:eastAsia="宋体" w:hint="default"/>
                            <w:spacing w:val="-53"/>
                            <w:sz w:val="21"/>
                            <w:szCs w:val="21"/>
                          </w:rPr>
                          <w:t> </w:t>
                        </w:r>
                        <w:r>
                          <w:rPr>
                            <w:rFonts w:ascii="宋体" w:hAnsi="宋体" w:cs="宋体" w:eastAsia="宋体" w:hint="default"/>
                            <w:sz w:val="21"/>
                            <w:szCs w:val="21"/>
                          </w:rPr>
                          <w:t>日</w:t>
                        </w:r>
                      </w:p>
                    </w:tc>
                  </w:tr>
                  <w:tr>
                    <w:trPr>
                      <w:trHeight w:val="714"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7"/>
                          <w:ind w:left="22" w:right="107"/>
                          <w:jc w:val="left"/>
                          <w:rPr>
                            <w:rFonts w:ascii="宋体" w:hAnsi="宋体" w:cs="宋体" w:eastAsia="宋体" w:hint="default"/>
                            <w:sz w:val="21"/>
                            <w:szCs w:val="21"/>
                          </w:rPr>
                        </w:pPr>
                        <w:r>
                          <w:rPr>
                            <w:rFonts w:ascii="宋体" w:hAnsi="宋体" w:cs="宋体" w:eastAsia="宋体" w:hint="default"/>
                            <w:sz w:val="21"/>
                            <w:szCs w:val="21"/>
                          </w:rPr>
                          <w:t>内部控制审计报告全文披露 索引</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7"/>
                          <w:ind w:left="23" w:right="46"/>
                          <w:jc w:val="left"/>
                          <w:rPr>
                            <w:rFonts w:ascii="宋体" w:hAnsi="宋体" w:cs="宋体" w:eastAsia="宋体" w:hint="default"/>
                            <w:sz w:val="21"/>
                            <w:szCs w:val="21"/>
                          </w:rPr>
                        </w:pPr>
                        <w:r>
                          <w:rPr>
                            <w:rFonts w:ascii="宋体" w:hAnsi="宋体" w:cs="宋体" w:eastAsia="宋体" w:hint="default"/>
                            <w:sz w:val="21"/>
                            <w:szCs w:val="21"/>
                          </w:rPr>
                          <w:t>《河南辉煌科技股份有限公司</w:t>
                        </w:r>
                        <w:r>
                          <w:rPr>
                            <w:rFonts w:ascii="宋体" w:hAnsi="宋体" w:cs="宋体" w:eastAsia="宋体" w:hint="default"/>
                            <w:spacing w:val="-52"/>
                            <w:sz w:val="21"/>
                            <w:szCs w:val="21"/>
                          </w:rPr>
                          <w:t> </w:t>
                        </w: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年度内部控制审计报告》刊登于公司指 定信息披露媒体巨潮资讯网（</w:t>
                        </w:r>
                        <w:r>
                          <w:rPr>
                            <w:rFonts w:ascii="宋体" w:hAnsi="宋体" w:cs="宋体" w:eastAsia="宋体" w:hint="default"/>
                            <w:sz w:val="21"/>
                            <w:szCs w:val="21"/>
                          </w:rPr>
                          <w:t>http://www.cninfo.com.cn)</w:t>
                        </w:r>
                        <w:r>
                          <w:rPr>
                            <w:rFonts w:ascii="宋体" w:hAnsi="宋体" w:cs="宋体" w:eastAsia="宋体" w:hint="default"/>
                            <w:sz w:val="21"/>
                            <w:szCs w:val="21"/>
                          </w:rPr>
                          <w:t>。</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内控审计报告意见类型</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3" w:right="0"/>
                          <w:jc w:val="left"/>
                          <w:rPr>
                            <w:rFonts w:ascii="宋体" w:hAnsi="宋体" w:cs="宋体" w:eastAsia="宋体" w:hint="default"/>
                            <w:sz w:val="21"/>
                            <w:szCs w:val="21"/>
                          </w:rPr>
                        </w:pPr>
                        <w:r>
                          <w:rPr>
                            <w:rFonts w:ascii="宋体" w:hAnsi="宋体" w:cs="宋体" w:eastAsia="宋体" w:hint="default"/>
                            <w:sz w:val="21"/>
                            <w:szCs w:val="21"/>
                          </w:rPr>
                          <w:t>标准无保留意见</w:t>
                        </w:r>
                      </w:p>
                    </w:tc>
                  </w:tr>
                  <w:tr>
                    <w:trPr>
                      <w:trHeight w:val="715"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7"/>
                          <w:ind w:left="22" w:right="107"/>
                          <w:jc w:val="left"/>
                          <w:rPr>
                            <w:rFonts w:ascii="宋体" w:hAnsi="宋体" w:cs="宋体" w:eastAsia="宋体" w:hint="default"/>
                            <w:sz w:val="21"/>
                            <w:szCs w:val="21"/>
                          </w:rPr>
                        </w:pPr>
                        <w:r>
                          <w:rPr>
                            <w:rFonts w:ascii="宋体" w:hAnsi="宋体" w:cs="宋体" w:eastAsia="宋体" w:hint="default"/>
                            <w:sz w:val="21"/>
                            <w:szCs w:val="21"/>
                          </w:rPr>
                          <w:t>非财务报告是否存在重大缺 陷</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否</w:t>
                        </w:r>
                      </w:p>
                    </w:tc>
                  </w:tr>
                </w:tbl>
                <w:p>
                  <w:pPr/>
                </w:p>
              </w:txbxContent>
            </v:textbox>
            <w10:wrap type="none"/>
          </v:shape>
        </w:pict>
      </w:r>
      <w:bookmarkStart w:name="十、内部控制审计报告或鉴证报告" w:id="170"/>
      <w:bookmarkEnd w:id="170"/>
      <w:r>
        <w:rPr/>
      </w:r>
      <w:r>
        <w:rPr>
          <w:rFonts w:ascii="宋体" w:hAnsi="宋体" w:cs="宋体" w:eastAsia="宋体" w:hint="default"/>
          <w:b/>
          <w:bCs/>
          <w:w w:val="95"/>
          <w:sz w:val="24"/>
          <w:szCs w:val="24"/>
        </w:rPr>
        <w:t>十、内部控制审计报告或鉴证报告</w:t>
      </w:r>
      <w:r>
        <w:rPr>
          <w:rFonts w:ascii="宋体" w:hAnsi="宋体" w:cs="宋体" w:eastAsia="宋体" w:hint="default"/>
          <w:b/>
          <w:bCs/>
          <w:spacing w:val="51"/>
          <w:w w:val="95"/>
          <w:sz w:val="24"/>
          <w:szCs w:val="24"/>
        </w:rPr>
        <w:t> </w:t>
      </w:r>
      <w:r>
        <w:rPr>
          <w:rFonts w:ascii="宋体" w:hAnsi="宋体" w:cs="宋体" w:eastAsia="宋体" w:hint="default"/>
          <w:sz w:val="24"/>
          <w:szCs w:val="24"/>
        </w:rPr>
        <w:t>内部控制审计报告</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7"/>
          <w:szCs w:val="27"/>
        </w:rPr>
      </w:pPr>
    </w:p>
    <w:p>
      <w:pPr>
        <w:pStyle w:val="BodyText"/>
        <w:spacing w:line="240" w:lineRule="auto" w:before="26"/>
        <w:ind w:left="634" w:right="996"/>
        <w:jc w:val="left"/>
      </w:pPr>
      <w:r>
        <w:rPr/>
        <w:t>会计师事务所是否出具非标准意见的内部控制审计报告</w:t>
      </w:r>
    </w:p>
    <w:p>
      <w:pPr>
        <w:pStyle w:val="BodyText"/>
        <w:spacing w:line="350" w:lineRule="auto" w:before="145"/>
        <w:ind w:left="634" w:right="2112"/>
        <w:jc w:val="left"/>
      </w:pPr>
      <w:r>
        <w:rPr/>
        <w:t>□ 是 √ 否 会计师事务所出具的内部控制审计报告与董事会的自我评价报告意见是否一致</w:t>
      </w:r>
    </w:p>
    <w:p>
      <w:pPr>
        <w:pStyle w:val="BodyText"/>
        <w:spacing w:line="240" w:lineRule="auto"/>
        <w:ind w:left="633" w:right="996"/>
        <w:jc w:val="left"/>
      </w:pPr>
      <w:r>
        <w:rPr/>
        <w:t>√ 是 □ 否</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3"/>
          <w:szCs w:val="23"/>
        </w:rPr>
      </w:pPr>
    </w:p>
    <w:p>
      <w:pPr>
        <w:pStyle w:val="Heading1"/>
        <w:spacing w:line="240" w:lineRule="auto"/>
        <w:ind w:left="3166" w:right="1153"/>
        <w:jc w:val="left"/>
        <w:rPr>
          <w:b w:val="0"/>
          <w:bCs w:val="0"/>
        </w:rPr>
      </w:pPr>
      <w:bookmarkStart w:name="第十节 公司债券相关情况" w:id="171"/>
      <w:bookmarkEnd w:id="171"/>
      <w:r>
        <w:rPr>
          <w:b w:val="0"/>
          <w:bCs w:val="0"/>
        </w:rPr>
      </w:r>
      <w:bookmarkStart w:name="_bookmark10" w:id="172"/>
      <w:bookmarkEnd w:id="172"/>
      <w:r>
        <w:rPr>
          <w:b w:val="0"/>
          <w:bCs w:val="0"/>
        </w:rPr>
      </w:r>
      <w:r>
        <w:rPr/>
        <w:t>第十节</w:t>
      </w:r>
      <w:r>
        <w:rPr>
          <w:spacing w:val="-9"/>
        </w:rPr>
        <w:t> </w:t>
      </w:r>
      <w:r>
        <w:rPr/>
        <w:t>公司债券相关情况</w:t>
      </w:r>
      <w:r>
        <w:rPr>
          <w:b w:val="0"/>
          <w:bCs w:val="0"/>
        </w:rPr>
      </w:r>
    </w:p>
    <w:p>
      <w:pPr>
        <w:spacing w:line="240" w:lineRule="auto" w:before="0"/>
        <w:rPr>
          <w:rFonts w:ascii="宋体" w:hAnsi="宋体" w:cs="宋体" w:eastAsia="宋体" w:hint="default"/>
          <w:b/>
          <w:bCs/>
          <w:sz w:val="32"/>
          <w:szCs w:val="32"/>
        </w:rPr>
      </w:pPr>
    </w:p>
    <w:p>
      <w:pPr>
        <w:pStyle w:val="BodyText"/>
        <w:spacing w:line="352" w:lineRule="auto" w:before="214"/>
        <w:ind w:left="193" w:right="1153" w:firstLine="480"/>
        <w:jc w:val="left"/>
      </w:pPr>
      <w:r>
        <w:rPr/>
        <w:t>公司是否存在公开发行并在证券交易所上市，且在年度报告批准报出日未到期或到期未 能全额兑付的公司债券</w:t>
      </w:r>
    </w:p>
    <w:p>
      <w:pPr>
        <w:pStyle w:val="Heading2"/>
        <w:spacing w:line="240" w:lineRule="auto" w:before="205"/>
        <w:ind w:left="193" w:right="1153"/>
        <w:jc w:val="left"/>
        <w:rPr>
          <w:b w:val="0"/>
          <w:bCs w:val="0"/>
        </w:rPr>
      </w:pPr>
      <w:bookmarkStart w:name="一、公司债券基本信息" w:id="173"/>
      <w:bookmarkEnd w:id="173"/>
      <w:r>
        <w:rPr>
          <w:b w:val="0"/>
          <w:bCs w:val="0"/>
        </w:rPr>
      </w:r>
      <w:r>
        <w:rPr/>
        <w:t>一、公司债券基本信息</w:t>
      </w:r>
      <w:r>
        <w:rPr>
          <w:b w:val="0"/>
          <w:bCs w:val="0"/>
        </w:rPr>
      </w:r>
    </w:p>
    <w:p>
      <w:pPr>
        <w:spacing w:line="240" w:lineRule="auto" w:before="10"/>
        <w:rPr>
          <w:rFonts w:ascii="宋体" w:hAnsi="宋体" w:cs="宋体" w:eastAsia="宋体" w:hint="default"/>
          <w:b/>
          <w:bCs/>
          <w:sz w:val="25"/>
          <w:szCs w:val="25"/>
        </w:rPr>
      </w:pPr>
    </w:p>
    <w:tbl>
      <w:tblPr>
        <w:tblW w:w="0" w:type="auto"/>
        <w:jc w:val="left"/>
        <w:tblInd w:w="117" w:type="dxa"/>
        <w:tblLayout w:type="fixed"/>
        <w:tblCellMar>
          <w:top w:w="0" w:type="dxa"/>
          <w:left w:w="0" w:type="dxa"/>
          <w:bottom w:w="0" w:type="dxa"/>
          <w:right w:w="0" w:type="dxa"/>
        </w:tblCellMar>
        <w:tblLook w:val="01E0"/>
      </w:tblPr>
      <w:tblGrid>
        <w:gridCol w:w="1276"/>
        <w:gridCol w:w="1064"/>
        <w:gridCol w:w="964"/>
        <w:gridCol w:w="1197"/>
        <w:gridCol w:w="1196"/>
        <w:gridCol w:w="1533"/>
        <w:gridCol w:w="568"/>
        <w:gridCol w:w="1985"/>
      </w:tblGrid>
      <w:tr>
        <w:trPr>
          <w:trHeight w:val="570" w:hRule="exact"/>
        </w:trPr>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9"/>
              <w:ind w:left="212" w:right="0"/>
              <w:jc w:val="left"/>
              <w:rPr>
                <w:rFonts w:ascii="宋体" w:hAnsi="宋体" w:cs="宋体" w:eastAsia="宋体" w:hint="default"/>
                <w:sz w:val="21"/>
                <w:szCs w:val="21"/>
              </w:rPr>
            </w:pPr>
            <w:r>
              <w:rPr>
                <w:rFonts w:ascii="宋体" w:hAnsi="宋体" w:cs="宋体" w:eastAsia="宋体" w:hint="default"/>
                <w:sz w:val="21"/>
                <w:szCs w:val="21"/>
              </w:rPr>
              <w:t>债券名称</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9"/>
              <w:ind w:right="104"/>
              <w:jc w:val="right"/>
              <w:rPr>
                <w:rFonts w:ascii="宋体" w:hAnsi="宋体" w:cs="宋体" w:eastAsia="宋体" w:hint="default"/>
                <w:sz w:val="21"/>
                <w:szCs w:val="21"/>
              </w:rPr>
            </w:pPr>
            <w:r>
              <w:rPr>
                <w:rFonts w:ascii="宋体" w:hAnsi="宋体" w:cs="宋体" w:eastAsia="宋体" w:hint="default"/>
                <w:sz w:val="21"/>
                <w:szCs w:val="21"/>
              </w:rPr>
              <w:t>债券简称</w:t>
            </w:r>
          </w:p>
        </w:tc>
        <w:tc>
          <w:tcPr>
            <w:tcW w:w="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4" w:lineRule="exact"/>
              <w:ind w:left="266" w:right="0"/>
              <w:jc w:val="left"/>
              <w:rPr>
                <w:rFonts w:ascii="宋体" w:hAnsi="宋体" w:cs="宋体" w:eastAsia="宋体" w:hint="default"/>
                <w:sz w:val="21"/>
                <w:szCs w:val="21"/>
              </w:rPr>
            </w:pPr>
            <w:r>
              <w:rPr>
                <w:rFonts w:ascii="宋体" w:hAnsi="宋体" w:cs="宋体" w:eastAsia="宋体" w:hint="default"/>
                <w:sz w:val="21"/>
                <w:szCs w:val="21"/>
              </w:rPr>
              <w:t>债券</w:t>
            </w:r>
          </w:p>
          <w:p>
            <w:pPr>
              <w:pStyle w:val="TableParagraph"/>
              <w:spacing w:line="240" w:lineRule="auto" w:before="6"/>
              <w:ind w:left="266" w:right="0"/>
              <w:jc w:val="left"/>
              <w:rPr>
                <w:rFonts w:ascii="宋体" w:hAnsi="宋体" w:cs="宋体" w:eastAsia="宋体" w:hint="default"/>
                <w:sz w:val="21"/>
                <w:szCs w:val="21"/>
              </w:rPr>
            </w:pPr>
            <w:r>
              <w:rPr>
                <w:rFonts w:ascii="宋体" w:hAnsi="宋体" w:cs="宋体" w:eastAsia="宋体" w:hint="default"/>
                <w:sz w:val="21"/>
                <w:szCs w:val="21"/>
              </w:rPr>
              <w:t>代码</w:t>
            </w:r>
          </w:p>
        </w:tc>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9"/>
              <w:ind w:left="278" w:right="0"/>
              <w:jc w:val="left"/>
              <w:rPr>
                <w:rFonts w:ascii="宋体" w:hAnsi="宋体" w:cs="宋体" w:eastAsia="宋体" w:hint="default"/>
                <w:sz w:val="21"/>
                <w:szCs w:val="21"/>
              </w:rPr>
            </w:pPr>
            <w:r>
              <w:rPr>
                <w:rFonts w:ascii="宋体" w:hAnsi="宋体" w:cs="宋体" w:eastAsia="宋体" w:hint="default"/>
                <w:sz w:val="21"/>
                <w:szCs w:val="21"/>
              </w:rPr>
              <w:t>发行日</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9"/>
              <w:ind w:left="277" w:right="0"/>
              <w:jc w:val="left"/>
              <w:rPr>
                <w:rFonts w:ascii="宋体" w:hAnsi="宋体" w:cs="宋体" w:eastAsia="宋体" w:hint="default"/>
                <w:sz w:val="21"/>
                <w:szCs w:val="21"/>
              </w:rPr>
            </w:pPr>
            <w:r>
              <w:rPr>
                <w:rFonts w:ascii="宋体" w:hAnsi="宋体" w:cs="宋体" w:eastAsia="宋体" w:hint="default"/>
                <w:sz w:val="21"/>
                <w:szCs w:val="21"/>
              </w:rPr>
              <w:t>到期日</w:t>
            </w:r>
          </w:p>
        </w:tc>
        <w:tc>
          <w:tcPr>
            <w:tcW w:w="1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9"/>
              <w:ind w:left="22" w:right="0"/>
              <w:jc w:val="left"/>
              <w:rPr>
                <w:rFonts w:ascii="宋体" w:hAnsi="宋体" w:cs="宋体" w:eastAsia="宋体" w:hint="default"/>
                <w:sz w:val="21"/>
                <w:szCs w:val="21"/>
              </w:rPr>
            </w:pPr>
            <w:r>
              <w:rPr>
                <w:rFonts w:ascii="宋体" w:hAnsi="宋体" w:cs="宋体" w:eastAsia="宋体" w:hint="default"/>
                <w:sz w:val="21"/>
                <w:szCs w:val="21"/>
              </w:rPr>
              <w:t>债券余</w:t>
            </w:r>
            <w:r>
              <w:rPr>
                <w:rFonts w:ascii="宋体" w:hAnsi="宋体" w:cs="宋体" w:eastAsia="宋体" w:hint="default"/>
                <w:spacing w:val="-99"/>
                <w:sz w:val="21"/>
                <w:szCs w:val="21"/>
              </w:rPr>
              <w:t>额</w:t>
            </w:r>
            <w:r>
              <w:rPr>
                <w:rFonts w:ascii="宋体" w:hAnsi="宋体" w:cs="宋体" w:eastAsia="宋体" w:hint="default"/>
                <w:sz w:val="21"/>
                <w:szCs w:val="21"/>
              </w:rPr>
              <w:t>（万元</w:t>
            </w:r>
          </w:p>
        </w:tc>
        <w:tc>
          <w:tcPr>
            <w:tcW w:w="5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9"/>
              <w:ind w:left="-139" w:right="0"/>
              <w:jc w:val="left"/>
              <w:rPr>
                <w:rFonts w:ascii="宋体" w:hAnsi="宋体" w:cs="宋体" w:eastAsia="宋体" w:hint="default"/>
                <w:sz w:val="21"/>
                <w:szCs w:val="21"/>
              </w:rPr>
            </w:pPr>
            <w:r>
              <w:rPr>
                <w:rFonts w:ascii="宋体" w:hAnsi="宋体" w:cs="宋体" w:eastAsia="宋体" w:hint="default"/>
                <w:sz w:val="21"/>
                <w:szCs w:val="21"/>
              </w:rPr>
              <w:t>）利率</w:t>
            </w:r>
          </w:p>
        </w:tc>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9"/>
              <w:ind w:left="356" w:right="0"/>
              <w:jc w:val="left"/>
              <w:rPr>
                <w:rFonts w:ascii="宋体" w:hAnsi="宋体" w:cs="宋体" w:eastAsia="宋体" w:hint="default"/>
                <w:sz w:val="21"/>
                <w:szCs w:val="21"/>
              </w:rPr>
            </w:pPr>
            <w:r>
              <w:rPr>
                <w:rFonts w:ascii="宋体" w:hAnsi="宋体" w:cs="宋体" w:eastAsia="宋体" w:hint="default"/>
                <w:sz w:val="21"/>
                <w:szCs w:val="21"/>
              </w:rPr>
              <w:t>还本付息方式</w:t>
            </w:r>
          </w:p>
        </w:tc>
      </w:tr>
      <w:tr>
        <w:trPr>
          <w:trHeight w:val="1690"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19"/>
              <w:ind w:left="22" w:right="21"/>
              <w:jc w:val="left"/>
              <w:rPr>
                <w:rFonts w:ascii="宋体" w:hAnsi="宋体" w:cs="宋体" w:eastAsia="宋体" w:hint="default"/>
                <w:sz w:val="21"/>
                <w:szCs w:val="21"/>
              </w:rPr>
            </w:pPr>
            <w:r>
              <w:rPr>
                <w:rFonts w:ascii="宋体" w:hAnsi="宋体" w:cs="宋体" w:eastAsia="宋体" w:hint="default"/>
                <w:sz w:val="21"/>
                <w:szCs w:val="21"/>
              </w:rPr>
              <w:t>河南辉煌科 技股份有限 公司</w:t>
            </w:r>
            <w:r>
              <w:rPr>
                <w:rFonts w:ascii="宋体" w:hAnsi="宋体" w:cs="宋体" w:eastAsia="宋体" w:hint="default"/>
                <w:spacing w:val="-53"/>
                <w:sz w:val="21"/>
                <w:szCs w:val="21"/>
              </w:rPr>
              <w:t> </w:t>
            </w:r>
            <w:r>
              <w:rPr>
                <w:rFonts w:ascii="宋体" w:hAnsi="宋体" w:cs="宋体" w:eastAsia="宋体" w:hint="default"/>
                <w:sz w:val="21"/>
                <w:szCs w:val="21"/>
              </w:rPr>
              <w:t>2015</w:t>
            </w:r>
            <w:r>
              <w:rPr>
                <w:rFonts w:ascii="宋体" w:hAnsi="宋体" w:cs="宋体" w:eastAsia="宋体" w:hint="default"/>
                <w:spacing w:val="-52"/>
                <w:sz w:val="21"/>
                <w:szCs w:val="21"/>
              </w:rPr>
              <w:t> </w:t>
            </w:r>
            <w:r>
              <w:rPr>
                <w:rFonts w:ascii="宋体" w:hAnsi="宋体" w:cs="宋体" w:eastAsia="宋体" w:hint="default"/>
                <w:sz w:val="21"/>
                <w:szCs w:val="21"/>
              </w:rPr>
              <w:t>年 </w:t>
            </w:r>
            <w:r>
              <w:rPr>
                <w:rFonts w:ascii="宋体" w:hAnsi="宋体" w:cs="宋体" w:eastAsia="宋体" w:hint="default"/>
                <w:spacing w:val="-7"/>
                <w:sz w:val="21"/>
                <w:szCs w:val="21"/>
              </w:rPr>
              <w:t>公司债券（第</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一期）</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56"/>
              <w:ind w:right="84"/>
              <w:jc w:val="right"/>
              <w:rPr>
                <w:rFonts w:ascii="宋体" w:hAnsi="宋体" w:cs="宋体" w:eastAsia="宋体" w:hint="default"/>
                <w:sz w:val="21"/>
                <w:szCs w:val="21"/>
              </w:rPr>
            </w:pPr>
            <w:r>
              <w:rPr>
                <w:rFonts w:ascii="宋体" w:hAnsi="宋体" w:cs="宋体" w:eastAsia="宋体" w:hint="default"/>
                <w:sz w:val="21"/>
                <w:szCs w:val="21"/>
              </w:rPr>
              <w:t>15</w:t>
            </w:r>
            <w:r>
              <w:rPr>
                <w:rFonts w:ascii="宋体" w:hAnsi="宋体" w:cs="宋体" w:eastAsia="宋体" w:hint="default"/>
                <w:spacing w:val="-54"/>
                <w:sz w:val="21"/>
                <w:szCs w:val="21"/>
              </w:rPr>
              <w:t> </w:t>
            </w:r>
            <w:r>
              <w:rPr>
                <w:rFonts w:ascii="宋体" w:hAnsi="宋体" w:cs="宋体" w:eastAsia="宋体" w:hint="default"/>
                <w:sz w:val="21"/>
                <w:szCs w:val="21"/>
              </w:rPr>
              <w:t>辉煌</w:t>
            </w:r>
            <w:r>
              <w:rPr>
                <w:rFonts w:ascii="宋体" w:hAnsi="宋体" w:cs="宋体" w:eastAsia="宋体" w:hint="default"/>
                <w:spacing w:val="-55"/>
                <w:sz w:val="21"/>
                <w:szCs w:val="21"/>
              </w:rPr>
              <w:t> </w:t>
            </w:r>
            <w:r>
              <w:rPr>
                <w:rFonts w:ascii="宋体" w:hAnsi="宋体" w:cs="宋体" w:eastAsia="宋体" w:hint="default"/>
                <w:sz w:val="21"/>
                <w:szCs w:val="21"/>
              </w:rPr>
              <w:t>01</w:t>
            </w:r>
          </w:p>
        </w:tc>
        <w:tc>
          <w:tcPr>
            <w:tcW w:w="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56"/>
              <w:ind w:left="22" w:right="0"/>
              <w:jc w:val="left"/>
              <w:rPr>
                <w:rFonts w:ascii="宋体" w:hAnsi="宋体" w:cs="宋体" w:eastAsia="宋体" w:hint="default"/>
                <w:sz w:val="21"/>
                <w:szCs w:val="21"/>
              </w:rPr>
            </w:pPr>
            <w:r>
              <w:rPr>
                <w:rFonts w:ascii="宋体"/>
                <w:sz w:val="21"/>
              </w:rPr>
              <w:t>112237</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3"/>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74"/>
                <w:sz w:val="21"/>
                <w:szCs w:val="21"/>
              </w:rPr>
              <w:t> </w:t>
            </w:r>
            <w:r>
              <w:rPr>
                <w:rFonts w:ascii="宋体" w:hAnsi="宋体" w:cs="宋体" w:eastAsia="宋体" w:hint="default"/>
                <w:sz w:val="21"/>
                <w:szCs w:val="21"/>
              </w:rPr>
              <w:t>年</w:t>
            </w:r>
            <w:r>
              <w:rPr>
                <w:rFonts w:ascii="宋体" w:hAnsi="宋体" w:cs="宋体" w:eastAsia="宋体" w:hint="default"/>
                <w:spacing w:val="-76"/>
                <w:sz w:val="21"/>
                <w:szCs w:val="21"/>
              </w:rPr>
              <w:t> </w:t>
            </w:r>
            <w:r>
              <w:rPr>
                <w:rFonts w:ascii="宋体" w:hAnsi="宋体" w:cs="宋体" w:eastAsia="宋体" w:hint="default"/>
                <w:sz w:val="21"/>
                <w:szCs w:val="21"/>
              </w:rPr>
              <w:t>03</w:t>
            </w:r>
            <w:r>
              <w:rPr>
                <w:rFonts w:ascii="宋体" w:hAnsi="宋体" w:cs="宋体" w:eastAsia="宋体" w:hint="default"/>
                <w:spacing w:val="-75"/>
                <w:sz w:val="21"/>
                <w:szCs w:val="21"/>
              </w:rPr>
              <w:t> </w:t>
            </w:r>
            <w:r>
              <w:rPr>
                <w:rFonts w:ascii="宋体" w:hAnsi="宋体" w:cs="宋体" w:eastAsia="宋体" w:hint="default"/>
                <w:sz w:val="21"/>
                <w:szCs w:val="21"/>
              </w:rPr>
              <w:t>月</w:t>
            </w:r>
          </w:p>
          <w:p>
            <w:pPr>
              <w:pStyle w:val="TableParagraph"/>
              <w:spacing w:line="240" w:lineRule="auto" w:before="4"/>
              <w:ind w:left="23" w:right="0"/>
              <w:jc w:val="left"/>
              <w:rPr>
                <w:rFonts w:ascii="宋体" w:hAnsi="宋体" w:cs="宋体" w:eastAsia="宋体" w:hint="default"/>
                <w:sz w:val="21"/>
                <w:szCs w:val="21"/>
              </w:rPr>
            </w:pPr>
            <w:r>
              <w:rPr>
                <w:rFonts w:ascii="宋体" w:hAnsi="宋体" w:cs="宋体" w:eastAsia="宋体" w:hint="default"/>
                <w:sz w:val="21"/>
                <w:szCs w:val="21"/>
              </w:rPr>
              <w:t>04</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3"/>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74"/>
                <w:sz w:val="21"/>
                <w:szCs w:val="21"/>
              </w:rPr>
              <w:t> </w:t>
            </w:r>
            <w:r>
              <w:rPr>
                <w:rFonts w:ascii="宋体" w:hAnsi="宋体" w:cs="宋体" w:eastAsia="宋体" w:hint="default"/>
                <w:sz w:val="21"/>
                <w:szCs w:val="21"/>
              </w:rPr>
              <w:t>年</w:t>
            </w:r>
            <w:r>
              <w:rPr>
                <w:rFonts w:ascii="宋体" w:hAnsi="宋体" w:cs="宋体" w:eastAsia="宋体" w:hint="default"/>
                <w:spacing w:val="-77"/>
                <w:sz w:val="21"/>
                <w:szCs w:val="21"/>
              </w:rPr>
              <w:t> </w:t>
            </w:r>
            <w:r>
              <w:rPr>
                <w:rFonts w:ascii="宋体" w:hAnsi="宋体" w:cs="宋体" w:eastAsia="宋体" w:hint="default"/>
                <w:sz w:val="21"/>
                <w:szCs w:val="21"/>
              </w:rPr>
              <w:t>03</w:t>
            </w:r>
            <w:r>
              <w:rPr>
                <w:rFonts w:ascii="宋体" w:hAnsi="宋体" w:cs="宋体" w:eastAsia="宋体" w:hint="default"/>
                <w:spacing w:val="-75"/>
                <w:sz w:val="21"/>
                <w:szCs w:val="21"/>
              </w:rPr>
              <w:t> </w:t>
            </w:r>
            <w:r>
              <w:rPr>
                <w:rFonts w:ascii="宋体" w:hAnsi="宋体" w:cs="宋体" w:eastAsia="宋体" w:hint="default"/>
                <w:sz w:val="21"/>
                <w:szCs w:val="21"/>
              </w:rPr>
              <w:t>月</w:t>
            </w:r>
          </w:p>
          <w:p>
            <w:pPr>
              <w:pStyle w:val="TableParagraph"/>
              <w:spacing w:line="240" w:lineRule="auto" w:before="4"/>
              <w:ind w:left="22" w:right="0"/>
              <w:jc w:val="left"/>
              <w:rPr>
                <w:rFonts w:ascii="宋体" w:hAnsi="宋体" w:cs="宋体" w:eastAsia="宋体" w:hint="default"/>
                <w:sz w:val="21"/>
                <w:szCs w:val="21"/>
              </w:rPr>
            </w:pPr>
            <w:r>
              <w:rPr>
                <w:rFonts w:ascii="宋体" w:hAnsi="宋体" w:cs="宋体" w:eastAsia="宋体" w:hint="default"/>
                <w:sz w:val="21"/>
                <w:szCs w:val="21"/>
              </w:rPr>
              <w:t>04</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56"/>
              <w:ind w:left="555" w:right="0"/>
              <w:jc w:val="left"/>
              <w:rPr>
                <w:rFonts w:ascii="宋体" w:hAnsi="宋体" w:cs="宋体" w:eastAsia="宋体" w:hint="default"/>
                <w:sz w:val="21"/>
                <w:szCs w:val="21"/>
              </w:rPr>
            </w:pPr>
            <w:r>
              <w:rPr>
                <w:rFonts w:ascii="宋体"/>
                <w:sz w:val="21"/>
              </w:rPr>
              <w:t>21,385.91</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3"/>
              <w:ind w:right="0"/>
              <w:jc w:val="left"/>
              <w:rPr>
                <w:rFonts w:ascii="宋体" w:hAnsi="宋体" w:cs="宋体" w:eastAsia="宋体" w:hint="default"/>
                <w:b/>
                <w:bCs/>
                <w:sz w:val="21"/>
                <w:szCs w:val="21"/>
              </w:rPr>
            </w:pPr>
          </w:p>
          <w:p>
            <w:pPr>
              <w:pStyle w:val="TableParagraph"/>
              <w:spacing w:line="240" w:lineRule="auto"/>
              <w:ind w:right="23"/>
              <w:jc w:val="right"/>
              <w:rPr>
                <w:rFonts w:ascii="宋体" w:hAnsi="宋体" w:cs="宋体" w:eastAsia="宋体" w:hint="default"/>
                <w:sz w:val="21"/>
                <w:szCs w:val="21"/>
              </w:rPr>
            </w:pPr>
            <w:r>
              <w:rPr>
                <w:rFonts w:ascii="宋体"/>
                <w:sz w:val="21"/>
              </w:rPr>
              <w:t>9.00</w:t>
            </w:r>
          </w:p>
          <w:p>
            <w:pPr>
              <w:pStyle w:val="TableParagraph"/>
              <w:spacing w:line="240" w:lineRule="auto" w:before="4"/>
              <w:ind w:right="21"/>
              <w:jc w:val="right"/>
              <w:rPr>
                <w:rFonts w:ascii="宋体" w:hAnsi="宋体" w:cs="宋体" w:eastAsia="宋体" w:hint="default"/>
                <w:sz w:val="21"/>
                <w:szCs w:val="21"/>
              </w:rPr>
            </w:pPr>
            <w:r>
              <w:rPr>
                <w:rFonts w:ascii="宋体"/>
                <w:sz w:val="21"/>
              </w:rPr>
              <w:t>%</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22" w:right="0"/>
              <w:jc w:val="both"/>
              <w:rPr>
                <w:rFonts w:ascii="宋体" w:hAnsi="宋体" w:cs="宋体" w:eastAsia="宋体" w:hint="default"/>
                <w:sz w:val="21"/>
                <w:szCs w:val="21"/>
              </w:rPr>
            </w:pPr>
            <w:r>
              <w:rPr>
                <w:rFonts w:ascii="宋体" w:hAnsi="宋体" w:cs="宋体" w:eastAsia="宋体" w:hint="default"/>
                <w:sz w:val="21"/>
                <w:szCs w:val="21"/>
              </w:rPr>
              <w:t>本期债券采用单利按</w:t>
            </w:r>
          </w:p>
          <w:p>
            <w:pPr>
              <w:pStyle w:val="TableParagraph"/>
              <w:spacing w:line="244" w:lineRule="auto" w:before="6"/>
              <w:ind w:left="22" w:right="60"/>
              <w:jc w:val="both"/>
              <w:rPr>
                <w:rFonts w:ascii="宋体" w:hAnsi="宋体" w:cs="宋体" w:eastAsia="宋体" w:hint="default"/>
                <w:sz w:val="21"/>
                <w:szCs w:val="21"/>
              </w:rPr>
            </w:pPr>
            <w:r>
              <w:rPr>
                <w:rFonts w:ascii="宋体" w:hAnsi="宋体" w:cs="宋体" w:eastAsia="宋体" w:hint="default"/>
                <w:sz w:val="21"/>
                <w:szCs w:val="21"/>
              </w:rPr>
              <w:t>年计息，不计复利。 每年付息一次，到期 一次还本，最后一期 利息随本金的兑付一 起支付。</w:t>
            </w:r>
          </w:p>
        </w:tc>
      </w:tr>
      <w:tr>
        <w:trPr>
          <w:trHeight w:val="570" w:hRule="exact"/>
        </w:trPr>
        <w:tc>
          <w:tcPr>
            <w:tcW w:w="234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0" w:lineRule="exact" w:before="1"/>
              <w:ind w:left="22" w:right="207"/>
              <w:jc w:val="left"/>
              <w:rPr>
                <w:rFonts w:ascii="宋体" w:hAnsi="宋体" w:cs="宋体" w:eastAsia="宋体" w:hint="default"/>
                <w:sz w:val="21"/>
                <w:szCs w:val="21"/>
              </w:rPr>
            </w:pPr>
            <w:r>
              <w:rPr>
                <w:rFonts w:ascii="宋体" w:hAnsi="宋体" w:cs="宋体" w:eastAsia="宋体" w:hint="default"/>
                <w:sz w:val="21"/>
                <w:szCs w:val="21"/>
              </w:rPr>
              <w:t>公司债券上市或转让的 交易场所</w:t>
            </w:r>
          </w:p>
        </w:tc>
        <w:tc>
          <w:tcPr>
            <w:tcW w:w="7442"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22" w:right="0"/>
              <w:jc w:val="left"/>
              <w:rPr>
                <w:rFonts w:ascii="宋体" w:hAnsi="宋体" w:cs="宋体" w:eastAsia="宋体" w:hint="default"/>
                <w:sz w:val="21"/>
                <w:szCs w:val="21"/>
              </w:rPr>
            </w:pPr>
            <w:r>
              <w:rPr>
                <w:rFonts w:ascii="宋体" w:hAnsi="宋体" w:cs="宋体" w:eastAsia="宋体" w:hint="default"/>
                <w:sz w:val="21"/>
                <w:szCs w:val="21"/>
              </w:rPr>
              <w:t>深圳证券交易所综合协议交易平台</w:t>
            </w:r>
          </w:p>
        </w:tc>
      </w:tr>
      <w:tr>
        <w:trPr>
          <w:trHeight w:val="290" w:hRule="exact"/>
        </w:trPr>
        <w:tc>
          <w:tcPr>
            <w:tcW w:w="234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5" w:lineRule="exact"/>
              <w:ind w:left="22" w:right="0"/>
              <w:jc w:val="left"/>
              <w:rPr>
                <w:rFonts w:ascii="宋体" w:hAnsi="宋体" w:cs="宋体" w:eastAsia="宋体" w:hint="default"/>
                <w:sz w:val="21"/>
                <w:szCs w:val="21"/>
              </w:rPr>
            </w:pPr>
            <w:r>
              <w:rPr>
                <w:rFonts w:ascii="宋体" w:hAnsi="宋体" w:cs="宋体" w:eastAsia="宋体" w:hint="default"/>
                <w:sz w:val="21"/>
                <w:szCs w:val="21"/>
              </w:rPr>
              <w:t>投资者适当性安排</w:t>
            </w:r>
          </w:p>
        </w:tc>
        <w:tc>
          <w:tcPr>
            <w:tcW w:w="7442" w:type="dxa"/>
            <w:gridSpan w:val="6"/>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22"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15</w:t>
            </w:r>
            <w:r>
              <w:rPr>
                <w:rFonts w:ascii="宋体" w:hAnsi="宋体" w:cs="宋体" w:eastAsia="宋体" w:hint="default"/>
                <w:spacing w:val="-54"/>
                <w:sz w:val="21"/>
                <w:szCs w:val="21"/>
              </w:rPr>
              <w:t> </w:t>
            </w:r>
            <w:r>
              <w:rPr>
                <w:rFonts w:ascii="宋体" w:hAnsi="宋体" w:cs="宋体" w:eastAsia="宋体" w:hint="default"/>
                <w:sz w:val="21"/>
                <w:szCs w:val="21"/>
              </w:rPr>
              <w:t>辉煌</w:t>
            </w:r>
            <w:r>
              <w:rPr>
                <w:rFonts w:ascii="宋体" w:hAnsi="宋体" w:cs="宋体" w:eastAsia="宋体" w:hint="default"/>
                <w:spacing w:val="-55"/>
                <w:sz w:val="21"/>
                <w:szCs w:val="21"/>
              </w:rPr>
              <w:t> </w:t>
            </w:r>
            <w:r>
              <w:rPr>
                <w:rFonts w:ascii="宋体" w:hAnsi="宋体" w:cs="宋体" w:eastAsia="宋体" w:hint="default"/>
                <w:sz w:val="21"/>
                <w:szCs w:val="21"/>
              </w:rPr>
              <w:t>01</w:t>
            </w:r>
            <w:r>
              <w:rPr>
                <w:rFonts w:ascii="宋体" w:hAnsi="宋体" w:cs="宋体" w:eastAsia="宋体" w:hint="default"/>
                <w:sz w:val="21"/>
                <w:szCs w:val="21"/>
              </w:rPr>
              <w:t>”附第</w:t>
            </w:r>
            <w:r>
              <w:rPr>
                <w:rFonts w:ascii="宋体" w:hAnsi="宋体" w:cs="宋体" w:eastAsia="宋体" w:hint="default"/>
                <w:spacing w:val="-54"/>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年末投资者回售选择权</w:t>
            </w:r>
          </w:p>
        </w:tc>
      </w:tr>
      <w:tr>
        <w:trPr>
          <w:trHeight w:val="850" w:hRule="exact"/>
        </w:trPr>
        <w:tc>
          <w:tcPr>
            <w:tcW w:w="234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119"/>
              <w:ind w:left="22" w:right="207"/>
              <w:jc w:val="left"/>
              <w:rPr>
                <w:rFonts w:ascii="宋体" w:hAnsi="宋体" w:cs="宋体" w:eastAsia="宋体" w:hint="default"/>
                <w:sz w:val="21"/>
                <w:szCs w:val="21"/>
              </w:rPr>
            </w:pPr>
            <w:r>
              <w:rPr>
                <w:rFonts w:ascii="宋体" w:hAnsi="宋体" w:cs="宋体" w:eastAsia="宋体" w:hint="default"/>
                <w:sz w:val="21"/>
                <w:szCs w:val="21"/>
              </w:rPr>
              <w:t>报告期内公司债券的付 息兑付情况</w:t>
            </w:r>
          </w:p>
        </w:tc>
        <w:tc>
          <w:tcPr>
            <w:tcW w:w="7442" w:type="dxa"/>
            <w:gridSpan w:val="6"/>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22" w:right="0"/>
              <w:jc w:val="left"/>
              <w:rPr>
                <w:rFonts w:ascii="宋体" w:hAnsi="宋体" w:cs="宋体" w:eastAsia="宋体" w:hint="default"/>
                <w:sz w:val="21"/>
                <w:szCs w:val="21"/>
              </w:rPr>
            </w:pPr>
            <w:r>
              <w:rPr>
                <w:rFonts w:ascii="宋体" w:hAnsi="宋体" w:cs="宋体" w:eastAsia="宋体" w:hint="default"/>
                <w:sz w:val="21"/>
                <w:szCs w:val="21"/>
              </w:rPr>
              <w:t>公司已于</w:t>
            </w:r>
            <w:r>
              <w:rPr>
                <w:rFonts w:ascii="宋体" w:hAnsi="宋体" w:cs="宋体" w:eastAsia="宋体" w:hint="default"/>
                <w:spacing w:val="-54"/>
                <w:sz w:val="21"/>
                <w:szCs w:val="21"/>
              </w:rPr>
              <w:t> </w:t>
            </w: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3</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3</w:t>
            </w:r>
            <w:r>
              <w:rPr>
                <w:rFonts w:ascii="宋体" w:hAnsi="宋体" w:cs="宋体" w:eastAsia="宋体" w:hint="default"/>
                <w:spacing w:val="-53"/>
                <w:sz w:val="21"/>
                <w:szCs w:val="21"/>
              </w:rPr>
              <w:t> </w:t>
            </w:r>
            <w:r>
              <w:rPr>
                <w:rFonts w:ascii="宋体" w:hAnsi="宋体" w:cs="宋体" w:eastAsia="宋体" w:hint="default"/>
                <w:sz w:val="21"/>
                <w:szCs w:val="21"/>
              </w:rPr>
              <w:t>日支付完毕“</w:t>
            </w:r>
            <w:r>
              <w:rPr>
                <w:rFonts w:ascii="宋体" w:hAnsi="宋体" w:cs="宋体" w:eastAsia="宋体" w:hint="default"/>
                <w:sz w:val="21"/>
                <w:szCs w:val="21"/>
              </w:rPr>
              <w:t>15</w:t>
            </w:r>
            <w:r>
              <w:rPr>
                <w:rFonts w:ascii="宋体" w:hAnsi="宋体" w:cs="宋体" w:eastAsia="宋体" w:hint="default"/>
                <w:spacing w:val="-53"/>
                <w:sz w:val="21"/>
                <w:szCs w:val="21"/>
              </w:rPr>
              <w:t> </w:t>
            </w:r>
            <w:r>
              <w:rPr>
                <w:rFonts w:ascii="宋体" w:hAnsi="宋体" w:cs="宋体" w:eastAsia="宋体" w:hint="default"/>
                <w:sz w:val="21"/>
                <w:szCs w:val="21"/>
              </w:rPr>
              <w:t>辉煌</w:t>
            </w:r>
            <w:r>
              <w:rPr>
                <w:rFonts w:ascii="宋体" w:hAnsi="宋体" w:cs="宋体" w:eastAsia="宋体" w:hint="default"/>
                <w:spacing w:val="-55"/>
                <w:sz w:val="21"/>
                <w:szCs w:val="21"/>
              </w:rPr>
              <w:t> </w:t>
            </w:r>
            <w:r>
              <w:rPr>
                <w:rFonts w:ascii="宋体" w:hAnsi="宋体" w:cs="宋体" w:eastAsia="宋体" w:hint="default"/>
                <w:sz w:val="21"/>
                <w:szCs w:val="21"/>
              </w:rPr>
              <w:t>01</w:t>
            </w:r>
            <w:r>
              <w:rPr>
                <w:rFonts w:ascii="宋体" w:hAnsi="宋体" w:cs="宋体" w:eastAsia="宋体" w:hint="default"/>
                <w:sz w:val="21"/>
                <w:szCs w:val="21"/>
              </w:rPr>
              <w:t>”债券 </w:t>
            </w:r>
            <w:r>
              <w:rPr>
                <w:rFonts w:ascii="宋体" w:hAnsi="宋体" w:cs="宋体" w:eastAsia="宋体" w:hint="default"/>
                <w:sz w:val="21"/>
                <w:szCs w:val="21"/>
              </w:rPr>
              <w:t>2016</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3</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4</w:t>
            </w:r>
            <w:r>
              <w:rPr>
                <w:rFonts w:ascii="宋体" w:hAnsi="宋体" w:cs="宋体" w:eastAsia="宋体" w:hint="default"/>
                <w:spacing w:val="-53"/>
                <w:sz w:val="21"/>
                <w:szCs w:val="21"/>
              </w:rPr>
              <w:t> </w:t>
            </w:r>
            <w:r>
              <w:rPr>
                <w:rFonts w:ascii="宋体" w:hAnsi="宋体" w:cs="宋体" w:eastAsia="宋体" w:hint="default"/>
                <w:sz w:val="21"/>
                <w:szCs w:val="21"/>
              </w:rPr>
              <w:t>日至</w:t>
            </w:r>
            <w:r>
              <w:rPr>
                <w:rFonts w:ascii="宋体" w:hAnsi="宋体" w:cs="宋体" w:eastAsia="宋体" w:hint="default"/>
                <w:spacing w:val="-54"/>
                <w:sz w:val="21"/>
                <w:szCs w:val="21"/>
              </w:rPr>
              <w:t> </w:t>
            </w:r>
            <w:r>
              <w:rPr>
                <w:rFonts w:ascii="宋体" w:hAnsi="宋体" w:cs="宋体" w:eastAsia="宋体" w:hint="default"/>
                <w:sz w:val="21"/>
                <w:szCs w:val="21"/>
              </w:rPr>
              <w:t>2017</w:t>
            </w:r>
          </w:p>
          <w:p>
            <w:pPr>
              <w:pStyle w:val="TableParagraph"/>
              <w:spacing w:line="240" w:lineRule="auto" w:before="6"/>
              <w:ind w:left="22" w:right="0"/>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3</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3</w:t>
            </w:r>
            <w:r>
              <w:rPr>
                <w:rFonts w:ascii="宋体" w:hAnsi="宋体" w:cs="宋体" w:eastAsia="宋体" w:hint="default"/>
                <w:spacing w:val="-53"/>
                <w:sz w:val="21"/>
                <w:szCs w:val="21"/>
              </w:rPr>
              <w:t> </w:t>
            </w:r>
            <w:r>
              <w:rPr>
                <w:rFonts w:ascii="宋体" w:hAnsi="宋体" w:cs="宋体" w:eastAsia="宋体" w:hint="default"/>
                <w:sz w:val="21"/>
                <w:szCs w:val="21"/>
              </w:rPr>
              <w:t>日期间利息</w:t>
            </w:r>
            <w:r>
              <w:rPr>
                <w:rFonts w:ascii="宋体" w:hAnsi="宋体" w:cs="宋体" w:eastAsia="宋体" w:hint="default"/>
                <w:spacing w:val="-53"/>
                <w:sz w:val="21"/>
                <w:szCs w:val="21"/>
              </w:rPr>
              <w:t> </w:t>
            </w:r>
            <w:r>
              <w:rPr>
                <w:rFonts w:ascii="宋体" w:hAnsi="宋体" w:cs="宋体" w:eastAsia="宋体" w:hint="default"/>
                <w:sz w:val="21"/>
                <w:szCs w:val="21"/>
              </w:rPr>
              <w:t>2,250</w:t>
            </w:r>
            <w:r>
              <w:rPr>
                <w:rFonts w:ascii="宋体" w:hAnsi="宋体" w:cs="宋体" w:eastAsia="宋体" w:hint="default"/>
                <w:spacing w:val="-53"/>
                <w:sz w:val="21"/>
                <w:szCs w:val="21"/>
              </w:rPr>
              <w:t> </w:t>
            </w:r>
            <w:r>
              <w:rPr>
                <w:rFonts w:ascii="宋体" w:hAnsi="宋体" w:cs="宋体" w:eastAsia="宋体" w:hint="default"/>
                <w:sz w:val="21"/>
                <w:szCs w:val="21"/>
              </w:rPr>
              <w:t>万元；公司已于</w:t>
            </w:r>
            <w:r>
              <w:rPr>
                <w:rFonts w:ascii="宋体" w:hAnsi="宋体" w:cs="宋体" w:eastAsia="宋体" w:hint="default"/>
                <w:spacing w:val="-54"/>
                <w:sz w:val="21"/>
                <w:szCs w:val="21"/>
              </w:rPr>
              <w:t> </w:t>
            </w:r>
            <w:r>
              <w:rPr>
                <w:rFonts w:ascii="宋体" w:hAnsi="宋体" w:cs="宋体" w:eastAsia="宋体" w:hint="default"/>
                <w:sz w:val="21"/>
                <w:szCs w:val="21"/>
              </w:rPr>
              <w:t>2017</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3</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3</w:t>
            </w:r>
            <w:r>
              <w:rPr>
                <w:rFonts w:ascii="宋体" w:hAnsi="宋体" w:cs="宋体" w:eastAsia="宋体" w:hint="default"/>
                <w:spacing w:val="-53"/>
                <w:sz w:val="21"/>
                <w:szCs w:val="21"/>
              </w:rPr>
              <w:t> </w:t>
            </w:r>
            <w:r>
              <w:rPr>
                <w:rFonts w:ascii="宋体" w:hAnsi="宋体" w:cs="宋体" w:eastAsia="宋体" w:hint="default"/>
                <w:sz w:val="21"/>
                <w:szCs w:val="21"/>
              </w:rPr>
              <w:t>日赎回“</w:t>
            </w:r>
            <w:r>
              <w:rPr>
                <w:rFonts w:ascii="宋体" w:hAnsi="宋体" w:cs="宋体" w:eastAsia="宋体" w:hint="default"/>
                <w:sz w:val="21"/>
                <w:szCs w:val="21"/>
              </w:rPr>
              <w:t>15</w:t>
            </w:r>
            <w:r>
              <w:rPr>
                <w:rFonts w:ascii="宋体" w:hAnsi="宋体" w:cs="宋体" w:eastAsia="宋体" w:hint="default"/>
                <w:spacing w:val="-53"/>
                <w:sz w:val="21"/>
                <w:szCs w:val="21"/>
              </w:rPr>
              <w:t> </w:t>
            </w:r>
            <w:r>
              <w:rPr>
                <w:rFonts w:ascii="宋体" w:hAnsi="宋体" w:cs="宋体" w:eastAsia="宋体" w:hint="default"/>
                <w:sz w:val="21"/>
                <w:szCs w:val="21"/>
              </w:rPr>
              <w:t>辉煌</w:t>
            </w:r>
            <w:r>
              <w:rPr>
                <w:rFonts w:ascii="宋体" w:hAnsi="宋体" w:cs="宋体" w:eastAsia="宋体" w:hint="default"/>
                <w:spacing w:val="-54"/>
                <w:sz w:val="21"/>
                <w:szCs w:val="21"/>
              </w:rPr>
              <w:t> </w:t>
            </w:r>
            <w:r>
              <w:rPr>
                <w:rFonts w:ascii="宋体" w:hAnsi="宋体" w:cs="宋体" w:eastAsia="宋体" w:hint="default"/>
                <w:sz w:val="21"/>
                <w:szCs w:val="21"/>
              </w:rPr>
              <w:t>01</w:t>
            </w:r>
            <w:r>
              <w:rPr>
                <w:rFonts w:ascii="宋体" w:hAnsi="宋体" w:cs="宋体" w:eastAsia="宋体" w:hint="default"/>
                <w:sz w:val="21"/>
                <w:szCs w:val="21"/>
              </w:rPr>
              <w:t>”</w:t>
            </w:r>
          </w:p>
          <w:p>
            <w:pPr>
              <w:pStyle w:val="TableParagraph"/>
              <w:spacing w:line="240" w:lineRule="auto" w:before="5"/>
              <w:ind w:left="22" w:right="0"/>
              <w:jc w:val="left"/>
              <w:rPr>
                <w:rFonts w:ascii="宋体" w:hAnsi="宋体" w:cs="宋体" w:eastAsia="宋体" w:hint="default"/>
                <w:sz w:val="21"/>
                <w:szCs w:val="21"/>
              </w:rPr>
            </w:pPr>
            <w:r>
              <w:rPr>
                <w:rFonts w:ascii="宋体" w:hAnsi="宋体" w:cs="宋体" w:eastAsia="宋体" w:hint="default"/>
                <w:sz w:val="21"/>
                <w:szCs w:val="21"/>
              </w:rPr>
              <w:t>债券</w:t>
            </w:r>
            <w:r>
              <w:rPr>
                <w:rFonts w:ascii="宋体" w:hAnsi="宋体" w:cs="宋体" w:eastAsia="宋体" w:hint="default"/>
                <w:spacing w:val="-54"/>
                <w:sz w:val="21"/>
                <w:szCs w:val="21"/>
              </w:rPr>
              <w:t> </w:t>
            </w:r>
            <w:r>
              <w:rPr>
                <w:rFonts w:ascii="宋体" w:hAnsi="宋体" w:cs="宋体" w:eastAsia="宋体" w:hint="default"/>
                <w:sz w:val="21"/>
                <w:szCs w:val="21"/>
              </w:rPr>
              <w:t>36</w:t>
            </w:r>
            <w:r>
              <w:rPr>
                <w:rFonts w:ascii="宋体" w:hAnsi="宋体" w:cs="宋体" w:eastAsia="宋体" w:hint="default"/>
                <w:spacing w:val="-53"/>
                <w:sz w:val="21"/>
                <w:szCs w:val="21"/>
              </w:rPr>
              <w:t> </w:t>
            </w:r>
            <w:r>
              <w:rPr>
                <w:rFonts w:ascii="宋体" w:hAnsi="宋体" w:cs="宋体" w:eastAsia="宋体" w:hint="default"/>
                <w:sz w:val="21"/>
                <w:szCs w:val="21"/>
              </w:rPr>
              <w:t>万张，支付</w:t>
            </w:r>
            <w:r>
              <w:rPr>
                <w:rFonts w:ascii="宋体" w:hAnsi="宋体" w:cs="宋体" w:eastAsia="宋体" w:hint="default"/>
                <w:spacing w:val="-53"/>
                <w:sz w:val="21"/>
                <w:szCs w:val="21"/>
              </w:rPr>
              <w:t> </w:t>
            </w:r>
            <w:r>
              <w:rPr>
                <w:rFonts w:ascii="宋体" w:hAnsi="宋体" w:cs="宋体" w:eastAsia="宋体" w:hint="default"/>
                <w:sz w:val="21"/>
                <w:szCs w:val="21"/>
              </w:rPr>
              <w:t>3,600</w:t>
            </w:r>
            <w:r>
              <w:rPr>
                <w:rFonts w:ascii="宋体" w:hAnsi="宋体" w:cs="宋体" w:eastAsia="宋体" w:hint="default"/>
                <w:spacing w:val="-53"/>
                <w:sz w:val="21"/>
                <w:szCs w:val="21"/>
              </w:rPr>
              <w:t> </w:t>
            </w:r>
            <w:r>
              <w:rPr>
                <w:rFonts w:ascii="宋体" w:hAnsi="宋体" w:cs="宋体" w:eastAsia="宋体" w:hint="default"/>
                <w:sz w:val="21"/>
                <w:szCs w:val="21"/>
              </w:rPr>
              <w:t>万元。</w:t>
            </w:r>
          </w:p>
        </w:tc>
      </w:tr>
      <w:tr>
        <w:trPr>
          <w:trHeight w:val="2810" w:hRule="exact"/>
        </w:trPr>
        <w:tc>
          <w:tcPr>
            <w:tcW w:w="234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4" w:lineRule="auto" w:before="156"/>
              <w:ind w:left="22" w:right="22"/>
              <w:jc w:val="left"/>
              <w:rPr>
                <w:rFonts w:ascii="宋体" w:hAnsi="宋体" w:cs="宋体" w:eastAsia="宋体" w:hint="default"/>
                <w:sz w:val="21"/>
                <w:szCs w:val="21"/>
              </w:rPr>
            </w:pPr>
            <w:r>
              <w:rPr>
                <w:rFonts w:ascii="宋体" w:hAnsi="宋体" w:cs="宋体" w:eastAsia="宋体" w:hint="default"/>
                <w:sz w:val="21"/>
                <w:szCs w:val="21"/>
              </w:rPr>
              <w:t>公司债券附发行人或投 </w:t>
            </w:r>
            <w:r>
              <w:rPr>
                <w:rFonts w:ascii="宋体" w:hAnsi="宋体" w:cs="宋体" w:eastAsia="宋体" w:hint="default"/>
                <w:spacing w:val="-3"/>
                <w:sz w:val="21"/>
                <w:szCs w:val="21"/>
              </w:rPr>
              <w:t>资者选择权条款、可交换</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pacing w:val="-3"/>
                <w:sz w:val="21"/>
                <w:szCs w:val="21"/>
              </w:rPr>
              <w:t>条款等特殊条款的，报告</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期内相关条款的执行情 </w:t>
            </w:r>
            <w:r>
              <w:rPr>
                <w:rFonts w:ascii="宋体" w:hAnsi="宋体" w:cs="宋体" w:eastAsia="宋体" w:hint="default"/>
                <w:spacing w:val="-16"/>
                <w:sz w:val="21"/>
                <w:szCs w:val="21"/>
              </w:rPr>
              <w:t>况（如适用）。</w:t>
            </w:r>
          </w:p>
        </w:tc>
        <w:tc>
          <w:tcPr>
            <w:tcW w:w="7442" w:type="dxa"/>
            <w:gridSpan w:val="6"/>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22"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15</w:t>
            </w:r>
            <w:r>
              <w:rPr>
                <w:rFonts w:ascii="宋体" w:hAnsi="宋体" w:cs="宋体" w:eastAsia="宋体" w:hint="default"/>
                <w:spacing w:val="-54"/>
                <w:sz w:val="21"/>
                <w:szCs w:val="21"/>
              </w:rPr>
              <w:t> </w:t>
            </w:r>
            <w:r>
              <w:rPr>
                <w:rFonts w:ascii="宋体" w:hAnsi="宋体" w:cs="宋体" w:eastAsia="宋体" w:hint="default"/>
                <w:sz w:val="21"/>
                <w:szCs w:val="21"/>
              </w:rPr>
              <w:t>辉煌</w:t>
            </w:r>
            <w:r>
              <w:rPr>
                <w:rFonts w:ascii="宋体" w:hAnsi="宋体" w:cs="宋体" w:eastAsia="宋体" w:hint="default"/>
                <w:spacing w:val="-55"/>
                <w:sz w:val="21"/>
                <w:szCs w:val="21"/>
              </w:rPr>
              <w:t> </w:t>
            </w:r>
            <w:r>
              <w:rPr>
                <w:rFonts w:ascii="宋体" w:hAnsi="宋体" w:cs="宋体" w:eastAsia="宋体" w:hint="default"/>
                <w:spacing w:val="-3"/>
                <w:sz w:val="21"/>
                <w:szCs w:val="21"/>
              </w:rPr>
              <w:t>01</w:t>
            </w:r>
            <w:r>
              <w:rPr>
                <w:rFonts w:ascii="宋体" w:hAnsi="宋体" w:cs="宋体" w:eastAsia="宋体" w:hint="default"/>
                <w:spacing w:val="-3"/>
                <w:sz w:val="21"/>
                <w:szCs w:val="21"/>
              </w:rPr>
              <w:t>”为</w:t>
            </w:r>
            <w:r>
              <w:rPr>
                <w:rFonts w:ascii="宋体" w:hAnsi="宋体" w:cs="宋体" w:eastAsia="宋体" w:hint="default"/>
                <w:spacing w:val="-54"/>
                <w:sz w:val="21"/>
                <w:szCs w:val="21"/>
              </w:rPr>
              <w:t> </w:t>
            </w:r>
            <w:r>
              <w:rPr>
                <w:rFonts w:ascii="宋体" w:hAnsi="宋体" w:cs="宋体" w:eastAsia="宋体" w:hint="default"/>
                <w:sz w:val="21"/>
                <w:szCs w:val="21"/>
              </w:rPr>
              <w:t>3</w:t>
            </w:r>
            <w:r>
              <w:rPr>
                <w:rFonts w:ascii="宋体" w:hAnsi="宋体" w:cs="宋体" w:eastAsia="宋体" w:hint="default"/>
                <w:spacing w:val="-4"/>
                <w:sz w:val="21"/>
                <w:szCs w:val="21"/>
              </w:rPr>
              <w:t> </w:t>
            </w:r>
            <w:r>
              <w:rPr>
                <w:rFonts w:ascii="宋体" w:hAnsi="宋体" w:cs="宋体" w:eastAsia="宋体" w:hint="default"/>
                <w:sz w:val="21"/>
                <w:szCs w:val="21"/>
              </w:rPr>
              <w:t>年期债券，附第</w:t>
            </w:r>
            <w:r>
              <w:rPr>
                <w:rFonts w:ascii="宋体" w:hAnsi="宋体" w:cs="宋体" w:eastAsia="宋体" w:hint="default"/>
                <w:spacing w:val="-5"/>
                <w:sz w:val="21"/>
                <w:szCs w:val="21"/>
              </w:rPr>
              <w:t> </w:t>
            </w:r>
            <w:r>
              <w:rPr>
                <w:rFonts w:ascii="宋体" w:hAnsi="宋体" w:cs="宋体" w:eastAsia="宋体" w:hint="default"/>
                <w:sz w:val="21"/>
                <w:szCs w:val="21"/>
              </w:rPr>
              <w:t>2</w:t>
            </w:r>
            <w:r>
              <w:rPr>
                <w:rFonts w:ascii="宋体" w:hAnsi="宋体" w:cs="宋体" w:eastAsia="宋体" w:hint="default"/>
                <w:spacing w:val="-3"/>
                <w:sz w:val="21"/>
                <w:szCs w:val="21"/>
              </w:rPr>
              <w:t> </w:t>
            </w:r>
            <w:r>
              <w:rPr>
                <w:rFonts w:ascii="宋体" w:hAnsi="宋体" w:cs="宋体" w:eastAsia="宋体" w:hint="default"/>
                <w:sz w:val="21"/>
                <w:szCs w:val="21"/>
              </w:rPr>
              <w:t>年末发行人上调票面利率选择权和投资者</w:t>
            </w:r>
          </w:p>
          <w:p>
            <w:pPr>
              <w:pStyle w:val="TableParagraph"/>
              <w:spacing w:line="244" w:lineRule="auto" w:before="4"/>
              <w:ind w:left="22" w:right="22"/>
              <w:jc w:val="left"/>
              <w:rPr>
                <w:rFonts w:ascii="宋体" w:hAnsi="宋体" w:cs="宋体" w:eastAsia="宋体" w:hint="default"/>
                <w:sz w:val="21"/>
                <w:szCs w:val="21"/>
              </w:rPr>
            </w:pPr>
            <w:r>
              <w:rPr>
                <w:rFonts w:ascii="宋体" w:hAnsi="宋体" w:cs="宋体" w:eastAsia="宋体" w:hint="default"/>
                <w:sz w:val="21"/>
                <w:szCs w:val="21"/>
              </w:rPr>
              <w:t>回售选择权。报告期内，公司分别于</w:t>
            </w:r>
            <w:r>
              <w:rPr>
                <w:rFonts w:ascii="宋体" w:hAnsi="宋体" w:cs="宋体" w:eastAsia="宋体" w:hint="default"/>
                <w:spacing w:val="-53"/>
                <w:sz w:val="21"/>
                <w:szCs w:val="21"/>
              </w:rPr>
              <w:t> </w:t>
            </w: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6</w:t>
            </w:r>
            <w:r>
              <w:rPr>
                <w:rFonts w:ascii="宋体" w:hAnsi="宋体" w:cs="宋体" w:eastAsia="宋体" w:hint="default"/>
                <w:spacing w:val="-53"/>
                <w:sz w:val="21"/>
                <w:szCs w:val="21"/>
              </w:rPr>
              <w:t> </w:t>
            </w:r>
            <w:r>
              <w:rPr>
                <w:rFonts w:ascii="宋体" w:hAnsi="宋体" w:cs="宋体" w:eastAsia="宋体" w:hint="default"/>
                <w:sz w:val="21"/>
                <w:szCs w:val="21"/>
              </w:rPr>
              <w:t>日、</w:t>
            </w: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2</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7</w:t>
            </w:r>
            <w:r>
              <w:rPr>
                <w:rFonts w:ascii="宋体" w:hAnsi="宋体" w:cs="宋体" w:eastAsia="宋体" w:hint="default"/>
                <w:spacing w:val="-53"/>
                <w:sz w:val="21"/>
                <w:szCs w:val="21"/>
              </w:rPr>
              <w:t> </w:t>
            </w:r>
            <w:r>
              <w:rPr>
                <w:rFonts w:ascii="宋体" w:hAnsi="宋体" w:cs="宋体" w:eastAsia="宋体" w:hint="default"/>
                <w:sz w:val="21"/>
                <w:szCs w:val="21"/>
              </w:rPr>
              <w:t>日、</w:t>
            </w:r>
            <w:r>
              <w:rPr>
                <w:rFonts w:ascii="宋体" w:hAnsi="宋体" w:cs="宋体" w:eastAsia="宋体" w:hint="default"/>
                <w:sz w:val="21"/>
                <w:szCs w:val="21"/>
              </w:rPr>
              <w:t>2017 </w:t>
            </w:r>
            <w:r>
              <w:rPr>
                <w:rFonts w:ascii="宋体" w:hAnsi="宋体" w:cs="宋体" w:eastAsia="宋体" w:hint="default"/>
                <w:sz w:val="21"/>
                <w:szCs w:val="21"/>
              </w:rPr>
              <w:t>年</w:t>
            </w:r>
            <w:r>
              <w:rPr>
                <w:rFonts w:ascii="宋体" w:hAnsi="宋体" w:cs="宋体" w:eastAsia="宋体" w:hint="default"/>
                <w:spacing w:val="-58"/>
                <w:sz w:val="21"/>
                <w:szCs w:val="21"/>
              </w:rPr>
              <w:t> </w:t>
            </w:r>
            <w:r>
              <w:rPr>
                <w:rFonts w:ascii="宋体" w:hAnsi="宋体" w:cs="宋体" w:eastAsia="宋体" w:hint="default"/>
                <w:sz w:val="21"/>
                <w:szCs w:val="21"/>
              </w:rPr>
              <w:t>2</w:t>
            </w:r>
            <w:r>
              <w:rPr>
                <w:rFonts w:ascii="宋体" w:hAnsi="宋体" w:cs="宋体" w:eastAsia="宋体" w:hint="default"/>
                <w:spacing w:val="-57"/>
                <w:sz w:val="21"/>
                <w:szCs w:val="21"/>
              </w:rPr>
              <w:t> </w:t>
            </w:r>
            <w:r>
              <w:rPr>
                <w:rFonts w:ascii="宋体" w:hAnsi="宋体" w:cs="宋体" w:eastAsia="宋体" w:hint="default"/>
                <w:sz w:val="21"/>
                <w:szCs w:val="21"/>
              </w:rPr>
              <w:t>月</w:t>
            </w:r>
            <w:r>
              <w:rPr>
                <w:rFonts w:ascii="宋体" w:hAnsi="宋体" w:cs="宋体" w:eastAsia="宋体" w:hint="default"/>
                <w:spacing w:val="-59"/>
                <w:sz w:val="21"/>
                <w:szCs w:val="21"/>
              </w:rPr>
              <w:t> </w:t>
            </w:r>
            <w:r>
              <w:rPr>
                <w:rFonts w:ascii="宋体" w:hAnsi="宋体" w:cs="宋体" w:eastAsia="宋体" w:hint="default"/>
                <w:sz w:val="21"/>
                <w:szCs w:val="21"/>
              </w:rPr>
              <w:t>8</w:t>
            </w:r>
            <w:r>
              <w:rPr>
                <w:rFonts w:ascii="宋体" w:hAnsi="宋体" w:cs="宋体" w:eastAsia="宋体" w:hint="default"/>
                <w:spacing w:val="-57"/>
                <w:sz w:val="21"/>
                <w:szCs w:val="21"/>
              </w:rPr>
              <w:t> </w:t>
            </w:r>
            <w:r>
              <w:rPr>
                <w:rFonts w:ascii="宋体" w:hAnsi="宋体" w:cs="宋体" w:eastAsia="宋体" w:hint="default"/>
                <w:spacing w:val="-5"/>
                <w:sz w:val="21"/>
                <w:szCs w:val="21"/>
              </w:rPr>
              <w:t>日发布了关于“</w:t>
            </w:r>
            <w:r>
              <w:rPr>
                <w:rFonts w:ascii="宋体" w:hAnsi="宋体" w:cs="宋体" w:eastAsia="宋体" w:hint="default"/>
                <w:spacing w:val="-5"/>
                <w:sz w:val="21"/>
                <w:szCs w:val="21"/>
              </w:rPr>
              <w:t>15</w:t>
            </w:r>
            <w:r>
              <w:rPr>
                <w:rFonts w:ascii="宋体" w:hAnsi="宋体" w:cs="宋体" w:eastAsia="宋体" w:hint="default"/>
                <w:spacing w:val="-57"/>
                <w:sz w:val="21"/>
                <w:szCs w:val="21"/>
              </w:rPr>
              <w:t> </w:t>
            </w:r>
            <w:r>
              <w:rPr>
                <w:rFonts w:ascii="宋体" w:hAnsi="宋体" w:cs="宋体" w:eastAsia="宋体" w:hint="default"/>
                <w:sz w:val="21"/>
                <w:szCs w:val="21"/>
              </w:rPr>
              <w:t>辉煌</w:t>
            </w:r>
            <w:r>
              <w:rPr>
                <w:rFonts w:ascii="宋体" w:hAnsi="宋体" w:cs="宋体" w:eastAsia="宋体" w:hint="default"/>
                <w:spacing w:val="-58"/>
                <w:sz w:val="21"/>
                <w:szCs w:val="21"/>
              </w:rPr>
              <w:t> </w:t>
            </w:r>
            <w:r>
              <w:rPr>
                <w:rFonts w:ascii="宋体" w:hAnsi="宋体" w:cs="宋体" w:eastAsia="宋体" w:hint="default"/>
                <w:sz w:val="21"/>
                <w:szCs w:val="21"/>
              </w:rPr>
              <w:t>01</w:t>
            </w:r>
            <w:r>
              <w:rPr>
                <w:rFonts w:ascii="宋体" w:hAnsi="宋体" w:cs="宋体" w:eastAsia="宋体" w:hint="default"/>
                <w:sz w:val="21"/>
                <w:szCs w:val="21"/>
              </w:rPr>
              <w:t>”票面利率不调整和投资者回售实施办法的提 示性公告，投资者可在回售登记期内选择将持有的“</w:t>
            </w:r>
            <w:r>
              <w:rPr>
                <w:rFonts w:ascii="宋体" w:hAnsi="宋体" w:cs="宋体" w:eastAsia="宋体" w:hint="default"/>
                <w:sz w:val="21"/>
                <w:szCs w:val="21"/>
              </w:rPr>
              <w:t>15</w:t>
            </w:r>
            <w:r>
              <w:rPr>
                <w:rFonts w:ascii="宋体" w:hAnsi="宋体" w:cs="宋体" w:eastAsia="宋体" w:hint="default"/>
                <w:spacing w:val="-72"/>
                <w:sz w:val="21"/>
                <w:szCs w:val="21"/>
              </w:rPr>
              <w:t> </w:t>
            </w:r>
            <w:r>
              <w:rPr>
                <w:rFonts w:ascii="宋体" w:hAnsi="宋体" w:cs="宋体" w:eastAsia="宋体" w:hint="default"/>
                <w:sz w:val="21"/>
                <w:szCs w:val="21"/>
              </w:rPr>
              <w:t>辉煌</w:t>
            </w:r>
            <w:r>
              <w:rPr>
                <w:rFonts w:ascii="宋体" w:hAnsi="宋体" w:cs="宋体" w:eastAsia="宋体" w:hint="default"/>
                <w:spacing w:val="-72"/>
                <w:sz w:val="21"/>
                <w:szCs w:val="21"/>
              </w:rPr>
              <w:t> </w:t>
            </w:r>
            <w:r>
              <w:rPr>
                <w:rFonts w:ascii="宋体" w:hAnsi="宋体" w:cs="宋体" w:eastAsia="宋体" w:hint="default"/>
                <w:spacing w:val="-3"/>
                <w:sz w:val="21"/>
                <w:szCs w:val="21"/>
              </w:rPr>
              <w:t>01</w:t>
            </w:r>
            <w:r>
              <w:rPr>
                <w:rFonts w:ascii="宋体" w:hAnsi="宋体" w:cs="宋体" w:eastAsia="宋体" w:hint="default"/>
                <w:spacing w:val="-3"/>
                <w:sz w:val="21"/>
                <w:szCs w:val="21"/>
              </w:rPr>
              <w:t>”全部或部分回售</w:t>
            </w:r>
            <w:r>
              <w:rPr>
                <w:rFonts w:ascii="宋体" w:hAnsi="宋体" w:cs="宋体" w:eastAsia="宋体" w:hint="default"/>
                <w:sz w:val="21"/>
                <w:szCs w:val="21"/>
              </w:rPr>
              <w:t> 给公司，回售价格为人民币</w:t>
            </w:r>
            <w:r>
              <w:rPr>
                <w:rFonts w:ascii="宋体" w:hAnsi="宋体" w:cs="宋体" w:eastAsia="宋体" w:hint="default"/>
                <w:spacing w:val="-50"/>
                <w:sz w:val="21"/>
                <w:szCs w:val="21"/>
              </w:rPr>
              <w:t> </w:t>
            </w:r>
            <w:r>
              <w:rPr>
                <w:rFonts w:ascii="宋体" w:hAnsi="宋体" w:cs="宋体" w:eastAsia="宋体" w:hint="default"/>
                <w:sz w:val="21"/>
                <w:szCs w:val="21"/>
              </w:rPr>
              <w:t>100</w:t>
            </w:r>
            <w:r>
              <w:rPr>
                <w:rFonts w:ascii="宋体" w:hAnsi="宋体" w:cs="宋体" w:eastAsia="宋体" w:hint="default"/>
                <w:spacing w:val="-50"/>
                <w:sz w:val="21"/>
                <w:szCs w:val="21"/>
              </w:rPr>
              <w:t> </w:t>
            </w:r>
            <w:r>
              <w:rPr>
                <w:rFonts w:ascii="宋体" w:hAnsi="宋体" w:cs="宋体" w:eastAsia="宋体" w:hint="default"/>
                <w:spacing w:val="-17"/>
                <w:sz w:val="21"/>
                <w:szCs w:val="21"/>
              </w:rPr>
              <w:t>元</w:t>
            </w:r>
            <w:r>
              <w:rPr>
                <w:rFonts w:ascii="宋体" w:hAnsi="宋体" w:cs="宋体" w:eastAsia="宋体" w:hint="default"/>
                <w:spacing w:val="-17"/>
                <w:sz w:val="21"/>
                <w:szCs w:val="21"/>
              </w:rPr>
              <w:t>/</w:t>
            </w:r>
            <w:r>
              <w:rPr>
                <w:rFonts w:ascii="宋体" w:hAnsi="宋体" w:cs="宋体" w:eastAsia="宋体" w:hint="default"/>
                <w:spacing w:val="-17"/>
                <w:sz w:val="21"/>
                <w:szCs w:val="21"/>
              </w:rPr>
              <w:t>张（不含利息），“</w:t>
            </w:r>
            <w:r>
              <w:rPr>
                <w:rFonts w:ascii="宋体" w:hAnsi="宋体" w:cs="宋体" w:eastAsia="宋体" w:hint="default"/>
                <w:spacing w:val="-17"/>
                <w:sz w:val="21"/>
                <w:szCs w:val="21"/>
              </w:rPr>
              <w:t>15</w:t>
            </w:r>
            <w:r>
              <w:rPr>
                <w:rFonts w:ascii="宋体" w:hAnsi="宋体" w:cs="宋体" w:eastAsia="宋体" w:hint="default"/>
                <w:spacing w:val="-50"/>
                <w:sz w:val="21"/>
                <w:szCs w:val="21"/>
              </w:rPr>
              <w:t> </w:t>
            </w:r>
            <w:r>
              <w:rPr>
                <w:rFonts w:ascii="宋体" w:hAnsi="宋体" w:cs="宋体" w:eastAsia="宋体" w:hint="default"/>
                <w:spacing w:val="-1"/>
                <w:sz w:val="21"/>
                <w:szCs w:val="21"/>
              </w:rPr>
              <w:t>辉煌</w:t>
            </w:r>
            <w:r>
              <w:rPr>
                <w:rFonts w:ascii="宋体" w:hAnsi="宋体" w:cs="宋体" w:eastAsia="宋体" w:hint="default"/>
                <w:spacing w:val="-51"/>
                <w:sz w:val="21"/>
                <w:szCs w:val="21"/>
              </w:rPr>
              <w:t> </w:t>
            </w:r>
            <w:r>
              <w:rPr>
                <w:rFonts w:ascii="宋体" w:hAnsi="宋体" w:cs="宋体" w:eastAsia="宋体" w:hint="default"/>
                <w:spacing w:val="-1"/>
                <w:sz w:val="21"/>
                <w:szCs w:val="21"/>
              </w:rPr>
              <w:t>01</w:t>
            </w:r>
            <w:r>
              <w:rPr>
                <w:rFonts w:ascii="宋体" w:hAnsi="宋体" w:cs="宋体" w:eastAsia="宋体" w:hint="default"/>
                <w:spacing w:val="-1"/>
                <w:sz w:val="21"/>
                <w:szCs w:val="21"/>
              </w:rPr>
              <w:t>”回售登记期为</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6</w:t>
            </w:r>
            <w:r>
              <w:rPr>
                <w:rFonts w:ascii="宋体" w:hAnsi="宋体" w:cs="宋体" w:eastAsia="宋体" w:hint="default"/>
                <w:spacing w:val="-53"/>
                <w:sz w:val="21"/>
                <w:szCs w:val="21"/>
              </w:rPr>
              <w:t> </w:t>
            </w:r>
            <w:r>
              <w:rPr>
                <w:rFonts w:ascii="宋体" w:hAnsi="宋体" w:cs="宋体" w:eastAsia="宋体" w:hint="default"/>
                <w:sz w:val="21"/>
                <w:szCs w:val="21"/>
              </w:rPr>
              <w:t>日、</w:t>
            </w:r>
            <w:r>
              <w:rPr>
                <w:rFonts w:ascii="宋体" w:hAnsi="宋体" w:cs="宋体" w:eastAsia="宋体" w:hint="default"/>
                <w:sz w:val="21"/>
                <w:szCs w:val="21"/>
              </w:rPr>
              <w:t>2017</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2</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7</w:t>
            </w:r>
            <w:r>
              <w:rPr>
                <w:rFonts w:ascii="宋体" w:hAnsi="宋体" w:cs="宋体" w:eastAsia="宋体" w:hint="default"/>
                <w:spacing w:val="-53"/>
                <w:sz w:val="21"/>
                <w:szCs w:val="21"/>
              </w:rPr>
              <w:t> </w:t>
            </w:r>
            <w:r>
              <w:rPr>
                <w:rFonts w:ascii="宋体" w:hAnsi="宋体" w:cs="宋体" w:eastAsia="宋体" w:hint="default"/>
                <w:sz w:val="21"/>
                <w:szCs w:val="21"/>
              </w:rPr>
              <w:t>日、</w:t>
            </w: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8</w:t>
            </w:r>
            <w:r>
              <w:rPr>
                <w:rFonts w:ascii="宋体" w:hAnsi="宋体" w:cs="宋体" w:eastAsia="宋体" w:hint="default"/>
                <w:spacing w:val="-53"/>
                <w:sz w:val="21"/>
                <w:szCs w:val="21"/>
              </w:rPr>
              <w:t> </w:t>
            </w:r>
            <w:r>
              <w:rPr>
                <w:rFonts w:ascii="宋体" w:hAnsi="宋体" w:cs="宋体" w:eastAsia="宋体" w:hint="default"/>
                <w:sz w:val="21"/>
                <w:szCs w:val="21"/>
              </w:rPr>
              <w:t>日。根据中国证券登记结算 </w:t>
            </w:r>
            <w:r>
              <w:rPr>
                <w:rFonts w:ascii="宋体" w:hAnsi="宋体" w:cs="宋体" w:eastAsia="宋体" w:hint="default"/>
                <w:spacing w:val="-5"/>
                <w:sz w:val="21"/>
                <w:szCs w:val="21"/>
              </w:rPr>
              <w:t>有限责任公司深圳分公司提供的债券回售申报数据，“</w:t>
            </w:r>
            <w:r>
              <w:rPr>
                <w:rFonts w:ascii="宋体" w:hAnsi="宋体" w:cs="宋体" w:eastAsia="宋体" w:hint="default"/>
                <w:spacing w:val="-5"/>
                <w:sz w:val="21"/>
                <w:szCs w:val="21"/>
              </w:rPr>
              <w:t>15</w:t>
            </w:r>
            <w:r>
              <w:rPr>
                <w:rFonts w:ascii="宋体" w:hAnsi="宋体" w:cs="宋体" w:eastAsia="宋体" w:hint="default"/>
                <w:spacing w:val="-42"/>
                <w:sz w:val="21"/>
                <w:szCs w:val="21"/>
              </w:rPr>
              <w:t> </w:t>
            </w:r>
            <w:r>
              <w:rPr>
                <w:rFonts w:ascii="宋体" w:hAnsi="宋体" w:cs="宋体" w:eastAsia="宋体" w:hint="default"/>
                <w:spacing w:val="-1"/>
                <w:sz w:val="21"/>
                <w:szCs w:val="21"/>
              </w:rPr>
              <w:t>辉煌</w:t>
            </w:r>
            <w:r>
              <w:rPr>
                <w:rFonts w:ascii="宋体" w:hAnsi="宋体" w:cs="宋体" w:eastAsia="宋体" w:hint="default"/>
                <w:spacing w:val="-43"/>
                <w:sz w:val="21"/>
                <w:szCs w:val="21"/>
              </w:rPr>
              <w:t> </w:t>
            </w:r>
            <w:r>
              <w:rPr>
                <w:rFonts w:ascii="宋体" w:hAnsi="宋体" w:cs="宋体" w:eastAsia="宋体" w:hint="default"/>
                <w:spacing w:val="-1"/>
                <w:sz w:val="21"/>
                <w:szCs w:val="21"/>
              </w:rPr>
              <w:t>01</w:t>
            </w:r>
            <w:r>
              <w:rPr>
                <w:rFonts w:ascii="宋体" w:hAnsi="宋体" w:cs="宋体" w:eastAsia="宋体" w:hint="default"/>
                <w:spacing w:val="-1"/>
                <w:sz w:val="21"/>
                <w:szCs w:val="21"/>
              </w:rPr>
              <w:t>”的回售申报数</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量为</w:t>
            </w:r>
            <w:r>
              <w:rPr>
                <w:rFonts w:ascii="宋体" w:hAnsi="宋体" w:cs="宋体" w:eastAsia="宋体" w:hint="default"/>
                <w:spacing w:val="-50"/>
                <w:sz w:val="21"/>
                <w:szCs w:val="21"/>
              </w:rPr>
              <w:t> </w:t>
            </w:r>
            <w:r>
              <w:rPr>
                <w:rFonts w:ascii="宋体" w:hAnsi="宋体" w:cs="宋体" w:eastAsia="宋体" w:hint="default"/>
                <w:sz w:val="21"/>
                <w:szCs w:val="21"/>
              </w:rPr>
              <w:t>360,000</w:t>
            </w:r>
            <w:r>
              <w:rPr>
                <w:rFonts w:ascii="宋体" w:hAnsi="宋体" w:cs="宋体" w:eastAsia="宋体" w:hint="default"/>
                <w:spacing w:val="-49"/>
                <w:sz w:val="21"/>
                <w:szCs w:val="21"/>
              </w:rPr>
              <w:t> </w:t>
            </w:r>
            <w:r>
              <w:rPr>
                <w:rFonts w:ascii="宋体" w:hAnsi="宋体" w:cs="宋体" w:eastAsia="宋体" w:hint="default"/>
                <w:spacing w:val="-1"/>
                <w:sz w:val="21"/>
                <w:szCs w:val="21"/>
              </w:rPr>
              <w:t>张，回售金额为人民币</w:t>
            </w:r>
            <w:r>
              <w:rPr>
                <w:rFonts w:ascii="宋体" w:hAnsi="宋体" w:cs="宋体" w:eastAsia="宋体" w:hint="default"/>
                <w:spacing w:val="-49"/>
                <w:sz w:val="21"/>
                <w:szCs w:val="21"/>
              </w:rPr>
              <w:t> </w:t>
            </w:r>
            <w:r>
              <w:rPr>
                <w:rFonts w:ascii="宋体" w:hAnsi="宋体" w:cs="宋体" w:eastAsia="宋体" w:hint="default"/>
                <w:sz w:val="21"/>
                <w:szCs w:val="21"/>
              </w:rPr>
              <w:t>39,240,000</w:t>
            </w:r>
            <w:r>
              <w:rPr>
                <w:rFonts w:ascii="宋体" w:hAnsi="宋体" w:cs="宋体" w:eastAsia="宋体" w:hint="default"/>
                <w:spacing w:val="-50"/>
                <w:sz w:val="21"/>
                <w:szCs w:val="21"/>
              </w:rPr>
              <w:t> </w:t>
            </w:r>
            <w:r>
              <w:rPr>
                <w:rFonts w:ascii="宋体" w:hAnsi="宋体" w:cs="宋体" w:eastAsia="宋体" w:hint="default"/>
                <w:spacing w:val="-8"/>
                <w:sz w:val="21"/>
                <w:szCs w:val="21"/>
              </w:rPr>
              <w:t>元（包含利息），剩余托管量为</w:t>
            </w:r>
          </w:p>
          <w:p>
            <w:pPr>
              <w:pStyle w:val="TableParagraph"/>
              <w:spacing w:line="244" w:lineRule="auto"/>
              <w:ind w:left="22" w:right="110"/>
              <w:jc w:val="left"/>
              <w:rPr>
                <w:rFonts w:ascii="宋体" w:hAnsi="宋体" w:cs="宋体" w:eastAsia="宋体" w:hint="default"/>
                <w:sz w:val="21"/>
                <w:szCs w:val="21"/>
              </w:rPr>
            </w:pPr>
            <w:r>
              <w:rPr>
                <w:rFonts w:ascii="宋体" w:hAnsi="宋体" w:cs="宋体" w:eastAsia="宋体" w:hint="default"/>
                <w:sz w:val="21"/>
                <w:szCs w:val="21"/>
              </w:rPr>
              <w:t>2,140,000</w:t>
            </w:r>
            <w:r>
              <w:rPr>
                <w:rFonts w:ascii="宋体" w:hAnsi="宋体" w:cs="宋体" w:eastAsia="宋体" w:hint="default"/>
                <w:spacing w:val="-53"/>
                <w:sz w:val="21"/>
                <w:szCs w:val="21"/>
              </w:rPr>
              <w:t> </w:t>
            </w:r>
            <w:r>
              <w:rPr>
                <w:rFonts w:ascii="宋体" w:hAnsi="宋体" w:cs="宋体" w:eastAsia="宋体" w:hint="default"/>
                <w:sz w:val="21"/>
                <w:szCs w:val="21"/>
              </w:rPr>
              <w:t>张；公司已于</w:t>
            </w:r>
            <w:r>
              <w:rPr>
                <w:rFonts w:ascii="宋体" w:hAnsi="宋体" w:cs="宋体" w:eastAsia="宋体" w:hint="default"/>
                <w:spacing w:val="-53"/>
                <w:sz w:val="21"/>
                <w:szCs w:val="21"/>
              </w:rPr>
              <w:t> </w:t>
            </w: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3</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日支付完毕“</w:t>
            </w:r>
            <w:r>
              <w:rPr>
                <w:rFonts w:ascii="宋体" w:hAnsi="宋体" w:cs="宋体" w:eastAsia="宋体" w:hint="default"/>
                <w:sz w:val="21"/>
                <w:szCs w:val="21"/>
              </w:rPr>
              <w:t>15</w:t>
            </w:r>
            <w:r>
              <w:rPr>
                <w:rFonts w:ascii="宋体" w:hAnsi="宋体" w:cs="宋体" w:eastAsia="宋体" w:hint="default"/>
                <w:spacing w:val="-53"/>
                <w:sz w:val="21"/>
                <w:szCs w:val="21"/>
              </w:rPr>
              <w:t> </w:t>
            </w:r>
            <w:r>
              <w:rPr>
                <w:rFonts w:ascii="宋体" w:hAnsi="宋体" w:cs="宋体" w:eastAsia="宋体" w:hint="default"/>
                <w:sz w:val="21"/>
                <w:szCs w:val="21"/>
              </w:rPr>
              <w:t>辉煌</w:t>
            </w:r>
            <w:r>
              <w:rPr>
                <w:rFonts w:ascii="宋体" w:hAnsi="宋体" w:cs="宋体" w:eastAsia="宋体" w:hint="default"/>
                <w:spacing w:val="-54"/>
                <w:sz w:val="21"/>
                <w:szCs w:val="21"/>
              </w:rPr>
              <w:t> </w:t>
            </w:r>
            <w:r>
              <w:rPr>
                <w:rFonts w:ascii="宋体" w:hAnsi="宋体" w:cs="宋体" w:eastAsia="宋体" w:hint="default"/>
                <w:sz w:val="21"/>
                <w:szCs w:val="21"/>
              </w:rPr>
              <w:t>01</w:t>
            </w:r>
            <w:r>
              <w:rPr>
                <w:rFonts w:ascii="宋体" w:hAnsi="宋体" w:cs="宋体" w:eastAsia="宋体" w:hint="default"/>
                <w:sz w:val="21"/>
                <w:szCs w:val="21"/>
              </w:rPr>
              <w:t>”发行</w:t>
            </w:r>
            <w:r>
              <w:rPr>
                <w:rFonts w:ascii="宋体" w:hAnsi="宋体" w:cs="宋体" w:eastAsia="宋体" w:hint="default"/>
                <w:spacing w:val="-54"/>
                <w:sz w:val="21"/>
                <w:szCs w:val="21"/>
              </w:rPr>
              <w:t> </w:t>
            </w:r>
            <w:r>
              <w:rPr>
                <w:rFonts w:ascii="宋体" w:hAnsi="宋体" w:cs="宋体" w:eastAsia="宋体" w:hint="default"/>
                <w:sz w:val="21"/>
                <w:szCs w:val="21"/>
              </w:rPr>
              <w:t>2</w:t>
            </w:r>
            <w:r>
              <w:rPr>
                <w:rFonts w:ascii="宋体" w:hAnsi="宋体" w:cs="宋体" w:eastAsia="宋体" w:hint="default"/>
                <w:spacing w:val="-53"/>
                <w:sz w:val="21"/>
                <w:szCs w:val="21"/>
              </w:rPr>
              <w:t> </w:t>
            </w:r>
            <w:r>
              <w:rPr>
                <w:rFonts w:ascii="宋体" w:hAnsi="宋体" w:cs="宋体" w:eastAsia="宋体" w:hint="default"/>
                <w:sz w:val="21"/>
                <w:szCs w:val="21"/>
              </w:rPr>
              <w:t>年末投 资者的回售款。</w:t>
            </w:r>
          </w:p>
        </w:tc>
      </w:tr>
    </w:tbl>
    <w:p>
      <w:pPr>
        <w:spacing w:line="240" w:lineRule="auto" w:before="12"/>
        <w:rPr>
          <w:rFonts w:ascii="宋体" w:hAnsi="宋体" w:cs="宋体" w:eastAsia="宋体" w:hint="default"/>
          <w:b/>
          <w:bCs/>
          <w:sz w:val="17"/>
          <w:szCs w:val="17"/>
        </w:rPr>
      </w:pPr>
    </w:p>
    <w:p>
      <w:pPr>
        <w:pStyle w:val="Heading2"/>
        <w:spacing w:line="240" w:lineRule="auto"/>
        <w:ind w:left="194" w:right="1153"/>
        <w:jc w:val="left"/>
        <w:rPr>
          <w:b w:val="0"/>
          <w:bCs w:val="0"/>
        </w:rPr>
      </w:pPr>
      <w:bookmarkStart w:name="二、债券受托管理人和资信评级机构信息" w:id="174"/>
      <w:bookmarkEnd w:id="174"/>
      <w:r>
        <w:rPr>
          <w:b w:val="0"/>
          <w:bCs w:val="0"/>
        </w:rPr>
      </w:r>
      <w:r>
        <w:rPr/>
        <w:t>二、债券受托管理人和资信评级机构信息</w:t>
      </w:r>
      <w:r>
        <w:rPr>
          <w:b w:val="0"/>
          <w:bCs w:val="0"/>
        </w:rPr>
      </w:r>
    </w:p>
    <w:p>
      <w:pPr>
        <w:spacing w:line="240" w:lineRule="auto" w:before="11"/>
        <w:rPr>
          <w:rFonts w:ascii="宋体" w:hAnsi="宋体" w:cs="宋体" w:eastAsia="宋体" w:hint="default"/>
          <w:b/>
          <w:bCs/>
          <w:sz w:val="25"/>
          <w:szCs w:val="25"/>
        </w:rPr>
      </w:pPr>
    </w:p>
    <w:tbl>
      <w:tblPr>
        <w:tblW w:w="0" w:type="auto"/>
        <w:jc w:val="left"/>
        <w:tblInd w:w="200" w:type="dxa"/>
        <w:tblLayout w:type="fixed"/>
        <w:tblCellMar>
          <w:top w:w="0" w:type="dxa"/>
          <w:left w:w="0" w:type="dxa"/>
          <w:bottom w:w="0" w:type="dxa"/>
          <w:right w:w="0" w:type="dxa"/>
        </w:tblCellMar>
        <w:tblLook w:val="01E0"/>
      </w:tblPr>
      <w:tblGrid>
        <w:gridCol w:w="983"/>
        <w:gridCol w:w="197"/>
        <w:gridCol w:w="1219"/>
        <w:gridCol w:w="840"/>
        <w:gridCol w:w="873"/>
        <w:gridCol w:w="1253"/>
        <w:gridCol w:w="154"/>
        <w:gridCol w:w="708"/>
        <w:gridCol w:w="1429"/>
        <w:gridCol w:w="827"/>
        <w:gridCol w:w="426"/>
        <w:gridCol w:w="1146"/>
      </w:tblGrid>
      <w:tr>
        <w:trPr>
          <w:trHeight w:val="397" w:hRule="exact"/>
        </w:trPr>
        <w:tc>
          <w:tcPr>
            <w:tcW w:w="10055"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债券受托管理人：</w:t>
            </w:r>
          </w:p>
        </w:tc>
      </w:tr>
      <w:tr>
        <w:trPr>
          <w:trHeight w:val="167" w:hRule="exact"/>
        </w:trPr>
        <w:tc>
          <w:tcPr>
            <w:tcW w:w="983"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9" w:space="0" w:color="D2D2D2"/>
              <w:right w:val="single" w:sz="10" w:space="0" w:color="D2D2D2"/>
            </w:tcBorders>
          </w:tcPr>
          <w:p>
            <w:pPr>
              <w:pStyle w:val="TableParagraph"/>
              <w:spacing w:line="240" w:lineRule="auto" w:before="5"/>
              <w:ind w:right="0"/>
              <w:jc w:val="left"/>
              <w:rPr>
                <w:rFonts w:ascii="宋体" w:hAnsi="宋体" w:cs="宋体" w:eastAsia="宋体" w:hint="default"/>
                <w:b/>
                <w:bCs/>
                <w:sz w:val="14"/>
                <w:szCs w:val="14"/>
              </w:rPr>
            </w:pPr>
          </w:p>
          <w:p>
            <w:pPr>
              <w:pStyle w:val="TableParagraph"/>
              <w:spacing w:line="273" w:lineRule="auto"/>
              <w:ind w:left="16" w:right="114"/>
              <w:jc w:val="left"/>
              <w:rPr>
                <w:rFonts w:ascii="宋体" w:hAnsi="宋体" w:cs="宋体" w:eastAsia="宋体" w:hint="default"/>
                <w:sz w:val="21"/>
                <w:szCs w:val="21"/>
              </w:rPr>
            </w:pPr>
            <w:r>
              <w:rPr>
                <w:rFonts w:ascii="宋体" w:hAnsi="宋体" w:cs="宋体" w:eastAsia="宋体" w:hint="default"/>
                <w:sz w:val="21"/>
                <w:szCs w:val="21"/>
              </w:rPr>
              <w:t>中原证券股份 有限公司</w:t>
            </w:r>
          </w:p>
        </w:tc>
        <w:tc>
          <w:tcPr>
            <w:tcW w:w="840" w:type="dxa"/>
            <w:tcBorders>
              <w:top w:val="single" w:sz="4" w:space="0" w:color="000000"/>
              <w:left w:val="single" w:sz="4" w:space="0" w:color="000000"/>
              <w:bottom w:val="nil" w:sz="6" w:space="0" w:color="auto"/>
              <w:right w:val="single" w:sz="4" w:space="0" w:color="000000"/>
            </w:tcBorders>
            <w:shd w:val="clear" w:color="auto" w:fill="D2D2D2"/>
          </w:tcPr>
          <w:p>
            <w:pPr/>
          </w:p>
        </w:tc>
        <w:tc>
          <w:tcPr>
            <w:tcW w:w="2280" w:type="dxa"/>
            <w:gridSpan w:val="3"/>
            <w:vMerge w:val="restart"/>
            <w:tcBorders>
              <w:top w:val="single" w:sz="4" w:space="0" w:color="000000"/>
              <w:left w:val="single" w:sz="9" w:space="0" w:color="D2D2D2"/>
              <w:right w:val="single" w:sz="9" w:space="0" w:color="D2D2D2"/>
            </w:tcBorders>
          </w:tcPr>
          <w:p>
            <w:pPr>
              <w:pStyle w:val="TableParagraph"/>
              <w:spacing w:line="273" w:lineRule="auto" w:before="32"/>
              <w:ind w:left="28" w:right="21"/>
              <w:jc w:val="left"/>
              <w:rPr>
                <w:rFonts w:ascii="宋体" w:hAnsi="宋体" w:cs="宋体" w:eastAsia="宋体" w:hint="default"/>
                <w:sz w:val="21"/>
                <w:szCs w:val="21"/>
              </w:rPr>
            </w:pPr>
            <w:r>
              <w:rPr>
                <w:rFonts w:ascii="宋体" w:hAnsi="宋体" w:cs="宋体" w:eastAsia="宋体" w:hint="default"/>
                <w:sz w:val="21"/>
                <w:szCs w:val="21"/>
              </w:rPr>
              <w:t>河南省郑州市郑东新区 商务外环路</w:t>
            </w:r>
            <w:r>
              <w:rPr>
                <w:rFonts w:ascii="宋体" w:hAnsi="宋体" w:cs="宋体" w:eastAsia="宋体" w:hint="default"/>
                <w:spacing w:val="-53"/>
                <w:sz w:val="21"/>
                <w:szCs w:val="21"/>
              </w:rPr>
              <w:t> </w:t>
            </w:r>
            <w:r>
              <w:rPr>
                <w:rFonts w:ascii="宋体" w:hAnsi="宋体" w:cs="宋体" w:eastAsia="宋体" w:hint="default"/>
                <w:sz w:val="21"/>
                <w:szCs w:val="21"/>
              </w:rPr>
              <w:t>10</w:t>
            </w:r>
            <w:r>
              <w:rPr>
                <w:rFonts w:ascii="宋体" w:hAnsi="宋体" w:cs="宋体" w:eastAsia="宋体" w:hint="default"/>
                <w:spacing w:val="-53"/>
                <w:sz w:val="21"/>
                <w:szCs w:val="21"/>
              </w:rPr>
              <w:t> </w:t>
            </w:r>
            <w:r>
              <w:rPr>
                <w:rFonts w:ascii="宋体" w:hAnsi="宋体" w:cs="宋体" w:eastAsia="宋体" w:hint="default"/>
                <w:sz w:val="21"/>
                <w:szCs w:val="21"/>
              </w:rPr>
              <w:t>号中原广 发金融大厦</w:t>
            </w:r>
          </w:p>
        </w:tc>
        <w:tc>
          <w:tcPr>
            <w:tcW w:w="708" w:type="dxa"/>
            <w:vMerge w:val="restart"/>
            <w:tcBorders>
              <w:top w:val="single" w:sz="4" w:space="0" w:color="000000"/>
              <w:left w:val="single" w:sz="4" w:space="0" w:color="000000"/>
              <w:right w:val="single" w:sz="4" w:space="0" w:color="000000"/>
            </w:tcBorders>
            <w:shd w:val="clear" w:color="auto" w:fill="D2D2D2"/>
          </w:tcPr>
          <w:p>
            <w:pPr/>
          </w:p>
        </w:tc>
        <w:tc>
          <w:tcPr>
            <w:tcW w:w="1429" w:type="dxa"/>
            <w:vMerge w:val="restart"/>
            <w:tcBorders>
              <w:top w:val="single" w:sz="4" w:space="0" w:color="000000"/>
              <w:left w:val="single" w:sz="9" w:space="0" w:color="D2D2D2"/>
              <w:right w:val="single" w:sz="9" w:space="0" w:color="D2D2D2"/>
            </w:tcBorders>
          </w:tcPr>
          <w:p>
            <w:pPr>
              <w:pStyle w:val="TableParagraph"/>
              <w:spacing w:line="240" w:lineRule="auto" w:before="4"/>
              <w:ind w:right="0"/>
              <w:jc w:val="left"/>
              <w:rPr>
                <w:rFonts w:ascii="宋体" w:hAnsi="宋体" w:cs="宋体" w:eastAsia="宋体" w:hint="default"/>
                <w:b/>
                <w:bCs/>
                <w:sz w:val="26"/>
                <w:szCs w:val="26"/>
              </w:rPr>
            </w:pPr>
          </w:p>
          <w:p>
            <w:pPr>
              <w:pStyle w:val="TableParagraph"/>
              <w:spacing w:line="240" w:lineRule="auto"/>
              <w:ind w:left="16" w:right="0"/>
              <w:jc w:val="left"/>
              <w:rPr>
                <w:rFonts w:ascii="宋体" w:hAnsi="宋体" w:cs="宋体" w:eastAsia="宋体" w:hint="default"/>
                <w:sz w:val="21"/>
                <w:szCs w:val="21"/>
              </w:rPr>
            </w:pPr>
            <w:r>
              <w:rPr>
                <w:rFonts w:ascii="宋体" w:hAnsi="宋体" w:cs="宋体" w:eastAsia="宋体" w:hint="default"/>
                <w:sz w:val="21"/>
                <w:szCs w:val="21"/>
              </w:rPr>
              <w:t>王风雷、韩佳</w:t>
            </w:r>
          </w:p>
        </w:tc>
        <w:tc>
          <w:tcPr>
            <w:tcW w:w="827" w:type="dxa"/>
            <w:tcBorders>
              <w:top w:val="single" w:sz="4" w:space="0" w:color="000000"/>
              <w:left w:val="single" w:sz="4" w:space="0" w:color="000000"/>
              <w:bottom w:val="nil" w:sz="6" w:space="0" w:color="auto"/>
              <w:right w:val="single" w:sz="4" w:space="0" w:color="000000"/>
            </w:tcBorders>
            <w:shd w:val="clear" w:color="auto" w:fill="D2D2D2"/>
          </w:tcPr>
          <w:p>
            <w:pPr/>
          </w:p>
        </w:tc>
        <w:tc>
          <w:tcPr>
            <w:tcW w:w="1572" w:type="dxa"/>
            <w:gridSpan w:val="2"/>
            <w:vMerge w:val="restart"/>
            <w:tcBorders>
              <w:top w:val="single" w:sz="4" w:space="0" w:color="000000"/>
              <w:left w:val="single" w:sz="9" w:space="0" w:color="D2D2D2"/>
              <w:right w:val="single" w:sz="4" w:space="0" w:color="000000"/>
            </w:tcBorders>
          </w:tcPr>
          <w:p>
            <w:pPr>
              <w:pStyle w:val="TableParagraph"/>
              <w:spacing w:line="240" w:lineRule="auto" w:before="4"/>
              <w:ind w:right="0"/>
              <w:jc w:val="left"/>
              <w:rPr>
                <w:rFonts w:ascii="宋体" w:hAnsi="宋体" w:cs="宋体" w:eastAsia="宋体" w:hint="default"/>
                <w:b/>
                <w:bCs/>
                <w:sz w:val="26"/>
                <w:szCs w:val="26"/>
              </w:rPr>
            </w:pPr>
          </w:p>
          <w:p>
            <w:pPr>
              <w:pStyle w:val="TableParagraph"/>
              <w:spacing w:line="240" w:lineRule="auto"/>
              <w:ind w:left="28" w:right="0"/>
              <w:jc w:val="left"/>
              <w:rPr>
                <w:rFonts w:ascii="宋体" w:hAnsi="宋体" w:cs="宋体" w:eastAsia="宋体" w:hint="default"/>
                <w:sz w:val="21"/>
                <w:szCs w:val="21"/>
              </w:rPr>
            </w:pPr>
            <w:r>
              <w:rPr>
                <w:rFonts w:ascii="宋体"/>
                <w:sz w:val="21"/>
              </w:rPr>
              <w:t>0371-65585033</w:t>
            </w:r>
          </w:p>
        </w:tc>
      </w:tr>
      <w:tr>
        <w:trPr>
          <w:trHeight w:val="156" w:hRule="exact"/>
        </w:trPr>
        <w:tc>
          <w:tcPr>
            <w:tcW w:w="983"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9" w:space="0" w:color="D2D2D2"/>
              <w:right w:val="single" w:sz="10" w:space="0" w:color="D2D2D2"/>
            </w:tcBorders>
          </w:tcPr>
          <w:p>
            <w:pPr/>
          </w:p>
        </w:tc>
        <w:tc>
          <w:tcPr>
            <w:tcW w:w="840" w:type="dxa"/>
            <w:vMerge w:val="restart"/>
            <w:tcBorders>
              <w:top w:val="nil" w:sz="6" w:space="0" w:color="auto"/>
              <w:left w:val="single" w:sz="4" w:space="0" w:color="000000"/>
              <w:right w:val="single" w:sz="4" w:space="0" w:color="000000"/>
            </w:tcBorders>
            <w:shd w:val="clear" w:color="auto" w:fill="D2D2D2"/>
          </w:tcPr>
          <w:p>
            <w:pPr>
              <w:pStyle w:val="TableParagraph"/>
              <w:spacing w:line="273" w:lineRule="auto" w:before="26"/>
              <w:ind w:left="11" w:right="186"/>
              <w:jc w:val="left"/>
              <w:rPr>
                <w:rFonts w:ascii="宋体" w:hAnsi="宋体" w:cs="宋体" w:eastAsia="宋体" w:hint="default"/>
                <w:sz w:val="21"/>
                <w:szCs w:val="21"/>
              </w:rPr>
            </w:pPr>
            <w:r>
              <w:rPr>
                <w:rFonts w:ascii="宋体" w:hAnsi="宋体" w:cs="宋体" w:eastAsia="宋体" w:hint="default"/>
                <w:sz w:val="21"/>
                <w:szCs w:val="21"/>
              </w:rPr>
              <w:t>办公地 址</w:t>
            </w:r>
          </w:p>
        </w:tc>
        <w:tc>
          <w:tcPr>
            <w:tcW w:w="2280" w:type="dxa"/>
            <w:gridSpan w:val="3"/>
            <w:vMerge/>
            <w:tcBorders>
              <w:left w:val="single" w:sz="9" w:space="0" w:color="D2D2D2"/>
              <w:right w:val="single" w:sz="9" w:space="0" w:color="D2D2D2"/>
            </w:tcBorders>
          </w:tcPr>
          <w:p>
            <w:pPr/>
          </w:p>
        </w:tc>
        <w:tc>
          <w:tcPr>
            <w:tcW w:w="708" w:type="dxa"/>
            <w:vMerge/>
            <w:tcBorders>
              <w:left w:val="single" w:sz="4" w:space="0" w:color="000000"/>
              <w:bottom w:val="nil" w:sz="6" w:space="0" w:color="auto"/>
              <w:right w:val="single" w:sz="4" w:space="0" w:color="000000"/>
            </w:tcBorders>
            <w:shd w:val="clear" w:color="auto" w:fill="D2D2D2"/>
          </w:tcPr>
          <w:p>
            <w:pPr/>
          </w:p>
        </w:tc>
        <w:tc>
          <w:tcPr>
            <w:tcW w:w="1429" w:type="dxa"/>
            <w:vMerge/>
            <w:tcBorders>
              <w:left w:val="single" w:sz="9" w:space="0" w:color="D2D2D2"/>
              <w:right w:val="single" w:sz="9" w:space="0" w:color="D2D2D2"/>
            </w:tcBorders>
          </w:tcPr>
          <w:p>
            <w:pPr/>
          </w:p>
        </w:tc>
        <w:tc>
          <w:tcPr>
            <w:tcW w:w="827" w:type="dxa"/>
            <w:vMerge w:val="restart"/>
            <w:tcBorders>
              <w:top w:val="nil" w:sz="6" w:space="0" w:color="auto"/>
              <w:left w:val="single" w:sz="4" w:space="0" w:color="000000"/>
              <w:right w:val="single" w:sz="4" w:space="0" w:color="000000"/>
            </w:tcBorders>
            <w:shd w:val="clear" w:color="auto" w:fill="D2D2D2"/>
          </w:tcPr>
          <w:p>
            <w:pPr>
              <w:pStyle w:val="TableParagraph"/>
              <w:spacing w:line="273" w:lineRule="auto" w:before="26"/>
              <w:ind w:left="11" w:right="174"/>
              <w:jc w:val="left"/>
              <w:rPr>
                <w:rFonts w:ascii="宋体" w:hAnsi="宋体" w:cs="宋体" w:eastAsia="宋体" w:hint="default"/>
                <w:sz w:val="21"/>
                <w:szCs w:val="21"/>
              </w:rPr>
            </w:pPr>
            <w:r>
              <w:rPr>
                <w:rFonts w:ascii="宋体" w:hAnsi="宋体" w:cs="宋体" w:eastAsia="宋体" w:hint="default"/>
                <w:sz w:val="21"/>
                <w:szCs w:val="21"/>
              </w:rPr>
              <w:t>联系人 电话</w:t>
            </w:r>
          </w:p>
        </w:tc>
        <w:tc>
          <w:tcPr>
            <w:tcW w:w="1572" w:type="dxa"/>
            <w:gridSpan w:val="2"/>
            <w:vMerge/>
            <w:tcBorders>
              <w:left w:val="single" w:sz="9" w:space="0" w:color="D2D2D2"/>
              <w:right w:val="single" w:sz="4" w:space="0" w:color="000000"/>
            </w:tcBorders>
          </w:tcPr>
          <w:p>
            <w:pPr/>
          </w:p>
        </w:tc>
      </w:tr>
      <w:tr>
        <w:trPr>
          <w:trHeight w:val="391" w:hRule="exact"/>
        </w:trPr>
        <w:tc>
          <w:tcPr>
            <w:tcW w:w="98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名称</w:t>
            </w:r>
          </w:p>
        </w:tc>
        <w:tc>
          <w:tcPr>
            <w:tcW w:w="1416" w:type="dxa"/>
            <w:gridSpan w:val="2"/>
            <w:vMerge/>
            <w:tcBorders>
              <w:left w:val="single" w:sz="9" w:space="0" w:color="D2D2D2"/>
              <w:right w:val="single" w:sz="10" w:space="0" w:color="D2D2D2"/>
            </w:tcBorders>
          </w:tcPr>
          <w:p>
            <w:pPr/>
          </w:p>
        </w:tc>
        <w:tc>
          <w:tcPr>
            <w:tcW w:w="840" w:type="dxa"/>
            <w:vMerge/>
            <w:tcBorders>
              <w:left w:val="single" w:sz="4" w:space="0" w:color="000000"/>
              <w:right w:val="single" w:sz="4" w:space="0" w:color="000000"/>
            </w:tcBorders>
            <w:shd w:val="clear" w:color="auto" w:fill="D2D2D2"/>
          </w:tcPr>
          <w:p>
            <w:pPr/>
          </w:p>
        </w:tc>
        <w:tc>
          <w:tcPr>
            <w:tcW w:w="2280" w:type="dxa"/>
            <w:gridSpan w:val="3"/>
            <w:vMerge/>
            <w:tcBorders>
              <w:left w:val="single" w:sz="9" w:space="0" w:color="D2D2D2"/>
              <w:right w:val="single" w:sz="9" w:space="0" w:color="D2D2D2"/>
            </w:tcBorders>
          </w:tcPr>
          <w:p>
            <w:pPr/>
          </w:p>
        </w:tc>
        <w:tc>
          <w:tcPr>
            <w:tcW w:w="708" w:type="dxa"/>
            <w:tcBorders>
              <w:top w:val="nil" w:sz="6" w:space="0" w:color="auto"/>
              <w:left w:val="single" w:sz="9" w:space="0" w:color="D2D2D2"/>
              <w:bottom w:val="nil" w:sz="6" w:space="0" w:color="auto"/>
              <w:right w:val="single" w:sz="13" w:space="0" w:color="D2D2D2"/>
            </w:tcBorders>
          </w:tcPr>
          <w:p>
            <w:pPr>
              <w:pStyle w:val="TableParagraph"/>
              <w:spacing w:line="240" w:lineRule="auto" w:before="26"/>
              <w:ind w:left="16" w:right="0"/>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shd w:fill="D2D2D2" w:color="auto" w:val="clear"/>
              </w:rPr>
              <w:t>联系人</w:t>
            </w:r>
            <w:r>
              <w:rPr>
                <w:rFonts w:ascii="宋体" w:hAnsi="宋体" w:cs="宋体" w:eastAsia="宋体" w:hint="default"/>
                <w:sz w:val="21"/>
                <w:szCs w:val="21"/>
              </w:rPr>
            </w:r>
          </w:p>
        </w:tc>
        <w:tc>
          <w:tcPr>
            <w:tcW w:w="1429" w:type="dxa"/>
            <w:vMerge/>
            <w:tcBorders>
              <w:left w:val="single" w:sz="9" w:space="0" w:color="D2D2D2"/>
              <w:right w:val="single" w:sz="9" w:space="0" w:color="D2D2D2"/>
            </w:tcBorders>
          </w:tcPr>
          <w:p>
            <w:pPr/>
          </w:p>
        </w:tc>
        <w:tc>
          <w:tcPr>
            <w:tcW w:w="827" w:type="dxa"/>
            <w:vMerge/>
            <w:tcBorders>
              <w:left w:val="single" w:sz="4" w:space="0" w:color="000000"/>
              <w:right w:val="single" w:sz="4" w:space="0" w:color="000000"/>
            </w:tcBorders>
            <w:shd w:val="clear" w:color="auto" w:fill="D2D2D2"/>
          </w:tcPr>
          <w:p>
            <w:pPr/>
          </w:p>
        </w:tc>
        <w:tc>
          <w:tcPr>
            <w:tcW w:w="1572" w:type="dxa"/>
            <w:gridSpan w:val="2"/>
            <w:vMerge/>
            <w:tcBorders>
              <w:left w:val="single" w:sz="9" w:space="0" w:color="D2D2D2"/>
              <w:right w:val="single" w:sz="4" w:space="0" w:color="000000"/>
            </w:tcBorders>
          </w:tcPr>
          <w:p>
            <w:pPr/>
          </w:p>
        </w:tc>
      </w:tr>
      <w:tr>
        <w:trPr>
          <w:trHeight w:val="156" w:hRule="exact"/>
        </w:trPr>
        <w:tc>
          <w:tcPr>
            <w:tcW w:w="983" w:type="dxa"/>
            <w:vMerge w:val="restart"/>
            <w:tcBorders>
              <w:top w:val="nil" w:sz="6" w:space="0" w:color="auto"/>
              <w:left w:val="single" w:sz="4" w:space="0" w:color="000000"/>
              <w:right w:val="single" w:sz="4" w:space="0" w:color="000000"/>
            </w:tcBorders>
            <w:shd w:val="clear" w:color="auto" w:fill="D2D2D2"/>
          </w:tcPr>
          <w:p>
            <w:pPr/>
          </w:p>
        </w:tc>
        <w:tc>
          <w:tcPr>
            <w:tcW w:w="1416" w:type="dxa"/>
            <w:gridSpan w:val="2"/>
            <w:vMerge/>
            <w:tcBorders>
              <w:left w:val="single" w:sz="9" w:space="0" w:color="D2D2D2"/>
              <w:right w:val="single" w:sz="10" w:space="0" w:color="D2D2D2"/>
            </w:tcBorders>
          </w:tcPr>
          <w:p>
            <w:pPr/>
          </w:p>
        </w:tc>
        <w:tc>
          <w:tcPr>
            <w:tcW w:w="840" w:type="dxa"/>
            <w:vMerge/>
            <w:tcBorders>
              <w:left w:val="single" w:sz="4" w:space="0" w:color="000000"/>
              <w:bottom w:val="nil" w:sz="6" w:space="0" w:color="auto"/>
              <w:right w:val="single" w:sz="4" w:space="0" w:color="000000"/>
            </w:tcBorders>
            <w:shd w:val="clear" w:color="auto" w:fill="D2D2D2"/>
          </w:tcPr>
          <w:p>
            <w:pPr/>
          </w:p>
        </w:tc>
        <w:tc>
          <w:tcPr>
            <w:tcW w:w="2280" w:type="dxa"/>
            <w:gridSpan w:val="3"/>
            <w:vMerge/>
            <w:tcBorders>
              <w:left w:val="single" w:sz="9" w:space="0" w:color="D2D2D2"/>
              <w:right w:val="single" w:sz="9" w:space="0" w:color="D2D2D2"/>
            </w:tcBorders>
          </w:tcPr>
          <w:p>
            <w:pPr/>
          </w:p>
        </w:tc>
        <w:tc>
          <w:tcPr>
            <w:tcW w:w="708" w:type="dxa"/>
            <w:vMerge w:val="restart"/>
            <w:tcBorders>
              <w:top w:val="nil" w:sz="6" w:space="0" w:color="auto"/>
              <w:left w:val="single" w:sz="4" w:space="0" w:color="000000"/>
              <w:right w:val="single" w:sz="4" w:space="0" w:color="000000"/>
            </w:tcBorders>
            <w:shd w:val="clear" w:color="auto" w:fill="D2D2D2"/>
          </w:tcPr>
          <w:p>
            <w:pPr/>
          </w:p>
        </w:tc>
        <w:tc>
          <w:tcPr>
            <w:tcW w:w="1429" w:type="dxa"/>
            <w:vMerge/>
            <w:tcBorders>
              <w:left w:val="single" w:sz="9" w:space="0" w:color="D2D2D2"/>
              <w:right w:val="single" w:sz="9" w:space="0" w:color="D2D2D2"/>
            </w:tcBorders>
          </w:tcPr>
          <w:p>
            <w:pPr/>
          </w:p>
        </w:tc>
        <w:tc>
          <w:tcPr>
            <w:tcW w:w="827" w:type="dxa"/>
            <w:vMerge/>
            <w:tcBorders>
              <w:left w:val="single" w:sz="4" w:space="0" w:color="000000"/>
              <w:bottom w:val="nil" w:sz="6" w:space="0" w:color="auto"/>
              <w:right w:val="single" w:sz="4" w:space="0" w:color="000000"/>
            </w:tcBorders>
            <w:shd w:val="clear" w:color="auto" w:fill="D2D2D2"/>
          </w:tcPr>
          <w:p>
            <w:pPr/>
          </w:p>
        </w:tc>
        <w:tc>
          <w:tcPr>
            <w:tcW w:w="1572" w:type="dxa"/>
            <w:gridSpan w:val="2"/>
            <w:vMerge/>
            <w:tcBorders>
              <w:left w:val="single" w:sz="9" w:space="0" w:color="D2D2D2"/>
              <w:right w:val="single" w:sz="4" w:space="0" w:color="000000"/>
            </w:tcBorders>
          </w:tcPr>
          <w:p>
            <w:pPr/>
          </w:p>
        </w:tc>
      </w:tr>
      <w:tr>
        <w:trPr>
          <w:trHeight w:val="167" w:hRule="exact"/>
        </w:trPr>
        <w:tc>
          <w:tcPr>
            <w:tcW w:w="983" w:type="dxa"/>
            <w:vMerge/>
            <w:tcBorders>
              <w:left w:val="single" w:sz="4" w:space="0" w:color="000000"/>
              <w:bottom w:val="single" w:sz="4" w:space="0" w:color="000000"/>
              <w:right w:val="single" w:sz="4" w:space="0" w:color="000000"/>
            </w:tcBorders>
            <w:shd w:val="clear" w:color="auto" w:fill="D2D2D2"/>
          </w:tcPr>
          <w:p>
            <w:pPr/>
          </w:p>
        </w:tc>
        <w:tc>
          <w:tcPr>
            <w:tcW w:w="1416" w:type="dxa"/>
            <w:gridSpan w:val="2"/>
            <w:vMerge/>
            <w:tcBorders>
              <w:left w:val="single" w:sz="9" w:space="0" w:color="D2D2D2"/>
              <w:bottom w:val="single" w:sz="4" w:space="0" w:color="000000"/>
              <w:right w:val="single" w:sz="10" w:space="0" w:color="D2D2D2"/>
            </w:tcBorders>
          </w:tcPr>
          <w:p>
            <w:pPr/>
          </w:p>
        </w:tc>
        <w:tc>
          <w:tcPr>
            <w:tcW w:w="840" w:type="dxa"/>
            <w:tcBorders>
              <w:top w:val="nil" w:sz="6" w:space="0" w:color="auto"/>
              <w:left w:val="single" w:sz="4" w:space="0" w:color="000000"/>
              <w:bottom w:val="single" w:sz="4" w:space="0" w:color="000000"/>
              <w:right w:val="single" w:sz="4" w:space="0" w:color="000000"/>
            </w:tcBorders>
            <w:shd w:val="clear" w:color="auto" w:fill="D2D2D2"/>
          </w:tcPr>
          <w:p>
            <w:pPr/>
          </w:p>
        </w:tc>
        <w:tc>
          <w:tcPr>
            <w:tcW w:w="2280" w:type="dxa"/>
            <w:gridSpan w:val="3"/>
            <w:vMerge/>
            <w:tcBorders>
              <w:left w:val="single" w:sz="9" w:space="0" w:color="D2D2D2"/>
              <w:bottom w:val="single" w:sz="4" w:space="0" w:color="000000"/>
              <w:right w:val="single" w:sz="9" w:space="0" w:color="D2D2D2"/>
            </w:tcBorders>
          </w:tcPr>
          <w:p>
            <w:pPr/>
          </w:p>
        </w:tc>
        <w:tc>
          <w:tcPr>
            <w:tcW w:w="708" w:type="dxa"/>
            <w:vMerge/>
            <w:tcBorders>
              <w:left w:val="single" w:sz="4" w:space="0" w:color="000000"/>
              <w:bottom w:val="single" w:sz="4" w:space="0" w:color="000000"/>
              <w:right w:val="single" w:sz="4" w:space="0" w:color="000000"/>
            </w:tcBorders>
            <w:shd w:val="clear" w:color="auto" w:fill="D2D2D2"/>
          </w:tcPr>
          <w:p>
            <w:pPr/>
          </w:p>
        </w:tc>
        <w:tc>
          <w:tcPr>
            <w:tcW w:w="1429" w:type="dxa"/>
            <w:vMerge/>
            <w:tcBorders>
              <w:left w:val="single" w:sz="9" w:space="0" w:color="D2D2D2"/>
              <w:bottom w:val="single" w:sz="4" w:space="0" w:color="000000"/>
              <w:right w:val="single" w:sz="9" w:space="0" w:color="D2D2D2"/>
            </w:tcBorders>
          </w:tcPr>
          <w:p>
            <w:pPr/>
          </w:p>
        </w:tc>
        <w:tc>
          <w:tcPr>
            <w:tcW w:w="827" w:type="dxa"/>
            <w:tcBorders>
              <w:top w:val="nil" w:sz="6" w:space="0" w:color="auto"/>
              <w:left w:val="single" w:sz="4" w:space="0" w:color="000000"/>
              <w:bottom w:val="single" w:sz="4" w:space="0" w:color="000000"/>
              <w:right w:val="single" w:sz="4" w:space="0" w:color="000000"/>
            </w:tcBorders>
            <w:shd w:val="clear" w:color="auto" w:fill="D2D2D2"/>
          </w:tcPr>
          <w:p>
            <w:pPr/>
          </w:p>
        </w:tc>
        <w:tc>
          <w:tcPr>
            <w:tcW w:w="1572" w:type="dxa"/>
            <w:gridSpan w:val="2"/>
            <w:vMerge/>
            <w:tcBorders>
              <w:left w:val="single" w:sz="9" w:space="0" w:color="D2D2D2"/>
              <w:bottom w:val="single" w:sz="4" w:space="0" w:color="000000"/>
              <w:right w:val="single" w:sz="4" w:space="0" w:color="000000"/>
            </w:tcBorders>
          </w:tcPr>
          <w:p>
            <w:pPr/>
          </w:p>
        </w:tc>
      </w:tr>
      <w:tr>
        <w:trPr>
          <w:trHeight w:val="396" w:hRule="exact"/>
        </w:trPr>
        <w:tc>
          <w:tcPr>
            <w:tcW w:w="10055"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11" w:right="0"/>
              <w:jc w:val="left"/>
              <w:rPr>
                <w:rFonts w:ascii="宋体" w:hAnsi="宋体" w:cs="宋体" w:eastAsia="宋体" w:hint="default"/>
                <w:sz w:val="21"/>
                <w:szCs w:val="21"/>
              </w:rPr>
            </w:pPr>
            <w:r>
              <w:rPr>
                <w:rFonts w:ascii="宋体" w:hAnsi="宋体" w:cs="宋体" w:eastAsia="宋体" w:hint="default"/>
                <w:sz w:val="21"/>
                <w:szCs w:val="21"/>
              </w:rPr>
              <w:t>报告期内对公司债券进行跟踪评级的资信评级机构：</w:t>
            </w:r>
          </w:p>
        </w:tc>
      </w:tr>
      <w:tr>
        <w:trPr>
          <w:trHeight w:val="408" w:hRule="exact"/>
        </w:trPr>
        <w:tc>
          <w:tcPr>
            <w:tcW w:w="117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11" w:right="0"/>
              <w:jc w:val="left"/>
              <w:rPr>
                <w:rFonts w:ascii="宋体" w:hAnsi="宋体" w:cs="宋体" w:eastAsia="宋体" w:hint="default"/>
                <w:sz w:val="21"/>
                <w:szCs w:val="21"/>
              </w:rPr>
            </w:pPr>
            <w:r>
              <w:rPr>
                <w:rFonts w:ascii="宋体" w:hAnsi="宋体" w:cs="宋体" w:eastAsia="宋体" w:hint="default"/>
                <w:sz w:val="21"/>
                <w:szCs w:val="21"/>
              </w:rPr>
              <w:t>名称</w:t>
            </w:r>
          </w:p>
        </w:tc>
        <w:tc>
          <w:tcPr>
            <w:tcW w:w="2933" w:type="dxa"/>
            <w:gridSpan w:val="3"/>
            <w:tcBorders>
              <w:top w:val="single" w:sz="4" w:space="0" w:color="000000"/>
              <w:left w:val="single" w:sz="13" w:space="0" w:color="D2D2D2"/>
              <w:bottom w:val="single" w:sz="4" w:space="0" w:color="000000"/>
              <w:right w:val="single" w:sz="13" w:space="0" w:color="D2D2D2"/>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联合信用评级有限公司</w:t>
            </w:r>
          </w:p>
        </w:tc>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11" w:right="0"/>
              <w:jc w:val="left"/>
              <w:rPr>
                <w:rFonts w:ascii="宋体" w:hAnsi="宋体" w:cs="宋体" w:eastAsia="宋体" w:hint="default"/>
                <w:sz w:val="21"/>
                <w:szCs w:val="21"/>
              </w:rPr>
            </w:pPr>
            <w:r>
              <w:rPr>
                <w:rFonts w:ascii="宋体" w:hAnsi="宋体" w:cs="宋体" w:eastAsia="宋体" w:hint="default"/>
                <w:sz w:val="21"/>
                <w:szCs w:val="21"/>
              </w:rPr>
              <w:t>办公地址</w:t>
            </w:r>
          </w:p>
        </w:tc>
        <w:tc>
          <w:tcPr>
            <w:tcW w:w="4691" w:type="dxa"/>
            <w:gridSpan w:val="6"/>
            <w:tcBorders>
              <w:top w:val="single" w:sz="4" w:space="0" w:color="000000"/>
              <w:left w:val="single" w:sz="13" w:space="0" w:color="D2D2D2"/>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北京市朝阳区建国门外大街</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号</w:t>
            </w:r>
            <w:r>
              <w:rPr>
                <w:rFonts w:ascii="宋体" w:hAnsi="宋体" w:cs="宋体" w:eastAsia="宋体" w:hint="default"/>
                <w:spacing w:val="-54"/>
                <w:sz w:val="21"/>
                <w:szCs w:val="21"/>
              </w:rPr>
              <w:t> </w:t>
            </w:r>
            <w:r>
              <w:rPr>
                <w:rFonts w:ascii="宋体" w:hAnsi="宋体" w:cs="宋体" w:eastAsia="宋体" w:hint="default"/>
                <w:sz w:val="21"/>
                <w:szCs w:val="21"/>
              </w:rPr>
              <w:t>PICC</w:t>
            </w:r>
            <w:r>
              <w:rPr>
                <w:rFonts w:ascii="宋体" w:hAnsi="宋体" w:cs="宋体" w:eastAsia="宋体" w:hint="default"/>
                <w:spacing w:val="-53"/>
                <w:sz w:val="21"/>
                <w:szCs w:val="21"/>
              </w:rPr>
              <w:t> </w:t>
            </w:r>
            <w:r>
              <w:rPr>
                <w:rFonts w:ascii="宋体" w:hAnsi="宋体" w:cs="宋体" w:eastAsia="宋体" w:hint="default"/>
                <w:sz w:val="21"/>
                <w:szCs w:val="21"/>
              </w:rPr>
              <w:t>大厦</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2"/>
                <w:sz w:val="21"/>
                <w:szCs w:val="21"/>
              </w:rPr>
              <w:t> </w:t>
            </w:r>
            <w:r>
              <w:rPr>
                <w:rFonts w:ascii="宋体" w:hAnsi="宋体" w:cs="宋体" w:eastAsia="宋体" w:hint="default"/>
                <w:sz w:val="21"/>
                <w:szCs w:val="21"/>
              </w:rPr>
              <w:t>层</w:t>
            </w:r>
          </w:p>
        </w:tc>
      </w:tr>
      <w:tr>
        <w:trPr>
          <w:trHeight w:val="709" w:hRule="exact"/>
        </w:trPr>
        <w:tc>
          <w:tcPr>
            <w:tcW w:w="8909"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1"/>
              <w:ind w:left="11" w:right="66"/>
              <w:jc w:val="left"/>
              <w:rPr>
                <w:rFonts w:ascii="宋体" w:hAnsi="宋体" w:cs="宋体" w:eastAsia="宋体" w:hint="default"/>
                <w:sz w:val="21"/>
                <w:szCs w:val="21"/>
              </w:rPr>
            </w:pPr>
            <w:r>
              <w:rPr>
                <w:rFonts w:ascii="宋体" w:hAnsi="宋体" w:cs="宋体" w:eastAsia="宋体" w:hint="default"/>
                <w:sz w:val="21"/>
                <w:szCs w:val="21"/>
              </w:rPr>
              <w:t>报告期内公司聘请的债券受托管理人、资信评级机构发生变更的，变更的原因、履行的程序、对 投资者利益的影响等（如适用）</w:t>
            </w:r>
          </w:p>
        </w:tc>
        <w:tc>
          <w:tcPr>
            <w:tcW w:w="114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77"/>
              <w:ind w:left="22" w:right="0"/>
              <w:jc w:val="left"/>
              <w:rPr>
                <w:rFonts w:ascii="宋体" w:hAnsi="宋体" w:cs="宋体" w:eastAsia="宋体" w:hint="default"/>
                <w:sz w:val="21"/>
                <w:szCs w:val="21"/>
              </w:rPr>
            </w:pPr>
            <w:r>
              <w:rPr>
                <w:rFonts w:ascii="宋体" w:hAnsi="宋体" w:cs="宋体" w:eastAsia="宋体" w:hint="default"/>
                <w:sz w:val="21"/>
                <w:szCs w:val="21"/>
              </w:rPr>
              <w:t>不适用</w:t>
            </w:r>
          </w:p>
        </w:tc>
      </w:tr>
    </w:tbl>
    <w:p>
      <w:pPr>
        <w:spacing w:after="0" w:line="240" w:lineRule="auto"/>
        <w:jc w:val="left"/>
        <w:rPr>
          <w:rFonts w:ascii="宋体" w:hAnsi="宋体" w:cs="宋体" w:eastAsia="宋体" w:hint="default"/>
          <w:sz w:val="21"/>
          <w:szCs w:val="21"/>
        </w:rPr>
        <w:sectPr>
          <w:pgSz w:w="11910" w:h="16840"/>
          <w:pgMar w:header="747" w:footer="979" w:top="1060" w:bottom="1160" w:left="940" w:right="0"/>
        </w:sectPr>
      </w:pPr>
    </w:p>
    <w:p>
      <w:pPr>
        <w:spacing w:line="240" w:lineRule="auto" w:before="7"/>
        <w:rPr>
          <w:rFonts w:ascii="宋体" w:hAnsi="宋体" w:cs="宋体" w:eastAsia="宋体" w:hint="default"/>
          <w:b/>
          <w:bCs/>
          <w:sz w:val="23"/>
          <w:szCs w:val="23"/>
        </w:rPr>
      </w:pPr>
    </w:p>
    <w:p>
      <w:pPr>
        <w:pStyle w:val="Heading2"/>
        <w:spacing w:line="240" w:lineRule="auto"/>
        <w:ind w:left="153" w:right="996"/>
        <w:jc w:val="left"/>
        <w:rPr>
          <w:b w:val="0"/>
          <w:bCs w:val="0"/>
        </w:rPr>
      </w:pPr>
      <w:bookmarkStart w:name="三、公司债券募集资金使用情况" w:id="175"/>
      <w:bookmarkEnd w:id="175"/>
      <w:r>
        <w:rPr>
          <w:b w:val="0"/>
          <w:bCs w:val="0"/>
        </w:rPr>
      </w:r>
      <w:r>
        <w:rPr/>
        <w:t>三、公司债券募集资金使用情况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402"/>
        <w:gridCol w:w="6166"/>
      </w:tblGrid>
      <w:tr>
        <w:trPr>
          <w:trHeight w:val="1026" w:hRule="exact"/>
        </w:trPr>
        <w:tc>
          <w:tcPr>
            <w:tcW w:w="34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73" w:lineRule="auto"/>
              <w:ind w:left="22" w:right="219"/>
              <w:jc w:val="left"/>
              <w:rPr>
                <w:rFonts w:ascii="宋体" w:hAnsi="宋体" w:cs="宋体" w:eastAsia="宋体" w:hint="default"/>
                <w:sz w:val="21"/>
                <w:szCs w:val="21"/>
              </w:rPr>
            </w:pPr>
            <w:r>
              <w:rPr>
                <w:rFonts w:ascii="宋体" w:hAnsi="宋体" w:cs="宋体" w:eastAsia="宋体" w:hint="default"/>
                <w:sz w:val="21"/>
                <w:szCs w:val="21"/>
              </w:rPr>
              <w:t>公司债券募集资金使用情况及履行 的程序</w:t>
            </w:r>
          </w:p>
        </w:tc>
        <w:tc>
          <w:tcPr>
            <w:tcW w:w="616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2" w:right="43"/>
              <w:jc w:val="both"/>
              <w:rPr>
                <w:rFonts w:ascii="宋体" w:hAnsi="宋体" w:cs="宋体" w:eastAsia="宋体" w:hint="default"/>
                <w:sz w:val="21"/>
                <w:szCs w:val="21"/>
              </w:rPr>
            </w:pPr>
            <w:r>
              <w:rPr>
                <w:rFonts w:ascii="宋体" w:hAnsi="宋体" w:cs="宋体" w:eastAsia="宋体" w:hint="default"/>
                <w:sz w:val="21"/>
                <w:szCs w:val="21"/>
              </w:rPr>
              <w:t>根据《募集说明书》约定，本期公司债券募集资金用于补充流动资 金。本期募集资金的使用严格按照《募集说明书》约定的用途使用 资金，并履行相应的审批程序。</w:t>
            </w:r>
          </w:p>
        </w:tc>
      </w:tr>
      <w:tr>
        <w:trPr>
          <w:trHeight w:val="402" w:hRule="exact"/>
        </w:trPr>
        <w:tc>
          <w:tcPr>
            <w:tcW w:w="34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年末余额（万元）</w:t>
            </w:r>
          </w:p>
        </w:tc>
        <w:tc>
          <w:tcPr>
            <w:tcW w:w="6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sz w:val="21"/>
              </w:rPr>
              <w:t>0</w:t>
            </w:r>
          </w:p>
        </w:tc>
      </w:tr>
      <w:tr>
        <w:trPr>
          <w:trHeight w:val="1962" w:hRule="exact"/>
        </w:trPr>
        <w:tc>
          <w:tcPr>
            <w:tcW w:w="34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8"/>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募集资金专项账户运作情况</w:t>
            </w:r>
          </w:p>
        </w:tc>
        <w:tc>
          <w:tcPr>
            <w:tcW w:w="616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2" w:right="22"/>
              <w:jc w:val="left"/>
              <w:rPr>
                <w:rFonts w:ascii="宋体" w:hAnsi="宋体" w:cs="宋体" w:eastAsia="宋体" w:hint="default"/>
                <w:sz w:val="21"/>
                <w:szCs w:val="21"/>
              </w:rPr>
            </w:pPr>
            <w:r>
              <w:rPr>
                <w:rFonts w:ascii="宋体" w:hAnsi="宋体" w:cs="宋体" w:eastAsia="宋体" w:hint="default"/>
                <w:sz w:val="21"/>
                <w:szCs w:val="21"/>
              </w:rPr>
              <w:t>公司于</w:t>
            </w:r>
            <w:r>
              <w:rPr>
                <w:rFonts w:ascii="宋体" w:hAnsi="宋体" w:cs="宋体" w:eastAsia="宋体" w:hint="default"/>
                <w:spacing w:val="-51"/>
                <w:sz w:val="21"/>
                <w:szCs w:val="21"/>
              </w:rPr>
              <w:t> </w:t>
            </w:r>
            <w:r>
              <w:rPr>
                <w:rFonts w:ascii="宋体" w:hAnsi="宋体" w:cs="宋体" w:eastAsia="宋体" w:hint="default"/>
                <w:sz w:val="21"/>
                <w:szCs w:val="21"/>
              </w:rPr>
              <w:t>2015</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1"/>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6</w:t>
            </w:r>
            <w:r>
              <w:rPr>
                <w:rFonts w:ascii="宋体" w:hAnsi="宋体" w:cs="宋体" w:eastAsia="宋体" w:hint="default"/>
                <w:spacing w:val="-51"/>
                <w:sz w:val="21"/>
                <w:szCs w:val="21"/>
              </w:rPr>
              <w:t> </w:t>
            </w:r>
            <w:r>
              <w:rPr>
                <w:rFonts w:ascii="宋体" w:hAnsi="宋体" w:cs="宋体" w:eastAsia="宋体" w:hint="default"/>
                <w:spacing w:val="-5"/>
                <w:sz w:val="21"/>
                <w:szCs w:val="21"/>
              </w:rPr>
              <w:t>日开立公司债募集资金专户（平安银行郑州分</w:t>
            </w:r>
            <w:r>
              <w:rPr>
                <w:rFonts w:ascii="宋体" w:hAnsi="宋体" w:cs="宋体" w:eastAsia="宋体" w:hint="default"/>
                <w:sz w:val="21"/>
                <w:szCs w:val="21"/>
              </w:rPr>
              <w:t> 行，账户</w:t>
            </w:r>
            <w:r>
              <w:rPr>
                <w:rFonts w:ascii="宋体" w:hAnsi="宋体" w:cs="宋体" w:eastAsia="宋体" w:hint="default"/>
                <w:spacing w:val="-45"/>
                <w:sz w:val="21"/>
                <w:szCs w:val="21"/>
              </w:rPr>
              <w:t> </w:t>
            </w:r>
            <w:r>
              <w:rPr>
                <w:rFonts w:ascii="宋体" w:hAnsi="宋体" w:cs="宋体" w:eastAsia="宋体" w:hint="default"/>
                <w:spacing w:val="-4"/>
                <w:sz w:val="21"/>
                <w:szCs w:val="21"/>
              </w:rPr>
              <w:t>11014740715777</w:t>
            </w:r>
            <w:r>
              <w:rPr>
                <w:rFonts w:ascii="宋体" w:hAnsi="宋体" w:cs="宋体" w:eastAsia="宋体" w:hint="default"/>
                <w:spacing w:val="-4"/>
                <w:sz w:val="21"/>
                <w:szCs w:val="21"/>
              </w:rPr>
              <w:t>）。根据相关规定，公司连同债券事务管</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z w:val="21"/>
                <w:szCs w:val="21"/>
              </w:rPr>
              <w:t>理人中原证券股份有限公司与平安银行股份有限公司郑州分行，于 </w:t>
            </w:r>
            <w:r>
              <w:rPr>
                <w:rFonts w:ascii="宋体" w:hAnsi="宋体" w:cs="宋体" w:eastAsia="宋体" w:hint="default"/>
                <w:sz w:val="21"/>
                <w:szCs w:val="21"/>
              </w:rPr>
              <w:t>2015</w:t>
            </w:r>
            <w:r>
              <w:rPr>
                <w:rFonts w:ascii="宋体" w:hAnsi="宋体" w:cs="宋体" w:eastAsia="宋体" w:hint="default"/>
                <w:spacing w:val="-49"/>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宋体" w:hAnsi="宋体" w:cs="宋体" w:eastAsia="宋体" w:hint="default"/>
                <w:sz w:val="21"/>
                <w:szCs w:val="21"/>
              </w:rPr>
              <w:t>3</w:t>
            </w:r>
            <w:r>
              <w:rPr>
                <w:rFonts w:ascii="宋体" w:hAnsi="宋体" w:cs="宋体" w:eastAsia="宋体" w:hint="default"/>
                <w:spacing w:val="-50"/>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20</w:t>
            </w:r>
            <w:r>
              <w:rPr>
                <w:rFonts w:ascii="宋体" w:hAnsi="宋体" w:cs="宋体" w:eastAsia="宋体" w:hint="default"/>
                <w:spacing w:val="-49"/>
                <w:sz w:val="21"/>
                <w:szCs w:val="21"/>
              </w:rPr>
              <w:t> </w:t>
            </w:r>
            <w:r>
              <w:rPr>
                <w:rFonts w:ascii="宋体" w:hAnsi="宋体" w:cs="宋体" w:eastAsia="宋体" w:hint="default"/>
                <w:spacing w:val="-7"/>
                <w:sz w:val="21"/>
                <w:szCs w:val="21"/>
              </w:rPr>
              <w:t>日签订了《募集资金三方监管协议》，明确了各方的</w:t>
            </w:r>
            <w:r>
              <w:rPr>
                <w:rFonts w:ascii="宋体" w:hAnsi="宋体" w:cs="宋体" w:eastAsia="宋体" w:hint="default"/>
                <w:sz w:val="21"/>
                <w:szCs w:val="21"/>
              </w:rPr>
              <w:t> 权利和义务。募集资金三方监管协议与深圳证券交易所三方监管协 议范本不存在重大差异，各方均严格履行三方监管协议。</w:t>
            </w:r>
          </w:p>
        </w:tc>
      </w:tr>
      <w:tr>
        <w:trPr>
          <w:trHeight w:val="714" w:hRule="exact"/>
        </w:trPr>
        <w:tc>
          <w:tcPr>
            <w:tcW w:w="34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22" w:right="22"/>
              <w:jc w:val="left"/>
              <w:rPr>
                <w:rFonts w:ascii="宋体" w:hAnsi="宋体" w:cs="宋体" w:eastAsia="宋体" w:hint="default"/>
                <w:sz w:val="21"/>
                <w:szCs w:val="21"/>
              </w:rPr>
            </w:pPr>
            <w:r>
              <w:rPr>
                <w:rFonts w:ascii="宋体" w:hAnsi="宋体" w:cs="宋体" w:eastAsia="宋体" w:hint="default"/>
                <w:sz w:val="21"/>
                <w:szCs w:val="21"/>
              </w:rPr>
              <w:t>募集资金使用是否与募集说明书承 </w:t>
            </w:r>
            <w:r>
              <w:rPr>
                <w:rFonts w:ascii="宋体" w:hAnsi="宋体" w:cs="宋体" w:eastAsia="宋体" w:hint="default"/>
                <w:spacing w:val="-1"/>
                <w:sz w:val="21"/>
                <w:szCs w:val="21"/>
              </w:rPr>
              <w:t>诺的用途、使用计划及其他约定一致</w:t>
            </w:r>
          </w:p>
        </w:tc>
        <w:tc>
          <w:tcPr>
            <w:tcW w:w="6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是</w:t>
            </w:r>
          </w:p>
        </w:tc>
      </w:tr>
    </w:tbl>
    <w:p>
      <w:pPr>
        <w:spacing w:line="240" w:lineRule="auto" w:before="12"/>
        <w:rPr>
          <w:rFonts w:ascii="宋体" w:hAnsi="宋体" w:cs="宋体" w:eastAsia="宋体" w:hint="default"/>
          <w:b/>
          <w:bCs/>
          <w:sz w:val="17"/>
          <w:szCs w:val="17"/>
        </w:rPr>
      </w:pPr>
    </w:p>
    <w:p>
      <w:pPr>
        <w:pStyle w:val="Heading2"/>
        <w:spacing w:line="240" w:lineRule="auto"/>
        <w:ind w:left="154" w:right="996"/>
        <w:jc w:val="left"/>
        <w:rPr>
          <w:b w:val="0"/>
          <w:bCs w:val="0"/>
        </w:rPr>
      </w:pPr>
      <w:bookmarkStart w:name="四、公司债券信息评级情况" w:id="176"/>
      <w:bookmarkEnd w:id="176"/>
      <w:r>
        <w:rPr>
          <w:b w:val="0"/>
          <w:bCs w:val="0"/>
        </w:rPr>
      </w:r>
      <w:r>
        <w:rPr/>
        <w:t>四、公司债券信息评级情况</w:t>
      </w:r>
      <w:r>
        <w:rPr>
          <w:b w:val="0"/>
          <w:bCs w:val="0"/>
        </w:rPr>
      </w:r>
    </w:p>
    <w:p>
      <w:pPr>
        <w:spacing w:line="240" w:lineRule="auto" w:before="6"/>
        <w:rPr>
          <w:rFonts w:ascii="宋体" w:hAnsi="宋体" w:cs="宋体" w:eastAsia="宋体" w:hint="default"/>
          <w:b/>
          <w:bCs/>
          <w:sz w:val="32"/>
          <w:szCs w:val="32"/>
        </w:rPr>
      </w:pPr>
    </w:p>
    <w:p>
      <w:pPr>
        <w:pStyle w:val="BodyText"/>
        <w:spacing w:line="352" w:lineRule="auto" w:before="0"/>
        <w:ind w:right="1130" w:firstLine="480"/>
        <w:jc w:val="left"/>
      </w:pPr>
      <w:r>
        <w:rPr>
          <w:rFonts w:ascii="宋体" w:hAnsi="宋体" w:cs="宋体" w:eastAsia="宋体" w:hint="default"/>
        </w:rPr>
        <w:t>2017</w:t>
      </w:r>
      <w:r>
        <w:rPr>
          <w:rFonts w:ascii="宋体" w:hAnsi="宋体" w:cs="宋体" w:eastAsia="宋体" w:hint="default"/>
          <w:spacing w:val="-60"/>
        </w:rPr>
        <w:t> </w:t>
      </w:r>
      <w:r>
        <w:rPr/>
        <w:t>年</w:t>
      </w:r>
      <w:r>
        <w:rPr>
          <w:spacing w:val="-60"/>
        </w:rPr>
        <w:t> </w:t>
      </w:r>
      <w:r>
        <w:rPr>
          <w:rFonts w:ascii="宋体" w:hAnsi="宋体" w:cs="宋体" w:eastAsia="宋体" w:hint="default"/>
        </w:rPr>
        <w:t>6</w:t>
      </w:r>
      <w:r>
        <w:rPr>
          <w:rFonts w:ascii="宋体" w:hAnsi="宋体" w:cs="宋体" w:eastAsia="宋体" w:hint="default"/>
          <w:spacing w:val="-60"/>
        </w:rPr>
        <w:t> </w:t>
      </w:r>
      <w:r>
        <w:rPr/>
        <w:t>月</w:t>
      </w:r>
      <w:r>
        <w:rPr>
          <w:spacing w:val="-60"/>
        </w:rPr>
        <w:t> </w:t>
      </w:r>
      <w:r>
        <w:rPr>
          <w:rFonts w:ascii="宋体" w:hAnsi="宋体" w:cs="宋体" w:eastAsia="宋体" w:hint="default"/>
        </w:rPr>
        <w:t>7</w:t>
      </w:r>
      <w:r>
        <w:rPr>
          <w:rFonts w:ascii="宋体" w:hAnsi="宋体" w:cs="宋体" w:eastAsia="宋体" w:hint="default"/>
          <w:spacing w:val="-60"/>
        </w:rPr>
        <w:t> </w:t>
      </w:r>
      <w:r>
        <w:rPr/>
        <w:t>日联合信用评级有限公司根据公司</w:t>
      </w:r>
      <w:r>
        <w:rPr>
          <w:spacing w:val="-60"/>
        </w:rPr>
        <w:t> </w:t>
      </w:r>
      <w:r>
        <w:rPr>
          <w:rFonts w:ascii="宋体" w:hAnsi="宋体" w:cs="宋体" w:eastAsia="宋体" w:hint="default"/>
        </w:rPr>
        <w:t>2016</w:t>
      </w:r>
      <w:r>
        <w:rPr>
          <w:rFonts w:ascii="宋体" w:hAnsi="宋体" w:cs="宋体" w:eastAsia="宋体" w:hint="default"/>
          <w:spacing w:val="-60"/>
        </w:rPr>
        <w:t> </w:t>
      </w:r>
      <w:r>
        <w:rPr/>
        <w:t>年年报出具跟踪评级报告，维持 </w:t>
      </w:r>
      <w:r>
        <w:rPr>
          <w:spacing w:val="-6"/>
        </w:rPr>
        <w:t>公司“</w:t>
      </w:r>
      <w:r>
        <w:rPr>
          <w:rFonts w:ascii="宋体" w:hAnsi="宋体" w:cs="宋体" w:eastAsia="宋体" w:hint="default"/>
          <w:spacing w:val="-6"/>
        </w:rPr>
        <w:t>AA-</w:t>
      </w:r>
      <w:r>
        <w:rPr>
          <w:spacing w:val="-6"/>
        </w:rPr>
        <w:t>”的主体长期信用等级，评级展望维持“稳定”，同时维持“</w:t>
      </w:r>
      <w:r>
        <w:rPr>
          <w:rFonts w:ascii="宋体" w:hAnsi="宋体" w:cs="宋体" w:eastAsia="宋体" w:hint="default"/>
          <w:spacing w:val="-6"/>
        </w:rPr>
        <w:t>15</w:t>
      </w:r>
      <w:r>
        <w:rPr>
          <w:rFonts w:ascii="宋体" w:hAnsi="宋体" w:cs="宋体" w:eastAsia="宋体" w:hint="default"/>
          <w:spacing w:val="-51"/>
        </w:rPr>
        <w:t> </w:t>
      </w:r>
      <w:r>
        <w:rPr/>
        <w:t>辉煌</w:t>
      </w:r>
      <w:r>
        <w:rPr>
          <w:spacing w:val="-51"/>
        </w:rPr>
        <w:t> </w:t>
      </w:r>
      <w:r>
        <w:rPr>
          <w:rFonts w:ascii="宋体" w:hAnsi="宋体" w:cs="宋体" w:eastAsia="宋体" w:hint="default"/>
          <w:spacing w:val="-2"/>
        </w:rPr>
        <w:t>01</w:t>
      </w:r>
      <w:r>
        <w:rPr>
          <w:spacing w:val="-2"/>
        </w:rPr>
        <w:t>”的债项信</w:t>
      </w:r>
      <w:r>
        <w:rPr/>
        <w:t> </w:t>
      </w:r>
      <w:r>
        <w:rPr>
          <w:spacing w:val="-7"/>
        </w:rPr>
        <w:t>用等级“</w:t>
      </w:r>
      <w:r>
        <w:rPr>
          <w:rFonts w:ascii="宋体" w:hAnsi="宋体" w:cs="宋体" w:eastAsia="宋体" w:hint="default"/>
          <w:spacing w:val="-7"/>
        </w:rPr>
        <w:t>AA-</w:t>
      </w:r>
      <w:r>
        <w:rPr>
          <w:spacing w:val="-7"/>
        </w:rPr>
        <w:t>”，此次评级结果较上次未发生变化，详见</w:t>
      </w:r>
      <w:r>
        <w:rPr>
          <w:spacing w:val="-59"/>
        </w:rPr>
        <w:t> </w:t>
      </w:r>
      <w:r>
        <w:rPr>
          <w:rFonts w:ascii="宋体" w:hAnsi="宋体" w:cs="宋体" w:eastAsia="宋体" w:hint="default"/>
        </w:rPr>
        <w:t>2017</w:t>
      </w:r>
      <w:r>
        <w:rPr>
          <w:rFonts w:ascii="宋体" w:hAnsi="宋体" w:cs="宋体" w:eastAsia="宋体" w:hint="default"/>
          <w:spacing w:val="-59"/>
        </w:rPr>
        <w:t> </w:t>
      </w:r>
      <w:r>
        <w:rPr/>
        <w:t>年</w:t>
      </w:r>
      <w:r>
        <w:rPr>
          <w:spacing w:val="-59"/>
        </w:rPr>
        <w:t> </w:t>
      </w:r>
      <w:r>
        <w:rPr>
          <w:rFonts w:ascii="宋体" w:hAnsi="宋体" w:cs="宋体" w:eastAsia="宋体" w:hint="default"/>
        </w:rPr>
        <w:t>6</w:t>
      </w:r>
      <w:r>
        <w:rPr>
          <w:rFonts w:ascii="宋体" w:hAnsi="宋体" w:cs="宋体" w:eastAsia="宋体" w:hint="default"/>
          <w:spacing w:val="-59"/>
        </w:rPr>
        <w:t> </w:t>
      </w:r>
      <w:r>
        <w:rPr/>
        <w:t>月</w:t>
      </w:r>
      <w:r>
        <w:rPr>
          <w:spacing w:val="-59"/>
        </w:rPr>
        <w:t> </w:t>
      </w:r>
      <w:r>
        <w:rPr>
          <w:rFonts w:ascii="宋体" w:hAnsi="宋体" w:cs="宋体" w:eastAsia="宋体" w:hint="default"/>
        </w:rPr>
        <w:t>8</w:t>
      </w:r>
      <w:r>
        <w:rPr>
          <w:rFonts w:ascii="宋体" w:hAnsi="宋体" w:cs="宋体" w:eastAsia="宋体" w:hint="default"/>
          <w:spacing w:val="-59"/>
        </w:rPr>
        <w:t> </w:t>
      </w:r>
      <w:r>
        <w:rPr>
          <w:spacing w:val="-3"/>
        </w:rPr>
        <w:t>日巨潮资讯网，请各位</w:t>
      </w:r>
      <w:r>
        <w:rPr/>
        <w:t> 投资者关注。</w:t>
      </w:r>
    </w:p>
    <w:p>
      <w:pPr>
        <w:pStyle w:val="Heading2"/>
        <w:spacing w:line="240" w:lineRule="auto" w:before="206"/>
        <w:ind w:left="153" w:right="996"/>
        <w:jc w:val="left"/>
        <w:rPr>
          <w:b w:val="0"/>
          <w:bCs w:val="0"/>
        </w:rPr>
      </w:pPr>
      <w:bookmarkStart w:name="五、 公司债券增信机制、偿债计划及其他偿债保障措施" w:id="177"/>
      <w:bookmarkEnd w:id="177"/>
      <w:r>
        <w:rPr>
          <w:b w:val="0"/>
          <w:bCs w:val="0"/>
        </w:rPr>
      </w:r>
      <w:r>
        <w:rPr/>
        <w:t>五、</w:t>
      </w:r>
      <w:r>
        <w:rPr>
          <w:spacing w:val="-22"/>
        </w:rPr>
        <w:t> </w:t>
      </w:r>
      <w:r>
        <w:rPr/>
        <w:t>公司债券增信机制、偿债计划及其他偿债保障措施</w:t>
      </w:r>
      <w:r>
        <w:rPr>
          <w:b w:val="0"/>
          <w:bCs w:val="0"/>
        </w:rPr>
      </w:r>
    </w:p>
    <w:p>
      <w:pPr>
        <w:spacing w:line="240" w:lineRule="auto" w:before="6"/>
        <w:rPr>
          <w:rFonts w:ascii="宋体" w:hAnsi="宋体" w:cs="宋体" w:eastAsia="宋体" w:hint="default"/>
          <w:b/>
          <w:bCs/>
          <w:sz w:val="32"/>
          <w:szCs w:val="32"/>
        </w:rPr>
      </w:pPr>
    </w:p>
    <w:p>
      <w:pPr>
        <w:pStyle w:val="BodyText"/>
        <w:spacing w:line="350" w:lineRule="auto" w:before="0"/>
        <w:ind w:right="1153" w:firstLine="480"/>
        <w:jc w:val="left"/>
      </w:pPr>
      <w:r>
        <w:rPr/>
        <w:t>公司本期债券不存在增信机制，本期债券偿债计划及其他偿债保障措施在报告期内未发 生变更。</w:t>
      </w:r>
    </w:p>
    <w:p>
      <w:pPr>
        <w:pStyle w:val="Heading2"/>
        <w:spacing w:line="240" w:lineRule="exact" w:before="0"/>
        <w:ind w:right="996"/>
        <w:jc w:val="left"/>
        <w:rPr>
          <w:b w:val="0"/>
          <w:bCs w:val="0"/>
        </w:rPr>
      </w:pPr>
      <w:r>
        <w:rPr/>
        <w:t>（</w:t>
      </w:r>
      <w:r>
        <w:rPr>
          <w:rFonts w:ascii="Times New Roman" w:hAnsi="Times New Roman" w:cs="Times New Roman" w:eastAsia="Times New Roman" w:hint="default"/>
        </w:rPr>
        <w:t>1</w:t>
      </w:r>
      <w:r>
        <w:rPr/>
        <w:t>）偿债计划</w:t>
      </w:r>
      <w:r>
        <w:rPr>
          <w:b w:val="0"/>
          <w:bCs w:val="0"/>
        </w:rPr>
      </w:r>
    </w:p>
    <w:p>
      <w:pPr>
        <w:pStyle w:val="BodyText"/>
        <w:spacing w:line="240" w:lineRule="auto" w:before="107"/>
        <w:ind w:left="634" w:right="996"/>
        <w:jc w:val="left"/>
      </w:pPr>
      <w:r>
        <w:rPr/>
        <w:t>① 利息的支付</w:t>
      </w:r>
    </w:p>
    <w:p>
      <w:pPr>
        <w:pStyle w:val="BodyText"/>
        <w:spacing w:line="240" w:lineRule="auto" w:before="146"/>
        <w:ind w:left="634" w:right="996"/>
        <w:jc w:val="left"/>
      </w:pPr>
      <w:r>
        <w:rPr>
          <w:rFonts w:ascii="宋体" w:hAnsi="宋体" w:cs="宋体" w:eastAsia="宋体" w:hint="default"/>
          <w:spacing w:val="-3"/>
        </w:rPr>
        <w:t>a</w:t>
      </w:r>
      <w:r>
        <w:rPr>
          <w:spacing w:val="-3"/>
        </w:rPr>
        <w:t>、本次债券在存续期内每年付息</w:t>
      </w:r>
      <w:r>
        <w:rPr>
          <w:spacing w:val="-59"/>
        </w:rPr>
        <w:t> </w:t>
      </w:r>
      <w:r>
        <w:rPr>
          <w:rFonts w:ascii="宋体" w:hAnsi="宋体" w:cs="宋体" w:eastAsia="宋体" w:hint="default"/>
        </w:rPr>
        <w:t>1</w:t>
      </w:r>
      <w:r>
        <w:rPr>
          <w:rFonts w:ascii="宋体" w:hAnsi="宋体" w:cs="宋体" w:eastAsia="宋体" w:hint="default"/>
          <w:spacing w:val="-59"/>
        </w:rPr>
        <w:t> </w:t>
      </w:r>
      <w:r>
        <w:rPr>
          <w:spacing w:val="-4"/>
        </w:rPr>
        <w:t>次，本期债券的付息日期为</w:t>
      </w:r>
      <w:r>
        <w:rPr>
          <w:spacing w:val="-59"/>
        </w:rPr>
        <w:t> </w:t>
      </w:r>
      <w:r>
        <w:rPr>
          <w:rFonts w:ascii="宋体" w:hAnsi="宋体" w:cs="宋体" w:eastAsia="宋体" w:hint="default"/>
        </w:rPr>
        <w:t>2016</w:t>
      </w:r>
      <w:r>
        <w:rPr>
          <w:rFonts w:ascii="宋体" w:hAnsi="宋体" w:cs="宋体" w:eastAsia="宋体" w:hint="default"/>
          <w:spacing w:val="-59"/>
        </w:rPr>
        <w:t> </w:t>
      </w:r>
      <w:r>
        <w:rPr/>
        <w:t>年至</w:t>
      </w:r>
      <w:r>
        <w:rPr>
          <w:spacing w:val="-59"/>
        </w:rPr>
        <w:t> </w:t>
      </w:r>
      <w:r>
        <w:rPr>
          <w:rFonts w:ascii="宋体" w:hAnsi="宋体" w:cs="宋体" w:eastAsia="宋体" w:hint="default"/>
        </w:rPr>
        <w:t>2018</w:t>
      </w:r>
      <w:r>
        <w:rPr>
          <w:rFonts w:ascii="宋体" w:hAnsi="宋体" w:cs="宋体" w:eastAsia="宋体" w:hint="default"/>
          <w:spacing w:val="-59"/>
        </w:rPr>
        <w:t> </w:t>
      </w:r>
      <w:r>
        <w:rPr/>
        <w:t>年每年的</w:t>
      </w:r>
    </w:p>
    <w:p>
      <w:pPr>
        <w:pStyle w:val="BodyText"/>
        <w:spacing w:line="240" w:lineRule="auto" w:before="145"/>
        <w:ind w:right="996"/>
        <w:jc w:val="left"/>
      </w:pPr>
      <w:r>
        <w:rPr>
          <w:rFonts w:ascii="宋体" w:hAnsi="宋体" w:cs="宋体" w:eastAsia="宋体" w:hint="default"/>
        </w:rPr>
        <w:t>3</w:t>
      </w:r>
      <w:r>
        <w:rPr>
          <w:rFonts w:ascii="宋体" w:hAnsi="宋体" w:cs="宋体" w:eastAsia="宋体" w:hint="default"/>
          <w:spacing w:val="-60"/>
        </w:rPr>
        <w:t> </w:t>
      </w:r>
      <w:r>
        <w:rPr/>
        <w:t>月</w:t>
      </w:r>
      <w:r>
        <w:rPr>
          <w:spacing w:val="-60"/>
        </w:rPr>
        <w:t> </w:t>
      </w:r>
      <w:r>
        <w:rPr>
          <w:rFonts w:ascii="宋体" w:hAnsi="宋体" w:cs="宋体" w:eastAsia="宋体" w:hint="default"/>
        </w:rPr>
        <w:t>4</w:t>
      </w:r>
      <w:r>
        <w:rPr>
          <w:rFonts w:ascii="宋体" w:hAnsi="宋体" w:cs="宋体" w:eastAsia="宋体" w:hint="default"/>
          <w:spacing w:val="-60"/>
        </w:rPr>
        <w:t> </w:t>
      </w:r>
      <w:r>
        <w:rPr/>
        <w:t>日，如遇法定节假日或休息日，则顺延至其后的第</w:t>
      </w:r>
      <w:r>
        <w:rPr>
          <w:spacing w:val="-60"/>
        </w:rPr>
        <w:t> </w:t>
      </w:r>
      <w:r>
        <w:rPr>
          <w:rFonts w:ascii="宋体" w:hAnsi="宋体" w:cs="宋体" w:eastAsia="宋体" w:hint="default"/>
        </w:rPr>
        <w:t>1</w:t>
      </w:r>
      <w:r>
        <w:rPr>
          <w:rFonts w:ascii="宋体" w:hAnsi="宋体" w:cs="宋体" w:eastAsia="宋体" w:hint="default"/>
          <w:spacing w:val="-60"/>
        </w:rPr>
        <w:t> </w:t>
      </w:r>
      <w:r>
        <w:rPr/>
        <w:t>个工作日；每次付息款项不另计</w:t>
      </w:r>
    </w:p>
    <w:p>
      <w:pPr>
        <w:pStyle w:val="BodyText"/>
        <w:spacing w:line="240" w:lineRule="auto" w:before="145"/>
        <w:ind w:right="996"/>
        <w:jc w:val="left"/>
      </w:pPr>
      <w:r>
        <w:rPr/>
        <w:t>利息。如投资者行使回售选择权，则其回售部分债券的付息日为 </w:t>
      </w:r>
      <w:r>
        <w:rPr>
          <w:rFonts w:ascii="宋体" w:hAnsi="宋体" w:cs="宋体" w:eastAsia="宋体" w:hint="default"/>
        </w:rPr>
        <w:t>2016 </w:t>
      </w:r>
      <w:r>
        <w:rPr/>
        <w:t>年至 </w:t>
      </w:r>
      <w:r>
        <w:rPr>
          <w:rFonts w:ascii="宋体" w:hAnsi="宋体" w:cs="宋体" w:eastAsia="宋体" w:hint="default"/>
        </w:rPr>
        <w:t>2017 </w:t>
      </w:r>
      <w:r>
        <w:rPr/>
        <w:t>年每年的</w:t>
      </w:r>
    </w:p>
    <w:p>
      <w:pPr>
        <w:pStyle w:val="BodyText"/>
        <w:spacing w:line="350" w:lineRule="auto" w:before="146"/>
        <w:ind w:left="154" w:right="1118"/>
        <w:jc w:val="left"/>
      </w:pPr>
      <w:r>
        <w:rPr>
          <w:rFonts w:ascii="宋体" w:hAnsi="宋体" w:cs="宋体" w:eastAsia="宋体" w:hint="default"/>
        </w:rPr>
        <w:t>3</w:t>
      </w:r>
      <w:r>
        <w:rPr>
          <w:rFonts w:ascii="宋体" w:hAnsi="宋体" w:cs="宋体" w:eastAsia="宋体" w:hint="default"/>
          <w:spacing w:val="-64"/>
        </w:rPr>
        <w:t> </w:t>
      </w:r>
      <w:r>
        <w:rPr/>
        <w:t>月</w:t>
      </w:r>
      <w:r>
        <w:rPr>
          <w:spacing w:val="-64"/>
        </w:rPr>
        <w:t> </w:t>
      </w:r>
      <w:r>
        <w:rPr>
          <w:rFonts w:ascii="宋体" w:hAnsi="宋体" w:cs="宋体" w:eastAsia="宋体" w:hint="default"/>
        </w:rPr>
        <w:t>4</w:t>
      </w:r>
      <w:r>
        <w:rPr>
          <w:rFonts w:ascii="宋体" w:hAnsi="宋体" w:cs="宋体" w:eastAsia="宋体" w:hint="default"/>
          <w:spacing w:val="-64"/>
        </w:rPr>
        <w:t> </w:t>
      </w:r>
      <w:r>
        <w:rPr/>
        <w:t>日（如遇法定及政府指定节假日或休息日，则顺延至其后的第</w:t>
      </w:r>
      <w:r>
        <w:rPr>
          <w:spacing w:val="-7"/>
        </w:rPr>
        <w:t> </w:t>
      </w:r>
      <w:r>
        <w:rPr>
          <w:rFonts w:ascii="宋体" w:hAnsi="宋体" w:cs="宋体" w:eastAsia="宋体" w:hint="default"/>
        </w:rPr>
        <w:t>1</w:t>
      </w:r>
      <w:r>
        <w:rPr>
          <w:rFonts w:ascii="宋体" w:hAnsi="宋体" w:cs="宋体" w:eastAsia="宋体" w:hint="default"/>
          <w:spacing w:val="-7"/>
        </w:rPr>
        <w:t> </w:t>
      </w:r>
      <w:r>
        <w:rPr/>
        <w:t>个工作日；顺延期间 </w:t>
      </w:r>
      <w:r>
        <w:rPr>
          <w:spacing w:val="-11"/>
        </w:rPr>
        <w:t>付息款项不另计利息）。</w:t>
      </w:r>
    </w:p>
    <w:p>
      <w:pPr>
        <w:pStyle w:val="BodyText"/>
        <w:spacing w:line="352" w:lineRule="auto" w:before="35"/>
        <w:ind w:left="154" w:right="996" w:firstLine="480"/>
        <w:jc w:val="left"/>
      </w:pPr>
      <w:r>
        <w:rPr>
          <w:rFonts w:ascii="宋体" w:hAnsi="宋体" w:cs="宋体" w:eastAsia="宋体" w:hint="default"/>
          <w:spacing w:val="-3"/>
        </w:rPr>
        <w:t>b</w:t>
      </w:r>
      <w:r>
        <w:rPr>
          <w:spacing w:val="-3"/>
        </w:rPr>
        <w:t>、债券利息的支付通过登记机构和有关机构办理。利息支付的具体事项将按照国家有关</w:t>
      </w:r>
      <w:r>
        <w:rPr/>
        <w:t> 规定，由发行人在中国证监会指定媒体上发布的付息公告中加以说明。</w:t>
      </w:r>
    </w:p>
    <w:p>
      <w:pPr>
        <w:pStyle w:val="BodyText"/>
        <w:spacing w:line="240" w:lineRule="auto" w:before="32"/>
        <w:ind w:left="634" w:right="996"/>
        <w:jc w:val="left"/>
      </w:pPr>
      <w:r>
        <w:rPr>
          <w:rFonts w:ascii="宋体" w:hAnsi="宋体" w:cs="宋体" w:eastAsia="宋体" w:hint="default"/>
        </w:rPr>
        <w:t>c</w:t>
      </w:r>
      <w:r>
        <w:rPr/>
        <w:t>、根据国家税收法律、法规，投资者投资本期债券应缴纳的有关税金由其自行承担。</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240" w:lineRule="auto" w:before="199"/>
        <w:ind w:left="633" w:right="996"/>
        <w:jc w:val="left"/>
        <w:rPr>
          <w:rFonts w:ascii="宋体" w:hAnsi="宋体" w:cs="宋体" w:eastAsia="宋体" w:hint="default"/>
        </w:rPr>
      </w:pPr>
      <w:r>
        <w:rPr>
          <w:rFonts w:ascii="宋体" w:hAnsi="宋体" w:cs="宋体" w:eastAsia="宋体" w:hint="default"/>
        </w:rPr>
        <w:t>2016</w:t>
      </w:r>
      <w:r>
        <w:rPr>
          <w:rFonts w:ascii="宋体" w:hAnsi="宋体" w:cs="宋体" w:eastAsia="宋体" w:hint="default"/>
          <w:spacing w:val="-60"/>
        </w:rPr>
        <w:t> </w:t>
      </w:r>
      <w:r>
        <w:rPr/>
        <w:t>年</w:t>
      </w:r>
      <w:r>
        <w:rPr>
          <w:spacing w:val="-60"/>
        </w:rPr>
        <w:t> </w:t>
      </w:r>
      <w:r>
        <w:rPr>
          <w:rFonts w:ascii="宋体" w:hAnsi="宋体" w:cs="宋体" w:eastAsia="宋体" w:hint="default"/>
        </w:rPr>
        <w:t>2</w:t>
      </w:r>
      <w:r>
        <w:rPr>
          <w:rFonts w:ascii="宋体" w:hAnsi="宋体" w:cs="宋体" w:eastAsia="宋体" w:hint="default"/>
          <w:spacing w:val="-60"/>
        </w:rPr>
        <w:t> </w:t>
      </w:r>
      <w:r>
        <w:rPr/>
        <w:t>月</w:t>
      </w:r>
      <w:r>
        <w:rPr>
          <w:spacing w:val="-60"/>
        </w:rPr>
        <w:t> </w:t>
      </w:r>
      <w:r>
        <w:rPr>
          <w:rFonts w:ascii="宋体" w:hAnsi="宋体" w:cs="宋体" w:eastAsia="宋体" w:hint="default"/>
        </w:rPr>
        <w:t>27</w:t>
      </w:r>
      <w:r>
        <w:rPr>
          <w:rFonts w:ascii="宋体" w:hAnsi="宋体" w:cs="宋体" w:eastAsia="宋体" w:hint="default"/>
          <w:spacing w:val="-60"/>
        </w:rPr>
        <w:t> </w:t>
      </w:r>
      <w:r>
        <w:rPr/>
        <w:t>日</w:t>
      </w:r>
      <w:r>
        <w:rPr>
          <w:spacing w:val="-44"/>
        </w:rPr>
        <w:t>，</w:t>
      </w:r>
      <w:r>
        <w:rPr/>
        <w:t>公司发</w:t>
      </w:r>
      <w:r>
        <w:rPr>
          <w:spacing w:val="-44"/>
        </w:rPr>
        <w:t>布</w:t>
      </w:r>
      <w:r>
        <w:rPr/>
        <w:t>《</w:t>
      </w:r>
      <w:r>
        <w:rPr>
          <w:spacing w:val="-43"/>
        </w:rPr>
        <w:t> </w:t>
      </w:r>
      <w:r>
        <w:rPr/>
        <w:t>“</w:t>
      </w:r>
      <w:r>
        <w:rPr>
          <w:rFonts w:ascii="宋体" w:hAnsi="宋体" w:cs="宋体" w:eastAsia="宋体" w:hint="default"/>
        </w:rPr>
        <w:t>15</w:t>
      </w:r>
      <w:r>
        <w:rPr>
          <w:rFonts w:ascii="宋体" w:hAnsi="宋体" w:cs="宋体" w:eastAsia="宋体" w:hint="default"/>
          <w:spacing w:val="-60"/>
        </w:rPr>
        <w:t> </w:t>
      </w:r>
      <w:r>
        <w:rPr/>
        <w:t>辉煌</w:t>
      </w:r>
      <w:r>
        <w:rPr>
          <w:spacing w:val="-60"/>
        </w:rPr>
        <w:t> </w:t>
      </w:r>
      <w:r>
        <w:rPr>
          <w:rFonts w:ascii="宋体" w:hAnsi="宋体" w:cs="宋体" w:eastAsia="宋体" w:hint="default"/>
        </w:rPr>
        <w:t>01</w:t>
      </w:r>
      <w:r>
        <w:rPr>
          <w:spacing w:val="-44"/>
        </w:rPr>
        <w:t>”</w:t>
      </w:r>
      <w:r>
        <w:rPr>
          <w:rFonts w:ascii="宋体" w:hAnsi="宋体" w:cs="宋体" w:eastAsia="宋体" w:hint="default"/>
        </w:rPr>
        <w:t>2016</w:t>
      </w:r>
      <w:r>
        <w:rPr>
          <w:rFonts w:ascii="宋体" w:hAnsi="宋体" w:cs="宋体" w:eastAsia="宋体" w:hint="default"/>
          <w:spacing w:val="-60"/>
        </w:rPr>
        <w:t> </w:t>
      </w:r>
      <w:r>
        <w:rPr/>
        <w:t>年付息公告</w:t>
      </w:r>
      <w:r>
        <w:rPr>
          <w:spacing w:val="-164"/>
        </w:rPr>
        <w:t>》</w:t>
      </w:r>
      <w:r>
        <w:rPr/>
        <w:t>（</w:t>
      </w:r>
      <w:r>
        <w:rPr>
          <w:rFonts w:ascii="宋体" w:hAnsi="宋体" w:cs="宋体" w:eastAsia="宋体" w:hint="default"/>
        </w:rPr>
        <w:t>2016-010</w:t>
      </w:r>
      <w:r>
        <w:rPr>
          <w:spacing w:val="-120"/>
        </w:rPr>
        <w:t>）</w:t>
      </w:r>
      <w:r>
        <w:rPr>
          <w:spacing w:val="-44"/>
        </w:rPr>
        <w:t>，</w:t>
      </w:r>
      <w:r>
        <w:rPr/>
        <w:t>并于</w:t>
      </w:r>
      <w:r>
        <w:rPr>
          <w:spacing w:val="-60"/>
        </w:rPr>
        <w:t> </w:t>
      </w:r>
      <w:r>
        <w:rPr>
          <w:rFonts w:ascii="宋体" w:hAnsi="宋体" w:cs="宋体" w:eastAsia="宋体" w:hint="default"/>
        </w:rPr>
        <w:t>20</w:t>
      </w:r>
      <w:r>
        <w:rPr>
          <w:rFonts w:ascii="宋体" w:hAnsi="宋体" w:cs="宋体" w:eastAsia="宋体" w:hint="default"/>
          <w:spacing w:val="-2"/>
        </w:rPr>
        <w:t>1</w:t>
      </w:r>
      <w:r>
        <w:rPr>
          <w:rFonts w:ascii="宋体" w:hAnsi="宋体" w:cs="宋体" w:eastAsia="宋体" w:hint="default"/>
        </w:rPr>
        <w:t>6</w:t>
      </w:r>
    </w:p>
    <w:p>
      <w:pPr>
        <w:pStyle w:val="BodyText"/>
        <w:spacing w:line="240" w:lineRule="auto" w:before="145"/>
        <w:ind w:right="996"/>
        <w:jc w:val="left"/>
      </w:pPr>
      <w:r>
        <w:rPr/>
        <w:t>年</w:t>
      </w:r>
      <w:r>
        <w:rPr>
          <w:spacing w:val="-60"/>
        </w:rPr>
        <w:t> </w:t>
      </w:r>
      <w:r>
        <w:rPr>
          <w:rFonts w:ascii="宋体" w:hAnsi="宋体" w:cs="宋体" w:eastAsia="宋体" w:hint="default"/>
        </w:rPr>
        <w:t>3</w:t>
      </w:r>
      <w:r>
        <w:rPr>
          <w:rFonts w:ascii="宋体" w:hAnsi="宋体" w:cs="宋体" w:eastAsia="宋体" w:hint="default"/>
          <w:spacing w:val="-60"/>
        </w:rPr>
        <w:t> </w:t>
      </w:r>
      <w:r>
        <w:rPr/>
        <w:t>月</w:t>
      </w:r>
      <w:r>
        <w:rPr>
          <w:spacing w:val="-60"/>
        </w:rPr>
        <w:t> </w:t>
      </w:r>
      <w:r>
        <w:rPr>
          <w:rFonts w:ascii="宋体" w:hAnsi="宋体" w:cs="宋体" w:eastAsia="宋体" w:hint="default"/>
        </w:rPr>
        <w:t>4</w:t>
      </w:r>
      <w:r>
        <w:rPr>
          <w:rFonts w:ascii="宋体" w:hAnsi="宋体" w:cs="宋体" w:eastAsia="宋体" w:hint="default"/>
          <w:spacing w:val="-60"/>
        </w:rPr>
        <w:t> </w:t>
      </w:r>
      <w:r>
        <w:rPr/>
        <w:t>日支付完毕“</w:t>
      </w:r>
      <w:r>
        <w:rPr>
          <w:rFonts w:ascii="宋体" w:hAnsi="宋体" w:cs="宋体" w:eastAsia="宋体" w:hint="default"/>
        </w:rPr>
        <w:t>15</w:t>
      </w:r>
      <w:r>
        <w:rPr>
          <w:rFonts w:ascii="宋体" w:hAnsi="宋体" w:cs="宋体" w:eastAsia="宋体" w:hint="default"/>
          <w:spacing w:val="-60"/>
        </w:rPr>
        <w:t> </w:t>
      </w:r>
      <w:r>
        <w:rPr/>
        <w:t>辉煌</w:t>
      </w:r>
      <w:r>
        <w:rPr>
          <w:spacing w:val="-60"/>
        </w:rPr>
        <w:t> </w:t>
      </w:r>
      <w:r>
        <w:rPr>
          <w:rFonts w:ascii="宋体" w:hAnsi="宋体" w:cs="宋体" w:eastAsia="宋体" w:hint="default"/>
        </w:rPr>
        <w:t>01</w:t>
      </w:r>
      <w:r>
        <w:rPr/>
        <w:t>”当期利息</w:t>
      </w:r>
      <w:r>
        <w:rPr>
          <w:spacing w:val="-60"/>
        </w:rPr>
        <w:t> </w:t>
      </w:r>
      <w:r>
        <w:rPr>
          <w:rFonts w:ascii="宋体" w:hAnsi="宋体" w:cs="宋体" w:eastAsia="宋体" w:hint="default"/>
        </w:rPr>
        <w:t>22,500,000</w:t>
      </w:r>
      <w:r>
        <w:rPr>
          <w:rFonts w:ascii="宋体" w:hAnsi="宋体" w:cs="宋体" w:eastAsia="宋体" w:hint="default"/>
          <w:spacing w:val="-60"/>
        </w:rPr>
        <w:t> </w:t>
      </w:r>
      <w:r>
        <w:rPr/>
        <w:t>元。</w:t>
      </w:r>
    </w:p>
    <w:p>
      <w:pPr>
        <w:pStyle w:val="BodyText"/>
        <w:spacing w:line="240" w:lineRule="auto" w:before="146"/>
        <w:ind w:left="633" w:right="996"/>
        <w:jc w:val="left"/>
        <w:rPr>
          <w:rFonts w:ascii="宋体" w:hAnsi="宋体" w:cs="宋体" w:eastAsia="宋体" w:hint="default"/>
        </w:rPr>
      </w:pPr>
      <w:r>
        <w:rPr>
          <w:rFonts w:ascii="宋体" w:hAnsi="宋体" w:cs="宋体" w:eastAsia="宋体" w:hint="default"/>
        </w:rPr>
        <w:t>2017</w:t>
      </w:r>
      <w:r>
        <w:rPr>
          <w:rFonts w:ascii="宋体" w:hAnsi="宋体" w:cs="宋体" w:eastAsia="宋体" w:hint="default"/>
          <w:spacing w:val="-60"/>
        </w:rPr>
        <w:t> </w:t>
      </w:r>
      <w:r>
        <w:rPr/>
        <w:t>年</w:t>
      </w:r>
      <w:r>
        <w:rPr>
          <w:spacing w:val="-60"/>
        </w:rPr>
        <w:t> </w:t>
      </w:r>
      <w:r>
        <w:rPr>
          <w:rFonts w:ascii="宋体" w:hAnsi="宋体" w:cs="宋体" w:eastAsia="宋体" w:hint="default"/>
        </w:rPr>
        <w:t>2</w:t>
      </w:r>
      <w:r>
        <w:rPr>
          <w:rFonts w:ascii="宋体" w:hAnsi="宋体" w:cs="宋体" w:eastAsia="宋体" w:hint="default"/>
          <w:spacing w:val="-60"/>
        </w:rPr>
        <w:t> </w:t>
      </w:r>
      <w:r>
        <w:rPr/>
        <w:t>月</w:t>
      </w:r>
      <w:r>
        <w:rPr>
          <w:spacing w:val="-60"/>
        </w:rPr>
        <w:t> </w:t>
      </w:r>
      <w:r>
        <w:rPr>
          <w:rFonts w:ascii="宋体" w:hAnsi="宋体" w:cs="宋体" w:eastAsia="宋体" w:hint="default"/>
        </w:rPr>
        <w:t>23</w:t>
      </w:r>
      <w:r>
        <w:rPr>
          <w:rFonts w:ascii="宋体" w:hAnsi="宋体" w:cs="宋体" w:eastAsia="宋体" w:hint="default"/>
          <w:spacing w:val="-60"/>
        </w:rPr>
        <w:t> </w:t>
      </w:r>
      <w:r>
        <w:rPr/>
        <w:t>日</w:t>
      </w:r>
      <w:r>
        <w:rPr>
          <w:spacing w:val="-44"/>
        </w:rPr>
        <w:t>，</w:t>
      </w:r>
      <w:r>
        <w:rPr/>
        <w:t>公司发</w:t>
      </w:r>
      <w:r>
        <w:rPr>
          <w:spacing w:val="-44"/>
        </w:rPr>
        <w:t>布</w:t>
      </w:r>
      <w:r>
        <w:rPr/>
        <w:t>《</w:t>
      </w:r>
      <w:r>
        <w:rPr>
          <w:spacing w:val="-43"/>
        </w:rPr>
        <w:t> </w:t>
      </w:r>
      <w:r>
        <w:rPr/>
        <w:t>“</w:t>
      </w:r>
      <w:r>
        <w:rPr>
          <w:rFonts w:ascii="宋体" w:hAnsi="宋体" w:cs="宋体" w:eastAsia="宋体" w:hint="default"/>
        </w:rPr>
        <w:t>15</w:t>
      </w:r>
      <w:r>
        <w:rPr>
          <w:rFonts w:ascii="宋体" w:hAnsi="宋体" w:cs="宋体" w:eastAsia="宋体" w:hint="default"/>
          <w:spacing w:val="-60"/>
        </w:rPr>
        <w:t> </w:t>
      </w:r>
      <w:r>
        <w:rPr/>
        <w:t>辉煌</w:t>
      </w:r>
      <w:r>
        <w:rPr>
          <w:spacing w:val="-60"/>
        </w:rPr>
        <w:t> </w:t>
      </w:r>
      <w:r>
        <w:rPr>
          <w:rFonts w:ascii="宋体" w:hAnsi="宋体" w:cs="宋体" w:eastAsia="宋体" w:hint="default"/>
        </w:rPr>
        <w:t>01</w:t>
      </w:r>
      <w:r>
        <w:rPr>
          <w:spacing w:val="-44"/>
        </w:rPr>
        <w:t>”</w:t>
      </w:r>
      <w:r>
        <w:rPr>
          <w:rFonts w:ascii="宋体" w:hAnsi="宋体" w:cs="宋体" w:eastAsia="宋体" w:hint="default"/>
        </w:rPr>
        <w:t>2016</w:t>
      </w:r>
      <w:r>
        <w:rPr>
          <w:rFonts w:ascii="宋体" w:hAnsi="宋体" w:cs="宋体" w:eastAsia="宋体" w:hint="default"/>
          <w:spacing w:val="-60"/>
        </w:rPr>
        <w:t> </w:t>
      </w:r>
      <w:r>
        <w:rPr/>
        <w:t>年付息公告</w:t>
      </w:r>
      <w:r>
        <w:rPr>
          <w:spacing w:val="-164"/>
        </w:rPr>
        <w:t>》</w:t>
      </w:r>
      <w:r>
        <w:rPr/>
        <w:t>（</w:t>
      </w:r>
      <w:r>
        <w:rPr>
          <w:rFonts w:ascii="宋体" w:hAnsi="宋体" w:cs="宋体" w:eastAsia="宋体" w:hint="default"/>
        </w:rPr>
        <w:t>2017-015</w:t>
      </w:r>
      <w:r>
        <w:rPr>
          <w:spacing w:val="-120"/>
        </w:rPr>
        <w:t>）</w:t>
      </w:r>
      <w:r>
        <w:rPr>
          <w:spacing w:val="-44"/>
        </w:rPr>
        <w:t>，</w:t>
      </w:r>
      <w:r>
        <w:rPr/>
        <w:t>并于</w:t>
      </w:r>
      <w:r>
        <w:rPr>
          <w:spacing w:val="-60"/>
        </w:rPr>
        <w:t> </w:t>
      </w:r>
      <w:r>
        <w:rPr>
          <w:rFonts w:ascii="宋体" w:hAnsi="宋体" w:cs="宋体" w:eastAsia="宋体" w:hint="default"/>
        </w:rPr>
        <w:t>20</w:t>
      </w:r>
      <w:r>
        <w:rPr>
          <w:rFonts w:ascii="宋体" w:hAnsi="宋体" w:cs="宋体" w:eastAsia="宋体" w:hint="default"/>
          <w:spacing w:val="-2"/>
        </w:rPr>
        <w:t>1</w:t>
      </w:r>
      <w:r>
        <w:rPr>
          <w:rFonts w:ascii="宋体" w:hAnsi="宋体" w:cs="宋体" w:eastAsia="宋体" w:hint="default"/>
        </w:rPr>
        <w:t>7</w:t>
      </w:r>
    </w:p>
    <w:p>
      <w:pPr>
        <w:pStyle w:val="BodyText"/>
        <w:spacing w:line="240" w:lineRule="auto" w:before="146"/>
        <w:ind w:right="996"/>
        <w:jc w:val="left"/>
      </w:pPr>
      <w:r>
        <w:rPr/>
        <w:t>年</w:t>
      </w:r>
      <w:r>
        <w:rPr>
          <w:spacing w:val="-60"/>
        </w:rPr>
        <w:t> </w:t>
      </w:r>
      <w:r>
        <w:rPr>
          <w:rFonts w:ascii="宋体" w:hAnsi="宋体" w:cs="宋体" w:eastAsia="宋体" w:hint="default"/>
        </w:rPr>
        <w:t>3</w:t>
      </w:r>
      <w:r>
        <w:rPr>
          <w:rFonts w:ascii="宋体" w:hAnsi="宋体" w:cs="宋体" w:eastAsia="宋体" w:hint="default"/>
          <w:spacing w:val="-60"/>
        </w:rPr>
        <w:t> </w:t>
      </w:r>
      <w:r>
        <w:rPr/>
        <w:t>月</w:t>
      </w:r>
      <w:r>
        <w:rPr>
          <w:spacing w:val="-60"/>
        </w:rPr>
        <w:t> </w:t>
      </w:r>
      <w:r>
        <w:rPr>
          <w:rFonts w:ascii="宋体" w:hAnsi="宋体" w:cs="宋体" w:eastAsia="宋体" w:hint="default"/>
        </w:rPr>
        <w:t>3</w:t>
      </w:r>
      <w:r>
        <w:rPr>
          <w:rFonts w:ascii="宋体" w:hAnsi="宋体" w:cs="宋体" w:eastAsia="宋体" w:hint="default"/>
          <w:spacing w:val="-60"/>
        </w:rPr>
        <w:t> </w:t>
      </w:r>
      <w:r>
        <w:rPr/>
        <w:t>日支付完毕“</w:t>
      </w:r>
      <w:r>
        <w:rPr>
          <w:rFonts w:ascii="宋体" w:hAnsi="宋体" w:cs="宋体" w:eastAsia="宋体" w:hint="default"/>
        </w:rPr>
        <w:t>15</w:t>
      </w:r>
      <w:r>
        <w:rPr>
          <w:rFonts w:ascii="宋体" w:hAnsi="宋体" w:cs="宋体" w:eastAsia="宋体" w:hint="default"/>
          <w:spacing w:val="-60"/>
        </w:rPr>
        <w:t> </w:t>
      </w:r>
      <w:r>
        <w:rPr/>
        <w:t>辉煌</w:t>
      </w:r>
      <w:r>
        <w:rPr>
          <w:spacing w:val="-60"/>
        </w:rPr>
        <w:t> </w:t>
      </w:r>
      <w:r>
        <w:rPr>
          <w:rFonts w:ascii="宋体" w:hAnsi="宋体" w:cs="宋体" w:eastAsia="宋体" w:hint="default"/>
        </w:rPr>
        <w:t>01</w:t>
      </w:r>
      <w:r>
        <w:rPr/>
        <w:t>”当期利息</w:t>
      </w:r>
      <w:r>
        <w:rPr>
          <w:spacing w:val="-60"/>
        </w:rPr>
        <w:t> </w:t>
      </w:r>
      <w:r>
        <w:rPr>
          <w:rFonts w:ascii="宋体" w:hAnsi="宋体" w:cs="宋体" w:eastAsia="宋体" w:hint="default"/>
        </w:rPr>
        <w:t>22,500,000</w:t>
      </w:r>
      <w:r>
        <w:rPr>
          <w:rFonts w:ascii="宋体" w:hAnsi="宋体" w:cs="宋体" w:eastAsia="宋体" w:hint="default"/>
          <w:spacing w:val="-60"/>
        </w:rPr>
        <w:t> </w:t>
      </w:r>
      <w:r>
        <w:rPr/>
        <w:t>元。</w:t>
      </w:r>
    </w:p>
    <w:p>
      <w:pPr>
        <w:pStyle w:val="BodyText"/>
        <w:spacing w:line="240" w:lineRule="auto" w:before="145"/>
        <w:ind w:left="633" w:right="996"/>
        <w:jc w:val="left"/>
      </w:pPr>
      <w:r>
        <w:rPr/>
        <w:t>② 本金的兑付</w:t>
      </w:r>
    </w:p>
    <w:p>
      <w:pPr>
        <w:pStyle w:val="BodyText"/>
        <w:spacing w:line="240" w:lineRule="auto" w:before="146"/>
        <w:ind w:left="634" w:right="996"/>
        <w:jc w:val="left"/>
      </w:pPr>
      <w:r>
        <w:rPr>
          <w:rFonts w:ascii="宋体" w:hAnsi="宋体" w:cs="宋体" w:eastAsia="宋体" w:hint="default"/>
        </w:rPr>
        <w:t>a</w:t>
      </w:r>
      <w:r>
        <w:rPr/>
        <w:t>、本次债券到期一次还本，本期债券的兑付日期为</w:t>
      </w:r>
      <w:r>
        <w:rPr>
          <w:spacing w:val="-60"/>
        </w:rPr>
        <w:t> </w:t>
      </w:r>
      <w:r>
        <w:rPr>
          <w:rFonts w:ascii="宋体" w:hAnsi="宋体" w:cs="宋体" w:eastAsia="宋体" w:hint="default"/>
        </w:rPr>
        <w:t>2018</w:t>
      </w:r>
      <w:r>
        <w:rPr>
          <w:rFonts w:ascii="宋体" w:hAnsi="宋体" w:cs="宋体" w:eastAsia="宋体" w:hint="default"/>
          <w:spacing w:val="-60"/>
        </w:rPr>
        <w:t> </w:t>
      </w:r>
      <w:r>
        <w:rPr/>
        <w:t>年</w:t>
      </w:r>
      <w:r>
        <w:rPr>
          <w:spacing w:val="-60"/>
        </w:rPr>
        <w:t> </w:t>
      </w:r>
      <w:r>
        <w:rPr>
          <w:rFonts w:ascii="宋体" w:hAnsi="宋体" w:cs="宋体" w:eastAsia="宋体" w:hint="default"/>
        </w:rPr>
        <w:t>3</w:t>
      </w:r>
      <w:r>
        <w:rPr>
          <w:rFonts w:ascii="宋体" w:hAnsi="宋体" w:cs="宋体" w:eastAsia="宋体" w:hint="default"/>
          <w:spacing w:val="-60"/>
        </w:rPr>
        <w:t> </w:t>
      </w:r>
      <w:r>
        <w:rPr/>
        <w:t>月</w:t>
      </w:r>
      <w:r>
        <w:rPr>
          <w:spacing w:val="-60"/>
        </w:rPr>
        <w:t> </w:t>
      </w:r>
      <w:r>
        <w:rPr>
          <w:rFonts w:ascii="宋体" w:hAnsi="宋体" w:cs="宋体" w:eastAsia="宋体" w:hint="default"/>
        </w:rPr>
        <w:t>4</w:t>
      </w:r>
      <w:r>
        <w:rPr>
          <w:rFonts w:ascii="宋体" w:hAnsi="宋体" w:cs="宋体" w:eastAsia="宋体" w:hint="default"/>
          <w:spacing w:val="-60"/>
        </w:rPr>
        <w:t> </w:t>
      </w:r>
      <w:r>
        <w:rPr/>
        <w:t>日，如遇法定节假日</w:t>
      </w:r>
    </w:p>
    <w:p>
      <w:pPr>
        <w:pStyle w:val="BodyText"/>
        <w:spacing w:line="240" w:lineRule="auto" w:before="145"/>
        <w:ind w:right="996"/>
        <w:jc w:val="left"/>
      </w:pPr>
      <w:r>
        <w:rPr/>
        <w:t>或休息日，则顺延至其后的第</w:t>
      </w:r>
      <w:r>
        <w:rPr>
          <w:spacing w:val="-60"/>
        </w:rPr>
        <w:t> </w:t>
      </w:r>
      <w:r>
        <w:rPr>
          <w:rFonts w:ascii="宋体" w:hAnsi="宋体" w:cs="宋体" w:eastAsia="宋体" w:hint="default"/>
        </w:rPr>
        <w:t>1</w:t>
      </w:r>
      <w:r>
        <w:rPr>
          <w:rFonts w:ascii="宋体" w:hAnsi="宋体" w:cs="宋体" w:eastAsia="宋体" w:hint="default"/>
          <w:spacing w:val="-60"/>
        </w:rPr>
        <w:t> </w:t>
      </w:r>
      <w:r>
        <w:rPr/>
        <w:t>个工作日；顺延期间兑付款项不另计利息。如投资者行使回</w:t>
      </w:r>
    </w:p>
    <w:p>
      <w:pPr>
        <w:pStyle w:val="BodyText"/>
        <w:spacing w:line="240" w:lineRule="auto" w:before="145"/>
        <w:ind w:right="996"/>
        <w:jc w:val="left"/>
      </w:pPr>
      <w:r>
        <w:rPr/>
        <w:t>售选择权，则其回售部分债券的兑付日为 </w:t>
      </w:r>
      <w:r>
        <w:rPr>
          <w:rFonts w:ascii="宋体" w:hAnsi="宋体" w:cs="宋体" w:eastAsia="宋体" w:hint="default"/>
        </w:rPr>
        <w:t>2017 </w:t>
      </w:r>
      <w:r>
        <w:rPr/>
        <w:t>年</w:t>
      </w:r>
      <w:r>
        <w:rPr>
          <w:spacing w:val="-60"/>
        </w:rPr>
        <w:t> </w:t>
      </w:r>
      <w:r>
        <w:rPr>
          <w:rFonts w:ascii="宋体" w:hAnsi="宋体" w:cs="宋体" w:eastAsia="宋体" w:hint="default"/>
        </w:rPr>
        <w:t>3</w:t>
      </w:r>
      <w:r>
        <w:rPr>
          <w:rFonts w:ascii="宋体" w:hAnsi="宋体" w:cs="宋体" w:eastAsia="宋体" w:hint="default"/>
          <w:spacing w:val="-60"/>
        </w:rPr>
        <w:t> </w:t>
      </w:r>
      <w:r>
        <w:rPr/>
        <w:t>月</w:t>
      </w:r>
      <w:r>
        <w:rPr>
          <w:spacing w:val="-60"/>
        </w:rPr>
        <w:t> </w:t>
      </w:r>
      <w:r>
        <w:rPr>
          <w:rFonts w:ascii="宋体" w:hAnsi="宋体" w:cs="宋体" w:eastAsia="宋体" w:hint="default"/>
        </w:rPr>
        <w:t>4</w:t>
      </w:r>
      <w:r>
        <w:rPr>
          <w:rFonts w:ascii="宋体" w:hAnsi="宋体" w:cs="宋体" w:eastAsia="宋体" w:hint="default"/>
          <w:spacing w:val="-60"/>
        </w:rPr>
        <w:t> </w:t>
      </w:r>
      <w:r>
        <w:rPr/>
        <w:t>日（如遇法定及政府指定节假日或</w:t>
      </w:r>
    </w:p>
    <w:p>
      <w:pPr>
        <w:pStyle w:val="BodyText"/>
        <w:spacing w:line="350" w:lineRule="auto" w:before="146"/>
        <w:ind w:left="633" w:right="996" w:hanging="480"/>
        <w:jc w:val="left"/>
      </w:pPr>
      <w:r>
        <w:rPr/>
        <w:t>休息日，则顺延至其后的第 </w:t>
      </w:r>
      <w:r>
        <w:rPr>
          <w:rFonts w:ascii="宋体" w:hAnsi="宋体" w:cs="宋体" w:eastAsia="宋体" w:hint="default"/>
        </w:rPr>
        <w:t>1 </w:t>
      </w:r>
      <w:r>
        <w:rPr>
          <w:spacing w:val="-6"/>
        </w:rPr>
        <w:t>个工作日；顺延期间兑付款项不另计利息）。</w:t>
      </w:r>
      <w:r>
        <w:rPr/>
        <w:t> </w:t>
      </w:r>
      <w:r>
        <w:rPr>
          <w:rFonts w:ascii="宋体" w:hAnsi="宋体" w:cs="宋体" w:eastAsia="宋体" w:hint="default"/>
          <w:spacing w:val="-3"/>
        </w:rPr>
        <w:t>b</w:t>
      </w:r>
      <w:r>
        <w:rPr>
          <w:spacing w:val="-3"/>
        </w:rPr>
        <w:t>、本期债券的本金兑付通过登记机构和有关机构办理。本金兑付的具体事项将按照国家</w:t>
      </w:r>
    </w:p>
    <w:p>
      <w:pPr>
        <w:pStyle w:val="BodyText"/>
        <w:spacing w:line="240" w:lineRule="auto" w:before="35"/>
        <w:ind w:right="996"/>
        <w:jc w:val="left"/>
      </w:pPr>
      <w:r>
        <w:rPr/>
        <w:t>有关规定，由发行人在中国证监会指定媒体上发布的兑付公告中加以说明。</w:t>
      </w:r>
    </w:p>
    <w:p>
      <w:pPr>
        <w:pStyle w:val="BodyText"/>
        <w:spacing w:line="240" w:lineRule="auto" w:before="146"/>
        <w:ind w:left="633" w:right="996"/>
        <w:jc w:val="left"/>
      </w:pPr>
      <w:r>
        <w:rPr>
          <w:rFonts w:ascii="宋体" w:hAnsi="宋体" w:cs="宋体" w:eastAsia="宋体" w:hint="default"/>
        </w:rPr>
        <w:t>2017</w:t>
      </w:r>
      <w:r>
        <w:rPr>
          <w:rFonts w:ascii="宋体" w:hAnsi="宋体" w:cs="宋体" w:eastAsia="宋体" w:hint="default"/>
          <w:spacing w:val="-80"/>
        </w:rPr>
        <w:t> </w:t>
      </w:r>
      <w:r>
        <w:rPr/>
        <w:t>年</w:t>
      </w:r>
      <w:r>
        <w:rPr>
          <w:spacing w:val="-81"/>
        </w:rPr>
        <w:t> </w:t>
      </w:r>
      <w:r>
        <w:rPr>
          <w:rFonts w:ascii="宋体" w:hAnsi="宋体" w:cs="宋体" w:eastAsia="宋体" w:hint="default"/>
        </w:rPr>
        <w:t>2</w:t>
      </w:r>
      <w:r>
        <w:rPr>
          <w:rFonts w:ascii="宋体" w:hAnsi="宋体" w:cs="宋体" w:eastAsia="宋体" w:hint="default"/>
          <w:spacing w:val="-81"/>
        </w:rPr>
        <w:t> </w:t>
      </w:r>
      <w:r>
        <w:rPr/>
        <w:t>月</w:t>
      </w:r>
      <w:r>
        <w:rPr>
          <w:spacing w:val="-81"/>
        </w:rPr>
        <w:t> </w:t>
      </w:r>
      <w:r>
        <w:rPr>
          <w:rFonts w:ascii="宋体" w:hAnsi="宋体" w:cs="宋体" w:eastAsia="宋体" w:hint="default"/>
        </w:rPr>
        <w:t>9</w:t>
      </w:r>
      <w:r>
        <w:rPr>
          <w:rFonts w:ascii="宋体" w:hAnsi="宋体" w:cs="宋体" w:eastAsia="宋体" w:hint="default"/>
          <w:spacing w:val="-81"/>
        </w:rPr>
        <w:t> </w:t>
      </w:r>
      <w:r>
        <w:rPr/>
        <w:t>日</w:t>
      </w:r>
      <w:r>
        <w:rPr>
          <w:spacing w:val="-120"/>
        </w:rPr>
        <w:t>，</w:t>
      </w:r>
      <w:r>
        <w:rPr/>
        <w:t>公司发</w:t>
      </w:r>
      <w:r>
        <w:rPr>
          <w:spacing w:val="-120"/>
        </w:rPr>
        <w:t>布</w:t>
      </w:r>
      <w:r>
        <w:rPr/>
        <w:t>《关</w:t>
      </w:r>
      <w:r>
        <w:rPr>
          <w:spacing w:val="-120"/>
        </w:rPr>
        <w:t>于</w:t>
      </w:r>
      <w:r>
        <w:rPr/>
        <w:t>“</w:t>
      </w:r>
      <w:r>
        <w:rPr>
          <w:rFonts w:ascii="宋体" w:hAnsi="宋体" w:cs="宋体" w:eastAsia="宋体" w:hint="default"/>
        </w:rPr>
        <w:t>15</w:t>
      </w:r>
      <w:r>
        <w:rPr>
          <w:rFonts w:ascii="宋体" w:hAnsi="宋体" w:cs="宋体" w:eastAsia="宋体" w:hint="default"/>
          <w:spacing w:val="-81"/>
        </w:rPr>
        <w:t> </w:t>
      </w:r>
      <w:r>
        <w:rPr/>
        <w:t>辉煌</w:t>
      </w:r>
      <w:r>
        <w:rPr>
          <w:spacing w:val="-81"/>
        </w:rPr>
        <w:t> </w:t>
      </w:r>
      <w:r>
        <w:rPr>
          <w:rFonts w:ascii="宋体" w:hAnsi="宋体" w:cs="宋体" w:eastAsia="宋体" w:hint="default"/>
        </w:rPr>
        <w:t>01</w:t>
      </w:r>
      <w:r>
        <w:rPr>
          <w:spacing w:val="-120"/>
        </w:rPr>
        <w:t>”</w:t>
      </w:r>
      <w:r>
        <w:rPr/>
        <w:t>公司债券回售申报情况的公告</w:t>
      </w:r>
      <w:r>
        <w:rPr>
          <w:spacing w:val="-240"/>
        </w:rPr>
        <w:t>》</w:t>
      </w:r>
      <w:r>
        <w:rPr/>
        <w:t>（</w:t>
      </w:r>
      <w:r>
        <w:rPr>
          <w:rFonts w:ascii="宋体" w:hAnsi="宋体" w:cs="宋体" w:eastAsia="宋体" w:hint="default"/>
        </w:rPr>
        <w:t>2017-010</w:t>
      </w:r>
      <w:r>
        <w:rPr>
          <w:spacing w:val="-120"/>
        </w:rPr>
        <w:t>），</w:t>
      </w:r>
      <w:r>
        <w:rPr/>
      </w:r>
    </w:p>
    <w:p>
      <w:pPr>
        <w:pStyle w:val="BodyText"/>
        <w:spacing w:line="240" w:lineRule="auto" w:before="145"/>
        <w:ind w:right="996"/>
        <w:jc w:val="left"/>
      </w:pPr>
      <w:r>
        <w:rPr/>
        <w:t>并于</w:t>
      </w:r>
      <w:r>
        <w:rPr>
          <w:spacing w:val="-60"/>
        </w:rPr>
        <w:t> </w:t>
      </w:r>
      <w:r>
        <w:rPr>
          <w:rFonts w:ascii="宋体" w:hAnsi="宋体" w:cs="宋体" w:eastAsia="宋体" w:hint="default"/>
        </w:rPr>
        <w:t>2017</w:t>
      </w:r>
      <w:r>
        <w:rPr>
          <w:rFonts w:ascii="宋体" w:hAnsi="宋体" w:cs="宋体" w:eastAsia="宋体" w:hint="default"/>
          <w:spacing w:val="-60"/>
        </w:rPr>
        <w:t> </w:t>
      </w:r>
      <w:r>
        <w:rPr/>
        <w:t>年</w:t>
      </w:r>
      <w:r>
        <w:rPr>
          <w:spacing w:val="-60"/>
        </w:rPr>
        <w:t> </w:t>
      </w:r>
      <w:r>
        <w:rPr>
          <w:rFonts w:ascii="宋体" w:hAnsi="宋体" w:cs="宋体" w:eastAsia="宋体" w:hint="default"/>
        </w:rPr>
        <w:t>3</w:t>
      </w:r>
      <w:r>
        <w:rPr>
          <w:rFonts w:ascii="宋体" w:hAnsi="宋体" w:cs="宋体" w:eastAsia="宋体" w:hint="default"/>
          <w:spacing w:val="-60"/>
        </w:rPr>
        <w:t> </w:t>
      </w:r>
      <w:r>
        <w:rPr/>
        <w:t>月</w:t>
      </w:r>
      <w:r>
        <w:rPr>
          <w:spacing w:val="-60"/>
        </w:rPr>
        <w:t> </w:t>
      </w:r>
      <w:r>
        <w:rPr>
          <w:rFonts w:ascii="宋体" w:hAnsi="宋体" w:cs="宋体" w:eastAsia="宋体" w:hint="default"/>
        </w:rPr>
        <w:t>3</w:t>
      </w:r>
      <w:r>
        <w:rPr>
          <w:rFonts w:ascii="宋体" w:hAnsi="宋体" w:cs="宋体" w:eastAsia="宋体" w:hint="default"/>
          <w:spacing w:val="-60"/>
        </w:rPr>
        <w:t> </w:t>
      </w:r>
      <w:r>
        <w:rPr/>
        <w:t>日支付完毕“</w:t>
      </w:r>
      <w:r>
        <w:rPr>
          <w:rFonts w:ascii="宋体" w:hAnsi="宋体" w:cs="宋体" w:eastAsia="宋体" w:hint="default"/>
        </w:rPr>
        <w:t>15</w:t>
      </w:r>
      <w:r>
        <w:rPr>
          <w:rFonts w:ascii="宋体" w:hAnsi="宋体" w:cs="宋体" w:eastAsia="宋体" w:hint="default"/>
          <w:spacing w:val="-60"/>
        </w:rPr>
        <w:t> </w:t>
      </w:r>
      <w:r>
        <w:rPr/>
        <w:t>辉煌</w:t>
      </w:r>
      <w:r>
        <w:rPr>
          <w:spacing w:val="-60"/>
        </w:rPr>
        <w:t> </w:t>
      </w:r>
      <w:r>
        <w:rPr>
          <w:rFonts w:ascii="宋体" w:hAnsi="宋体" w:cs="宋体" w:eastAsia="宋体" w:hint="default"/>
        </w:rPr>
        <w:t>01</w:t>
      </w:r>
      <w:r>
        <w:rPr/>
        <w:t>”发行</w:t>
      </w:r>
      <w:r>
        <w:rPr>
          <w:spacing w:val="-60"/>
        </w:rPr>
        <w:t> </w:t>
      </w:r>
      <w:r>
        <w:rPr>
          <w:rFonts w:ascii="宋体" w:hAnsi="宋体" w:cs="宋体" w:eastAsia="宋体" w:hint="default"/>
        </w:rPr>
        <w:t>2</w:t>
      </w:r>
      <w:r>
        <w:rPr>
          <w:rFonts w:ascii="宋体" w:hAnsi="宋体" w:cs="宋体" w:eastAsia="宋体" w:hint="default"/>
          <w:spacing w:val="-60"/>
        </w:rPr>
        <w:t> </w:t>
      </w:r>
      <w:r>
        <w:rPr/>
        <w:t>年末投资者的回售款</w:t>
      </w:r>
      <w:r>
        <w:rPr>
          <w:spacing w:val="-60"/>
        </w:rPr>
        <w:t> </w:t>
      </w:r>
      <w:r>
        <w:rPr>
          <w:rFonts w:ascii="宋体" w:hAnsi="宋体" w:cs="宋体" w:eastAsia="宋体" w:hint="default"/>
        </w:rPr>
        <w:t>3,600</w:t>
      </w:r>
      <w:r>
        <w:rPr>
          <w:rFonts w:ascii="宋体" w:hAnsi="宋体" w:cs="宋体" w:eastAsia="宋体" w:hint="default"/>
          <w:spacing w:val="-60"/>
        </w:rPr>
        <w:t> </w:t>
      </w:r>
      <w:r>
        <w:rPr/>
        <w:t>万元。</w:t>
      </w:r>
    </w:p>
    <w:p>
      <w:pPr>
        <w:pStyle w:val="BodyText"/>
        <w:spacing w:line="352" w:lineRule="auto" w:before="145"/>
        <w:ind w:left="633" w:right="1122"/>
        <w:jc w:val="left"/>
      </w:pPr>
      <w:r>
        <w:rPr>
          <w:rFonts w:ascii="宋体" w:hAnsi="宋体" w:cs="宋体" w:eastAsia="宋体" w:hint="default"/>
        </w:rPr>
        <w:t>2017</w:t>
      </w:r>
      <w:r>
        <w:rPr>
          <w:rFonts w:ascii="宋体" w:hAnsi="宋体" w:cs="宋体" w:eastAsia="宋体" w:hint="default"/>
          <w:spacing w:val="-59"/>
        </w:rPr>
        <w:t> </w:t>
      </w:r>
      <w:r>
        <w:rPr/>
        <w:t>年</w:t>
      </w:r>
      <w:r>
        <w:rPr>
          <w:spacing w:val="-59"/>
        </w:rPr>
        <w:t> </w:t>
      </w:r>
      <w:r>
        <w:rPr>
          <w:rFonts w:ascii="宋体" w:hAnsi="宋体" w:cs="宋体" w:eastAsia="宋体" w:hint="default"/>
        </w:rPr>
        <w:t>3</w:t>
      </w:r>
      <w:r>
        <w:rPr>
          <w:rFonts w:ascii="宋体" w:hAnsi="宋体" w:cs="宋体" w:eastAsia="宋体" w:hint="default"/>
          <w:spacing w:val="-59"/>
        </w:rPr>
        <w:t> </w:t>
      </w:r>
      <w:r>
        <w:rPr/>
        <w:t>月</w:t>
      </w:r>
      <w:r>
        <w:rPr>
          <w:spacing w:val="-59"/>
        </w:rPr>
        <w:t> </w:t>
      </w:r>
      <w:r>
        <w:rPr>
          <w:rFonts w:ascii="宋体" w:hAnsi="宋体" w:cs="宋体" w:eastAsia="宋体" w:hint="default"/>
        </w:rPr>
        <w:t>3</w:t>
      </w:r>
      <w:r>
        <w:rPr>
          <w:rFonts w:ascii="宋体" w:hAnsi="宋体" w:cs="宋体" w:eastAsia="宋体" w:hint="default"/>
          <w:spacing w:val="-59"/>
        </w:rPr>
        <w:t> </w:t>
      </w:r>
      <w:r>
        <w:rPr>
          <w:spacing w:val="-14"/>
        </w:rPr>
        <w:t>日，公司发布《关于“</w:t>
      </w:r>
      <w:r>
        <w:rPr>
          <w:rFonts w:ascii="宋体" w:hAnsi="宋体" w:cs="宋体" w:eastAsia="宋体" w:hint="default"/>
          <w:spacing w:val="-14"/>
        </w:rPr>
        <w:t>15</w:t>
      </w:r>
      <w:r>
        <w:rPr>
          <w:rFonts w:ascii="宋体" w:hAnsi="宋体" w:cs="宋体" w:eastAsia="宋体" w:hint="default"/>
          <w:spacing w:val="-59"/>
        </w:rPr>
        <w:t> </w:t>
      </w:r>
      <w:r>
        <w:rPr/>
        <w:t>辉煌</w:t>
      </w:r>
      <w:r>
        <w:rPr>
          <w:spacing w:val="-59"/>
        </w:rPr>
        <w:t> </w:t>
      </w:r>
      <w:r>
        <w:rPr>
          <w:rFonts w:ascii="宋体" w:hAnsi="宋体" w:cs="宋体" w:eastAsia="宋体" w:hint="default"/>
          <w:spacing w:val="-18"/>
        </w:rPr>
        <w:t>01</w:t>
      </w:r>
      <w:r>
        <w:rPr>
          <w:spacing w:val="-18"/>
        </w:rPr>
        <w:t>”公司债券回售结果的公告》（</w:t>
      </w:r>
      <w:r>
        <w:rPr>
          <w:rFonts w:ascii="宋体" w:hAnsi="宋体" w:cs="宋体" w:eastAsia="宋体" w:hint="default"/>
          <w:spacing w:val="-18"/>
        </w:rPr>
        <w:t>2017-018</w:t>
      </w:r>
      <w:r>
        <w:rPr>
          <w:spacing w:val="-18"/>
        </w:rPr>
        <w:t>）。</w:t>
      </w:r>
      <w:r>
        <w:rPr>
          <w:spacing w:val="-119"/>
        </w:rPr>
        <w:t> </w:t>
      </w:r>
      <w:r>
        <w:rPr/>
        <w:t>报告期内，本期公司剩余债券尚未到兑付日期。</w:t>
      </w:r>
    </w:p>
    <w:p>
      <w:pPr>
        <w:pStyle w:val="Heading2"/>
        <w:spacing w:line="238" w:lineRule="exact" w:before="0"/>
        <w:ind w:right="996"/>
        <w:jc w:val="left"/>
        <w:rPr>
          <w:b w:val="0"/>
          <w:bCs w:val="0"/>
        </w:rPr>
      </w:pPr>
      <w:r>
        <w:rPr/>
        <w:t>（</w:t>
      </w:r>
      <w:r>
        <w:rPr>
          <w:rFonts w:ascii="Times New Roman" w:hAnsi="Times New Roman" w:cs="Times New Roman" w:eastAsia="Times New Roman" w:hint="default"/>
        </w:rPr>
        <w:t>2</w:t>
      </w:r>
      <w:r>
        <w:rPr/>
        <w:t>）偿债基础</w:t>
      </w:r>
      <w:r>
        <w:rPr>
          <w:b w:val="0"/>
          <w:bCs w:val="0"/>
        </w:rPr>
      </w:r>
    </w:p>
    <w:p>
      <w:pPr>
        <w:pStyle w:val="BodyText"/>
        <w:spacing w:line="350" w:lineRule="auto" w:before="107"/>
        <w:ind w:left="154" w:right="1170" w:firstLine="480"/>
        <w:jc w:val="both"/>
      </w:pPr>
      <w:r>
        <w:rPr/>
        <w:t>公司偿付本期公司债券本息的资金主要来源于公司经营活动产生的现金流。若未来经济 环境发生重大不利变化或其他因素致使公司未来主营业务的经营情况未达到预期水平，或由 于不可预见的原因使公司不能按期偿还本期债券本息时，公司可以通过变现流动资产来补充 偿债资金。</w:t>
      </w:r>
    </w:p>
    <w:p>
      <w:pPr>
        <w:pStyle w:val="Heading2"/>
        <w:spacing w:line="240" w:lineRule="exact" w:before="0"/>
        <w:ind w:right="996"/>
        <w:jc w:val="left"/>
        <w:rPr>
          <w:b w:val="0"/>
          <w:bCs w:val="0"/>
        </w:rPr>
      </w:pPr>
      <w:r>
        <w:rPr/>
        <w:t>（</w:t>
      </w:r>
      <w:r>
        <w:rPr>
          <w:rFonts w:ascii="Times New Roman" w:hAnsi="Times New Roman" w:cs="Times New Roman" w:eastAsia="Times New Roman" w:hint="default"/>
        </w:rPr>
        <w:t>3</w:t>
      </w:r>
      <w:r>
        <w:rPr/>
        <w:t>）偿债保障措施</w:t>
      </w:r>
      <w:r>
        <w:rPr>
          <w:b w:val="0"/>
          <w:bCs w:val="0"/>
        </w:rPr>
      </w:r>
    </w:p>
    <w:p>
      <w:pPr>
        <w:pStyle w:val="BodyText"/>
        <w:spacing w:line="333" w:lineRule="auto" w:before="107"/>
        <w:ind w:right="1114" w:firstLine="480"/>
        <w:jc w:val="left"/>
      </w:pPr>
      <w:r>
        <w:rPr/>
        <w:t>为维护本次债券持有人的合法权益，公司在《公开发行</w:t>
      </w:r>
      <w:r>
        <w:rPr>
          <w:spacing w:val="-78"/>
        </w:rPr>
        <w:t> </w:t>
      </w:r>
      <w:r>
        <w:rPr>
          <w:rFonts w:ascii="Times New Roman" w:hAnsi="Times New Roman" w:cs="Times New Roman" w:eastAsia="Times New Roman" w:hint="default"/>
        </w:rPr>
        <w:t>2015</w:t>
      </w:r>
      <w:r>
        <w:rPr>
          <w:rFonts w:ascii="Times New Roman" w:hAnsi="Times New Roman" w:cs="Times New Roman" w:eastAsia="Times New Roman" w:hint="default"/>
          <w:spacing w:val="-27"/>
        </w:rPr>
        <w:t> </w:t>
      </w:r>
      <w:r>
        <w:rPr>
          <w:spacing w:val="-3"/>
        </w:rPr>
        <w:t>年公司债券（第一期）募集</w:t>
      </w:r>
      <w:r>
        <w:rPr/>
        <w:t> 说明书》中为本次债券偿债保障措施做了如下约定：</w:t>
      </w:r>
    </w:p>
    <w:p>
      <w:pPr>
        <w:pStyle w:val="BodyText"/>
        <w:spacing w:line="350" w:lineRule="auto" w:before="52"/>
        <w:ind w:left="633" w:right="1153"/>
        <w:jc w:val="left"/>
      </w:pPr>
      <w:r>
        <w:rPr/>
        <w:t>① 设立专门的偿付工作小组 本公司指定计划财务部牵头负责协调本次债券的偿付工作，并通过公司其他相关部门，</w:t>
      </w:r>
    </w:p>
    <w:p>
      <w:pPr>
        <w:pStyle w:val="BodyText"/>
        <w:spacing w:line="350" w:lineRule="auto"/>
        <w:ind w:right="1153"/>
        <w:jc w:val="left"/>
      </w:pPr>
      <w:r>
        <w:rPr/>
        <w:t>在每年的财务预算中落实安排本次债券本息的兑付资金，保证本息的如期偿付，保证债券持 有人的利益。</w:t>
      </w:r>
    </w:p>
    <w:p>
      <w:pPr>
        <w:pStyle w:val="BodyText"/>
        <w:spacing w:line="352" w:lineRule="auto" w:before="35"/>
        <w:ind w:left="634" w:right="1152"/>
        <w:jc w:val="left"/>
      </w:pPr>
      <w:r>
        <w:rPr/>
        <w:t>② 切实做到专款专用 本公司将制定专门的债券募集资金使用计划，相关业务部门对资金使用情况将进行严格</w:t>
      </w:r>
    </w:p>
    <w:p>
      <w:pPr>
        <w:pStyle w:val="BodyText"/>
        <w:spacing w:line="240" w:lineRule="auto" w:before="32"/>
        <w:ind w:left="154" w:right="996"/>
        <w:jc w:val="left"/>
      </w:pPr>
      <w:r>
        <w:rPr/>
        <w:t>检查，切实做到专款专用，保证募集资金在投入、运用、稽核等方面的顺畅运作，确保本次</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240" w:lineRule="auto" w:before="199"/>
        <w:ind w:right="0"/>
        <w:jc w:val="both"/>
      </w:pPr>
      <w:r>
        <w:rPr/>
        <w:t>债券募集资金根据股东大会决议及按照募集说明书披露的用途使用。</w:t>
      </w:r>
    </w:p>
    <w:p>
      <w:pPr>
        <w:pStyle w:val="BodyText"/>
        <w:spacing w:line="352" w:lineRule="auto" w:before="145"/>
        <w:ind w:left="634" w:right="1152"/>
        <w:jc w:val="left"/>
      </w:pPr>
      <w:r>
        <w:rPr/>
        <w:t>③ 充分发挥债券受托管理人的作用 </w:t>
      </w:r>
      <w:r>
        <w:rPr>
          <w:spacing w:val="-12"/>
        </w:rPr>
        <w:t>本公司已按照《公司债券发行试点办法》（以下简称“《试点办法》”）的规定，聘请中原</w:t>
      </w:r>
    </w:p>
    <w:p>
      <w:pPr>
        <w:pStyle w:val="BodyText"/>
        <w:spacing w:line="350" w:lineRule="auto" w:before="33"/>
        <w:ind w:left="154" w:right="1131"/>
        <w:jc w:val="both"/>
      </w:pPr>
      <w:r>
        <w:rPr/>
        <w:t>证券股份有限公</w:t>
      </w:r>
      <w:r>
        <w:rPr>
          <w:spacing w:val="-21"/>
        </w:rPr>
        <w:t>司</w:t>
      </w:r>
      <w:r>
        <w:rPr/>
        <w:t>（以下简</w:t>
      </w:r>
      <w:r>
        <w:rPr>
          <w:spacing w:val="-20"/>
        </w:rPr>
        <w:t>称</w:t>
      </w:r>
      <w:r>
        <w:rPr>
          <w:spacing w:val="-1"/>
        </w:rPr>
        <w:t>“</w:t>
      </w:r>
      <w:r>
        <w:rPr/>
        <w:t>中原证券</w:t>
      </w:r>
      <w:r>
        <w:rPr>
          <w:spacing w:val="-120"/>
        </w:rPr>
        <w:t>”</w:t>
      </w:r>
      <w:r>
        <w:rPr>
          <w:spacing w:val="-21"/>
        </w:rPr>
        <w:t>）</w:t>
      </w:r>
      <w:r>
        <w:rPr/>
        <w:t>担任本次债券的债券受托管理人</w:t>
      </w:r>
      <w:r>
        <w:rPr>
          <w:spacing w:val="-21"/>
        </w:rPr>
        <w:t>，</w:t>
      </w:r>
      <w:r>
        <w:rPr/>
        <w:t>并与中原证券</w:t>
      </w:r>
      <w:r>
        <w:rPr/>
        <w:t> 订立了《债券受托管理协议</w:t>
      </w:r>
      <w:r>
        <w:rPr>
          <w:spacing w:val="-120"/>
        </w:rPr>
        <w:t>》</w:t>
      </w:r>
      <w:r>
        <w:rPr/>
        <w:t>，从制度上保障本次债券本金和利息的按时、足额偿付。</w:t>
      </w:r>
    </w:p>
    <w:p>
      <w:pPr>
        <w:pStyle w:val="BodyText"/>
        <w:spacing w:line="350" w:lineRule="auto"/>
        <w:ind w:right="1170" w:firstLine="480"/>
        <w:jc w:val="both"/>
      </w:pPr>
      <w:r>
        <w:rPr/>
        <w:t>本公司将严格按照《债券受托管理协议》的规定，配合债券受托管理人履行职责，在本 公司可能出现债券违约时及时通知债券受托管理人并以公告方式通知债券持有人，便于启动 相应违约事件处理程序，或根据债券受托管理协议采取其他必要的措施。在本次债券存续期 限内，中原证券依照债券受托管理协议的约定维护本次债券持有人的利益。</w:t>
      </w:r>
    </w:p>
    <w:p>
      <w:pPr>
        <w:pStyle w:val="BodyText"/>
        <w:spacing w:line="350" w:lineRule="auto" w:before="35"/>
        <w:ind w:left="633" w:right="996"/>
        <w:jc w:val="left"/>
      </w:pPr>
      <w:r>
        <w:rPr/>
        <w:t>④ 制定债券持有人会议规则 </w:t>
      </w:r>
      <w:r>
        <w:rPr>
          <w:spacing w:val="-9"/>
        </w:rPr>
        <w:t>本公司已按照《试点办法》第二十六条之规定为本次债券制定了《债券持有人会议规则》。</w:t>
      </w:r>
    </w:p>
    <w:p>
      <w:pPr>
        <w:pStyle w:val="BodyText"/>
        <w:spacing w:line="350" w:lineRule="auto"/>
        <w:ind w:right="1170"/>
        <w:jc w:val="both"/>
      </w:pPr>
      <w:r>
        <w:rPr/>
        <w:t>《债券持有人会议规则》约定了本次债券持有人通过债券持有人会议行使权利的范围、程序 和其他重要事项，为保障本次债券本息及时足额偿付做出了合理的制度安排。</w:t>
      </w:r>
    </w:p>
    <w:p>
      <w:pPr>
        <w:pStyle w:val="BodyText"/>
        <w:spacing w:line="352" w:lineRule="auto" w:before="35"/>
        <w:ind w:left="634" w:right="1152"/>
        <w:jc w:val="left"/>
      </w:pPr>
      <w:r>
        <w:rPr/>
        <w:t>⑤ 严格的信息披露 本公司将遵循真实、准确、完整的信息披露原则，使公司偿债能力、募集资金使用等情</w:t>
      </w:r>
    </w:p>
    <w:p>
      <w:pPr>
        <w:pStyle w:val="BodyText"/>
        <w:spacing w:line="350" w:lineRule="auto" w:before="33"/>
        <w:ind w:right="1169"/>
        <w:jc w:val="both"/>
      </w:pPr>
      <w:r>
        <w:rPr>
          <w:spacing w:val="-6"/>
        </w:rPr>
        <w:t>况受到债券持有人、债券受托管理人的监督，防范偿债风险。本公司将根据《证券法》、《试</w:t>
      </w:r>
      <w:r>
        <w:rPr>
          <w:spacing w:val="-114"/>
        </w:rPr>
        <w:t> </w:t>
      </w:r>
      <w:r>
        <w:rPr>
          <w:spacing w:val="-114"/>
        </w:rPr>
      </w:r>
      <w:r>
        <w:rPr/>
        <w:t>点办法》等其他相关法律、法规、规章及《公司章程》规定，履行信息披露的义务，至少包 括但不限于以下内容：预计到期难以偿付本次债券利息或本金；订立可能对发行人还本付息 能力产生重大影响的担保及其他重要合同；发生重大亏损或者遭受超过净资产</w:t>
      </w:r>
      <w:r>
        <w:rPr>
          <w:spacing w:val="-59"/>
        </w:rPr>
        <w:t> </w:t>
      </w:r>
      <w:r>
        <w:rPr>
          <w:rFonts w:ascii="宋体" w:hAnsi="宋体" w:cs="宋体" w:eastAsia="宋体" w:hint="default"/>
        </w:rPr>
        <w:t>10%</w:t>
      </w:r>
      <w:r>
        <w:rPr/>
        <w:t>以上的重 大损失；发生减资、合并、分立、解散及申请破产；发生对发行人还本付息能力产生实质不 利影响的重大仲裁和诉讼；已经进行的重大债务重组可能对发行人还本付息能力产生重大实 质不利影响；本次债券被证券交易所暂停转让交易；以及中国证监会规定的其他情形。</w:t>
      </w:r>
    </w:p>
    <w:p>
      <w:pPr>
        <w:pStyle w:val="BodyText"/>
        <w:spacing w:line="240" w:lineRule="auto" w:before="35"/>
        <w:ind w:left="633" w:right="996"/>
        <w:jc w:val="left"/>
      </w:pPr>
      <w:r>
        <w:rPr/>
        <w:t>⑥ 公司承诺</w:t>
      </w:r>
    </w:p>
    <w:p>
      <w:pPr>
        <w:pStyle w:val="BodyText"/>
        <w:spacing w:line="350" w:lineRule="auto" w:before="146"/>
        <w:ind w:right="1130" w:firstLine="480"/>
        <w:jc w:val="both"/>
      </w:pPr>
      <w:r>
        <w:rPr/>
        <w:t>公司</w:t>
      </w:r>
      <w:r>
        <w:rPr>
          <w:spacing w:val="-59"/>
        </w:rPr>
        <w:t> </w:t>
      </w:r>
      <w:r>
        <w:rPr>
          <w:rFonts w:ascii="宋体" w:hAnsi="宋体" w:cs="宋体" w:eastAsia="宋体" w:hint="default"/>
        </w:rPr>
        <w:t>2014</w:t>
      </w:r>
      <w:r>
        <w:rPr>
          <w:rFonts w:ascii="宋体" w:hAnsi="宋体" w:cs="宋体" w:eastAsia="宋体" w:hint="default"/>
          <w:spacing w:val="-59"/>
        </w:rPr>
        <w:t> </w:t>
      </w:r>
      <w:r>
        <w:rPr/>
        <w:t>年</w:t>
      </w:r>
      <w:r>
        <w:rPr>
          <w:spacing w:val="-59"/>
        </w:rPr>
        <w:t> </w:t>
      </w:r>
      <w:r>
        <w:rPr>
          <w:rFonts w:ascii="宋体" w:hAnsi="宋体" w:cs="宋体" w:eastAsia="宋体" w:hint="default"/>
        </w:rPr>
        <w:t>2</w:t>
      </w:r>
      <w:r>
        <w:rPr>
          <w:rFonts w:ascii="宋体" w:hAnsi="宋体" w:cs="宋体" w:eastAsia="宋体" w:hint="default"/>
          <w:spacing w:val="-59"/>
        </w:rPr>
        <w:t> </w:t>
      </w:r>
      <w:r>
        <w:rPr/>
        <w:t>月</w:t>
      </w:r>
      <w:r>
        <w:rPr>
          <w:spacing w:val="-59"/>
        </w:rPr>
        <w:t> </w:t>
      </w:r>
      <w:r>
        <w:rPr>
          <w:rFonts w:ascii="宋体" w:hAnsi="宋体" w:cs="宋体" w:eastAsia="宋体" w:hint="default"/>
        </w:rPr>
        <w:t>26</w:t>
      </w:r>
      <w:r>
        <w:rPr>
          <w:rFonts w:ascii="宋体" w:hAnsi="宋体" w:cs="宋体" w:eastAsia="宋体" w:hint="default"/>
          <w:spacing w:val="-59"/>
        </w:rPr>
        <w:t> </w:t>
      </w:r>
      <w:r>
        <w:rPr>
          <w:spacing w:val="-5"/>
        </w:rPr>
        <w:t>日第五届董事会第二次会议通过决议，并经</w:t>
      </w:r>
      <w:r>
        <w:rPr>
          <w:spacing w:val="-59"/>
        </w:rPr>
        <w:t> </w:t>
      </w:r>
      <w:r>
        <w:rPr>
          <w:rFonts w:ascii="宋体" w:hAnsi="宋体" w:cs="宋体" w:eastAsia="宋体" w:hint="default"/>
        </w:rPr>
        <w:t>2013</w:t>
      </w:r>
      <w:r>
        <w:rPr>
          <w:rFonts w:ascii="宋体" w:hAnsi="宋体" w:cs="宋体" w:eastAsia="宋体" w:hint="default"/>
          <w:spacing w:val="-59"/>
        </w:rPr>
        <w:t> </w:t>
      </w:r>
      <w:r>
        <w:rPr/>
        <w:t>年年度股东大会审 议通过，在出现预计不能按期偿付债券本息或者到期未能按期偿付债券本息时，将至少采取 如下措施：</w:t>
      </w:r>
    </w:p>
    <w:p>
      <w:pPr>
        <w:pStyle w:val="BodyText"/>
        <w:spacing w:line="352" w:lineRule="auto"/>
        <w:ind w:left="633" w:right="3913"/>
        <w:jc w:val="left"/>
      </w:pPr>
      <w:r>
        <w:rPr>
          <w:rFonts w:ascii="宋体" w:hAnsi="宋体" w:cs="宋体" w:eastAsia="宋体" w:hint="default"/>
        </w:rPr>
        <w:t>a</w:t>
      </w:r>
      <w:r>
        <w:rPr/>
        <w:t>、不向股东分配利润； </w:t>
      </w:r>
      <w:r>
        <w:rPr>
          <w:rFonts w:ascii="宋体" w:hAnsi="宋体" w:cs="宋体" w:eastAsia="宋体" w:hint="default"/>
        </w:rPr>
        <w:t>b</w:t>
      </w:r>
      <w:r>
        <w:rPr/>
        <w:t>、暂缓重大对外投资、收购兼并等资本性支出项目的实施； </w:t>
      </w:r>
      <w:r>
        <w:rPr>
          <w:rFonts w:ascii="宋体" w:hAnsi="宋体" w:cs="宋体" w:eastAsia="宋体" w:hint="default"/>
        </w:rPr>
        <w:t>c</w:t>
      </w:r>
      <w:r>
        <w:rPr/>
        <w:t>、调减或停发董事和高级管理人员的工资和奖金； </w:t>
      </w:r>
      <w:r>
        <w:rPr>
          <w:rFonts w:ascii="宋体" w:hAnsi="宋体" w:cs="宋体" w:eastAsia="宋体" w:hint="default"/>
        </w:rPr>
        <w:t>d</w:t>
      </w:r>
      <w:r>
        <w:rPr/>
        <w:t>、主要责任人不得调离。</w:t>
      </w:r>
    </w:p>
    <w:p>
      <w:pPr>
        <w:spacing w:after="0" w:line="352"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482" w:lineRule="auto" w:before="199"/>
        <w:ind w:left="153" w:right="4993" w:firstLine="480"/>
        <w:jc w:val="left"/>
        <w:rPr>
          <w:rFonts w:ascii="宋体" w:hAnsi="宋体" w:cs="宋体" w:eastAsia="宋体" w:hint="default"/>
          <w:sz w:val="24"/>
          <w:szCs w:val="24"/>
        </w:rPr>
      </w:pPr>
      <w:r>
        <w:rPr>
          <w:rFonts w:ascii="宋体" w:hAnsi="宋体" w:cs="宋体" w:eastAsia="宋体" w:hint="default"/>
          <w:sz w:val="24"/>
          <w:szCs w:val="24"/>
        </w:rPr>
        <w:t>本报告期内，公司严格按照上述约定的措施执行。 </w:t>
      </w:r>
      <w:bookmarkStart w:name="六、报告期内债券持有人会议的召开情况" w:id="178"/>
      <w:bookmarkEnd w:id="178"/>
      <w:r>
        <w:rPr>
          <w:rFonts w:ascii="宋体" w:hAnsi="宋体" w:cs="宋体" w:eastAsia="宋体" w:hint="default"/>
          <w:sz w:val="24"/>
          <w:szCs w:val="24"/>
        </w:rPr>
      </w:r>
      <w:r>
        <w:rPr>
          <w:rFonts w:ascii="宋体" w:hAnsi="宋体" w:cs="宋体" w:eastAsia="宋体" w:hint="default"/>
          <w:b/>
          <w:bCs/>
          <w:sz w:val="24"/>
          <w:szCs w:val="24"/>
        </w:rPr>
        <w:t>六、报告期内债券持有人会议的召开情况</w:t>
      </w:r>
      <w:r>
        <w:rPr>
          <w:rFonts w:ascii="宋体" w:hAnsi="宋体" w:cs="宋体" w:eastAsia="宋体" w:hint="default"/>
          <w:sz w:val="24"/>
          <w:szCs w:val="24"/>
        </w:rPr>
      </w:r>
    </w:p>
    <w:p>
      <w:pPr>
        <w:spacing w:line="484" w:lineRule="auto" w:before="183"/>
        <w:ind w:left="153" w:right="5953" w:firstLine="480"/>
        <w:jc w:val="left"/>
        <w:rPr>
          <w:rFonts w:ascii="宋体" w:hAnsi="宋体" w:cs="宋体" w:eastAsia="宋体" w:hint="default"/>
          <w:sz w:val="24"/>
          <w:szCs w:val="24"/>
        </w:rPr>
      </w:pPr>
      <w:r>
        <w:rPr>
          <w:rFonts w:ascii="宋体" w:hAnsi="宋体" w:cs="宋体" w:eastAsia="宋体" w:hint="default"/>
          <w:sz w:val="24"/>
          <w:szCs w:val="24"/>
        </w:rPr>
        <w:t>报告期内，公司未召开债券持有人会议。 </w:t>
      </w:r>
      <w:bookmarkStart w:name="七、报告期内债券受托管理人履行职责的情况" w:id="179"/>
      <w:bookmarkEnd w:id="179"/>
      <w:r>
        <w:rPr>
          <w:rFonts w:ascii="宋体" w:hAnsi="宋体" w:cs="宋体" w:eastAsia="宋体" w:hint="default"/>
          <w:sz w:val="24"/>
          <w:szCs w:val="24"/>
        </w:rPr>
      </w:r>
      <w:r>
        <w:rPr>
          <w:rFonts w:ascii="宋体" w:hAnsi="宋体" w:cs="宋体" w:eastAsia="宋体" w:hint="default"/>
          <w:b/>
          <w:bCs/>
          <w:w w:val="95"/>
          <w:sz w:val="24"/>
          <w:szCs w:val="24"/>
        </w:rPr>
        <w:t>七、报告期内债券受托管理人履行职责的情况</w:t>
      </w:r>
      <w:r>
        <w:rPr>
          <w:rFonts w:ascii="宋体" w:hAnsi="宋体" w:cs="宋体" w:eastAsia="宋体" w:hint="default"/>
          <w:sz w:val="24"/>
          <w:szCs w:val="24"/>
        </w:rPr>
      </w:r>
    </w:p>
    <w:p>
      <w:pPr>
        <w:pStyle w:val="BodyText"/>
        <w:spacing w:line="350" w:lineRule="auto" w:before="180"/>
        <w:ind w:right="1130" w:firstLine="480"/>
        <w:jc w:val="both"/>
      </w:pPr>
      <w:r>
        <w:rPr/>
        <w:t>本报告期，债券受托管理人中原证券依据《公司债券受托管理人执业行为准则》行使受 托管理人职责，包括监督公司债券募集资金使用情况、持续关注发行人资信状况以及债券增 </w:t>
      </w:r>
      <w:r>
        <w:rPr>
          <w:spacing w:val="-5"/>
        </w:rPr>
        <w:t>信机构的资信状况等。债券受托管理人已于</w:t>
      </w:r>
      <w:r>
        <w:rPr>
          <w:spacing w:val="-59"/>
        </w:rPr>
        <w:t> </w:t>
      </w:r>
      <w:r>
        <w:rPr>
          <w:rFonts w:ascii="宋体" w:hAnsi="宋体" w:cs="宋体" w:eastAsia="宋体" w:hint="default"/>
        </w:rPr>
        <w:t>2017</w:t>
      </w:r>
      <w:r>
        <w:rPr>
          <w:rFonts w:ascii="宋体" w:hAnsi="宋体" w:cs="宋体" w:eastAsia="宋体" w:hint="default"/>
          <w:spacing w:val="-59"/>
        </w:rPr>
        <w:t> </w:t>
      </w:r>
      <w:r>
        <w:rPr/>
        <w:t>年</w:t>
      </w:r>
      <w:r>
        <w:rPr>
          <w:spacing w:val="-59"/>
        </w:rPr>
        <w:t> </w:t>
      </w:r>
      <w:r>
        <w:rPr>
          <w:rFonts w:ascii="宋体" w:hAnsi="宋体" w:cs="宋体" w:eastAsia="宋体" w:hint="default"/>
        </w:rPr>
        <w:t>6</w:t>
      </w:r>
      <w:r>
        <w:rPr>
          <w:rFonts w:ascii="宋体" w:hAnsi="宋体" w:cs="宋体" w:eastAsia="宋体" w:hint="default"/>
          <w:spacing w:val="-59"/>
        </w:rPr>
        <w:t> </w:t>
      </w:r>
      <w:r>
        <w:rPr/>
        <w:t>月</w:t>
      </w:r>
      <w:r>
        <w:rPr>
          <w:spacing w:val="-59"/>
        </w:rPr>
        <w:t> </w:t>
      </w:r>
      <w:r>
        <w:rPr>
          <w:rFonts w:ascii="宋体" w:hAnsi="宋体" w:cs="宋体" w:eastAsia="宋体" w:hint="default"/>
        </w:rPr>
        <w:t>16</w:t>
      </w:r>
      <w:r>
        <w:rPr>
          <w:rFonts w:ascii="宋体" w:hAnsi="宋体" w:cs="宋体" w:eastAsia="宋体" w:hint="default"/>
          <w:spacing w:val="-59"/>
        </w:rPr>
        <w:t> </w:t>
      </w:r>
      <w:r>
        <w:rPr/>
        <w:t>日向市场公告</w:t>
      </w:r>
      <w:r>
        <w:rPr>
          <w:spacing w:val="-59"/>
        </w:rPr>
        <w:t> </w:t>
      </w:r>
      <w:r>
        <w:rPr>
          <w:rFonts w:ascii="宋体" w:hAnsi="宋体" w:cs="宋体" w:eastAsia="宋体" w:hint="default"/>
        </w:rPr>
        <w:t>2016</w:t>
      </w:r>
      <w:r>
        <w:rPr>
          <w:rFonts w:ascii="宋体" w:hAnsi="宋体" w:cs="宋体" w:eastAsia="宋体" w:hint="default"/>
          <w:spacing w:val="-59"/>
        </w:rPr>
        <w:t> </w:t>
      </w:r>
      <w:r>
        <w:rPr/>
        <w:t>年度受托管理 报告，并刊登于巨潮资讯网，请各位投资者关注。</w:t>
      </w:r>
    </w:p>
    <w:p>
      <w:pPr>
        <w:pStyle w:val="Heading2"/>
        <w:spacing w:line="240" w:lineRule="auto" w:before="208"/>
        <w:ind w:left="153" w:right="996"/>
        <w:jc w:val="left"/>
        <w:rPr>
          <w:b w:val="0"/>
          <w:bCs w:val="0"/>
        </w:rPr>
      </w:pPr>
      <w:bookmarkStart w:name="八、截至报告期末公司近2年的主要会计数据和财务指标" w:id="180"/>
      <w:bookmarkEnd w:id="180"/>
      <w:r>
        <w:rPr>
          <w:b w:val="0"/>
          <w:bCs w:val="0"/>
        </w:rPr>
      </w:r>
      <w:r>
        <w:rPr/>
        <w:t>八、截至报告期末公司近</w:t>
      </w:r>
      <w:r>
        <w:rPr>
          <w:spacing w:val="-70"/>
        </w:rPr>
        <w:t> </w:t>
      </w:r>
      <w:r>
        <w:rPr>
          <w:rFonts w:ascii="Times New Roman" w:hAnsi="Times New Roman" w:cs="Times New Roman" w:eastAsia="Times New Roman" w:hint="default"/>
        </w:rPr>
        <w:t>2</w:t>
      </w:r>
      <w:r>
        <w:rPr>
          <w:rFonts w:ascii="Times New Roman" w:hAnsi="Times New Roman" w:cs="Times New Roman" w:eastAsia="Times New Roman" w:hint="default"/>
          <w:spacing w:val="-11"/>
        </w:rPr>
        <w:t> </w:t>
      </w:r>
      <w:r>
        <w:rPr/>
        <w:t>年的主要会计数据和财务指标</w:t>
      </w:r>
      <w:r>
        <w:rPr>
          <w:b w:val="0"/>
          <w:bCs w:val="0"/>
        </w:rPr>
      </w:r>
    </w:p>
    <w:p>
      <w:pPr>
        <w:spacing w:line="240" w:lineRule="auto" w:before="4"/>
        <w:rPr>
          <w:rFonts w:ascii="宋体" w:hAnsi="宋体" w:cs="宋体" w:eastAsia="宋体" w:hint="default"/>
          <w:b/>
          <w:bCs/>
          <w:sz w:val="23"/>
          <w:szCs w:val="23"/>
        </w:rPr>
      </w:pPr>
    </w:p>
    <w:p>
      <w:pPr>
        <w:spacing w:before="0"/>
        <w:ind w:left="0" w:right="1130" w:firstLine="0"/>
        <w:jc w:val="right"/>
        <w:rPr>
          <w:rFonts w:ascii="宋体" w:hAnsi="宋体" w:cs="宋体" w:eastAsia="宋体" w:hint="default"/>
          <w:sz w:val="21"/>
          <w:szCs w:val="21"/>
        </w:rPr>
      </w:pPr>
      <w:r>
        <w:rPr>
          <w:rFonts w:ascii="宋体" w:hAnsi="宋体" w:cs="宋体" w:eastAsia="宋体" w:hint="default"/>
          <w:sz w:val="21"/>
          <w:szCs w:val="21"/>
        </w:rPr>
        <w:t>单位：万元</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2369"/>
        <w:gridCol w:w="2405"/>
        <w:gridCol w:w="2392"/>
        <w:gridCol w:w="2392"/>
      </w:tblGrid>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4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13" w:right="0"/>
              <w:jc w:val="center"/>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1"/>
                <w:sz w:val="21"/>
                <w:szCs w:val="21"/>
              </w:rPr>
              <w:t> </w:t>
            </w:r>
            <w:r>
              <w:rPr>
                <w:rFonts w:ascii="宋体" w:hAnsi="宋体" w:cs="宋体" w:eastAsia="宋体" w:hint="default"/>
                <w:sz w:val="21"/>
                <w:szCs w:val="21"/>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right="0"/>
              <w:jc w:val="center"/>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1"/>
                <w:sz w:val="21"/>
                <w:szCs w:val="21"/>
              </w:rPr>
              <w:t> </w:t>
            </w:r>
            <w:r>
              <w:rPr>
                <w:rFonts w:ascii="宋体" w:hAnsi="宋体" w:cs="宋体" w:eastAsia="宋体" w:hint="default"/>
                <w:sz w:val="21"/>
                <w:szCs w:val="21"/>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666" w:right="0"/>
              <w:jc w:val="left"/>
              <w:rPr>
                <w:rFonts w:ascii="宋体" w:hAnsi="宋体" w:cs="宋体" w:eastAsia="宋体" w:hint="default"/>
                <w:sz w:val="21"/>
                <w:szCs w:val="21"/>
              </w:rPr>
            </w:pPr>
            <w:r>
              <w:rPr>
                <w:rFonts w:ascii="宋体" w:hAnsi="宋体" w:cs="宋体" w:eastAsia="宋体" w:hint="default"/>
                <w:sz w:val="21"/>
                <w:szCs w:val="21"/>
              </w:rPr>
              <w:t>同期变动率</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11" w:right="0"/>
              <w:jc w:val="left"/>
              <w:rPr>
                <w:rFonts w:ascii="宋体" w:hAnsi="宋体" w:cs="宋体" w:eastAsia="宋体" w:hint="default"/>
                <w:sz w:val="21"/>
                <w:szCs w:val="21"/>
              </w:rPr>
            </w:pPr>
            <w:r>
              <w:rPr>
                <w:rFonts w:ascii="宋体" w:hAnsi="宋体" w:cs="宋体" w:eastAsia="宋体" w:hint="default"/>
                <w:sz w:val="21"/>
                <w:szCs w:val="21"/>
              </w:rPr>
              <w:t>息税折旧摊销前利润</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7"/>
              <w:ind w:right="19"/>
              <w:jc w:val="right"/>
              <w:rPr>
                <w:rFonts w:ascii="宋体" w:hAnsi="宋体" w:cs="宋体" w:eastAsia="宋体" w:hint="default"/>
                <w:sz w:val="21"/>
                <w:szCs w:val="21"/>
              </w:rPr>
            </w:pPr>
            <w:r>
              <w:rPr>
                <w:rFonts w:ascii="宋体"/>
                <w:sz w:val="21"/>
              </w:rPr>
              <w:t>-8,322.69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0"/>
              <w:jc w:val="right"/>
              <w:rPr>
                <w:rFonts w:ascii="宋体" w:hAnsi="宋体" w:cs="宋体" w:eastAsia="宋体" w:hint="default"/>
                <w:sz w:val="21"/>
                <w:szCs w:val="21"/>
              </w:rPr>
            </w:pPr>
            <w:r>
              <w:rPr>
                <w:rFonts w:ascii="宋体"/>
                <w:sz w:val="21"/>
              </w:rPr>
              <w:t>15,970.34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0"/>
              <w:jc w:val="right"/>
              <w:rPr>
                <w:rFonts w:ascii="宋体" w:hAnsi="宋体" w:cs="宋体" w:eastAsia="宋体" w:hint="default"/>
                <w:sz w:val="21"/>
                <w:szCs w:val="21"/>
              </w:rPr>
            </w:pPr>
            <w:r>
              <w:rPr>
                <w:rFonts w:ascii="宋体"/>
                <w:sz w:val="21"/>
              </w:rPr>
              <w:t>-152.11%</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11" w:right="0"/>
              <w:jc w:val="left"/>
              <w:rPr>
                <w:rFonts w:ascii="宋体" w:hAnsi="宋体" w:cs="宋体" w:eastAsia="宋体" w:hint="default"/>
                <w:sz w:val="21"/>
                <w:szCs w:val="21"/>
              </w:rPr>
            </w:pPr>
            <w:r>
              <w:rPr>
                <w:rFonts w:ascii="宋体" w:hAnsi="宋体" w:cs="宋体" w:eastAsia="宋体" w:hint="default"/>
                <w:sz w:val="21"/>
                <w:szCs w:val="21"/>
              </w:rPr>
              <w:t>流动比率</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7"/>
              <w:ind w:right="20"/>
              <w:jc w:val="right"/>
              <w:rPr>
                <w:rFonts w:ascii="宋体" w:hAnsi="宋体" w:cs="宋体" w:eastAsia="宋体" w:hint="default"/>
                <w:sz w:val="21"/>
                <w:szCs w:val="21"/>
              </w:rPr>
            </w:pPr>
            <w:r>
              <w:rPr>
                <w:rFonts w:ascii="宋体"/>
                <w:sz w:val="21"/>
              </w:rPr>
              <w:t>249.05%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0"/>
              <w:jc w:val="right"/>
              <w:rPr>
                <w:rFonts w:ascii="宋体" w:hAnsi="宋体" w:cs="宋体" w:eastAsia="宋体" w:hint="default"/>
                <w:sz w:val="21"/>
                <w:szCs w:val="21"/>
              </w:rPr>
            </w:pPr>
            <w:r>
              <w:rPr>
                <w:rFonts w:ascii="宋体"/>
                <w:sz w:val="21"/>
              </w:rPr>
              <w:t>349.47%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0"/>
              <w:jc w:val="right"/>
              <w:rPr>
                <w:rFonts w:ascii="宋体" w:hAnsi="宋体" w:cs="宋体" w:eastAsia="宋体" w:hint="default"/>
                <w:sz w:val="21"/>
                <w:szCs w:val="21"/>
              </w:rPr>
            </w:pPr>
            <w:r>
              <w:rPr>
                <w:rFonts w:ascii="宋体"/>
                <w:sz w:val="21"/>
              </w:rPr>
              <w:t>-100.42%</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11" w:right="0"/>
              <w:jc w:val="left"/>
              <w:rPr>
                <w:rFonts w:ascii="宋体" w:hAnsi="宋体" w:cs="宋体" w:eastAsia="宋体" w:hint="default"/>
                <w:sz w:val="21"/>
                <w:szCs w:val="21"/>
              </w:rPr>
            </w:pPr>
            <w:r>
              <w:rPr>
                <w:rFonts w:ascii="宋体" w:hAnsi="宋体" w:cs="宋体" w:eastAsia="宋体" w:hint="default"/>
                <w:sz w:val="21"/>
                <w:szCs w:val="21"/>
              </w:rPr>
              <w:t>资产负债率</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7"/>
              <w:ind w:right="20"/>
              <w:jc w:val="right"/>
              <w:rPr>
                <w:rFonts w:ascii="宋体" w:hAnsi="宋体" w:cs="宋体" w:eastAsia="宋体" w:hint="default"/>
                <w:sz w:val="21"/>
                <w:szCs w:val="21"/>
              </w:rPr>
            </w:pPr>
            <w:r>
              <w:rPr>
                <w:rFonts w:ascii="宋体"/>
                <w:sz w:val="21"/>
              </w:rPr>
              <w:t>37.19%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1"/>
              <w:jc w:val="right"/>
              <w:rPr>
                <w:rFonts w:ascii="宋体" w:hAnsi="宋体" w:cs="宋体" w:eastAsia="宋体" w:hint="default"/>
                <w:sz w:val="21"/>
                <w:szCs w:val="21"/>
              </w:rPr>
            </w:pPr>
            <w:r>
              <w:rPr>
                <w:rFonts w:ascii="宋体"/>
                <w:sz w:val="21"/>
              </w:rPr>
              <w:t>31.67%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0"/>
              <w:jc w:val="right"/>
              <w:rPr>
                <w:rFonts w:ascii="宋体" w:hAnsi="宋体" w:cs="宋体" w:eastAsia="宋体" w:hint="default"/>
                <w:sz w:val="21"/>
                <w:szCs w:val="21"/>
              </w:rPr>
            </w:pPr>
            <w:r>
              <w:rPr>
                <w:rFonts w:ascii="宋体"/>
                <w:sz w:val="21"/>
              </w:rPr>
              <w:t>5.52%</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11" w:right="0"/>
              <w:jc w:val="left"/>
              <w:rPr>
                <w:rFonts w:ascii="宋体" w:hAnsi="宋体" w:cs="宋体" w:eastAsia="宋体" w:hint="default"/>
                <w:sz w:val="21"/>
                <w:szCs w:val="21"/>
              </w:rPr>
            </w:pPr>
            <w:r>
              <w:rPr>
                <w:rFonts w:ascii="宋体" w:hAnsi="宋体" w:cs="宋体" w:eastAsia="宋体" w:hint="default"/>
                <w:sz w:val="21"/>
                <w:szCs w:val="21"/>
              </w:rPr>
              <w:t>速动比率</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7"/>
              <w:ind w:right="20"/>
              <w:jc w:val="right"/>
              <w:rPr>
                <w:rFonts w:ascii="宋体" w:hAnsi="宋体" w:cs="宋体" w:eastAsia="宋体" w:hint="default"/>
                <w:sz w:val="21"/>
                <w:szCs w:val="21"/>
              </w:rPr>
            </w:pPr>
            <w:r>
              <w:rPr>
                <w:rFonts w:ascii="宋体"/>
                <w:sz w:val="21"/>
              </w:rPr>
              <w:t>219.28%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0"/>
              <w:jc w:val="right"/>
              <w:rPr>
                <w:rFonts w:ascii="宋体" w:hAnsi="宋体" w:cs="宋体" w:eastAsia="宋体" w:hint="default"/>
                <w:sz w:val="21"/>
                <w:szCs w:val="21"/>
              </w:rPr>
            </w:pPr>
            <w:r>
              <w:rPr>
                <w:rFonts w:ascii="宋体"/>
                <w:sz w:val="21"/>
              </w:rPr>
              <w:t>306.00%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9"/>
              <w:jc w:val="right"/>
              <w:rPr>
                <w:rFonts w:ascii="宋体" w:hAnsi="宋体" w:cs="宋体" w:eastAsia="宋体" w:hint="default"/>
                <w:sz w:val="21"/>
                <w:szCs w:val="21"/>
              </w:rPr>
            </w:pPr>
            <w:r>
              <w:rPr>
                <w:rFonts w:ascii="宋体"/>
                <w:sz w:val="21"/>
              </w:rPr>
              <w:t>-86.72%</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11" w:right="0"/>
              <w:jc w:val="left"/>
              <w:rPr>
                <w:rFonts w:ascii="宋体" w:hAnsi="宋体" w:cs="宋体" w:eastAsia="宋体" w:hint="default"/>
                <w:sz w:val="21"/>
                <w:szCs w:val="21"/>
              </w:rPr>
            </w:pPr>
            <w:r>
              <w:rPr>
                <w:rFonts w:ascii="宋体" w:hAnsi="宋体" w:cs="宋体" w:eastAsia="宋体" w:hint="default"/>
                <w:sz w:val="21"/>
                <w:szCs w:val="21"/>
              </w:rPr>
              <w:t>EBITDA</w:t>
            </w:r>
            <w:r>
              <w:rPr>
                <w:rFonts w:ascii="宋体" w:hAnsi="宋体" w:cs="宋体" w:eastAsia="宋体" w:hint="default"/>
                <w:spacing w:val="-53"/>
                <w:sz w:val="21"/>
                <w:szCs w:val="21"/>
              </w:rPr>
              <w:t> </w:t>
            </w:r>
            <w:r>
              <w:rPr>
                <w:rFonts w:ascii="宋体" w:hAnsi="宋体" w:cs="宋体" w:eastAsia="宋体" w:hint="default"/>
                <w:sz w:val="21"/>
                <w:szCs w:val="21"/>
              </w:rPr>
              <w:t>全部债务比</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7"/>
              <w:ind w:right="20"/>
              <w:jc w:val="right"/>
              <w:rPr>
                <w:rFonts w:ascii="宋体" w:hAnsi="宋体" w:cs="宋体" w:eastAsia="宋体" w:hint="default"/>
                <w:sz w:val="21"/>
                <w:szCs w:val="21"/>
              </w:rPr>
            </w:pPr>
            <w:r>
              <w:rPr>
                <w:rFonts w:ascii="宋体"/>
                <w:sz w:val="21"/>
              </w:rPr>
              <w:t>-9.95%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1"/>
              <w:jc w:val="right"/>
              <w:rPr>
                <w:rFonts w:ascii="宋体" w:hAnsi="宋体" w:cs="宋体" w:eastAsia="宋体" w:hint="default"/>
                <w:sz w:val="21"/>
                <w:szCs w:val="21"/>
              </w:rPr>
            </w:pPr>
            <w:r>
              <w:rPr>
                <w:rFonts w:ascii="宋体"/>
                <w:sz w:val="21"/>
              </w:rPr>
              <w:t>22.57%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9"/>
              <w:jc w:val="right"/>
              <w:rPr>
                <w:rFonts w:ascii="宋体" w:hAnsi="宋体" w:cs="宋体" w:eastAsia="宋体" w:hint="default"/>
                <w:sz w:val="21"/>
                <w:szCs w:val="21"/>
              </w:rPr>
            </w:pPr>
            <w:r>
              <w:rPr>
                <w:rFonts w:ascii="宋体"/>
                <w:sz w:val="21"/>
              </w:rPr>
              <w:t>-32.52%</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11" w:right="0"/>
              <w:jc w:val="left"/>
              <w:rPr>
                <w:rFonts w:ascii="宋体" w:hAnsi="宋体" w:cs="宋体" w:eastAsia="宋体" w:hint="default"/>
                <w:sz w:val="21"/>
                <w:szCs w:val="21"/>
              </w:rPr>
            </w:pPr>
            <w:r>
              <w:rPr>
                <w:rFonts w:ascii="宋体" w:hAnsi="宋体" w:cs="宋体" w:eastAsia="宋体" w:hint="default"/>
                <w:sz w:val="21"/>
                <w:szCs w:val="21"/>
              </w:rPr>
              <w:t>利息保障倍数</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7"/>
              <w:ind w:right="19"/>
              <w:jc w:val="right"/>
              <w:rPr>
                <w:rFonts w:ascii="宋体" w:hAnsi="宋体" w:cs="宋体" w:eastAsia="宋体" w:hint="default"/>
                <w:sz w:val="21"/>
                <w:szCs w:val="21"/>
              </w:rPr>
            </w:pPr>
            <w:r>
              <w:rPr>
                <w:rFonts w:ascii="宋体"/>
                <w:sz w:val="21"/>
              </w:rPr>
              <w:t>-3.91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1"/>
              <w:jc w:val="right"/>
              <w:rPr>
                <w:rFonts w:ascii="宋体" w:hAnsi="宋体" w:cs="宋体" w:eastAsia="宋体" w:hint="default"/>
                <w:sz w:val="21"/>
                <w:szCs w:val="21"/>
              </w:rPr>
            </w:pPr>
            <w:r>
              <w:rPr>
                <w:rFonts w:ascii="宋体"/>
                <w:sz w:val="21"/>
              </w:rPr>
              <w:t>4.66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0"/>
              <w:jc w:val="right"/>
              <w:rPr>
                <w:rFonts w:ascii="宋体" w:hAnsi="宋体" w:cs="宋体" w:eastAsia="宋体" w:hint="default"/>
                <w:sz w:val="21"/>
                <w:szCs w:val="21"/>
              </w:rPr>
            </w:pPr>
            <w:r>
              <w:rPr>
                <w:rFonts w:ascii="宋体"/>
                <w:sz w:val="21"/>
              </w:rPr>
              <w:t>-183.91%</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11" w:right="0"/>
              <w:jc w:val="left"/>
              <w:rPr>
                <w:rFonts w:ascii="宋体" w:hAnsi="宋体" w:cs="宋体" w:eastAsia="宋体" w:hint="default"/>
                <w:sz w:val="21"/>
                <w:szCs w:val="21"/>
              </w:rPr>
            </w:pPr>
            <w:r>
              <w:rPr>
                <w:rFonts w:ascii="宋体" w:hAnsi="宋体" w:cs="宋体" w:eastAsia="宋体" w:hint="default"/>
                <w:sz w:val="21"/>
                <w:szCs w:val="21"/>
              </w:rPr>
              <w:t>现金利息保障倍数</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7"/>
              <w:ind w:right="20"/>
              <w:jc w:val="right"/>
              <w:rPr>
                <w:rFonts w:ascii="宋体" w:hAnsi="宋体" w:cs="宋体" w:eastAsia="宋体" w:hint="default"/>
                <w:sz w:val="21"/>
                <w:szCs w:val="21"/>
              </w:rPr>
            </w:pPr>
            <w:r>
              <w:rPr>
                <w:rFonts w:ascii="宋体"/>
                <w:sz w:val="21"/>
              </w:rPr>
              <w:t>3.72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1"/>
              <w:jc w:val="right"/>
              <w:rPr>
                <w:rFonts w:ascii="宋体" w:hAnsi="宋体" w:cs="宋体" w:eastAsia="宋体" w:hint="default"/>
                <w:sz w:val="21"/>
                <w:szCs w:val="21"/>
              </w:rPr>
            </w:pPr>
            <w:r>
              <w:rPr>
                <w:rFonts w:ascii="宋体"/>
                <w:sz w:val="21"/>
              </w:rPr>
              <w:t>6.41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9"/>
              <w:jc w:val="right"/>
              <w:rPr>
                <w:rFonts w:ascii="宋体" w:hAnsi="宋体" w:cs="宋体" w:eastAsia="宋体" w:hint="default"/>
                <w:sz w:val="21"/>
                <w:szCs w:val="21"/>
              </w:rPr>
            </w:pPr>
            <w:r>
              <w:rPr>
                <w:rFonts w:ascii="宋体"/>
                <w:sz w:val="21"/>
              </w:rPr>
              <w:t>-41.97%</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11" w:right="0"/>
              <w:jc w:val="left"/>
              <w:rPr>
                <w:rFonts w:ascii="宋体" w:hAnsi="宋体" w:cs="宋体" w:eastAsia="宋体" w:hint="default"/>
                <w:sz w:val="21"/>
                <w:szCs w:val="21"/>
              </w:rPr>
            </w:pPr>
            <w:r>
              <w:rPr>
                <w:rFonts w:ascii="宋体" w:hAnsi="宋体" w:cs="宋体" w:eastAsia="宋体" w:hint="default"/>
                <w:sz w:val="21"/>
                <w:szCs w:val="21"/>
              </w:rPr>
              <w:t>EBITDA</w:t>
            </w:r>
            <w:r>
              <w:rPr>
                <w:rFonts w:ascii="宋体" w:hAnsi="宋体" w:cs="宋体" w:eastAsia="宋体" w:hint="default"/>
                <w:spacing w:val="-53"/>
                <w:sz w:val="21"/>
                <w:szCs w:val="21"/>
              </w:rPr>
              <w:t> </w:t>
            </w:r>
            <w:r>
              <w:rPr>
                <w:rFonts w:ascii="宋体" w:hAnsi="宋体" w:cs="宋体" w:eastAsia="宋体" w:hint="default"/>
                <w:sz w:val="21"/>
                <w:szCs w:val="21"/>
              </w:rPr>
              <w:t>利息保障倍数</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7"/>
              <w:ind w:right="19"/>
              <w:jc w:val="right"/>
              <w:rPr>
                <w:rFonts w:ascii="宋体" w:hAnsi="宋体" w:cs="宋体" w:eastAsia="宋体" w:hint="default"/>
                <w:sz w:val="21"/>
                <w:szCs w:val="21"/>
              </w:rPr>
            </w:pPr>
            <w:r>
              <w:rPr>
                <w:rFonts w:ascii="宋体"/>
                <w:sz w:val="21"/>
              </w:rPr>
              <w:t>-3.01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1"/>
              <w:jc w:val="right"/>
              <w:rPr>
                <w:rFonts w:ascii="宋体" w:hAnsi="宋体" w:cs="宋体" w:eastAsia="宋体" w:hint="default"/>
                <w:sz w:val="21"/>
                <w:szCs w:val="21"/>
              </w:rPr>
            </w:pPr>
            <w:r>
              <w:rPr>
                <w:rFonts w:ascii="宋体"/>
                <w:sz w:val="21"/>
              </w:rPr>
              <w:t>5.41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0"/>
              <w:jc w:val="right"/>
              <w:rPr>
                <w:rFonts w:ascii="宋体" w:hAnsi="宋体" w:cs="宋体" w:eastAsia="宋体" w:hint="default"/>
                <w:sz w:val="21"/>
                <w:szCs w:val="21"/>
              </w:rPr>
            </w:pPr>
            <w:r>
              <w:rPr>
                <w:rFonts w:ascii="宋体"/>
                <w:sz w:val="21"/>
              </w:rPr>
              <w:t>-155.64%</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11" w:right="0"/>
              <w:jc w:val="left"/>
              <w:rPr>
                <w:rFonts w:ascii="宋体" w:hAnsi="宋体" w:cs="宋体" w:eastAsia="宋体" w:hint="default"/>
                <w:sz w:val="21"/>
                <w:szCs w:val="21"/>
              </w:rPr>
            </w:pPr>
            <w:r>
              <w:rPr>
                <w:rFonts w:ascii="宋体" w:hAnsi="宋体" w:cs="宋体" w:eastAsia="宋体" w:hint="default"/>
                <w:sz w:val="21"/>
                <w:szCs w:val="21"/>
              </w:rPr>
              <w:t>贷款偿还率</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7"/>
              <w:ind w:right="20"/>
              <w:jc w:val="right"/>
              <w:rPr>
                <w:rFonts w:ascii="宋体" w:hAnsi="宋体" w:cs="宋体" w:eastAsia="宋体" w:hint="default"/>
                <w:sz w:val="21"/>
                <w:szCs w:val="21"/>
              </w:rPr>
            </w:pPr>
            <w:r>
              <w:rPr>
                <w:rFonts w:ascii="宋体"/>
                <w:sz w:val="21"/>
              </w:rPr>
              <w:t>100.00%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0"/>
              <w:jc w:val="right"/>
              <w:rPr>
                <w:rFonts w:ascii="宋体" w:hAnsi="宋体" w:cs="宋体" w:eastAsia="宋体" w:hint="default"/>
                <w:sz w:val="21"/>
                <w:szCs w:val="21"/>
              </w:rPr>
            </w:pPr>
            <w:r>
              <w:rPr>
                <w:rFonts w:ascii="宋体"/>
                <w:sz w:val="21"/>
              </w:rPr>
              <w:t>100.00%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0"/>
              <w:jc w:val="right"/>
              <w:rPr>
                <w:rFonts w:ascii="宋体" w:hAnsi="宋体" w:cs="宋体" w:eastAsia="宋体" w:hint="default"/>
                <w:sz w:val="21"/>
                <w:szCs w:val="21"/>
              </w:rPr>
            </w:pPr>
            <w:r>
              <w:rPr>
                <w:rFonts w:ascii="宋体"/>
                <w:sz w:val="21"/>
              </w:rPr>
              <w:t>0.00%</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11" w:right="0"/>
              <w:jc w:val="left"/>
              <w:rPr>
                <w:rFonts w:ascii="宋体" w:hAnsi="宋体" w:cs="宋体" w:eastAsia="宋体" w:hint="default"/>
                <w:sz w:val="21"/>
                <w:szCs w:val="21"/>
              </w:rPr>
            </w:pPr>
            <w:r>
              <w:rPr>
                <w:rFonts w:ascii="宋体" w:hAnsi="宋体" w:cs="宋体" w:eastAsia="宋体" w:hint="default"/>
                <w:sz w:val="21"/>
                <w:szCs w:val="21"/>
              </w:rPr>
              <w:t>利息偿付率</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7"/>
              <w:ind w:right="20"/>
              <w:jc w:val="right"/>
              <w:rPr>
                <w:rFonts w:ascii="宋体" w:hAnsi="宋体" w:cs="宋体" w:eastAsia="宋体" w:hint="default"/>
                <w:sz w:val="21"/>
                <w:szCs w:val="21"/>
              </w:rPr>
            </w:pPr>
            <w:r>
              <w:rPr>
                <w:rFonts w:ascii="宋体"/>
                <w:sz w:val="21"/>
              </w:rPr>
              <w:t>100.00%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0"/>
              <w:jc w:val="right"/>
              <w:rPr>
                <w:rFonts w:ascii="宋体" w:hAnsi="宋体" w:cs="宋体" w:eastAsia="宋体" w:hint="default"/>
                <w:sz w:val="21"/>
                <w:szCs w:val="21"/>
              </w:rPr>
            </w:pPr>
            <w:r>
              <w:rPr>
                <w:rFonts w:ascii="宋体"/>
                <w:sz w:val="21"/>
              </w:rPr>
              <w:t>100.00%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0"/>
              <w:jc w:val="right"/>
              <w:rPr>
                <w:rFonts w:ascii="宋体" w:hAnsi="宋体" w:cs="宋体" w:eastAsia="宋体" w:hint="default"/>
                <w:sz w:val="21"/>
                <w:szCs w:val="21"/>
              </w:rPr>
            </w:pPr>
            <w:r>
              <w:rPr>
                <w:rFonts w:ascii="宋体"/>
                <w:sz w:val="21"/>
              </w:rPr>
              <w:t>0.00%</w:t>
            </w:r>
          </w:p>
        </w:tc>
      </w:tr>
    </w:tbl>
    <w:p>
      <w:pPr>
        <w:spacing w:line="240" w:lineRule="auto" w:before="10"/>
        <w:rPr>
          <w:rFonts w:ascii="宋体" w:hAnsi="宋体" w:cs="宋体" w:eastAsia="宋体" w:hint="default"/>
          <w:sz w:val="4"/>
          <w:szCs w:val="4"/>
        </w:rPr>
      </w:pPr>
    </w:p>
    <w:p>
      <w:pPr>
        <w:pStyle w:val="BodyText"/>
        <w:spacing w:line="350" w:lineRule="auto" w:before="26"/>
        <w:ind w:left="633" w:right="1115"/>
        <w:jc w:val="left"/>
      </w:pPr>
      <w:r>
        <w:rPr/>
        <w:t>上述会计数据和财务指标同比变动超过</w:t>
      </w:r>
      <w:r>
        <w:rPr>
          <w:spacing w:val="-60"/>
        </w:rPr>
        <w:t> </w:t>
      </w:r>
      <w:r>
        <w:rPr>
          <w:rFonts w:ascii="宋体" w:hAnsi="宋体" w:cs="宋体" w:eastAsia="宋体" w:hint="default"/>
        </w:rPr>
        <w:t>30%</w:t>
      </w:r>
      <w:r>
        <w:rPr/>
        <w:t>的主要原因 </w:t>
      </w:r>
      <w:r>
        <w:rPr>
          <w:rFonts w:ascii="宋体" w:hAnsi="宋体" w:cs="宋体" w:eastAsia="宋体" w:hint="default"/>
        </w:rPr>
        <w:t>1</w:t>
      </w:r>
      <w:r>
        <w:rPr/>
        <w:t>、息税折旧摊销前利润同比下降</w:t>
      </w:r>
      <w:r>
        <w:rPr>
          <w:spacing w:val="-82"/>
        </w:rPr>
        <w:t> </w:t>
      </w:r>
      <w:r>
        <w:rPr>
          <w:rFonts w:ascii="宋体" w:hAnsi="宋体" w:cs="宋体" w:eastAsia="宋体" w:hint="default"/>
        </w:rPr>
        <w:t>152.11%</w:t>
      </w:r>
      <w:r>
        <w:rPr/>
        <w:t>，主要原因系报告期内资产减值损失大幅增加</w:t>
      </w:r>
    </w:p>
    <w:p>
      <w:pPr>
        <w:pStyle w:val="BodyText"/>
        <w:spacing w:line="240" w:lineRule="auto" w:before="35"/>
        <w:ind w:right="996"/>
        <w:jc w:val="left"/>
      </w:pPr>
      <w:r>
        <w:rPr/>
        <w:t>所致。</w:t>
      </w:r>
    </w:p>
    <w:p>
      <w:pPr>
        <w:pStyle w:val="BodyText"/>
        <w:spacing w:line="240" w:lineRule="auto" w:before="146"/>
        <w:ind w:left="633" w:right="0"/>
        <w:jc w:val="left"/>
      </w:pPr>
      <w:r>
        <w:rPr>
          <w:rFonts w:ascii="宋体" w:hAnsi="宋体" w:cs="宋体" w:eastAsia="宋体" w:hint="default"/>
          <w:spacing w:val="-8"/>
        </w:rPr>
        <w:t>2</w:t>
      </w:r>
      <w:r>
        <w:rPr>
          <w:spacing w:val="-8"/>
        </w:rPr>
        <w:t>、流动比率同比下降</w:t>
      </w:r>
      <w:r>
        <w:rPr>
          <w:spacing w:val="-23"/>
        </w:rPr>
        <w:t> </w:t>
      </w:r>
      <w:r>
        <w:rPr>
          <w:rFonts w:ascii="宋体" w:hAnsi="宋体" w:cs="宋体" w:eastAsia="宋体" w:hint="default"/>
          <w:spacing w:val="-3"/>
        </w:rPr>
        <w:t>100.42%</w:t>
      </w:r>
      <w:r>
        <w:rPr>
          <w:spacing w:val="-3"/>
        </w:rPr>
        <w:t>，主要原因系报告期内一年内到期的非流动负债增加所致。</w:t>
      </w:r>
    </w:p>
    <w:p>
      <w:pPr>
        <w:pStyle w:val="BodyText"/>
        <w:spacing w:line="240" w:lineRule="auto" w:before="145"/>
        <w:ind w:left="634" w:right="0"/>
        <w:jc w:val="left"/>
      </w:pPr>
      <w:r>
        <w:rPr>
          <w:rFonts w:ascii="宋体" w:hAnsi="宋体" w:cs="宋体" w:eastAsia="宋体" w:hint="default"/>
        </w:rPr>
        <w:t>3</w:t>
      </w:r>
      <w:r>
        <w:rPr/>
        <w:t>、速动比率同比下降</w:t>
      </w:r>
      <w:r>
        <w:rPr>
          <w:spacing w:val="-82"/>
        </w:rPr>
        <w:t> </w:t>
      </w:r>
      <w:r>
        <w:rPr>
          <w:rFonts w:ascii="宋体" w:hAnsi="宋体" w:cs="宋体" w:eastAsia="宋体" w:hint="default"/>
        </w:rPr>
        <w:t>86.72%</w:t>
      </w:r>
      <w:r>
        <w:rPr/>
        <w:t>，主要原因系报告期内一年内到期的非流动负债增加所致。</w:t>
      </w:r>
    </w:p>
    <w:p>
      <w:pPr>
        <w:pStyle w:val="BodyText"/>
        <w:spacing w:line="352" w:lineRule="auto" w:before="146"/>
        <w:ind w:left="154" w:right="1152" w:firstLine="480"/>
        <w:jc w:val="left"/>
      </w:pPr>
      <w:r>
        <w:rPr>
          <w:rFonts w:ascii="宋体" w:hAnsi="宋体" w:cs="宋体" w:eastAsia="宋体" w:hint="default"/>
        </w:rPr>
        <w:t>4</w:t>
      </w:r>
      <w:r>
        <w:rPr/>
        <w:t>、</w:t>
      </w:r>
      <w:r>
        <w:rPr>
          <w:rFonts w:ascii="宋体" w:hAnsi="宋体" w:cs="宋体" w:eastAsia="宋体" w:hint="default"/>
        </w:rPr>
        <w:t>EBITDA</w:t>
      </w:r>
      <w:r>
        <w:rPr>
          <w:rFonts w:ascii="宋体" w:hAnsi="宋体" w:cs="宋体" w:eastAsia="宋体" w:hint="default"/>
          <w:spacing w:val="-60"/>
        </w:rPr>
        <w:t> </w:t>
      </w:r>
      <w:r>
        <w:rPr/>
        <w:t>全部债务比同比下降</w:t>
      </w:r>
      <w:r>
        <w:rPr>
          <w:spacing w:val="-60"/>
        </w:rPr>
        <w:t> </w:t>
      </w:r>
      <w:r>
        <w:rPr>
          <w:rFonts w:ascii="宋体" w:hAnsi="宋体" w:cs="宋体" w:eastAsia="宋体" w:hint="default"/>
        </w:rPr>
        <w:t>32.52%</w:t>
      </w:r>
      <w:r>
        <w:rPr/>
        <w:t>，主要原因系报告期内息税折旧摊销前利润减少 所致。</w:t>
      </w:r>
    </w:p>
    <w:p>
      <w:pPr>
        <w:spacing w:after="0" w:line="352"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240" w:lineRule="auto" w:before="199"/>
        <w:ind w:left="633" w:right="996"/>
        <w:jc w:val="left"/>
      </w:pPr>
      <w:r>
        <w:rPr>
          <w:rFonts w:ascii="宋体" w:hAnsi="宋体" w:cs="宋体" w:eastAsia="宋体" w:hint="default"/>
        </w:rPr>
        <w:t>5</w:t>
      </w:r>
      <w:r>
        <w:rPr/>
        <w:t>、利息保障倍数同比下降</w:t>
      </w:r>
      <w:r>
        <w:rPr>
          <w:spacing w:val="-60"/>
        </w:rPr>
        <w:t> </w:t>
      </w:r>
      <w:r>
        <w:rPr>
          <w:rFonts w:ascii="宋体" w:hAnsi="宋体" w:cs="宋体" w:eastAsia="宋体" w:hint="default"/>
        </w:rPr>
        <w:t>183.91%</w:t>
      </w:r>
      <w:r>
        <w:rPr/>
        <w:t>，主要原因系报告期内资产减值损失大幅增加所致。</w:t>
      </w:r>
    </w:p>
    <w:p>
      <w:pPr>
        <w:pStyle w:val="BodyText"/>
        <w:spacing w:line="352" w:lineRule="auto" w:before="145"/>
        <w:ind w:left="154" w:right="1229" w:firstLine="480"/>
        <w:jc w:val="both"/>
      </w:pPr>
      <w:r>
        <w:rPr>
          <w:rFonts w:ascii="宋体" w:hAnsi="宋体" w:cs="宋体" w:eastAsia="宋体" w:hint="default"/>
        </w:rPr>
        <w:t>6</w:t>
      </w:r>
      <w:r>
        <w:rPr/>
        <w:t>、现金利息保障倍数同比下降</w:t>
      </w:r>
      <w:r>
        <w:rPr>
          <w:spacing w:val="-60"/>
        </w:rPr>
        <w:t> </w:t>
      </w:r>
      <w:r>
        <w:rPr>
          <w:rFonts w:ascii="宋体" w:hAnsi="宋体" w:cs="宋体" w:eastAsia="宋体" w:hint="default"/>
        </w:rPr>
        <w:t>41.97%</w:t>
      </w:r>
      <w:r>
        <w:rPr/>
        <w:t>，主要原因系报告期内经营活动产生的现金流量 净额减少所致。</w:t>
      </w:r>
    </w:p>
    <w:p>
      <w:pPr>
        <w:pStyle w:val="BodyText"/>
        <w:spacing w:line="350" w:lineRule="auto" w:before="33"/>
        <w:ind w:right="1131" w:firstLine="480"/>
        <w:jc w:val="both"/>
      </w:pPr>
      <w:r>
        <w:rPr>
          <w:rFonts w:ascii="宋体" w:hAnsi="宋体" w:cs="宋体" w:eastAsia="宋体" w:hint="default"/>
          <w:spacing w:val="-6"/>
        </w:rPr>
        <w:t>7</w:t>
      </w:r>
      <w:r>
        <w:rPr>
          <w:spacing w:val="-6"/>
        </w:rPr>
        <w:t>、</w:t>
      </w:r>
      <w:r>
        <w:rPr>
          <w:rFonts w:ascii="宋体" w:hAnsi="宋体" w:cs="宋体" w:eastAsia="宋体" w:hint="default"/>
          <w:spacing w:val="-6"/>
        </w:rPr>
        <w:t>EBITDA</w:t>
      </w:r>
      <w:r>
        <w:rPr>
          <w:rFonts w:ascii="宋体" w:hAnsi="宋体" w:cs="宋体" w:eastAsia="宋体" w:hint="default"/>
          <w:spacing w:val="-76"/>
        </w:rPr>
        <w:t> </w:t>
      </w:r>
      <w:r>
        <w:rPr/>
        <w:t>利息保障倍数同比下降</w:t>
      </w:r>
      <w:r>
        <w:rPr>
          <w:spacing w:val="-76"/>
        </w:rPr>
        <w:t> </w:t>
      </w:r>
      <w:r>
        <w:rPr>
          <w:rFonts w:ascii="宋体" w:hAnsi="宋体" w:cs="宋体" w:eastAsia="宋体" w:hint="default"/>
        </w:rPr>
        <w:t>155.64%</w:t>
      </w:r>
      <w:r>
        <w:rPr/>
        <w:t>，主要原因系报告期内息税折旧摊销前利润减 少所致。</w:t>
      </w:r>
    </w:p>
    <w:p>
      <w:pPr>
        <w:spacing w:line="564" w:lineRule="auto" w:before="209"/>
        <w:ind w:left="633" w:right="996" w:hanging="480"/>
        <w:jc w:val="left"/>
        <w:rPr>
          <w:rFonts w:ascii="宋体" w:hAnsi="宋体" w:cs="宋体" w:eastAsia="宋体" w:hint="default"/>
          <w:sz w:val="24"/>
          <w:szCs w:val="24"/>
        </w:rPr>
      </w:pPr>
      <w:bookmarkStart w:name="九、报告期内对其他债券和债务融资工具的付息兑付情况" w:id="181"/>
      <w:bookmarkEnd w:id="181"/>
      <w:r>
        <w:rPr/>
      </w:r>
      <w:r>
        <w:rPr>
          <w:rFonts w:ascii="宋体" w:hAnsi="宋体" w:cs="宋体" w:eastAsia="宋体" w:hint="default"/>
          <w:b/>
          <w:bCs/>
          <w:w w:val="95"/>
          <w:sz w:val="24"/>
          <w:szCs w:val="24"/>
        </w:rPr>
        <w:t>九、报告期内对其他债券和债务融资工具的付息兑付情况</w:t>
      </w:r>
      <w:r>
        <w:rPr>
          <w:rFonts w:ascii="宋体" w:hAnsi="宋体" w:cs="宋体" w:eastAsia="宋体" w:hint="default"/>
          <w:b/>
          <w:bCs/>
          <w:spacing w:val="47"/>
          <w:w w:val="95"/>
          <w:sz w:val="24"/>
          <w:szCs w:val="24"/>
        </w:rPr>
        <w:t> </w:t>
      </w:r>
      <w:r>
        <w:rPr>
          <w:rFonts w:ascii="宋体" w:hAnsi="宋体" w:cs="宋体" w:eastAsia="宋体" w:hint="default"/>
          <w:sz w:val="24"/>
          <w:szCs w:val="24"/>
        </w:rPr>
        <w:t>报告期内，公司未发行其他债券和债务融资工具。</w:t>
      </w:r>
    </w:p>
    <w:p>
      <w:pPr>
        <w:pStyle w:val="Heading2"/>
        <w:spacing w:line="308" w:lineRule="exact" w:before="0"/>
        <w:ind w:left="153" w:right="996"/>
        <w:jc w:val="left"/>
        <w:rPr>
          <w:b w:val="0"/>
          <w:bCs w:val="0"/>
        </w:rPr>
      </w:pPr>
      <w:bookmarkStart w:name="十、报告期内获得的银行授信情况、使用情况以及偿还银行贷款的情况" w:id="182"/>
      <w:bookmarkEnd w:id="182"/>
      <w:r>
        <w:rPr>
          <w:b w:val="0"/>
          <w:bCs w:val="0"/>
        </w:rPr>
      </w:r>
      <w:r>
        <w:rPr/>
        <w:t>十、报告期内获得的银行授信情况、使用情况以及偿还银行贷款的情况</w:t>
      </w:r>
      <w:r>
        <w:rPr>
          <w:b w:val="0"/>
          <w:bCs w:val="0"/>
        </w:rPr>
      </w:r>
    </w:p>
    <w:p>
      <w:pPr>
        <w:spacing w:line="240" w:lineRule="auto" w:before="6"/>
        <w:rPr>
          <w:rFonts w:ascii="宋体" w:hAnsi="宋体" w:cs="宋体" w:eastAsia="宋体" w:hint="default"/>
          <w:b/>
          <w:bCs/>
          <w:sz w:val="32"/>
          <w:szCs w:val="32"/>
        </w:rPr>
      </w:pPr>
    </w:p>
    <w:p>
      <w:pPr>
        <w:pStyle w:val="BodyText"/>
        <w:spacing w:line="240" w:lineRule="auto" w:before="0"/>
        <w:ind w:left="633" w:right="996"/>
        <w:jc w:val="left"/>
      </w:pPr>
      <w:r>
        <w:rPr/>
        <w:t>报告期内公司共获得银行授信总额度</w:t>
      </w:r>
      <w:r>
        <w:rPr>
          <w:spacing w:val="-60"/>
        </w:rPr>
        <w:t> </w:t>
      </w:r>
      <w:r>
        <w:rPr>
          <w:rFonts w:ascii="宋体" w:hAnsi="宋体" w:cs="宋体" w:eastAsia="宋体" w:hint="default"/>
        </w:rPr>
        <w:t>195,000.00</w:t>
      </w:r>
      <w:r>
        <w:rPr>
          <w:rFonts w:ascii="宋体" w:hAnsi="宋体" w:cs="宋体" w:eastAsia="宋体" w:hint="default"/>
          <w:spacing w:val="-60"/>
        </w:rPr>
        <w:t> </w:t>
      </w:r>
      <w:r>
        <w:rPr/>
        <w:t>万元，偿还银行贷款</w:t>
      </w:r>
      <w:r>
        <w:rPr>
          <w:spacing w:val="-60"/>
        </w:rPr>
        <w:t> </w:t>
      </w:r>
      <w:r>
        <w:rPr>
          <w:rFonts w:ascii="宋体" w:hAnsi="宋体" w:cs="宋体" w:eastAsia="宋体" w:hint="default"/>
        </w:rPr>
        <w:t>21,743.31</w:t>
      </w:r>
      <w:r>
        <w:rPr>
          <w:rFonts w:ascii="宋体" w:hAnsi="宋体" w:cs="宋体" w:eastAsia="宋体" w:hint="default"/>
          <w:spacing w:val="-60"/>
        </w:rPr>
        <w:t> </w:t>
      </w:r>
      <w:r>
        <w:rPr/>
        <w:t>万元。</w:t>
      </w:r>
    </w:p>
    <w:p>
      <w:pPr>
        <w:spacing w:line="484" w:lineRule="auto" w:before="145"/>
        <w:ind w:left="153" w:right="996" w:firstLine="0"/>
        <w:jc w:val="left"/>
        <w:rPr>
          <w:rFonts w:ascii="宋体" w:hAnsi="宋体" w:cs="宋体" w:eastAsia="宋体" w:hint="default"/>
          <w:sz w:val="24"/>
          <w:szCs w:val="24"/>
        </w:rPr>
      </w:pPr>
      <w:r>
        <w:rPr>
          <w:rFonts w:ascii="宋体" w:hAnsi="宋体" w:cs="宋体" w:eastAsia="宋体" w:hint="default"/>
          <w:sz w:val="24"/>
          <w:szCs w:val="24"/>
        </w:rPr>
        <w:t>截止到报告期末，授信额度已使用 </w:t>
      </w:r>
      <w:r>
        <w:rPr>
          <w:rFonts w:ascii="宋体" w:hAnsi="宋体" w:cs="宋体" w:eastAsia="宋体" w:hint="default"/>
          <w:sz w:val="24"/>
          <w:szCs w:val="24"/>
        </w:rPr>
        <w:t>35,771.13</w:t>
      </w:r>
      <w:r>
        <w:rPr>
          <w:rFonts w:ascii="宋体" w:hAnsi="宋体" w:cs="宋体" w:eastAsia="宋体" w:hint="default"/>
          <w:spacing w:val="-60"/>
          <w:sz w:val="24"/>
          <w:szCs w:val="24"/>
        </w:rPr>
        <w:t> </w:t>
      </w:r>
      <w:r>
        <w:rPr>
          <w:rFonts w:ascii="宋体" w:hAnsi="宋体" w:cs="宋体" w:eastAsia="宋体" w:hint="default"/>
          <w:sz w:val="24"/>
          <w:szCs w:val="24"/>
        </w:rPr>
        <w:t>万元。 </w:t>
      </w:r>
      <w:bookmarkStart w:name="十一、报告期内执行公司债券募集说明书相关约定或承诺的情况" w:id="183"/>
      <w:bookmarkEnd w:id="183"/>
      <w:r>
        <w:rPr>
          <w:rFonts w:ascii="宋体" w:hAnsi="宋体" w:cs="宋体" w:eastAsia="宋体" w:hint="default"/>
          <w:sz w:val="24"/>
          <w:szCs w:val="24"/>
        </w:rPr>
      </w:r>
      <w:r>
        <w:rPr>
          <w:rFonts w:ascii="宋体" w:hAnsi="宋体" w:cs="宋体" w:eastAsia="宋体" w:hint="default"/>
          <w:b/>
          <w:bCs/>
          <w:w w:val="95"/>
          <w:sz w:val="24"/>
          <w:szCs w:val="24"/>
        </w:rPr>
        <w:t>十一、报告期内执行公司债券募集说明书相关约定或承诺的情况</w:t>
      </w:r>
      <w:r>
        <w:rPr>
          <w:rFonts w:ascii="宋体" w:hAnsi="宋体" w:cs="宋体" w:eastAsia="宋体" w:hint="default"/>
          <w:sz w:val="24"/>
          <w:szCs w:val="24"/>
        </w:rPr>
      </w:r>
    </w:p>
    <w:p>
      <w:pPr>
        <w:pStyle w:val="BodyText"/>
        <w:spacing w:line="352" w:lineRule="auto" w:before="180"/>
        <w:ind w:right="1169" w:firstLine="480"/>
        <w:jc w:val="both"/>
      </w:pPr>
      <w:r>
        <w:rPr/>
        <w:t>报告期内，公司严格按照公司债券募集说明书的相关约定或承诺执行。在公司债券发行 完毕后，公司债券募集的资金不直接或间接投资设立产业并购基金及其投资的项目，不直接 或间接投资其他风险投资，不用于对外财务资助或委托贷款等非生产经营性支出，对债券投 资者利益无重大影响。</w:t>
      </w:r>
    </w:p>
    <w:p>
      <w:pPr>
        <w:spacing w:line="240" w:lineRule="auto" w:before="0"/>
        <w:rPr>
          <w:rFonts w:ascii="宋体" w:hAnsi="宋体" w:cs="宋体" w:eastAsia="宋体" w:hint="default"/>
          <w:sz w:val="24"/>
          <w:szCs w:val="24"/>
        </w:rPr>
      </w:pPr>
    </w:p>
    <w:p>
      <w:pPr>
        <w:spacing w:line="564" w:lineRule="auto" w:before="203"/>
        <w:ind w:left="633" w:right="1153" w:hanging="480"/>
        <w:jc w:val="left"/>
        <w:rPr>
          <w:rFonts w:ascii="宋体" w:hAnsi="宋体" w:cs="宋体" w:eastAsia="宋体" w:hint="default"/>
          <w:sz w:val="24"/>
          <w:szCs w:val="24"/>
        </w:rPr>
      </w:pPr>
      <w:bookmarkStart w:name="十二、报告期内发生的重大事项" w:id="184"/>
      <w:bookmarkEnd w:id="184"/>
      <w:r>
        <w:rPr/>
      </w:r>
      <w:r>
        <w:rPr>
          <w:rFonts w:ascii="宋体" w:hAnsi="宋体" w:cs="宋体" w:eastAsia="宋体" w:hint="default"/>
          <w:b/>
          <w:bCs/>
          <w:sz w:val="24"/>
          <w:szCs w:val="24"/>
        </w:rPr>
        <w:t>十二、报告期内发生的重大事项</w:t>
      </w:r>
      <w:r>
        <w:rPr>
          <w:rFonts w:ascii="宋体" w:hAnsi="宋体" w:cs="宋体" w:eastAsia="宋体" w:hint="default"/>
          <w:b/>
          <w:bCs/>
          <w:w w:val="99"/>
          <w:sz w:val="24"/>
          <w:szCs w:val="24"/>
        </w:rPr>
        <w:t> </w:t>
      </w:r>
      <w:r>
        <w:rPr>
          <w:rFonts w:ascii="宋体" w:hAnsi="宋体" w:cs="宋体" w:eastAsia="宋体" w:hint="default"/>
          <w:sz w:val="24"/>
          <w:szCs w:val="24"/>
        </w:rPr>
        <w:t>报告期内，公司无《公司债券发行与交易管理办法》第四十五条列示的重大事项发生。</w:t>
      </w:r>
    </w:p>
    <w:p>
      <w:pPr>
        <w:pStyle w:val="Heading2"/>
        <w:spacing w:line="308" w:lineRule="exact" w:before="0"/>
        <w:ind w:left="153" w:right="996"/>
        <w:jc w:val="left"/>
        <w:rPr>
          <w:b w:val="0"/>
          <w:bCs w:val="0"/>
        </w:rPr>
      </w:pPr>
      <w:bookmarkStart w:name="十三、公司债券是否存在保证人" w:id="185"/>
      <w:bookmarkEnd w:id="185"/>
      <w:r>
        <w:rPr>
          <w:b w:val="0"/>
          <w:bCs w:val="0"/>
        </w:rPr>
      </w:r>
      <w:r>
        <w:rPr/>
        <w:t>十三、公司债券是否存在保证人</w:t>
      </w:r>
      <w:r>
        <w:rPr>
          <w:b w:val="0"/>
          <w:bCs w:val="0"/>
        </w:rPr>
      </w:r>
    </w:p>
    <w:p>
      <w:pPr>
        <w:spacing w:line="240" w:lineRule="auto" w:before="6"/>
        <w:rPr>
          <w:rFonts w:ascii="宋体" w:hAnsi="宋体" w:cs="宋体" w:eastAsia="宋体" w:hint="default"/>
          <w:b/>
          <w:bCs/>
          <w:sz w:val="32"/>
          <w:szCs w:val="32"/>
        </w:rPr>
      </w:pPr>
    </w:p>
    <w:p>
      <w:pPr>
        <w:pStyle w:val="BodyText"/>
        <w:spacing w:line="240" w:lineRule="auto" w:before="0"/>
        <w:ind w:left="633" w:right="996"/>
        <w:jc w:val="left"/>
      </w:pPr>
      <w:r>
        <w:rPr/>
        <w:t>□ 是 √ 否</w:t>
      </w:r>
    </w:p>
    <w:p>
      <w:pPr>
        <w:spacing w:after="0" w:line="240" w:lineRule="auto"/>
        <w:jc w:val="left"/>
        <w:sectPr>
          <w:footerReference w:type="default" r:id="rId15"/>
          <w:pgSz w:w="11910" w:h="16840"/>
          <w:pgMar w:footer="979" w:header="747"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3"/>
          <w:szCs w:val="23"/>
        </w:rPr>
      </w:pPr>
    </w:p>
    <w:p>
      <w:pPr>
        <w:pStyle w:val="Heading1"/>
        <w:spacing w:line="240" w:lineRule="auto"/>
        <w:ind w:left="3607" w:right="996"/>
        <w:jc w:val="left"/>
        <w:rPr>
          <w:b w:val="0"/>
          <w:bCs w:val="0"/>
        </w:rPr>
      </w:pPr>
      <w:bookmarkStart w:name="第十一节 财务报告" w:id="186"/>
      <w:bookmarkEnd w:id="186"/>
      <w:r>
        <w:rPr>
          <w:b w:val="0"/>
          <w:bCs w:val="0"/>
        </w:rPr>
      </w:r>
      <w:bookmarkStart w:name="_bookmark11" w:id="187"/>
      <w:bookmarkEnd w:id="187"/>
      <w:r>
        <w:rPr>
          <w:b w:val="0"/>
          <w:bCs w:val="0"/>
        </w:rPr>
      </w:r>
      <w:r>
        <w:rPr/>
        <w:t>第十一节</w:t>
      </w:r>
      <w:r>
        <w:rPr>
          <w:spacing w:val="-6"/>
        </w:rPr>
        <w:t> </w:t>
      </w:r>
      <w:r>
        <w:rPr/>
        <w:t>财务报告</w:t>
      </w:r>
      <w:r>
        <w:rPr>
          <w:b w:val="0"/>
          <w:bCs w:val="0"/>
        </w:rPr>
      </w: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6"/>
          <w:szCs w:val="16"/>
        </w:rPr>
      </w:pPr>
    </w:p>
    <w:p>
      <w:pPr>
        <w:pStyle w:val="Heading2"/>
        <w:spacing w:line="240" w:lineRule="auto"/>
        <w:ind w:left="153" w:right="996"/>
        <w:jc w:val="left"/>
        <w:rPr>
          <w:b w:val="0"/>
          <w:bCs w:val="0"/>
        </w:rPr>
      </w:pPr>
      <w:bookmarkStart w:name="一、审计报告" w:id="188"/>
      <w:bookmarkEnd w:id="188"/>
      <w:r>
        <w:rPr>
          <w:b w:val="0"/>
          <w:bCs w:val="0"/>
        </w:rPr>
      </w:r>
      <w:r>
        <w:rPr/>
        <w:t>一、审计报告</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4"/>
        <w:gridCol w:w="4785"/>
      </w:tblGrid>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审计意见类型</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标准的无保留意见</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审计报告签署日期</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04</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23</w:t>
            </w:r>
            <w:r>
              <w:rPr>
                <w:rFonts w:ascii="宋体" w:hAnsi="宋体" w:cs="宋体" w:eastAsia="宋体" w:hint="default"/>
                <w:spacing w:val="-53"/>
                <w:sz w:val="21"/>
                <w:szCs w:val="21"/>
              </w:rPr>
              <w:t> </w:t>
            </w:r>
            <w:r>
              <w:rPr>
                <w:rFonts w:ascii="宋体" w:hAnsi="宋体" w:cs="宋体" w:eastAsia="宋体" w:hint="default"/>
                <w:sz w:val="21"/>
                <w:szCs w:val="21"/>
              </w:rPr>
              <w:t>日</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审计机构名称</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大华会计师事务所（特殊普通合伙）</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审计报告文号</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大华审字</w:t>
            </w:r>
            <w:r>
              <w:rPr>
                <w:rFonts w:ascii="宋体" w:hAnsi="宋体" w:cs="宋体" w:eastAsia="宋体" w:hint="default"/>
                <w:sz w:val="21"/>
                <w:szCs w:val="21"/>
              </w:rPr>
              <w:t>[2018]006413</w:t>
            </w:r>
            <w:r>
              <w:rPr>
                <w:rFonts w:ascii="宋体" w:hAnsi="宋体" w:cs="宋体" w:eastAsia="宋体" w:hint="default"/>
                <w:spacing w:val="-53"/>
                <w:sz w:val="21"/>
                <w:szCs w:val="21"/>
              </w:rPr>
              <w:t> </w:t>
            </w:r>
            <w:r>
              <w:rPr>
                <w:rFonts w:ascii="宋体" w:hAnsi="宋体" w:cs="宋体" w:eastAsia="宋体" w:hint="default"/>
                <w:sz w:val="21"/>
                <w:szCs w:val="21"/>
              </w:rPr>
              <w:t>号</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注册会计师姓名</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董超 李斌</w:t>
            </w:r>
          </w:p>
        </w:tc>
      </w:tr>
    </w:tbl>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before="148"/>
        <w:ind w:left="17" w:right="993" w:firstLine="0"/>
        <w:jc w:val="center"/>
        <w:rPr>
          <w:rFonts w:ascii="宋体" w:hAnsi="宋体" w:cs="宋体" w:eastAsia="宋体" w:hint="default"/>
          <w:sz w:val="30"/>
          <w:szCs w:val="30"/>
        </w:rPr>
      </w:pPr>
      <w:r>
        <w:rPr>
          <w:rFonts w:ascii="宋体" w:hAnsi="宋体" w:cs="宋体" w:eastAsia="宋体" w:hint="default"/>
          <w:sz w:val="30"/>
          <w:szCs w:val="30"/>
        </w:rPr>
        <w:t>审计报告正文</w:t>
      </w:r>
    </w:p>
    <w:p>
      <w:pPr>
        <w:pStyle w:val="Heading2"/>
        <w:spacing w:line="750" w:lineRule="atLeast" w:before="0"/>
        <w:ind w:right="6192" w:hanging="483"/>
        <w:jc w:val="left"/>
        <w:rPr>
          <w:b w:val="0"/>
          <w:bCs w:val="0"/>
        </w:rPr>
      </w:pPr>
      <w:r>
        <w:rPr>
          <w:w w:val="95"/>
        </w:rPr>
        <w:t>河南辉煌科技股份有限公司全体股东：</w:t>
      </w:r>
      <w:r>
        <w:rPr>
          <w:spacing w:val="73"/>
          <w:w w:val="95"/>
        </w:rPr>
        <w:t> </w:t>
      </w:r>
      <w:r>
        <w:rPr/>
        <w:t>一、审计意见</w:t>
      </w:r>
      <w:r>
        <w:rPr>
          <w:b w:val="0"/>
          <w:bCs w:val="0"/>
        </w:rPr>
      </w:r>
    </w:p>
    <w:p>
      <w:pPr>
        <w:pStyle w:val="BodyText"/>
        <w:spacing w:line="352" w:lineRule="auto" w:before="146"/>
        <w:ind w:right="1229" w:firstLine="480"/>
        <w:jc w:val="both"/>
      </w:pPr>
      <w:r>
        <w:rPr/>
        <w:t>我们审计了河南辉煌科技股份有限公司</w:t>
      </w:r>
      <w:r>
        <w:rPr>
          <w:rFonts w:ascii="宋体" w:hAnsi="宋体" w:cs="宋体" w:eastAsia="宋体" w:hint="default"/>
        </w:rPr>
        <w:t>(</w:t>
      </w:r>
      <w:r>
        <w:rPr/>
        <w:t>以下简称辉煌科技</w:t>
      </w:r>
      <w:r>
        <w:rPr>
          <w:rFonts w:ascii="宋体" w:hAnsi="宋体" w:cs="宋体" w:eastAsia="宋体" w:hint="default"/>
        </w:rPr>
        <w:t>)</w:t>
      </w:r>
      <w:r>
        <w:rPr/>
        <w:t>财务报表，包括</w:t>
      </w:r>
      <w:r>
        <w:rPr>
          <w:spacing w:val="-60"/>
        </w:rPr>
        <w:t> </w:t>
      </w:r>
      <w:r>
        <w:rPr>
          <w:rFonts w:ascii="宋体" w:hAnsi="宋体" w:cs="宋体" w:eastAsia="宋体" w:hint="default"/>
        </w:rPr>
        <w:t>2017</w:t>
      </w:r>
      <w:r>
        <w:rPr>
          <w:rFonts w:ascii="宋体" w:hAnsi="宋体" w:cs="宋体" w:eastAsia="宋体" w:hint="default"/>
          <w:spacing w:val="-60"/>
        </w:rPr>
        <w:t> </w:t>
      </w:r>
      <w:r>
        <w:rPr/>
        <w:t>年</w:t>
      </w:r>
      <w:r>
        <w:rPr>
          <w:spacing w:val="-60"/>
        </w:rPr>
        <w:t> </w:t>
      </w:r>
      <w:r>
        <w:rPr>
          <w:rFonts w:ascii="宋体" w:hAnsi="宋体" w:cs="宋体" w:eastAsia="宋体" w:hint="default"/>
        </w:rPr>
        <w:t>12 </w:t>
      </w:r>
      <w:r>
        <w:rPr/>
        <w:t>月</w:t>
      </w:r>
      <w:r>
        <w:rPr>
          <w:spacing w:val="-60"/>
        </w:rPr>
        <w:t> </w:t>
      </w:r>
      <w:r>
        <w:rPr>
          <w:rFonts w:ascii="宋体" w:hAnsi="宋体" w:cs="宋体" w:eastAsia="宋体" w:hint="default"/>
        </w:rPr>
        <w:t>31</w:t>
      </w:r>
      <w:r>
        <w:rPr>
          <w:rFonts w:ascii="宋体" w:hAnsi="宋体" w:cs="宋体" w:eastAsia="宋体" w:hint="default"/>
          <w:spacing w:val="-60"/>
        </w:rPr>
        <w:t> </w:t>
      </w:r>
      <w:r>
        <w:rPr/>
        <w:t>日的合并及母公司资产负债表，</w:t>
      </w:r>
      <w:r>
        <w:rPr>
          <w:rFonts w:ascii="宋体" w:hAnsi="宋体" w:cs="宋体" w:eastAsia="宋体" w:hint="default"/>
        </w:rPr>
        <w:t>2017</w:t>
      </w:r>
      <w:r>
        <w:rPr>
          <w:rFonts w:ascii="宋体" w:hAnsi="宋体" w:cs="宋体" w:eastAsia="宋体" w:hint="default"/>
          <w:spacing w:val="-60"/>
        </w:rPr>
        <w:t> </w:t>
      </w:r>
      <w:r>
        <w:rPr/>
        <w:t>年度的合并及母公司利润表、合并及母公司现金 流量表、合并及母公司股东权益变动表以及相关财务报表附注。</w:t>
      </w:r>
    </w:p>
    <w:p>
      <w:pPr>
        <w:pStyle w:val="BodyText"/>
        <w:spacing w:line="352" w:lineRule="auto" w:before="32"/>
        <w:ind w:right="1169" w:firstLine="480"/>
        <w:jc w:val="both"/>
      </w:pPr>
      <w:r>
        <w:rPr/>
        <w:t>我们认为，后附的财务报表在所有重大方面按照企业会计准则的规定编制，公允反映了 辉煌科技</w:t>
      </w:r>
      <w:r>
        <w:rPr>
          <w:spacing w:val="-60"/>
        </w:rPr>
        <w:t> </w:t>
      </w:r>
      <w:r>
        <w:rPr>
          <w:rFonts w:ascii="宋体" w:hAnsi="宋体" w:cs="宋体" w:eastAsia="宋体" w:hint="default"/>
        </w:rPr>
        <w:t>2017</w:t>
      </w:r>
      <w:r>
        <w:rPr>
          <w:rFonts w:ascii="宋体" w:hAnsi="宋体" w:cs="宋体" w:eastAsia="宋体" w:hint="default"/>
          <w:spacing w:val="-60"/>
        </w:rPr>
        <w:t> </w:t>
      </w:r>
      <w:r>
        <w:rPr/>
        <w:t>年</w:t>
      </w:r>
      <w:r>
        <w:rPr>
          <w:spacing w:val="-60"/>
        </w:rPr>
        <w:t> </w:t>
      </w:r>
      <w:r>
        <w:rPr>
          <w:rFonts w:ascii="宋体" w:hAnsi="宋体" w:cs="宋体" w:eastAsia="宋体" w:hint="default"/>
        </w:rPr>
        <w:t>12</w:t>
      </w:r>
      <w:r>
        <w:rPr>
          <w:rFonts w:ascii="宋体" w:hAnsi="宋体" w:cs="宋体" w:eastAsia="宋体" w:hint="default"/>
          <w:spacing w:val="-60"/>
        </w:rPr>
        <w:t> </w:t>
      </w:r>
      <w:r>
        <w:rPr/>
        <w:t>月</w:t>
      </w:r>
      <w:r>
        <w:rPr>
          <w:spacing w:val="-60"/>
        </w:rPr>
        <w:t> </w:t>
      </w:r>
      <w:r>
        <w:rPr>
          <w:rFonts w:ascii="宋体" w:hAnsi="宋体" w:cs="宋体" w:eastAsia="宋体" w:hint="default"/>
        </w:rPr>
        <w:t>31</w:t>
      </w:r>
      <w:r>
        <w:rPr>
          <w:rFonts w:ascii="宋体" w:hAnsi="宋体" w:cs="宋体" w:eastAsia="宋体" w:hint="default"/>
          <w:spacing w:val="-60"/>
        </w:rPr>
        <w:t> </w:t>
      </w:r>
      <w:r>
        <w:rPr/>
        <w:t>日的合并及母公司财务状况以及</w:t>
      </w:r>
      <w:r>
        <w:rPr>
          <w:spacing w:val="-60"/>
        </w:rPr>
        <w:t> </w:t>
      </w:r>
      <w:r>
        <w:rPr>
          <w:rFonts w:ascii="宋体" w:hAnsi="宋体" w:cs="宋体" w:eastAsia="宋体" w:hint="default"/>
        </w:rPr>
        <w:t>2017</w:t>
      </w:r>
      <w:r>
        <w:rPr>
          <w:rFonts w:ascii="宋体" w:hAnsi="宋体" w:cs="宋体" w:eastAsia="宋体" w:hint="default"/>
          <w:spacing w:val="-60"/>
        </w:rPr>
        <w:t> </w:t>
      </w:r>
      <w:r>
        <w:rPr/>
        <w:t>年度的合并及母公司经营成 果和现金流量。</w:t>
      </w:r>
    </w:p>
    <w:p>
      <w:pPr>
        <w:spacing w:line="350" w:lineRule="auto" w:before="32"/>
        <w:ind w:left="633" w:right="1153" w:firstLine="2"/>
        <w:jc w:val="left"/>
        <w:rPr>
          <w:rFonts w:ascii="宋体" w:hAnsi="宋体" w:cs="宋体" w:eastAsia="宋体" w:hint="default"/>
          <w:sz w:val="24"/>
          <w:szCs w:val="24"/>
        </w:rPr>
      </w:pPr>
      <w:r>
        <w:rPr>
          <w:rFonts w:ascii="宋体" w:hAnsi="宋体" w:cs="宋体" w:eastAsia="宋体" w:hint="default"/>
          <w:b/>
          <w:bCs/>
          <w:sz w:val="24"/>
          <w:szCs w:val="24"/>
        </w:rPr>
        <w:t>二、形成审计意见的基础</w:t>
      </w:r>
      <w:r>
        <w:rPr>
          <w:rFonts w:ascii="宋体" w:hAnsi="宋体" w:cs="宋体" w:eastAsia="宋体" w:hint="default"/>
          <w:b/>
          <w:bCs/>
          <w:w w:val="99"/>
          <w:sz w:val="24"/>
          <w:szCs w:val="24"/>
        </w:rPr>
        <w:t> </w:t>
      </w:r>
      <w:r>
        <w:rPr>
          <w:rFonts w:ascii="宋体" w:hAnsi="宋体" w:cs="宋体" w:eastAsia="宋体" w:hint="default"/>
          <w:sz w:val="24"/>
          <w:szCs w:val="24"/>
        </w:rPr>
        <w:t>我们按照中国注册会计师审计准则的规定执行了审计工作。审计报告的“注册会计师对</w:t>
      </w:r>
    </w:p>
    <w:p>
      <w:pPr>
        <w:pStyle w:val="BodyText"/>
        <w:spacing w:line="350" w:lineRule="auto"/>
        <w:ind w:left="154" w:right="1171"/>
        <w:jc w:val="both"/>
      </w:pPr>
      <w:r>
        <w:rPr/>
        <w:t>财务报表审计的责任”部分进一步阐述了我们在这些准则下的责任。按照中国注册会计师职 业道德守则，我们独立于辉煌科技，并履行了职业道德方面的其他责任。我们相信，我们获 取的审计证据是充分、适当的，为发表审计意见提供了基础。</w:t>
      </w:r>
    </w:p>
    <w:p>
      <w:pPr>
        <w:pStyle w:val="BodyText"/>
        <w:spacing w:line="350" w:lineRule="auto"/>
        <w:ind w:left="633" w:right="1153" w:firstLine="2"/>
        <w:jc w:val="left"/>
      </w:pPr>
      <w:r>
        <w:rPr>
          <w:rFonts w:ascii="宋体" w:hAnsi="宋体" w:cs="宋体" w:eastAsia="宋体" w:hint="default"/>
          <w:b/>
          <w:bCs/>
        </w:rPr>
        <w:t>三、关键审计事项</w:t>
      </w:r>
      <w:r>
        <w:rPr>
          <w:rFonts w:ascii="宋体" w:hAnsi="宋体" w:cs="宋体" w:eastAsia="宋体" w:hint="default"/>
          <w:b/>
          <w:bCs/>
          <w:w w:val="99"/>
        </w:rPr>
        <w:t> </w:t>
      </w:r>
      <w:r>
        <w:rPr/>
        <w:t>关键审计事项是我们根据职业判断，认为对本期财务报表审计最为重要的事项。这些事</w:t>
      </w:r>
    </w:p>
    <w:p>
      <w:pPr>
        <w:pStyle w:val="BodyText"/>
        <w:spacing w:line="352" w:lineRule="auto" w:before="35"/>
        <w:ind w:right="1169"/>
        <w:jc w:val="both"/>
      </w:pPr>
      <w:r>
        <w:rPr/>
        <w:t>项的应对以对财务报表整体进行审计并形成审计意见为背景，我们不对这些事项单独发表意 见。</w:t>
      </w:r>
    </w:p>
    <w:p>
      <w:pPr>
        <w:spacing w:after="0" w:line="352" w:lineRule="auto"/>
        <w:jc w:val="both"/>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240" w:lineRule="auto" w:before="199"/>
        <w:ind w:left="633" w:right="996"/>
        <w:jc w:val="left"/>
      </w:pPr>
      <w:r>
        <w:rPr/>
        <w:t>我们确定下列事项是需要在审计报告中沟通的关键审计事项。</w:t>
      </w:r>
    </w:p>
    <w:p>
      <w:pPr>
        <w:pStyle w:val="BodyText"/>
        <w:spacing w:line="352" w:lineRule="auto" w:before="145"/>
        <w:ind w:left="633" w:right="6913"/>
        <w:jc w:val="left"/>
      </w:pPr>
      <w:r>
        <w:rPr/>
        <w:t>（一）应收账款坏账准备的计提 </w:t>
      </w:r>
      <w:r>
        <w:rPr>
          <w:rFonts w:ascii="宋体" w:hAnsi="宋体" w:cs="宋体" w:eastAsia="宋体" w:hint="default"/>
        </w:rPr>
        <w:t>1</w:t>
      </w:r>
      <w:r>
        <w:rPr/>
        <w:t>、事项描述</w:t>
      </w:r>
    </w:p>
    <w:p>
      <w:pPr>
        <w:pStyle w:val="BodyText"/>
        <w:spacing w:line="240" w:lineRule="auto" w:before="33"/>
        <w:ind w:left="634" w:right="996"/>
        <w:jc w:val="left"/>
      </w:pPr>
      <w:r>
        <w:rPr/>
        <w:t>如财务报表附注六、注释</w:t>
      </w:r>
      <w:r>
        <w:rPr>
          <w:spacing w:val="-60"/>
        </w:rPr>
        <w:t> </w:t>
      </w:r>
      <w:r>
        <w:rPr>
          <w:rFonts w:ascii="宋体" w:hAnsi="宋体" w:cs="宋体" w:eastAsia="宋体" w:hint="default"/>
        </w:rPr>
        <w:t>3 </w:t>
      </w:r>
      <w:r>
        <w:rPr/>
        <w:t>所示，辉煌科技截止</w:t>
      </w:r>
      <w:r>
        <w:rPr>
          <w:spacing w:val="-60"/>
        </w:rPr>
        <w:t> </w:t>
      </w:r>
      <w:r>
        <w:rPr>
          <w:rFonts w:ascii="宋体" w:hAnsi="宋体" w:cs="宋体" w:eastAsia="宋体" w:hint="default"/>
        </w:rPr>
        <w:t>2017</w:t>
      </w:r>
      <w:r>
        <w:rPr>
          <w:rFonts w:ascii="宋体" w:hAnsi="宋体" w:cs="宋体" w:eastAsia="宋体" w:hint="default"/>
          <w:spacing w:val="-60"/>
        </w:rPr>
        <w:t> </w:t>
      </w:r>
      <w:r>
        <w:rPr/>
        <w:t>年</w:t>
      </w:r>
      <w:r>
        <w:rPr>
          <w:spacing w:val="-60"/>
        </w:rPr>
        <w:t> </w:t>
      </w:r>
      <w:r>
        <w:rPr>
          <w:rFonts w:ascii="宋体" w:hAnsi="宋体" w:cs="宋体" w:eastAsia="宋体" w:hint="default"/>
        </w:rPr>
        <w:t>12</w:t>
      </w:r>
      <w:r>
        <w:rPr>
          <w:rFonts w:ascii="宋体" w:hAnsi="宋体" w:cs="宋体" w:eastAsia="宋体" w:hint="default"/>
          <w:spacing w:val="-60"/>
        </w:rPr>
        <w:t> </w:t>
      </w:r>
      <w:r>
        <w:rPr/>
        <w:t>月</w:t>
      </w:r>
      <w:r>
        <w:rPr>
          <w:spacing w:val="-60"/>
        </w:rPr>
        <w:t> </w:t>
      </w:r>
      <w:r>
        <w:rPr>
          <w:rFonts w:ascii="宋体" w:hAnsi="宋体" w:cs="宋体" w:eastAsia="宋体" w:hint="default"/>
        </w:rPr>
        <w:t>31 </w:t>
      </w:r>
      <w:r>
        <w:rPr/>
        <w:t>日应收账款账面原值</w:t>
      </w:r>
    </w:p>
    <w:p>
      <w:pPr>
        <w:pStyle w:val="BodyText"/>
        <w:spacing w:line="240" w:lineRule="auto" w:before="145"/>
        <w:ind w:right="0"/>
        <w:jc w:val="both"/>
      </w:pPr>
      <w:r>
        <w:rPr>
          <w:rFonts w:ascii="宋体" w:hAnsi="宋体" w:cs="宋体" w:eastAsia="宋体" w:hint="default"/>
        </w:rPr>
        <w:t>67,467.04</w:t>
      </w:r>
      <w:r>
        <w:rPr>
          <w:rFonts w:ascii="宋体" w:hAnsi="宋体" w:cs="宋体" w:eastAsia="宋体" w:hint="default"/>
          <w:spacing w:val="-60"/>
        </w:rPr>
        <w:t> </w:t>
      </w:r>
      <w:r>
        <w:rPr/>
        <w:t>万元，已计提坏账准备</w:t>
      </w:r>
      <w:r>
        <w:rPr>
          <w:spacing w:val="-60"/>
        </w:rPr>
        <w:t> </w:t>
      </w:r>
      <w:r>
        <w:rPr>
          <w:rFonts w:ascii="宋体" w:hAnsi="宋体" w:cs="宋体" w:eastAsia="宋体" w:hint="default"/>
        </w:rPr>
        <w:t>10,718.11</w:t>
      </w:r>
      <w:r>
        <w:rPr>
          <w:rFonts w:ascii="宋体" w:hAnsi="宋体" w:cs="宋体" w:eastAsia="宋体" w:hint="default"/>
          <w:spacing w:val="-60"/>
        </w:rPr>
        <w:t> </w:t>
      </w:r>
      <w:r>
        <w:rPr/>
        <w:t>万元，应收账款账面价值占资产总额的比例为</w:t>
      </w:r>
    </w:p>
    <w:p>
      <w:pPr>
        <w:pStyle w:val="BodyText"/>
        <w:spacing w:line="350" w:lineRule="auto" w:before="146"/>
        <w:ind w:left="154" w:right="1171"/>
        <w:jc w:val="both"/>
      </w:pPr>
      <w:r>
        <w:rPr>
          <w:rFonts w:ascii="宋体" w:hAnsi="宋体" w:cs="宋体" w:eastAsia="宋体" w:hint="default"/>
        </w:rPr>
        <w:t>25.21%</w:t>
      </w:r>
      <w:r>
        <w:rPr/>
        <w:t>，对财务报表具有重要性，而应收账款的坏账准备的计提需要管理层作出重大会计估 计和判断，因此，将应收账款坏账准备的计提确定为关键审计事项。</w:t>
      </w:r>
    </w:p>
    <w:p>
      <w:pPr>
        <w:pStyle w:val="BodyText"/>
        <w:spacing w:line="352" w:lineRule="auto" w:before="35"/>
        <w:ind w:left="634" w:right="3792"/>
        <w:jc w:val="left"/>
      </w:pPr>
      <w:r>
        <w:rPr>
          <w:rFonts w:ascii="宋体" w:hAnsi="宋体" w:cs="宋体" w:eastAsia="宋体" w:hint="default"/>
        </w:rPr>
        <w:t>2</w:t>
      </w:r>
      <w:r>
        <w:rPr/>
        <w:t>、审计应对 我们针对应收账款坏账准备的计提执行的审计程序主要包括：</w:t>
      </w:r>
    </w:p>
    <w:p>
      <w:pPr>
        <w:pStyle w:val="BodyText"/>
        <w:spacing w:line="240" w:lineRule="auto" w:before="32"/>
        <w:ind w:left="633" w:right="996"/>
        <w:jc w:val="left"/>
      </w:pPr>
      <w:r>
        <w:rPr/>
        <w:t>（</w:t>
      </w:r>
      <w:r>
        <w:rPr>
          <w:rFonts w:ascii="宋体" w:hAnsi="宋体" w:cs="宋体" w:eastAsia="宋体" w:hint="default"/>
        </w:rPr>
        <w:t>1</w:t>
      </w:r>
      <w:r>
        <w:rPr/>
        <w:t>）测试管理层对于应收账款日常管理及期末可回收性评估相关的内部控制。</w:t>
      </w:r>
    </w:p>
    <w:p>
      <w:pPr>
        <w:pStyle w:val="BodyText"/>
        <w:spacing w:line="352" w:lineRule="auto" w:before="145"/>
        <w:ind w:right="996" w:firstLine="480"/>
        <w:jc w:val="left"/>
      </w:pPr>
      <w:r>
        <w:rPr>
          <w:spacing w:val="-3"/>
        </w:rPr>
        <w:t>（</w:t>
      </w:r>
      <w:r>
        <w:rPr>
          <w:rFonts w:ascii="宋体" w:hAnsi="宋体" w:cs="宋体" w:eastAsia="宋体" w:hint="default"/>
          <w:spacing w:val="-3"/>
        </w:rPr>
        <w:t>2</w:t>
      </w:r>
      <w:r>
        <w:rPr>
          <w:spacing w:val="-3"/>
        </w:rPr>
        <w:t>）对年末重大及本期发生额重大的应收账款采取函证程序，将函证结果与公司账面记</w:t>
      </w:r>
      <w:r>
        <w:rPr/>
        <w:t> 录进行核对，核实是否相符。</w:t>
      </w:r>
    </w:p>
    <w:p>
      <w:pPr>
        <w:pStyle w:val="BodyText"/>
        <w:spacing w:line="350" w:lineRule="auto" w:before="32"/>
        <w:ind w:right="996" w:firstLine="480"/>
        <w:jc w:val="left"/>
      </w:pPr>
      <w:r>
        <w:rPr>
          <w:spacing w:val="-3"/>
        </w:rPr>
        <w:t>（</w:t>
      </w:r>
      <w:r>
        <w:rPr>
          <w:rFonts w:ascii="宋体" w:hAnsi="宋体" w:cs="宋体" w:eastAsia="宋体" w:hint="default"/>
          <w:spacing w:val="-3"/>
        </w:rPr>
        <w:t>3</w:t>
      </w:r>
      <w:r>
        <w:rPr>
          <w:spacing w:val="-3"/>
        </w:rPr>
        <w:t>）对于按照信用风险特征组合计提坏账准备的应收账款，检查应收账款的账龄的划分</w:t>
      </w:r>
      <w:r>
        <w:rPr/>
        <w:t> 是否正确，按公司的会计政策重新计算坏账准备计提金额是否准确。</w:t>
      </w:r>
    </w:p>
    <w:p>
      <w:pPr>
        <w:pStyle w:val="BodyText"/>
        <w:spacing w:line="350" w:lineRule="auto"/>
        <w:ind w:right="1132" w:firstLine="480"/>
        <w:jc w:val="both"/>
      </w:pPr>
      <w:r>
        <w:rPr>
          <w:spacing w:val="-3"/>
        </w:rPr>
        <w:t>（</w:t>
      </w:r>
      <w:r>
        <w:rPr>
          <w:rFonts w:ascii="宋体" w:hAnsi="宋体" w:cs="宋体" w:eastAsia="宋体" w:hint="default"/>
          <w:spacing w:val="-3"/>
        </w:rPr>
        <w:t>4</w:t>
      </w:r>
      <w:r>
        <w:rPr>
          <w:spacing w:val="-3"/>
        </w:rPr>
        <w:t>）对于单独计提坏账准备的应收账款，通过公开信息查询债务人的经营状态、检查回</w:t>
      </w:r>
      <w:r>
        <w:rPr/>
        <w:t> 款记录及期后的相关证据，判断管理层对预计未来可获得的现金流量做出估计的依据及合理 性。</w:t>
      </w:r>
    </w:p>
    <w:p>
      <w:pPr>
        <w:pStyle w:val="BodyText"/>
        <w:spacing w:line="350" w:lineRule="auto"/>
        <w:ind w:left="154" w:right="996" w:firstLine="480"/>
        <w:jc w:val="left"/>
      </w:pPr>
      <w:r>
        <w:rPr>
          <w:spacing w:val="-3"/>
        </w:rPr>
        <w:t>（</w:t>
      </w:r>
      <w:r>
        <w:rPr>
          <w:rFonts w:ascii="宋体" w:hAnsi="宋体" w:cs="宋体" w:eastAsia="宋体" w:hint="default"/>
          <w:spacing w:val="-3"/>
        </w:rPr>
        <w:t>5</w:t>
      </w:r>
      <w:r>
        <w:rPr>
          <w:spacing w:val="-3"/>
        </w:rPr>
        <w:t>）根据公司客户特点、以及公司以往年度实际的坏账损失情况、并与同行业计提政策</w:t>
      </w:r>
      <w:r>
        <w:rPr/>
        <w:t> 比较、结合期后回款情况检查、评估公司应收账款坏账准备计提政策的合理性。</w:t>
      </w:r>
    </w:p>
    <w:p>
      <w:pPr>
        <w:pStyle w:val="BodyText"/>
        <w:spacing w:line="352" w:lineRule="auto" w:before="35"/>
        <w:ind w:right="1153" w:firstLine="480"/>
        <w:jc w:val="left"/>
      </w:pPr>
      <w:r>
        <w:rPr/>
        <w:t>根据已执行的审计工作，我们认为辉煌科技应收账款坏账准备的计提符合公司的会计政 策。</w:t>
      </w:r>
    </w:p>
    <w:p>
      <w:pPr>
        <w:pStyle w:val="BodyText"/>
        <w:spacing w:line="350" w:lineRule="auto" w:before="32"/>
        <w:ind w:left="634" w:right="7152"/>
        <w:jc w:val="left"/>
      </w:pPr>
      <w:r>
        <w:rPr/>
        <w:t>（二）可供出售金融资产减值 </w:t>
      </w:r>
      <w:r>
        <w:rPr>
          <w:rFonts w:ascii="宋体" w:hAnsi="宋体" w:cs="宋体" w:eastAsia="宋体" w:hint="default"/>
        </w:rPr>
        <w:t>1</w:t>
      </w:r>
      <w:r>
        <w:rPr/>
        <w:t>、事项描述</w:t>
      </w:r>
    </w:p>
    <w:p>
      <w:pPr>
        <w:pStyle w:val="BodyText"/>
        <w:spacing w:line="240" w:lineRule="auto"/>
        <w:ind w:left="634" w:right="996"/>
        <w:jc w:val="left"/>
      </w:pPr>
      <w:r>
        <w:rPr/>
        <w:t>截至 </w:t>
      </w:r>
      <w:r>
        <w:rPr>
          <w:rFonts w:ascii="宋体" w:hAnsi="宋体" w:cs="宋体" w:eastAsia="宋体" w:hint="default"/>
        </w:rPr>
        <w:t>2017</w:t>
      </w:r>
      <w:r>
        <w:rPr>
          <w:rFonts w:ascii="宋体" w:hAnsi="宋体" w:cs="宋体" w:eastAsia="宋体" w:hint="default"/>
          <w:spacing w:val="-60"/>
        </w:rPr>
        <w:t> </w:t>
      </w:r>
      <w:r>
        <w:rPr/>
        <w:t>年</w:t>
      </w:r>
      <w:r>
        <w:rPr>
          <w:spacing w:val="-60"/>
        </w:rPr>
        <w:t> </w:t>
      </w:r>
      <w:r>
        <w:rPr>
          <w:rFonts w:ascii="宋体" w:hAnsi="宋体" w:cs="宋体" w:eastAsia="宋体" w:hint="default"/>
        </w:rPr>
        <w:t>12</w:t>
      </w:r>
      <w:r>
        <w:rPr>
          <w:rFonts w:ascii="宋体" w:hAnsi="宋体" w:cs="宋体" w:eastAsia="宋体" w:hint="default"/>
          <w:spacing w:val="-60"/>
        </w:rPr>
        <w:t> </w:t>
      </w:r>
      <w:r>
        <w:rPr/>
        <w:t>月</w:t>
      </w:r>
      <w:r>
        <w:rPr>
          <w:spacing w:val="-60"/>
        </w:rPr>
        <w:t> </w:t>
      </w:r>
      <w:r>
        <w:rPr>
          <w:rFonts w:ascii="宋体" w:hAnsi="宋体" w:cs="宋体" w:eastAsia="宋体" w:hint="default"/>
        </w:rPr>
        <w:t>31</w:t>
      </w:r>
      <w:r>
        <w:rPr>
          <w:rFonts w:ascii="宋体" w:hAnsi="宋体" w:cs="宋体" w:eastAsia="宋体" w:hint="default"/>
          <w:spacing w:val="-60"/>
        </w:rPr>
        <w:t> </w:t>
      </w:r>
      <w:r>
        <w:rPr/>
        <w:t>日， 辉煌科技可供出售金融资产的账面余额为</w:t>
      </w:r>
      <w:r>
        <w:rPr>
          <w:spacing w:val="-60"/>
        </w:rPr>
        <w:t> </w:t>
      </w:r>
      <w:r>
        <w:rPr>
          <w:rFonts w:ascii="宋体" w:hAnsi="宋体" w:cs="宋体" w:eastAsia="宋体" w:hint="default"/>
        </w:rPr>
        <w:t>15,000.00</w:t>
      </w:r>
      <w:r>
        <w:rPr>
          <w:rFonts w:ascii="宋体" w:hAnsi="宋体" w:cs="宋体" w:eastAsia="宋体" w:hint="default"/>
          <w:spacing w:val="-60"/>
        </w:rPr>
        <w:t> </w:t>
      </w:r>
      <w:r>
        <w:rPr/>
        <w:t>万元，</w:t>
      </w:r>
    </w:p>
    <w:p>
      <w:pPr>
        <w:pStyle w:val="BodyText"/>
        <w:spacing w:line="352" w:lineRule="auto" w:before="145"/>
        <w:ind w:right="1131"/>
        <w:jc w:val="both"/>
      </w:pPr>
      <w:r>
        <w:rPr/>
        <w:t>其中已计提减值准备</w:t>
      </w:r>
      <w:r>
        <w:rPr>
          <w:spacing w:val="-60"/>
        </w:rPr>
        <w:t> </w:t>
      </w:r>
      <w:r>
        <w:rPr>
          <w:rFonts w:ascii="宋体" w:hAnsi="宋体" w:cs="宋体" w:eastAsia="宋体" w:hint="default"/>
        </w:rPr>
        <w:t>11,463.41</w:t>
      </w:r>
      <w:r>
        <w:rPr>
          <w:rFonts w:ascii="宋体" w:hAnsi="宋体" w:cs="宋体" w:eastAsia="宋体" w:hint="default"/>
          <w:spacing w:val="-60"/>
        </w:rPr>
        <w:t> </w:t>
      </w:r>
      <w:r>
        <w:rPr/>
        <w:t>万元，详见附注六、注释</w:t>
      </w:r>
      <w:r>
        <w:rPr>
          <w:spacing w:val="-60"/>
        </w:rPr>
        <w:t> </w:t>
      </w:r>
      <w:r>
        <w:rPr>
          <w:rFonts w:ascii="宋体" w:hAnsi="宋体" w:cs="宋体" w:eastAsia="宋体" w:hint="default"/>
        </w:rPr>
        <w:t>8</w:t>
      </w:r>
      <w:r>
        <w:rPr>
          <w:rFonts w:ascii="宋体" w:hAnsi="宋体" w:cs="宋体" w:eastAsia="宋体" w:hint="default"/>
          <w:spacing w:val="-60"/>
        </w:rPr>
        <w:t> </w:t>
      </w:r>
      <w:r>
        <w:rPr/>
        <w:t>可供出售金融资产所述。对于可 供出售金融资产，辉煌科技认为可供出售金融资产存在减值迹象的客观证据主要为“权益性 </w:t>
      </w:r>
      <w:r>
        <w:rPr>
          <w:spacing w:val="-5"/>
        </w:rPr>
        <w:t>投资的公允价值发生严重或非暂时性下跌、被投资单位发生严重财务困难”，辉煌科技据此判</w:t>
      </w:r>
      <w:r>
        <w:rPr>
          <w:spacing w:val="-117"/>
        </w:rPr>
        <w:t> </w:t>
      </w:r>
      <w:r>
        <w:rPr>
          <w:spacing w:val="-117"/>
        </w:rPr>
      </w:r>
      <w:r>
        <w:rPr/>
        <w:t>断可供出售金融资产出现减值迹象，并计提减值准备</w:t>
      </w:r>
      <w:r>
        <w:rPr>
          <w:spacing w:val="-60"/>
        </w:rPr>
        <w:t> </w:t>
      </w:r>
      <w:r>
        <w:rPr>
          <w:rFonts w:ascii="宋体" w:hAnsi="宋体" w:cs="宋体" w:eastAsia="宋体" w:hint="default"/>
        </w:rPr>
        <w:t>11,463.41</w:t>
      </w:r>
      <w:r>
        <w:rPr>
          <w:rFonts w:ascii="宋体" w:hAnsi="宋体" w:cs="宋体" w:eastAsia="宋体" w:hint="default"/>
          <w:spacing w:val="-60"/>
        </w:rPr>
        <w:t> </w:t>
      </w:r>
      <w:r>
        <w:rPr/>
        <w:t>万元。因可供出售金融资产</w:t>
      </w:r>
    </w:p>
    <w:p>
      <w:pPr>
        <w:pStyle w:val="BodyText"/>
        <w:spacing w:line="352" w:lineRule="auto" w:before="32"/>
        <w:ind w:left="154" w:right="1131"/>
        <w:jc w:val="both"/>
      </w:pPr>
      <w:r>
        <w:rPr/>
        <w:t>本期减值准备计提金额对辉煌科技</w:t>
      </w:r>
      <w:r>
        <w:rPr>
          <w:spacing w:val="-56"/>
        </w:rPr>
        <w:t> </w:t>
      </w:r>
      <w:r>
        <w:rPr>
          <w:rFonts w:ascii="宋体" w:hAnsi="宋体" w:cs="宋体" w:eastAsia="宋体" w:hint="default"/>
        </w:rPr>
        <w:t>2017</w:t>
      </w:r>
      <w:r>
        <w:rPr>
          <w:rFonts w:ascii="宋体" w:hAnsi="宋体" w:cs="宋体" w:eastAsia="宋体" w:hint="default"/>
          <w:spacing w:val="-56"/>
        </w:rPr>
        <w:t> </w:t>
      </w:r>
      <w:r>
        <w:rPr>
          <w:spacing w:val="-4"/>
        </w:rPr>
        <w:t>年度经营业绩影响较大，且减值准备的计提涉及管理</w:t>
      </w:r>
      <w:r>
        <w:rPr/>
        <w:t> 层重大判断和估计，因此，将可供出售金融资产的减值确定为关键审计事项。</w:t>
      </w:r>
    </w:p>
    <w:p>
      <w:pPr>
        <w:spacing w:after="0" w:line="352" w:lineRule="auto"/>
        <w:jc w:val="both"/>
        <w:sectPr>
          <w:footerReference w:type="default" r:id="rId16"/>
          <w:pgSz w:w="11910" w:h="16840"/>
          <w:pgMar w:footer="979" w:header="747" w:top="1060" w:bottom="1160" w:left="980" w:right="0"/>
          <w:pgNumType w:start="77"/>
        </w:sectPr>
      </w:pPr>
    </w:p>
    <w:p>
      <w:pPr>
        <w:spacing w:line="240" w:lineRule="auto" w:before="0"/>
        <w:rPr>
          <w:rFonts w:ascii="宋体" w:hAnsi="宋体" w:cs="宋体" w:eastAsia="宋体" w:hint="default"/>
          <w:sz w:val="20"/>
          <w:szCs w:val="20"/>
        </w:rPr>
      </w:pPr>
    </w:p>
    <w:p>
      <w:pPr>
        <w:pStyle w:val="BodyText"/>
        <w:spacing w:line="350" w:lineRule="auto" w:before="199"/>
        <w:ind w:left="634" w:right="3792"/>
        <w:jc w:val="left"/>
      </w:pPr>
      <w:r>
        <w:rPr>
          <w:rFonts w:ascii="宋体" w:hAnsi="宋体" w:cs="宋体" w:eastAsia="宋体" w:hint="default"/>
        </w:rPr>
        <w:t>2</w:t>
      </w:r>
      <w:r>
        <w:rPr/>
        <w:t>、审计应对 我们针对可供出售金融资产的减值执行的审计程序主要包括：</w:t>
      </w:r>
    </w:p>
    <w:p>
      <w:pPr>
        <w:pStyle w:val="BodyText"/>
        <w:spacing w:line="350" w:lineRule="auto"/>
        <w:ind w:right="1130" w:firstLine="480"/>
        <w:jc w:val="both"/>
      </w:pPr>
      <w:r>
        <w:rPr>
          <w:spacing w:val="-3"/>
        </w:rPr>
        <w:t>（</w:t>
      </w:r>
      <w:r>
        <w:rPr>
          <w:rFonts w:ascii="宋体" w:hAnsi="宋体" w:cs="宋体" w:eastAsia="宋体" w:hint="default"/>
          <w:spacing w:val="-3"/>
        </w:rPr>
        <w:t>1</w:t>
      </w:r>
      <w:r>
        <w:rPr>
          <w:spacing w:val="-3"/>
        </w:rPr>
        <w:t>）我们获取并复核了辉煌科技管理层评价可供出售金融资产是否存在减值迹象所依据</w:t>
      </w:r>
      <w:r>
        <w:rPr/>
        <w:t> 的资料，考虑了管理层评价减值迹象存在的恰当性和完整性，审慎评价了管理层可供出售金 融资产减值测试过程及结果的合理性，以及是否存在管理层偏好的任何迹象。</w:t>
      </w:r>
    </w:p>
    <w:p>
      <w:pPr>
        <w:pStyle w:val="BodyText"/>
        <w:spacing w:line="350" w:lineRule="auto"/>
        <w:ind w:left="154" w:right="1032" w:firstLine="480"/>
        <w:jc w:val="left"/>
      </w:pPr>
      <w:r>
        <w:rPr/>
        <w:t>（</w:t>
      </w:r>
      <w:r>
        <w:rPr>
          <w:rFonts w:ascii="宋体" w:hAnsi="宋体" w:cs="宋体" w:eastAsia="宋体" w:hint="default"/>
        </w:rPr>
        <w:t>2</w:t>
      </w:r>
      <w:r>
        <w:rPr/>
        <w:t>）对存在减值迹象的可供出售金融资产，取得管理层对可收回金额测算的相关资料， 并对可收回金额计算的数学准确性进行了核对，与管理层和治理层就计提减值准备的依据和 </w:t>
      </w:r>
      <w:r>
        <w:rPr>
          <w:spacing w:val="-3"/>
        </w:rPr>
        <w:t>结果进行了讨论。（</w:t>
      </w:r>
      <w:r>
        <w:rPr>
          <w:rFonts w:ascii="宋体" w:hAnsi="宋体" w:cs="宋体" w:eastAsia="宋体" w:hint="default"/>
          <w:spacing w:val="-3"/>
        </w:rPr>
        <w:t>3</w:t>
      </w:r>
      <w:r>
        <w:rPr>
          <w:spacing w:val="-3"/>
        </w:rPr>
        <w:t>）对于以成本计量的可供出售金融资产权益工具，我们评估了被投资单</w:t>
      </w:r>
      <w:r>
        <w:rPr>
          <w:spacing w:val="-117"/>
        </w:rPr>
        <w:t> </w:t>
      </w:r>
      <w:r>
        <w:rPr/>
        <w:t>位的财务状况、技术、市场占用率等。</w:t>
      </w:r>
    </w:p>
    <w:p>
      <w:pPr>
        <w:pStyle w:val="BodyText"/>
        <w:spacing w:line="350" w:lineRule="auto" w:before="35"/>
        <w:ind w:left="633" w:right="1153"/>
        <w:jc w:val="left"/>
      </w:pPr>
      <w:r>
        <w:rPr/>
        <w:t>（</w:t>
      </w:r>
      <w:r>
        <w:rPr>
          <w:rFonts w:ascii="宋体" w:hAnsi="宋体" w:cs="宋体" w:eastAsia="宋体" w:hint="default"/>
        </w:rPr>
        <w:t>4</w:t>
      </w:r>
      <w:r>
        <w:rPr/>
        <w:t>）检查了财务报表中对可供出售金融资产及减值准备相关信息的列报和披露。 根据已执行的审计工作，我们认为可供出售金融资产减值准备的确认符合辉煌科技的会</w:t>
      </w:r>
    </w:p>
    <w:p>
      <w:pPr>
        <w:pStyle w:val="BodyText"/>
        <w:spacing w:line="240" w:lineRule="auto"/>
        <w:ind w:right="996"/>
        <w:jc w:val="left"/>
      </w:pPr>
      <w:r>
        <w:rPr/>
        <w:t>计政策。</w:t>
      </w:r>
    </w:p>
    <w:p>
      <w:pPr>
        <w:pStyle w:val="BodyText"/>
        <w:spacing w:line="350" w:lineRule="auto" w:before="145"/>
        <w:ind w:left="634" w:right="7752"/>
        <w:jc w:val="left"/>
      </w:pPr>
      <w:r>
        <w:rPr>
          <w:rFonts w:ascii="宋体" w:hAnsi="宋体" w:cs="宋体" w:eastAsia="宋体" w:hint="default"/>
        </w:rPr>
        <w:t>(</w:t>
      </w:r>
      <w:r>
        <w:rPr/>
        <w:t>三）长期股权投资减值 </w:t>
      </w:r>
      <w:r>
        <w:rPr>
          <w:rFonts w:ascii="宋体" w:hAnsi="宋体" w:cs="宋体" w:eastAsia="宋体" w:hint="default"/>
        </w:rPr>
        <w:t>1</w:t>
      </w:r>
      <w:r>
        <w:rPr/>
        <w:t>、事项描述</w:t>
      </w:r>
    </w:p>
    <w:p>
      <w:pPr>
        <w:pStyle w:val="BodyText"/>
        <w:spacing w:line="350" w:lineRule="auto"/>
        <w:ind w:left="154" w:right="1131" w:firstLine="480"/>
        <w:jc w:val="both"/>
      </w:pPr>
      <w:r>
        <w:rPr/>
        <w:t>如财务报表附注六、注释</w:t>
      </w:r>
      <w:r>
        <w:rPr>
          <w:spacing w:val="-60"/>
        </w:rPr>
        <w:t> </w:t>
      </w:r>
      <w:r>
        <w:rPr>
          <w:rFonts w:ascii="宋体" w:hAnsi="宋体" w:cs="宋体" w:eastAsia="宋体" w:hint="default"/>
        </w:rPr>
        <w:t>9</w:t>
      </w:r>
      <w:r>
        <w:rPr>
          <w:rFonts w:ascii="宋体" w:hAnsi="宋体" w:cs="宋体" w:eastAsia="宋体" w:hint="default"/>
          <w:spacing w:val="-60"/>
        </w:rPr>
        <w:t> </w:t>
      </w:r>
      <w:r>
        <w:rPr/>
        <w:t>所示，参股公司北京赛弗网络科技有限责任公司连年亏判断 股权投资存在减值迹象后，对该项存在减值迹象的股权投资进行了减值测试。辉煌科技按该 项股权投资可收回金额低于账面价值的差额计提减值准备，因本期长期股权投资减值准备计 提的金额对辉煌科技</w:t>
      </w:r>
      <w:r>
        <w:rPr>
          <w:spacing w:val="-58"/>
        </w:rPr>
        <w:t> </w:t>
      </w:r>
      <w:r>
        <w:rPr>
          <w:rFonts w:ascii="宋体" w:hAnsi="宋体" w:cs="宋体" w:eastAsia="宋体" w:hint="default"/>
        </w:rPr>
        <w:t>2017</w:t>
      </w:r>
      <w:r>
        <w:rPr>
          <w:rFonts w:ascii="宋体" w:hAnsi="宋体" w:cs="宋体" w:eastAsia="宋体" w:hint="default"/>
          <w:spacing w:val="-58"/>
        </w:rPr>
        <w:t> </w:t>
      </w:r>
      <w:r>
        <w:rPr>
          <w:spacing w:val="-3"/>
        </w:rPr>
        <w:t>年度经营业绩影响较大，且减值准备的计提涉及管理层重大判断和</w:t>
      </w:r>
      <w:r>
        <w:rPr/>
        <w:t> 估计，因此，将长期股权投资的减值确定为关键审计事项。</w:t>
      </w:r>
    </w:p>
    <w:p>
      <w:pPr>
        <w:pStyle w:val="BodyText"/>
        <w:spacing w:line="352" w:lineRule="auto" w:before="35"/>
        <w:ind w:left="634" w:right="4272"/>
        <w:jc w:val="left"/>
      </w:pPr>
      <w:r>
        <w:rPr>
          <w:rFonts w:ascii="宋体" w:hAnsi="宋体" w:cs="宋体" w:eastAsia="宋体" w:hint="default"/>
        </w:rPr>
        <w:t>2</w:t>
      </w:r>
      <w:r>
        <w:rPr/>
        <w:t>、审计应对 我们针对长期股权投资的减值执行的审计程序主要包括：</w:t>
      </w:r>
    </w:p>
    <w:p>
      <w:pPr>
        <w:pStyle w:val="BodyText"/>
        <w:spacing w:line="352" w:lineRule="auto" w:before="32"/>
        <w:ind w:right="1033" w:firstLine="480"/>
        <w:jc w:val="left"/>
      </w:pPr>
      <w:r>
        <w:rPr/>
        <w:t>（</w:t>
      </w:r>
      <w:r>
        <w:rPr>
          <w:rFonts w:ascii="宋体" w:hAnsi="宋体" w:cs="宋体" w:eastAsia="宋体" w:hint="default"/>
        </w:rPr>
        <w:t>1</w:t>
      </w:r>
      <w:r>
        <w:rPr/>
        <w:t>）我们获取并复核了辉煌科技管理层评价股权投资是否存在减值迹象所依据的资料， 考虑了管理层评价减值迹象存在的恰当性和完整性，审慎评价了管理层投资资产减值测试过 程及结果的合理性，以及是否存在管理层偏好的任何迹象。</w:t>
      </w:r>
    </w:p>
    <w:p>
      <w:pPr>
        <w:pStyle w:val="BodyText"/>
        <w:spacing w:line="350" w:lineRule="auto" w:before="32"/>
        <w:ind w:left="154" w:right="1132" w:firstLine="480"/>
        <w:jc w:val="both"/>
      </w:pPr>
      <w:r>
        <w:rPr>
          <w:spacing w:val="-3"/>
        </w:rPr>
        <w:t>（</w:t>
      </w:r>
      <w:r>
        <w:rPr>
          <w:rFonts w:ascii="宋体" w:hAnsi="宋体" w:cs="宋体" w:eastAsia="宋体" w:hint="default"/>
          <w:spacing w:val="-3"/>
        </w:rPr>
        <w:t>2</w:t>
      </w:r>
      <w:r>
        <w:rPr>
          <w:spacing w:val="-3"/>
        </w:rPr>
        <w:t>）对存在减值迹象的股权投资，取得管理层对可收回金额测算的相关资料，与管理层</w:t>
      </w:r>
      <w:r>
        <w:rPr/>
        <w:t> 和治理层就计提减值准备的依据和结果进行了讨论。</w:t>
      </w:r>
    </w:p>
    <w:p>
      <w:pPr>
        <w:pStyle w:val="BodyText"/>
        <w:spacing w:line="352" w:lineRule="auto"/>
        <w:ind w:right="1131" w:firstLine="480"/>
        <w:jc w:val="both"/>
      </w:pPr>
      <w:r>
        <w:rPr>
          <w:spacing w:val="-3"/>
        </w:rPr>
        <w:t>（</w:t>
      </w:r>
      <w:r>
        <w:rPr>
          <w:rFonts w:ascii="宋体" w:hAnsi="宋体" w:cs="宋体" w:eastAsia="宋体" w:hint="default"/>
          <w:spacing w:val="-3"/>
        </w:rPr>
        <w:t>3</w:t>
      </w:r>
      <w:r>
        <w:rPr>
          <w:spacing w:val="-3"/>
        </w:rPr>
        <w:t>）获取外聘的评估师对存在减值迹象的长期股权投资于会计期末所出具的股东权益价</w:t>
      </w:r>
      <w:r>
        <w:rPr/>
        <w:t> 值评估报告，评价评估师的专业能力、胜任能力及其使用的评估方法的合理性，对评估报告 中的评估范围、假设、方法、折现率和结论等进行分析性复核，并对可收回金额计算的数学 准确性进行了核对。</w:t>
      </w:r>
    </w:p>
    <w:p>
      <w:pPr>
        <w:spacing w:after="0" w:line="352" w:lineRule="auto"/>
        <w:jc w:val="both"/>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350" w:lineRule="auto" w:before="199"/>
        <w:ind w:left="633" w:right="1153"/>
        <w:jc w:val="left"/>
      </w:pPr>
      <w:r>
        <w:rPr/>
        <w:t>（</w:t>
      </w:r>
      <w:r>
        <w:rPr>
          <w:rFonts w:ascii="宋体" w:hAnsi="宋体" w:cs="宋体" w:eastAsia="宋体" w:hint="default"/>
        </w:rPr>
        <w:t>4</w:t>
      </w:r>
      <w:r>
        <w:rPr/>
        <w:t>）检查了财务报表中对长期股权投资及减值准备相关信息的列报和披露。 根据已执行的审计工作，我们认为长期股权投资资产减值准备的确认符合辉煌科技的会</w:t>
      </w:r>
    </w:p>
    <w:p>
      <w:pPr>
        <w:pStyle w:val="BodyText"/>
        <w:spacing w:line="240" w:lineRule="auto"/>
        <w:ind w:right="0"/>
        <w:jc w:val="both"/>
      </w:pPr>
      <w:r>
        <w:rPr/>
        <w:t>计政策。</w:t>
      </w:r>
    </w:p>
    <w:p>
      <w:pPr>
        <w:pStyle w:val="BodyText"/>
        <w:spacing w:line="350" w:lineRule="auto" w:before="146"/>
        <w:ind w:left="634" w:right="8592"/>
        <w:jc w:val="left"/>
      </w:pPr>
      <w:r>
        <w:rPr/>
        <w:t>（四）商誉减值 </w:t>
      </w:r>
      <w:r>
        <w:rPr>
          <w:rFonts w:ascii="宋体" w:hAnsi="宋体" w:cs="宋体" w:eastAsia="宋体" w:hint="default"/>
        </w:rPr>
        <w:t>1</w:t>
      </w:r>
      <w:r>
        <w:rPr/>
        <w:t>、事项描述</w:t>
      </w:r>
    </w:p>
    <w:p>
      <w:pPr>
        <w:pStyle w:val="BodyText"/>
        <w:spacing w:line="240" w:lineRule="auto"/>
        <w:ind w:left="634" w:right="996"/>
        <w:jc w:val="left"/>
      </w:pPr>
      <w:r>
        <w:rPr/>
        <w:t>如财务报表附注六、注释</w:t>
      </w:r>
      <w:r>
        <w:rPr>
          <w:spacing w:val="-60"/>
        </w:rPr>
        <w:t> </w:t>
      </w:r>
      <w:r>
        <w:rPr>
          <w:rFonts w:ascii="宋体" w:hAnsi="宋体" w:cs="宋体" w:eastAsia="宋体" w:hint="default"/>
        </w:rPr>
        <w:t>13</w:t>
      </w:r>
      <w:r>
        <w:rPr>
          <w:rFonts w:ascii="宋体" w:hAnsi="宋体" w:cs="宋体" w:eastAsia="宋体" w:hint="default"/>
          <w:spacing w:val="-60"/>
        </w:rPr>
        <w:t> </w:t>
      </w:r>
      <w:r>
        <w:rPr/>
        <w:t>所述，辉煌科技</w:t>
      </w:r>
      <w:r>
        <w:rPr>
          <w:spacing w:val="-60"/>
        </w:rPr>
        <w:t> </w:t>
      </w:r>
      <w:r>
        <w:rPr>
          <w:rFonts w:ascii="宋体" w:hAnsi="宋体" w:cs="宋体" w:eastAsia="宋体" w:hint="default"/>
        </w:rPr>
        <w:t>2017</w:t>
      </w:r>
      <w:r>
        <w:rPr>
          <w:rFonts w:ascii="宋体" w:hAnsi="宋体" w:cs="宋体" w:eastAsia="宋体" w:hint="default"/>
          <w:spacing w:val="-60"/>
        </w:rPr>
        <w:t> </w:t>
      </w:r>
      <w:r>
        <w:rPr/>
        <w:t>年末合并报表的商誉账面原值为</w:t>
      </w:r>
    </w:p>
    <w:p>
      <w:pPr>
        <w:pStyle w:val="BodyText"/>
        <w:spacing w:line="350" w:lineRule="auto" w:before="145"/>
        <w:ind w:right="1013"/>
        <w:jc w:val="both"/>
      </w:pPr>
      <w:r>
        <w:rPr>
          <w:rFonts w:ascii="宋体" w:hAnsi="宋体" w:cs="宋体" w:eastAsia="宋体" w:hint="default"/>
        </w:rPr>
        <w:t>14,200.43</w:t>
      </w:r>
      <w:r>
        <w:rPr>
          <w:rFonts w:ascii="宋体" w:hAnsi="宋体" w:cs="宋体" w:eastAsia="宋体" w:hint="default"/>
          <w:spacing w:val="-65"/>
        </w:rPr>
        <w:t> </w:t>
      </w:r>
      <w:r>
        <w:rPr/>
        <w:t>万元，已计提减值准备</w:t>
      </w:r>
      <w:r>
        <w:rPr>
          <w:spacing w:val="-65"/>
        </w:rPr>
        <w:t> </w:t>
      </w:r>
      <w:r>
        <w:rPr>
          <w:rFonts w:ascii="宋体" w:hAnsi="宋体" w:cs="宋体" w:eastAsia="宋体" w:hint="default"/>
        </w:rPr>
        <w:t>7,193.77</w:t>
      </w:r>
      <w:r>
        <w:rPr>
          <w:rFonts w:ascii="宋体" w:hAnsi="宋体" w:cs="宋体" w:eastAsia="宋体" w:hint="default"/>
          <w:spacing w:val="-65"/>
        </w:rPr>
        <w:t> </w:t>
      </w:r>
      <w:r>
        <w:rPr/>
        <w:t>万元，管理层对商誉至少每年进行减值测试。商 誉的减值测试涉及大量的管理层判断和估计，尤其是对于预计未来现金流量和使用的折现率 的判断和估计。因本期商誉减值准备计提的金额对辉煌科技</w:t>
      </w:r>
      <w:r>
        <w:rPr>
          <w:spacing w:val="-69"/>
        </w:rPr>
        <w:t> </w:t>
      </w:r>
      <w:r>
        <w:rPr>
          <w:rFonts w:ascii="宋体" w:hAnsi="宋体" w:cs="宋体" w:eastAsia="宋体" w:hint="default"/>
        </w:rPr>
        <w:t>2017</w:t>
      </w:r>
      <w:r>
        <w:rPr>
          <w:rFonts w:ascii="宋体" w:hAnsi="宋体" w:cs="宋体" w:eastAsia="宋体" w:hint="default"/>
          <w:spacing w:val="-69"/>
        </w:rPr>
        <w:t> </w:t>
      </w:r>
      <w:r>
        <w:rPr>
          <w:spacing w:val="-4"/>
        </w:rPr>
        <w:t>年度经营业绩影响较大，且</w:t>
      </w:r>
      <w:r>
        <w:rPr/>
        <w:t> </w:t>
      </w:r>
      <w:r>
        <w:rPr>
          <w:spacing w:val="-2"/>
        </w:rPr>
        <w:t>商誉减值准备的计提涉及管理层重大判断和估计，故我们将商誉减值事项作为关键审计事项。</w:t>
      </w:r>
    </w:p>
    <w:p>
      <w:pPr>
        <w:pStyle w:val="BodyText"/>
        <w:spacing w:line="352" w:lineRule="auto" w:before="35"/>
        <w:ind w:left="634" w:right="4752"/>
        <w:jc w:val="left"/>
      </w:pPr>
      <w:r>
        <w:rPr>
          <w:rFonts w:ascii="宋体" w:hAnsi="宋体" w:cs="宋体" w:eastAsia="宋体" w:hint="default"/>
        </w:rPr>
        <w:t>2</w:t>
      </w:r>
      <w:r>
        <w:rPr/>
        <w:t>、审计应对 我们针对商誉减值测试所实施的重要审计程序包括：</w:t>
      </w:r>
    </w:p>
    <w:p>
      <w:pPr>
        <w:pStyle w:val="BodyText"/>
        <w:spacing w:line="350" w:lineRule="auto" w:before="32"/>
        <w:ind w:right="1153" w:firstLine="600"/>
        <w:jc w:val="left"/>
      </w:pPr>
      <w:r>
        <w:rPr/>
        <w:t>（</w:t>
      </w:r>
      <w:r>
        <w:rPr>
          <w:rFonts w:ascii="宋体" w:hAnsi="宋体" w:cs="宋体" w:eastAsia="宋体" w:hint="default"/>
        </w:rPr>
        <w:t>1</w:t>
      </w:r>
      <w:r>
        <w:rPr/>
        <w:t>）了解管理层商誉减值评估的方法，包括预测未来收入、现金流折现率等假设的合 理性及盈利状况的判断和评估。</w:t>
      </w:r>
    </w:p>
    <w:p>
      <w:pPr>
        <w:pStyle w:val="BodyText"/>
        <w:spacing w:line="240" w:lineRule="auto"/>
        <w:ind w:left="633" w:right="996"/>
        <w:jc w:val="left"/>
      </w:pPr>
      <w:r>
        <w:rPr/>
        <w:t>（</w:t>
      </w:r>
      <w:r>
        <w:rPr>
          <w:rFonts w:ascii="宋体" w:hAnsi="宋体" w:cs="宋体" w:eastAsia="宋体" w:hint="default"/>
        </w:rPr>
        <w:t>2</w:t>
      </w:r>
      <w:r>
        <w:rPr/>
        <w:t>）将未来现金流量预测期间的收入增长率和毛利率等与历史数据进行比较。</w:t>
      </w:r>
    </w:p>
    <w:p>
      <w:pPr>
        <w:pStyle w:val="BodyText"/>
        <w:spacing w:line="350" w:lineRule="auto" w:before="146"/>
        <w:ind w:right="1153" w:firstLine="600"/>
        <w:jc w:val="left"/>
      </w:pPr>
      <w:r>
        <w:rPr/>
        <w:t>（</w:t>
      </w:r>
      <w:r>
        <w:rPr>
          <w:rFonts w:ascii="宋体" w:hAnsi="宋体" w:cs="宋体" w:eastAsia="宋体" w:hint="default"/>
        </w:rPr>
        <w:t>3</w:t>
      </w:r>
      <w:r>
        <w:rPr/>
        <w:t>）评价管理层在商誉减值测试中运用的假设、估值方法、现金流量预测及所使用的 其他数据和参数的合理性。</w:t>
      </w:r>
    </w:p>
    <w:p>
      <w:pPr>
        <w:pStyle w:val="BodyText"/>
        <w:spacing w:line="350" w:lineRule="auto"/>
        <w:ind w:right="1153" w:firstLine="600"/>
        <w:jc w:val="left"/>
      </w:pPr>
      <w:r>
        <w:rPr/>
        <w:t>（</w:t>
      </w:r>
      <w:r>
        <w:rPr>
          <w:rFonts w:ascii="宋体" w:hAnsi="宋体" w:cs="宋体" w:eastAsia="宋体" w:hint="default"/>
        </w:rPr>
        <w:t>4</w:t>
      </w:r>
      <w:r>
        <w:rPr/>
        <w:t>）利用了外部评估专家工作，评估管理层减值测试使用的假设、估值方法以及使用 的 折现率的合理性。</w:t>
      </w:r>
    </w:p>
    <w:p>
      <w:pPr>
        <w:pStyle w:val="BodyText"/>
        <w:spacing w:line="352" w:lineRule="auto" w:before="35"/>
        <w:ind w:left="634" w:right="1632" w:firstLine="120"/>
        <w:jc w:val="left"/>
        <w:rPr>
          <w:rFonts w:ascii="宋体" w:hAnsi="宋体" w:cs="宋体" w:eastAsia="宋体" w:hint="default"/>
        </w:rPr>
      </w:pPr>
      <w:r>
        <w:rPr/>
        <w:t>（</w:t>
      </w:r>
      <w:r>
        <w:rPr>
          <w:rFonts w:ascii="宋体" w:hAnsi="宋体" w:cs="宋体" w:eastAsia="宋体" w:hint="default"/>
        </w:rPr>
        <w:t>5</w:t>
      </w:r>
      <w:r>
        <w:rPr/>
        <w:t>）测算折现现金流量模型计算的准确性。 根据已执行的审计工作，我们认为商誉减值准备的确认符合辉煌科技的会计政策。 </w:t>
      </w:r>
      <w:r>
        <w:rPr>
          <w:rFonts w:ascii="宋体" w:hAnsi="宋体" w:cs="宋体" w:eastAsia="宋体" w:hint="default"/>
          <w:b/>
          <w:bCs/>
        </w:rPr>
        <w:t>四、其他信息</w:t>
      </w:r>
      <w:r>
        <w:rPr>
          <w:rFonts w:ascii="宋体" w:hAnsi="宋体" w:cs="宋体" w:eastAsia="宋体" w:hint="default"/>
        </w:rPr>
      </w:r>
    </w:p>
    <w:p>
      <w:pPr>
        <w:pStyle w:val="BodyText"/>
        <w:spacing w:line="352" w:lineRule="auto" w:before="32"/>
        <w:ind w:right="1114" w:firstLine="480"/>
        <w:jc w:val="left"/>
      </w:pPr>
      <w:r>
        <w:rPr/>
        <w:t>辉煌科技管理层对其他信息负责。其他信息包括</w:t>
      </w:r>
      <w:r>
        <w:rPr>
          <w:spacing w:val="-78"/>
        </w:rPr>
        <w:t> </w:t>
      </w:r>
      <w:r>
        <w:rPr>
          <w:rFonts w:ascii="宋体" w:hAnsi="宋体" w:cs="宋体" w:eastAsia="宋体" w:hint="default"/>
        </w:rPr>
        <w:t>2017</w:t>
      </w:r>
      <w:r>
        <w:rPr>
          <w:rFonts w:ascii="宋体" w:hAnsi="宋体" w:cs="宋体" w:eastAsia="宋体" w:hint="default"/>
          <w:spacing w:val="-78"/>
        </w:rPr>
        <w:t> </w:t>
      </w:r>
      <w:r>
        <w:rPr>
          <w:spacing w:val="-3"/>
        </w:rPr>
        <w:t>年年度报告中涵盖的信息，但不包</w:t>
      </w:r>
      <w:r>
        <w:rPr/>
        <w:t> 括财务报表和我们的审计报告。</w:t>
      </w:r>
    </w:p>
    <w:p>
      <w:pPr>
        <w:pStyle w:val="BodyText"/>
        <w:spacing w:line="350" w:lineRule="auto" w:before="32"/>
        <w:ind w:right="1153" w:firstLine="480"/>
        <w:jc w:val="left"/>
      </w:pPr>
      <w:r>
        <w:rPr/>
        <w:t>我们对财务报表发表的审计意见不涵盖其他信息，我们也不对其他信息发表任何形式的 鉴证结论。</w:t>
      </w:r>
    </w:p>
    <w:p>
      <w:pPr>
        <w:pStyle w:val="BodyText"/>
        <w:spacing w:line="350" w:lineRule="auto"/>
        <w:ind w:right="1153" w:firstLine="480"/>
        <w:jc w:val="left"/>
      </w:pPr>
      <w:r>
        <w:rPr/>
        <w:t>结合我们对财务报表的审计，我们的责任是阅读其他信息，在此过程中，考虑其他信息 是否与财务报表或我们在审计过程中了解的情况存在重大不一致或者似乎存在重大错报。</w:t>
      </w:r>
    </w:p>
    <w:p>
      <w:pPr>
        <w:pStyle w:val="BodyText"/>
        <w:spacing w:line="352" w:lineRule="auto" w:before="35"/>
        <w:ind w:right="1153" w:firstLine="480"/>
        <w:jc w:val="left"/>
      </w:pPr>
      <w:r>
        <w:rPr/>
        <w:t>基于我们已执行的工作，如果我们确定其他信息存在重大错报，我们应当报告该事实。 在这方面，我们无任何事项需要报告。</w:t>
      </w:r>
    </w:p>
    <w:p>
      <w:pPr>
        <w:spacing w:after="0" w:line="352"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350" w:lineRule="auto" w:before="199"/>
        <w:ind w:left="633" w:right="1153" w:firstLine="2"/>
        <w:jc w:val="left"/>
        <w:rPr>
          <w:rFonts w:ascii="宋体" w:hAnsi="宋体" w:cs="宋体" w:eastAsia="宋体" w:hint="default"/>
          <w:sz w:val="24"/>
          <w:szCs w:val="24"/>
        </w:rPr>
      </w:pPr>
      <w:r>
        <w:rPr>
          <w:rFonts w:ascii="宋体" w:hAnsi="宋体" w:cs="宋体" w:eastAsia="宋体" w:hint="default"/>
          <w:b/>
          <w:bCs/>
          <w:sz w:val="24"/>
          <w:szCs w:val="24"/>
        </w:rPr>
        <w:t>五、管理层和治理层对财务报表的责任</w:t>
      </w:r>
      <w:r>
        <w:rPr>
          <w:rFonts w:ascii="宋体" w:hAnsi="宋体" w:cs="宋体" w:eastAsia="宋体" w:hint="default"/>
          <w:b/>
          <w:bCs/>
          <w:w w:val="99"/>
          <w:sz w:val="24"/>
          <w:szCs w:val="24"/>
        </w:rPr>
        <w:t> </w:t>
      </w:r>
      <w:r>
        <w:rPr>
          <w:rFonts w:ascii="宋体" w:hAnsi="宋体" w:cs="宋体" w:eastAsia="宋体" w:hint="default"/>
          <w:sz w:val="24"/>
          <w:szCs w:val="24"/>
        </w:rPr>
        <w:t>辉煌科技管理层负责按照企业会计准则的规定编制财务报表，使其实现公允反映，并设</w:t>
      </w:r>
    </w:p>
    <w:p>
      <w:pPr>
        <w:pStyle w:val="BodyText"/>
        <w:spacing w:line="350" w:lineRule="auto"/>
        <w:ind w:left="633" w:right="1153" w:hanging="480"/>
        <w:jc w:val="left"/>
      </w:pPr>
      <w:r>
        <w:rPr/>
        <w:t>计、执行和维护必要的内部控制，以使财务报表不存在由于舞弊或错误导致的重大错报。 在编制财务报表时，辉煌科技管理层负责评估辉煌科技的持续经营能力，并运用持续经</w:t>
      </w:r>
    </w:p>
    <w:p>
      <w:pPr>
        <w:spacing w:line="352" w:lineRule="auto" w:before="35"/>
        <w:ind w:left="633" w:right="1753" w:hanging="480"/>
        <w:jc w:val="left"/>
        <w:rPr>
          <w:rFonts w:ascii="宋体" w:hAnsi="宋体" w:cs="宋体" w:eastAsia="宋体" w:hint="default"/>
          <w:sz w:val="24"/>
          <w:szCs w:val="24"/>
        </w:rPr>
      </w:pPr>
      <w:r>
        <w:rPr>
          <w:rFonts w:ascii="宋体" w:hAnsi="宋体" w:cs="宋体" w:eastAsia="宋体" w:hint="default"/>
          <w:spacing w:val="-4"/>
          <w:sz w:val="24"/>
          <w:szCs w:val="24"/>
        </w:rPr>
        <w:t>营假设（如适用），除非管理层计划清算辉煌科技、终止运营或别无其他现实的选择。</w:t>
      </w:r>
      <w:r>
        <w:rPr>
          <w:rFonts w:ascii="宋体" w:hAnsi="宋体" w:cs="宋体" w:eastAsia="宋体" w:hint="default"/>
          <w:spacing w:val="-88"/>
          <w:sz w:val="24"/>
          <w:szCs w:val="24"/>
        </w:rPr>
        <w:t> </w:t>
      </w:r>
      <w:r>
        <w:rPr>
          <w:rFonts w:ascii="宋体" w:hAnsi="宋体" w:cs="宋体" w:eastAsia="宋体" w:hint="default"/>
          <w:spacing w:val="-88"/>
          <w:sz w:val="24"/>
          <w:szCs w:val="24"/>
        </w:rPr>
      </w:r>
      <w:r>
        <w:rPr>
          <w:rFonts w:ascii="宋体" w:hAnsi="宋体" w:cs="宋体" w:eastAsia="宋体" w:hint="default"/>
          <w:sz w:val="24"/>
          <w:szCs w:val="24"/>
        </w:rPr>
        <w:t>治理层负责监督辉煌科技的财务报告过程。 </w:t>
      </w:r>
      <w:r>
        <w:rPr>
          <w:rFonts w:ascii="宋体" w:hAnsi="宋体" w:cs="宋体" w:eastAsia="宋体" w:hint="default"/>
          <w:b/>
          <w:bCs/>
          <w:sz w:val="24"/>
          <w:szCs w:val="24"/>
        </w:rPr>
        <w:t>六、注册会计师对财务报表审计的责任</w:t>
      </w:r>
      <w:r>
        <w:rPr>
          <w:rFonts w:ascii="宋体" w:hAnsi="宋体" w:cs="宋体" w:eastAsia="宋体" w:hint="default"/>
          <w:sz w:val="24"/>
          <w:szCs w:val="24"/>
        </w:rPr>
      </w:r>
    </w:p>
    <w:p>
      <w:pPr>
        <w:pStyle w:val="BodyText"/>
        <w:spacing w:line="352" w:lineRule="auto" w:before="32"/>
        <w:ind w:left="154" w:right="1152" w:firstLine="480"/>
        <w:jc w:val="left"/>
      </w:pPr>
      <w:r>
        <w:rPr/>
        <w:t>我们的目标是对财务报表整体是否不存在由于舞弊或错误导致的重大错报获取合理保 证，并出具包含审计意见的审计报告。合理保证是高水平的保证，但并不能保证按照审计准 则执行的审计在某一重大错报存在时总能发现。错报可能由于舞弊或错误导致，如果合理预 期错报单独或汇总起来可能影响财务报表使用者依据财务报表作出的经济决策，则通常认为 错报是重大的。</w:t>
      </w:r>
    </w:p>
    <w:p>
      <w:pPr>
        <w:pStyle w:val="BodyText"/>
        <w:spacing w:line="350" w:lineRule="auto" w:before="32"/>
        <w:ind w:left="154" w:right="1152" w:firstLine="480"/>
        <w:jc w:val="left"/>
      </w:pPr>
      <w:r>
        <w:rPr/>
        <w:t>在按照审计准则执行审计工作的过程中，我们运用职业判断，并保持职业怀疑。同时， 我们也执行以下工作：</w:t>
      </w:r>
    </w:p>
    <w:p>
      <w:pPr>
        <w:pStyle w:val="BodyText"/>
        <w:spacing w:line="352" w:lineRule="auto"/>
        <w:ind w:left="154" w:right="1170" w:firstLine="480"/>
        <w:jc w:val="both"/>
      </w:pPr>
      <w:r>
        <w:rPr/>
        <w:t>识别和评估由于舞弊或错误导致的财务报表重大错报风险，设计和实施审计程序以应对 这些风险，并获取充分、适当的审计证据，作为发表审计意见的基础。由于舞弊可能涉及串 通、伪造、故意遗漏、虚假陈述或凌驾于内部控制之上，未能发现由于舞弊导致的重大错报 的风险高于未能发现由于错误导致的重大错报的风险。</w:t>
      </w:r>
    </w:p>
    <w:p>
      <w:pPr>
        <w:pStyle w:val="BodyText"/>
        <w:spacing w:line="352" w:lineRule="auto" w:before="32"/>
        <w:ind w:left="634" w:right="1152"/>
        <w:jc w:val="left"/>
      </w:pPr>
      <w:r>
        <w:rPr/>
        <w:t>了解与审计相关的内部控制，以设计恰当的审计程序。 评价管理层选用会计政策的恰当性和作出会计估计及相关披露的合理性。 对管理层使用持续经营假设的恰当性得出结论。同时，根据获取的审计证据，就可能导</w:t>
      </w:r>
    </w:p>
    <w:p>
      <w:pPr>
        <w:pStyle w:val="BodyText"/>
        <w:spacing w:line="350" w:lineRule="auto" w:before="32"/>
        <w:ind w:left="0" w:right="1133"/>
        <w:jc w:val="right"/>
      </w:pPr>
      <w:r>
        <w:rPr/>
        <w:t>致对辉煌科技持续经营能力产生重大疑虑的事项或情况是否存在重大不确定性得出结论。如 果我们得出结论认为存在重大不确定性，审计准则要求我们在审计报告中提请报告使用者注 意财务报表中的相关披露；如果披露不充分，我们应当发表非无保留意见。我们的结论基于 截至审计报告日可获得的信息。然而，未来的事项或情况可能导致辉煌科技不能持续经营。 </w:t>
      </w:r>
      <w:r>
        <w:rPr>
          <w:spacing w:val="-6"/>
        </w:rPr>
        <w:t>评价财务报表的总体列报、结构和内容（包括披露），并评价财务报表是否公允反映相关</w:t>
      </w:r>
    </w:p>
    <w:p>
      <w:pPr>
        <w:pStyle w:val="BodyText"/>
        <w:spacing w:line="240" w:lineRule="auto"/>
        <w:ind w:right="996"/>
        <w:jc w:val="left"/>
      </w:pPr>
      <w:r>
        <w:rPr/>
        <w:t>交易和事项。</w:t>
      </w:r>
    </w:p>
    <w:p>
      <w:pPr>
        <w:pStyle w:val="BodyText"/>
        <w:spacing w:line="350" w:lineRule="auto" w:before="146"/>
        <w:ind w:right="1153" w:firstLine="480"/>
        <w:jc w:val="left"/>
      </w:pPr>
      <w:r>
        <w:rPr/>
        <w:t>就辉煌科技中实体或业务活动的财务信息获取充分、适当的审计证据，以对财务报表发 表意见。我们负责指导、监督和执行集团审计。我们对审计意见承担全部责任。</w:t>
      </w:r>
    </w:p>
    <w:p>
      <w:pPr>
        <w:pStyle w:val="BodyText"/>
        <w:spacing w:line="240" w:lineRule="auto"/>
        <w:ind w:left="633" w:right="996"/>
        <w:jc w:val="left"/>
      </w:pPr>
      <w:r>
        <w:rPr/>
        <w:t>我们与治理层就计划的审计范围、时间安排和重大审计发现等事项进行沟通，包括沟通</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350" w:lineRule="auto" w:before="199"/>
        <w:ind w:left="633" w:right="1153" w:hanging="480"/>
        <w:jc w:val="left"/>
      </w:pPr>
      <w:r>
        <w:rPr/>
        <w:t>我们在审计中识别出的值得关注的内部控制缺陷。 我们还就已遵守与独立性相关的职业道德要求向治理层提供声明，并与治理层沟通可能</w:t>
      </w:r>
    </w:p>
    <w:p>
      <w:pPr>
        <w:pStyle w:val="BodyText"/>
        <w:spacing w:line="350" w:lineRule="auto"/>
        <w:ind w:left="633" w:right="1153" w:hanging="480"/>
        <w:jc w:val="left"/>
      </w:pPr>
      <w:r>
        <w:rPr>
          <w:spacing w:val="-4"/>
        </w:rPr>
        <w:t>被合理认为影响我们独立性的所有关系和其他事项，以及相关的防范措施（如适用）。</w:t>
      </w:r>
      <w:r>
        <w:rPr>
          <w:spacing w:val="-88"/>
        </w:rPr>
        <w:t> </w:t>
      </w:r>
      <w:r>
        <w:rPr>
          <w:spacing w:val="-88"/>
        </w:rPr>
      </w:r>
      <w:r>
        <w:rPr/>
        <w:t>从与治理层沟通过的事项中，我们确定哪些事项对本期财务报表审计最为重要，因而构</w:t>
      </w:r>
    </w:p>
    <w:p>
      <w:pPr>
        <w:pStyle w:val="BodyText"/>
        <w:spacing w:line="352" w:lineRule="auto" w:before="35"/>
        <w:ind w:right="1169"/>
        <w:jc w:val="both"/>
      </w:pPr>
      <w:r>
        <w:rPr/>
        <w:t>成关键审计事项。我们在审计报告中描述这些事项，除非法律法规禁止公开披露这些事项， 或在极少数情形下，如果合理预期在审计报告中沟通某事项造成的负面后果超过在公众利益 方面产生的益处，我们确定不应在审计报告中沟通该事项。</w:t>
      </w:r>
    </w:p>
    <w:p>
      <w:pPr>
        <w:pStyle w:val="Heading2"/>
        <w:spacing w:line="240" w:lineRule="auto" w:before="208"/>
        <w:ind w:left="153" w:right="996"/>
        <w:jc w:val="left"/>
        <w:rPr>
          <w:b w:val="0"/>
          <w:bCs w:val="0"/>
        </w:rPr>
      </w:pPr>
      <w:bookmarkStart w:name="二、财务报表" w:id="189"/>
      <w:bookmarkEnd w:id="189"/>
      <w:r>
        <w:rPr>
          <w:b w:val="0"/>
          <w:bCs w:val="0"/>
        </w:rPr>
      </w:r>
      <w:r>
        <w:rPr/>
        <w:t>二、财务报表</w:t>
      </w:r>
      <w:r>
        <w:rPr>
          <w:b w:val="0"/>
          <w:bCs w:val="0"/>
        </w:rPr>
      </w:r>
    </w:p>
    <w:p>
      <w:pPr>
        <w:spacing w:line="240" w:lineRule="auto" w:before="5"/>
        <w:rPr>
          <w:rFonts w:ascii="宋体" w:hAnsi="宋体" w:cs="宋体" w:eastAsia="宋体" w:hint="default"/>
          <w:b/>
          <w:bCs/>
          <w:sz w:val="32"/>
          <w:szCs w:val="32"/>
        </w:rPr>
      </w:pPr>
    </w:p>
    <w:p>
      <w:pPr>
        <w:spacing w:line="484" w:lineRule="auto" w:before="0"/>
        <w:ind w:left="636" w:right="6433" w:hanging="3"/>
        <w:jc w:val="left"/>
        <w:rPr>
          <w:rFonts w:ascii="宋体" w:hAnsi="宋体" w:cs="宋体" w:eastAsia="宋体" w:hint="default"/>
          <w:sz w:val="24"/>
          <w:szCs w:val="24"/>
        </w:rPr>
      </w:pPr>
      <w:r>
        <w:rPr>
          <w:rFonts w:ascii="宋体" w:hAnsi="宋体" w:cs="宋体" w:eastAsia="宋体" w:hint="default"/>
          <w:sz w:val="24"/>
          <w:szCs w:val="24"/>
        </w:rPr>
        <w:t>财务附注中报表的单位为：人民币元 </w:t>
      </w:r>
      <w:bookmarkStart w:name="1、合并资产负债表" w:id="190"/>
      <w:bookmarkEnd w:id="190"/>
      <w:r>
        <w:rPr>
          <w:rFonts w:ascii="宋体" w:hAnsi="宋体" w:cs="宋体" w:eastAsia="宋体" w:hint="default"/>
          <w:sz w:val="24"/>
          <w:szCs w:val="24"/>
        </w:rPr>
      </w:r>
      <w:r>
        <w:rPr>
          <w:rFonts w:ascii="宋体" w:hAnsi="宋体" w:cs="宋体" w:eastAsia="宋体" w:hint="default"/>
          <w:b/>
          <w:bCs/>
          <w:sz w:val="24"/>
          <w:szCs w:val="24"/>
        </w:rPr>
        <w:t>1</w:t>
      </w:r>
      <w:r>
        <w:rPr>
          <w:rFonts w:ascii="宋体" w:hAnsi="宋体" w:cs="宋体" w:eastAsia="宋体" w:hint="default"/>
          <w:b/>
          <w:bCs/>
          <w:sz w:val="24"/>
          <w:szCs w:val="24"/>
        </w:rPr>
        <w:t>、合并资产负债表</w:t>
      </w:r>
      <w:r>
        <w:rPr>
          <w:rFonts w:ascii="宋体" w:hAnsi="宋体" w:cs="宋体" w:eastAsia="宋体" w:hint="default"/>
          <w:sz w:val="24"/>
          <w:szCs w:val="24"/>
        </w:rPr>
      </w:r>
    </w:p>
    <w:p>
      <w:pPr>
        <w:spacing w:line="240" w:lineRule="auto" w:before="10"/>
        <w:rPr>
          <w:rFonts w:ascii="宋体" w:hAnsi="宋体" w:cs="宋体" w:eastAsia="宋体" w:hint="default"/>
          <w:b/>
          <w:bCs/>
          <w:sz w:val="13"/>
          <w:szCs w:val="13"/>
        </w:rPr>
      </w:pPr>
    </w:p>
    <w:p>
      <w:pPr>
        <w:spacing w:before="35"/>
        <w:ind w:left="154" w:right="996" w:firstLine="0"/>
        <w:jc w:val="left"/>
        <w:rPr>
          <w:rFonts w:ascii="宋体" w:hAnsi="宋体" w:cs="宋体" w:eastAsia="宋体" w:hint="default"/>
          <w:sz w:val="21"/>
          <w:szCs w:val="21"/>
        </w:rPr>
      </w:pPr>
      <w:r>
        <w:rPr>
          <w:rFonts w:ascii="宋体" w:hAnsi="宋体" w:cs="宋体" w:eastAsia="宋体" w:hint="default"/>
          <w:sz w:val="21"/>
          <w:szCs w:val="21"/>
        </w:rPr>
        <w:t>编制单位：河南辉煌科技股份有限公司</w:t>
      </w:r>
    </w:p>
    <w:p>
      <w:pPr>
        <w:spacing w:before="87"/>
        <w:ind w:left="0" w:right="1130" w:firstLine="0"/>
        <w:jc w:val="right"/>
        <w:rPr>
          <w:rFonts w:ascii="宋体" w:hAnsi="宋体" w:cs="宋体" w:eastAsia="宋体" w:hint="default"/>
          <w:sz w:val="21"/>
          <w:szCs w:val="21"/>
        </w:rPr>
      </w:pPr>
      <w:r>
        <w:rPr>
          <w:rFonts w:ascii="宋体" w:hAnsi="宋体" w:cs="宋体" w:eastAsia="宋体" w:hint="default"/>
          <w:sz w:val="21"/>
          <w:szCs w:val="21"/>
        </w:rPr>
        <w:t>单位：元</w:t>
      </w:r>
    </w:p>
    <w:p>
      <w:pPr>
        <w:spacing w:line="240" w:lineRule="auto" w:before="0"/>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4656"/>
        <w:gridCol w:w="2564"/>
        <w:gridCol w:w="2338"/>
      </w:tblGrid>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5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863"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23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743" w:right="0"/>
              <w:jc w:val="left"/>
              <w:rPr>
                <w:rFonts w:ascii="宋体" w:hAnsi="宋体" w:cs="宋体" w:eastAsia="宋体" w:hint="default"/>
                <w:sz w:val="21"/>
                <w:szCs w:val="21"/>
              </w:rPr>
            </w:pPr>
            <w:r>
              <w:rPr>
                <w:rFonts w:ascii="宋体" w:hAnsi="宋体" w:cs="宋体" w:eastAsia="宋体" w:hint="default"/>
                <w:sz w:val="21"/>
                <w:szCs w:val="21"/>
              </w:rPr>
              <w:t>期初余额</w:t>
            </w: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流动资产：</w:t>
            </w:r>
          </w:p>
        </w:tc>
        <w:tc>
          <w:tcPr>
            <w:tcW w:w="25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3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25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888,934,246.92</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9"/>
              <w:jc w:val="right"/>
              <w:rPr>
                <w:rFonts w:ascii="宋体" w:hAnsi="宋体" w:cs="宋体" w:eastAsia="宋体" w:hint="default"/>
                <w:sz w:val="21"/>
                <w:szCs w:val="21"/>
              </w:rPr>
            </w:pPr>
            <w:r>
              <w:rPr>
                <w:rFonts w:ascii="宋体"/>
                <w:sz w:val="21"/>
              </w:rPr>
              <w:t>832,087,230.65</w:t>
            </w: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结算备付金</w:t>
            </w:r>
          </w:p>
        </w:tc>
        <w:tc>
          <w:tcPr>
            <w:tcW w:w="2564" w:type="dxa"/>
            <w:tcBorders>
              <w:top w:val="single" w:sz="4" w:space="0" w:color="000000"/>
              <w:left w:val="single" w:sz="13"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拆出资金</w:t>
            </w:r>
          </w:p>
        </w:tc>
        <w:tc>
          <w:tcPr>
            <w:tcW w:w="2564" w:type="dxa"/>
            <w:tcBorders>
              <w:top w:val="single" w:sz="4" w:space="0" w:color="000000"/>
              <w:left w:val="single" w:sz="13"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11" w:right="12" w:firstLine="420"/>
              <w:jc w:val="left"/>
              <w:rPr>
                <w:rFonts w:ascii="宋体" w:hAnsi="宋体" w:cs="宋体" w:eastAsia="宋体" w:hint="default"/>
                <w:sz w:val="21"/>
                <w:szCs w:val="21"/>
              </w:rPr>
            </w:pPr>
            <w:r>
              <w:rPr>
                <w:rFonts w:ascii="宋体" w:hAnsi="宋体" w:cs="宋体" w:eastAsia="宋体" w:hint="default"/>
                <w:sz w:val="21"/>
                <w:szCs w:val="21"/>
              </w:rPr>
              <w:t>以公允价值计量且其变动计入当期损益的金融 资产</w:t>
            </w:r>
          </w:p>
        </w:tc>
        <w:tc>
          <w:tcPr>
            <w:tcW w:w="2564" w:type="dxa"/>
            <w:tcBorders>
              <w:top w:val="single" w:sz="4" w:space="0" w:color="000000"/>
              <w:left w:val="single" w:sz="13"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衍生金融资产</w:t>
            </w:r>
          </w:p>
        </w:tc>
        <w:tc>
          <w:tcPr>
            <w:tcW w:w="2564" w:type="dxa"/>
            <w:tcBorders>
              <w:top w:val="single" w:sz="4" w:space="0" w:color="000000"/>
              <w:left w:val="single" w:sz="13"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25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30,643,134.07</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29,432,253.60</w:t>
            </w: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5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567,489,218.42</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9"/>
              <w:jc w:val="right"/>
              <w:rPr>
                <w:rFonts w:ascii="宋体" w:hAnsi="宋体" w:cs="宋体" w:eastAsia="宋体" w:hint="default"/>
                <w:sz w:val="21"/>
                <w:szCs w:val="21"/>
              </w:rPr>
            </w:pPr>
            <w:r>
              <w:rPr>
                <w:rFonts w:ascii="宋体"/>
                <w:sz w:val="21"/>
              </w:rPr>
              <w:t>465,789,583.70</w:t>
            </w: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25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6,629,576.52</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11,139,952.91</w:t>
            </w: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应收保费</w:t>
            </w:r>
          </w:p>
        </w:tc>
        <w:tc>
          <w:tcPr>
            <w:tcW w:w="2564" w:type="dxa"/>
            <w:tcBorders>
              <w:top w:val="single" w:sz="4" w:space="0" w:color="000000"/>
              <w:left w:val="single" w:sz="13"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应收分保账款</w:t>
            </w:r>
          </w:p>
        </w:tc>
        <w:tc>
          <w:tcPr>
            <w:tcW w:w="2564" w:type="dxa"/>
            <w:tcBorders>
              <w:top w:val="single" w:sz="4" w:space="0" w:color="000000"/>
              <w:left w:val="single" w:sz="13"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应收分保合同准备金</w:t>
            </w:r>
          </w:p>
        </w:tc>
        <w:tc>
          <w:tcPr>
            <w:tcW w:w="2564" w:type="dxa"/>
            <w:tcBorders>
              <w:top w:val="single" w:sz="4" w:space="0" w:color="000000"/>
              <w:left w:val="single" w:sz="13"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应收利息</w:t>
            </w:r>
          </w:p>
        </w:tc>
        <w:tc>
          <w:tcPr>
            <w:tcW w:w="2564" w:type="dxa"/>
            <w:tcBorders>
              <w:top w:val="single" w:sz="4" w:space="0" w:color="000000"/>
              <w:left w:val="single" w:sz="13"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应收股利</w:t>
            </w:r>
          </w:p>
        </w:tc>
        <w:tc>
          <w:tcPr>
            <w:tcW w:w="2564" w:type="dxa"/>
            <w:tcBorders>
              <w:top w:val="single" w:sz="4" w:space="0" w:color="000000"/>
              <w:left w:val="single" w:sz="13"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25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23,550,638.98</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18,569,968.54</w:t>
            </w: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买入返售金融资产</w:t>
            </w:r>
          </w:p>
        </w:tc>
        <w:tc>
          <w:tcPr>
            <w:tcW w:w="2564" w:type="dxa"/>
            <w:tcBorders>
              <w:top w:val="single" w:sz="4" w:space="0" w:color="000000"/>
              <w:left w:val="single" w:sz="13"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25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193,818,869.11</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9"/>
              <w:jc w:val="right"/>
              <w:rPr>
                <w:rFonts w:ascii="宋体" w:hAnsi="宋体" w:cs="宋体" w:eastAsia="宋体" w:hint="default"/>
                <w:sz w:val="21"/>
                <w:szCs w:val="21"/>
              </w:rPr>
            </w:pPr>
            <w:r>
              <w:rPr>
                <w:rFonts w:ascii="宋体"/>
                <w:sz w:val="21"/>
              </w:rPr>
              <w:t>176,173,316.80</w:t>
            </w:r>
          </w:p>
        </w:tc>
      </w:tr>
    </w:tbl>
    <w:p>
      <w:pPr>
        <w:spacing w:after="0" w:line="240" w:lineRule="auto"/>
        <w:jc w:val="right"/>
        <w:rPr>
          <w:rFonts w:ascii="宋体" w:hAnsi="宋体" w:cs="宋体" w:eastAsia="宋体" w:hint="default"/>
          <w:sz w:val="21"/>
          <w:szCs w:val="21"/>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4656"/>
        <w:gridCol w:w="2564"/>
        <w:gridCol w:w="2338"/>
      </w:tblGrid>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持有待售的资产</w:t>
            </w:r>
          </w:p>
        </w:tc>
        <w:tc>
          <w:tcPr>
            <w:tcW w:w="2564" w:type="dxa"/>
            <w:tcBorders>
              <w:top w:val="single" w:sz="4" w:space="0" w:color="000000"/>
              <w:left w:val="single" w:sz="13"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一年内到期的非流动资产</w:t>
            </w:r>
          </w:p>
        </w:tc>
        <w:tc>
          <w:tcPr>
            <w:tcW w:w="2564" w:type="dxa"/>
            <w:tcBorders>
              <w:top w:val="single" w:sz="4" w:space="0" w:color="000000"/>
              <w:left w:val="single" w:sz="13"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25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4,642,668.02</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9"/>
              <w:jc w:val="right"/>
              <w:rPr>
                <w:rFonts w:ascii="宋体" w:hAnsi="宋体" w:cs="宋体" w:eastAsia="宋体" w:hint="default"/>
                <w:sz w:val="21"/>
                <w:szCs w:val="21"/>
              </w:rPr>
            </w:pPr>
            <w:r>
              <w:rPr>
                <w:rFonts w:ascii="宋体"/>
                <w:sz w:val="21"/>
              </w:rPr>
              <w:t>7,579,077.81</w:t>
            </w: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流动资产合计</w:t>
            </w:r>
          </w:p>
        </w:tc>
        <w:tc>
          <w:tcPr>
            <w:tcW w:w="25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1,715,708,352.04</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9"/>
              <w:jc w:val="right"/>
              <w:rPr>
                <w:rFonts w:ascii="宋体" w:hAnsi="宋体" w:cs="宋体" w:eastAsia="宋体" w:hint="default"/>
                <w:sz w:val="21"/>
                <w:szCs w:val="21"/>
              </w:rPr>
            </w:pPr>
            <w:r>
              <w:rPr>
                <w:rFonts w:ascii="宋体"/>
                <w:sz w:val="21"/>
              </w:rPr>
              <w:t>1,540,771,384.01</w:t>
            </w: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非流动资产：</w:t>
            </w:r>
          </w:p>
        </w:tc>
        <w:tc>
          <w:tcPr>
            <w:tcW w:w="25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3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发放贷款及垫款</w:t>
            </w:r>
          </w:p>
        </w:tc>
        <w:tc>
          <w:tcPr>
            <w:tcW w:w="2564" w:type="dxa"/>
            <w:tcBorders>
              <w:top w:val="single" w:sz="4" w:space="0" w:color="000000"/>
              <w:left w:val="single" w:sz="13"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25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35,365,900.00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9"/>
              <w:jc w:val="right"/>
              <w:rPr>
                <w:rFonts w:ascii="宋体" w:hAnsi="宋体" w:cs="宋体" w:eastAsia="宋体" w:hint="default"/>
                <w:sz w:val="21"/>
                <w:szCs w:val="21"/>
              </w:rPr>
            </w:pPr>
            <w:r>
              <w:rPr>
                <w:rFonts w:ascii="宋体"/>
                <w:sz w:val="21"/>
              </w:rPr>
              <w:t>150,000,000.00</w:t>
            </w: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持有至到期投资</w:t>
            </w:r>
          </w:p>
        </w:tc>
        <w:tc>
          <w:tcPr>
            <w:tcW w:w="2564" w:type="dxa"/>
            <w:tcBorders>
              <w:top w:val="single" w:sz="4" w:space="0" w:color="000000"/>
              <w:left w:val="single" w:sz="13"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长期应收款</w:t>
            </w:r>
          </w:p>
        </w:tc>
        <w:tc>
          <w:tcPr>
            <w:tcW w:w="2564" w:type="dxa"/>
            <w:tcBorders>
              <w:top w:val="single" w:sz="4" w:space="0" w:color="000000"/>
              <w:left w:val="single" w:sz="13"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25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83,471,427.52</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9"/>
              <w:jc w:val="right"/>
              <w:rPr>
                <w:rFonts w:ascii="宋体" w:hAnsi="宋体" w:cs="宋体" w:eastAsia="宋体" w:hint="default"/>
                <w:sz w:val="21"/>
                <w:szCs w:val="21"/>
              </w:rPr>
            </w:pPr>
            <w:r>
              <w:rPr>
                <w:rFonts w:ascii="宋体"/>
                <w:sz w:val="21"/>
              </w:rPr>
              <w:t>164,283,266.37</w:t>
            </w: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2564" w:type="dxa"/>
            <w:tcBorders>
              <w:top w:val="single" w:sz="4" w:space="0" w:color="000000"/>
              <w:left w:val="single" w:sz="13"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25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102,475,593.67</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50,959,553.03</w:t>
            </w: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25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141,627,602.21</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9"/>
              <w:jc w:val="right"/>
              <w:rPr>
                <w:rFonts w:ascii="宋体" w:hAnsi="宋体" w:cs="宋体" w:eastAsia="宋体" w:hint="default"/>
                <w:sz w:val="21"/>
                <w:szCs w:val="21"/>
              </w:rPr>
            </w:pPr>
            <w:r>
              <w:rPr>
                <w:rFonts w:ascii="宋体"/>
                <w:sz w:val="21"/>
              </w:rPr>
              <w:t>167,456,659.41</w:t>
            </w: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工程物资</w:t>
            </w:r>
          </w:p>
        </w:tc>
        <w:tc>
          <w:tcPr>
            <w:tcW w:w="2564" w:type="dxa"/>
            <w:tcBorders>
              <w:top w:val="single" w:sz="4" w:space="0" w:color="000000"/>
              <w:left w:val="single" w:sz="13"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固定资产清理</w:t>
            </w:r>
          </w:p>
        </w:tc>
        <w:tc>
          <w:tcPr>
            <w:tcW w:w="2564" w:type="dxa"/>
            <w:tcBorders>
              <w:top w:val="single" w:sz="4" w:space="0" w:color="000000"/>
              <w:left w:val="single" w:sz="13"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生产性生物资产</w:t>
            </w:r>
          </w:p>
        </w:tc>
        <w:tc>
          <w:tcPr>
            <w:tcW w:w="2564" w:type="dxa"/>
            <w:tcBorders>
              <w:top w:val="single" w:sz="4" w:space="0" w:color="000000"/>
              <w:left w:val="single" w:sz="13"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油气资产</w:t>
            </w:r>
          </w:p>
        </w:tc>
        <w:tc>
          <w:tcPr>
            <w:tcW w:w="2564" w:type="dxa"/>
            <w:tcBorders>
              <w:top w:val="single" w:sz="4" w:space="0" w:color="000000"/>
              <w:left w:val="single" w:sz="13"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25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50,570,030.22</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53,012,717.80</w:t>
            </w: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开发支出</w:t>
            </w:r>
          </w:p>
        </w:tc>
        <w:tc>
          <w:tcPr>
            <w:tcW w:w="2564" w:type="dxa"/>
            <w:tcBorders>
              <w:top w:val="single" w:sz="4" w:space="0" w:color="000000"/>
              <w:left w:val="single" w:sz="13"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商誉</w:t>
            </w:r>
          </w:p>
        </w:tc>
        <w:tc>
          <w:tcPr>
            <w:tcW w:w="25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70,066,591.93</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73,545,123.79</w:t>
            </w: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长期待摊费用</w:t>
            </w:r>
          </w:p>
        </w:tc>
        <w:tc>
          <w:tcPr>
            <w:tcW w:w="25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6,065,443.27</w:t>
            </w: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25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43,233,410.33</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34,181,181.10</w:t>
            </w: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其他非流动资产</w:t>
            </w:r>
          </w:p>
        </w:tc>
        <w:tc>
          <w:tcPr>
            <w:tcW w:w="25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306,130.99</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767,919.99</w:t>
            </w: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非流动资产合计</w:t>
            </w:r>
          </w:p>
        </w:tc>
        <w:tc>
          <w:tcPr>
            <w:tcW w:w="25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533,182,130.14</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9"/>
              <w:jc w:val="right"/>
              <w:rPr>
                <w:rFonts w:ascii="宋体" w:hAnsi="宋体" w:cs="宋体" w:eastAsia="宋体" w:hint="default"/>
                <w:sz w:val="21"/>
                <w:szCs w:val="21"/>
              </w:rPr>
            </w:pPr>
            <w:r>
              <w:rPr>
                <w:rFonts w:ascii="宋体"/>
                <w:sz w:val="21"/>
              </w:rPr>
              <w:t>694,206,421.49</w:t>
            </w: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资产总计</w:t>
            </w:r>
          </w:p>
        </w:tc>
        <w:tc>
          <w:tcPr>
            <w:tcW w:w="25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2,248,890,482.18</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9"/>
              <w:jc w:val="right"/>
              <w:rPr>
                <w:rFonts w:ascii="宋体" w:hAnsi="宋体" w:cs="宋体" w:eastAsia="宋体" w:hint="default"/>
                <w:sz w:val="21"/>
                <w:szCs w:val="21"/>
              </w:rPr>
            </w:pPr>
            <w:r>
              <w:rPr>
                <w:rFonts w:ascii="宋体"/>
                <w:sz w:val="21"/>
              </w:rPr>
              <w:t>2,234,977,805.50</w:t>
            </w: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流动负债：</w:t>
            </w:r>
          </w:p>
        </w:tc>
        <w:tc>
          <w:tcPr>
            <w:tcW w:w="25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3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25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99,563,440.79</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9"/>
              <w:jc w:val="right"/>
              <w:rPr>
                <w:rFonts w:ascii="宋体" w:hAnsi="宋体" w:cs="宋体" w:eastAsia="宋体" w:hint="default"/>
                <w:sz w:val="21"/>
                <w:szCs w:val="21"/>
              </w:rPr>
            </w:pPr>
            <w:r>
              <w:rPr>
                <w:rFonts w:ascii="宋体"/>
                <w:sz w:val="21"/>
              </w:rPr>
              <w:t>142,413,508.96</w:t>
            </w: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向中央银行借款</w:t>
            </w:r>
          </w:p>
        </w:tc>
        <w:tc>
          <w:tcPr>
            <w:tcW w:w="2564" w:type="dxa"/>
            <w:tcBorders>
              <w:top w:val="single" w:sz="4" w:space="0" w:color="000000"/>
              <w:left w:val="single" w:sz="13"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吸收存款及同业存放</w:t>
            </w:r>
          </w:p>
        </w:tc>
        <w:tc>
          <w:tcPr>
            <w:tcW w:w="2564" w:type="dxa"/>
            <w:tcBorders>
              <w:top w:val="single" w:sz="4" w:space="0" w:color="000000"/>
              <w:left w:val="single" w:sz="13"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拆入资金</w:t>
            </w:r>
          </w:p>
        </w:tc>
        <w:tc>
          <w:tcPr>
            <w:tcW w:w="2564" w:type="dxa"/>
            <w:tcBorders>
              <w:top w:val="single" w:sz="4" w:space="0" w:color="000000"/>
              <w:left w:val="single" w:sz="13"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11" w:right="12" w:firstLine="420"/>
              <w:jc w:val="left"/>
              <w:rPr>
                <w:rFonts w:ascii="宋体" w:hAnsi="宋体" w:cs="宋体" w:eastAsia="宋体" w:hint="default"/>
                <w:sz w:val="21"/>
                <w:szCs w:val="21"/>
              </w:rPr>
            </w:pPr>
            <w:r>
              <w:rPr>
                <w:rFonts w:ascii="宋体" w:hAnsi="宋体" w:cs="宋体" w:eastAsia="宋体" w:hint="default"/>
                <w:sz w:val="21"/>
                <w:szCs w:val="21"/>
              </w:rPr>
              <w:t>以公允价值计量且其变动计入当期损益的金融 负债</w:t>
            </w:r>
          </w:p>
        </w:tc>
        <w:tc>
          <w:tcPr>
            <w:tcW w:w="2564" w:type="dxa"/>
            <w:tcBorders>
              <w:top w:val="single" w:sz="4" w:space="0" w:color="000000"/>
              <w:left w:val="single" w:sz="13"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衍生金融负债</w:t>
            </w:r>
          </w:p>
        </w:tc>
        <w:tc>
          <w:tcPr>
            <w:tcW w:w="2564" w:type="dxa"/>
            <w:tcBorders>
              <w:top w:val="single" w:sz="4" w:space="0" w:color="000000"/>
              <w:left w:val="single" w:sz="13"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2564" w:type="dxa"/>
            <w:tcBorders>
              <w:top w:val="single" w:sz="4" w:space="0" w:color="000000"/>
              <w:left w:val="single" w:sz="13"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933,692.00</w:t>
            </w:r>
          </w:p>
        </w:tc>
      </w:tr>
    </w:tbl>
    <w:p>
      <w:pPr>
        <w:spacing w:after="0" w:line="240" w:lineRule="auto"/>
        <w:jc w:val="right"/>
        <w:rPr>
          <w:rFonts w:ascii="宋体" w:hAnsi="宋体" w:cs="宋体" w:eastAsia="宋体" w:hint="default"/>
          <w:sz w:val="21"/>
          <w:szCs w:val="21"/>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4656"/>
        <w:gridCol w:w="2564"/>
        <w:gridCol w:w="2338"/>
      </w:tblGrid>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25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208,504,797.03</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9"/>
              <w:jc w:val="right"/>
              <w:rPr>
                <w:rFonts w:ascii="宋体" w:hAnsi="宋体" w:cs="宋体" w:eastAsia="宋体" w:hint="default"/>
                <w:sz w:val="21"/>
                <w:szCs w:val="21"/>
              </w:rPr>
            </w:pPr>
            <w:r>
              <w:rPr>
                <w:rFonts w:ascii="宋体"/>
                <w:sz w:val="21"/>
              </w:rPr>
              <w:t>204,386,328.83</w:t>
            </w: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25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53,676,402.52</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22,523,223.73</w:t>
            </w: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卖出回购金融资产款</w:t>
            </w:r>
          </w:p>
        </w:tc>
        <w:tc>
          <w:tcPr>
            <w:tcW w:w="2564" w:type="dxa"/>
            <w:tcBorders>
              <w:top w:val="single" w:sz="4" w:space="0" w:color="000000"/>
              <w:left w:val="single" w:sz="13"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应付手续费及佣金</w:t>
            </w:r>
          </w:p>
        </w:tc>
        <w:tc>
          <w:tcPr>
            <w:tcW w:w="2564" w:type="dxa"/>
            <w:tcBorders>
              <w:top w:val="single" w:sz="4" w:space="0" w:color="000000"/>
              <w:left w:val="single" w:sz="13"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25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9,372,441.94</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9"/>
              <w:jc w:val="right"/>
              <w:rPr>
                <w:rFonts w:ascii="宋体" w:hAnsi="宋体" w:cs="宋体" w:eastAsia="宋体" w:hint="default"/>
                <w:sz w:val="21"/>
                <w:szCs w:val="21"/>
              </w:rPr>
            </w:pPr>
            <w:r>
              <w:rPr>
                <w:rFonts w:ascii="宋体"/>
                <w:sz w:val="21"/>
              </w:rPr>
              <w:t>9,069,648.74</w:t>
            </w: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25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31,525,625.64</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23,950,927.98</w:t>
            </w: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应付利息</w:t>
            </w:r>
          </w:p>
        </w:tc>
        <w:tc>
          <w:tcPr>
            <w:tcW w:w="25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15,889,500.00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18,562,500.00</w:t>
            </w: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应付股利</w:t>
            </w:r>
          </w:p>
        </w:tc>
        <w:tc>
          <w:tcPr>
            <w:tcW w:w="2564" w:type="dxa"/>
            <w:tcBorders>
              <w:top w:val="single" w:sz="4" w:space="0" w:color="000000"/>
              <w:left w:val="single" w:sz="13"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25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6,513,653.83</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9"/>
              <w:jc w:val="right"/>
              <w:rPr>
                <w:rFonts w:ascii="宋体" w:hAnsi="宋体" w:cs="宋体" w:eastAsia="宋体" w:hint="default"/>
                <w:sz w:val="21"/>
                <w:szCs w:val="21"/>
              </w:rPr>
            </w:pPr>
            <w:r>
              <w:rPr>
                <w:rFonts w:ascii="宋体"/>
                <w:sz w:val="21"/>
              </w:rPr>
              <w:t>3,046,902.10</w:t>
            </w: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应付分保账款</w:t>
            </w:r>
          </w:p>
        </w:tc>
        <w:tc>
          <w:tcPr>
            <w:tcW w:w="2564" w:type="dxa"/>
            <w:tcBorders>
              <w:top w:val="single" w:sz="4" w:space="0" w:color="000000"/>
              <w:left w:val="single" w:sz="13"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保险合同准备金</w:t>
            </w:r>
          </w:p>
        </w:tc>
        <w:tc>
          <w:tcPr>
            <w:tcW w:w="2564" w:type="dxa"/>
            <w:tcBorders>
              <w:top w:val="single" w:sz="4" w:space="0" w:color="000000"/>
              <w:left w:val="single" w:sz="13"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代理买卖证券款</w:t>
            </w:r>
          </w:p>
        </w:tc>
        <w:tc>
          <w:tcPr>
            <w:tcW w:w="2564" w:type="dxa"/>
            <w:tcBorders>
              <w:top w:val="single" w:sz="4" w:space="0" w:color="000000"/>
              <w:left w:val="single" w:sz="13"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代理承销证券款</w:t>
            </w:r>
          </w:p>
        </w:tc>
        <w:tc>
          <w:tcPr>
            <w:tcW w:w="2564" w:type="dxa"/>
            <w:tcBorders>
              <w:top w:val="single" w:sz="4" w:space="0" w:color="000000"/>
              <w:left w:val="single" w:sz="13"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持有待售的负债</w:t>
            </w:r>
          </w:p>
        </w:tc>
        <w:tc>
          <w:tcPr>
            <w:tcW w:w="2564" w:type="dxa"/>
            <w:tcBorders>
              <w:top w:val="single" w:sz="4" w:space="0" w:color="000000"/>
              <w:left w:val="single" w:sz="13"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一年内到期的非流动负债</w:t>
            </w:r>
          </w:p>
        </w:tc>
        <w:tc>
          <w:tcPr>
            <w:tcW w:w="25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263,859,109.30</w:t>
            </w: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其他流动负债</w:t>
            </w:r>
          </w:p>
        </w:tc>
        <w:tc>
          <w:tcPr>
            <w:tcW w:w="2564" w:type="dxa"/>
            <w:tcBorders>
              <w:top w:val="single" w:sz="4" w:space="0" w:color="000000"/>
              <w:left w:val="single" w:sz="13"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流动负债合计</w:t>
            </w:r>
          </w:p>
        </w:tc>
        <w:tc>
          <w:tcPr>
            <w:tcW w:w="25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688,904,971.05</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9"/>
              <w:jc w:val="right"/>
              <w:rPr>
                <w:rFonts w:ascii="宋体" w:hAnsi="宋体" w:cs="宋体" w:eastAsia="宋体" w:hint="default"/>
                <w:sz w:val="21"/>
                <w:szCs w:val="21"/>
              </w:rPr>
            </w:pPr>
            <w:r>
              <w:rPr>
                <w:rFonts w:ascii="宋体"/>
                <w:sz w:val="21"/>
              </w:rPr>
              <w:t>424,886,732.34</w:t>
            </w: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非流动负债：</w:t>
            </w:r>
          </w:p>
        </w:tc>
        <w:tc>
          <w:tcPr>
            <w:tcW w:w="25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3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25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127,000,000.00</w:t>
            </w: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应付债券</w:t>
            </w:r>
          </w:p>
        </w:tc>
        <w:tc>
          <w:tcPr>
            <w:tcW w:w="2564" w:type="dxa"/>
            <w:tcBorders>
              <w:top w:val="single" w:sz="4" w:space="0" w:color="000000"/>
              <w:left w:val="single" w:sz="13"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9"/>
              <w:jc w:val="right"/>
              <w:rPr>
                <w:rFonts w:ascii="宋体" w:hAnsi="宋体" w:cs="宋体" w:eastAsia="宋体" w:hint="default"/>
                <w:sz w:val="21"/>
                <w:szCs w:val="21"/>
              </w:rPr>
            </w:pPr>
            <w:r>
              <w:rPr>
                <w:rFonts w:ascii="宋体"/>
                <w:sz w:val="21"/>
              </w:rPr>
              <w:t>249,048,721.03</w:t>
            </w: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641" w:right="0"/>
              <w:jc w:val="left"/>
              <w:rPr>
                <w:rFonts w:ascii="宋体" w:hAnsi="宋体" w:cs="宋体" w:eastAsia="宋体" w:hint="default"/>
                <w:sz w:val="21"/>
                <w:szCs w:val="21"/>
              </w:rPr>
            </w:pPr>
            <w:r>
              <w:rPr>
                <w:rFonts w:ascii="宋体" w:hAnsi="宋体" w:cs="宋体" w:eastAsia="宋体" w:hint="default"/>
                <w:sz w:val="21"/>
                <w:szCs w:val="21"/>
              </w:rPr>
              <w:t>其中：优先股</w:t>
            </w:r>
          </w:p>
        </w:tc>
        <w:tc>
          <w:tcPr>
            <w:tcW w:w="2564" w:type="dxa"/>
            <w:tcBorders>
              <w:top w:val="single" w:sz="4" w:space="0" w:color="000000"/>
              <w:left w:val="single" w:sz="13"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271" w:right="0"/>
              <w:jc w:val="left"/>
              <w:rPr>
                <w:rFonts w:ascii="宋体" w:hAnsi="宋体" w:cs="宋体" w:eastAsia="宋体" w:hint="default"/>
                <w:sz w:val="21"/>
                <w:szCs w:val="21"/>
              </w:rPr>
            </w:pPr>
            <w:r>
              <w:rPr>
                <w:rFonts w:ascii="宋体" w:hAnsi="宋体" w:cs="宋体" w:eastAsia="宋体" w:hint="default"/>
                <w:sz w:val="21"/>
                <w:szCs w:val="21"/>
              </w:rPr>
              <w:t>永续债</w:t>
            </w:r>
          </w:p>
        </w:tc>
        <w:tc>
          <w:tcPr>
            <w:tcW w:w="2564" w:type="dxa"/>
            <w:tcBorders>
              <w:top w:val="single" w:sz="4" w:space="0" w:color="000000"/>
              <w:left w:val="single" w:sz="13"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长期应付款</w:t>
            </w:r>
          </w:p>
        </w:tc>
        <w:tc>
          <w:tcPr>
            <w:tcW w:w="2564" w:type="dxa"/>
            <w:tcBorders>
              <w:top w:val="single" w:sz="4" w:space="0" w:color="000000"/>
              <w:left w:val="single" w:sz="13"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长期应付职工薪酬</w:t>
            </w:r>
          </w:p>
        </w:tc>
        <w:tc>
          <w:tcPr>
            <w:tcW w:w="2564" w:type="dxa"/>
            <w:tcBorders>
              <w:top w:val="single" w:sz="4" w:space="0" w:color="000000"/>
              <w:left w:val="single" w:sz="13"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专项应付款</w:t>
            </w:r>
          </w:p>
        </w:tc>
        <w:tc>
          <w:tcPr>
            <w:tcW w:w="2564" w:type="dxa"/>
            <w:tcBorders>
              <w:top w:val="single" w:sz="4" w:space="0" w:color="000000"/>
              <w:left w:val="single" w:sz="13"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预计负债</w:t>
            </w:r>
          </w:p>
        </w:tc>
        <w:tc>
          <w:tcPr>
            <w:tcW w:w="2564" w:type="dxa"/>
            <w:tcBorders>
              <w:top w:val="single" w:sz="4" w:space="0" w:color="000000"/>
              <w:left w:val="single" w:sz="13"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递延收益</w:t>
            </w:r>
          </w:p>
        </w:tc>
        <w:tc>
          <w:tcPr>
            <w:tcW w:w="25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7,000,000.00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9"/>
              <w:jc w:val="right"/>
              <w:rPr>
                <w:rFonts w:ascii="宋体" w:hAnsi="宋体" w:cs="宋体" w:eastAsia="宋体" w:hint="default"/>
                <w:sz w:val="21"/>
                <w:szCs w:val="21"/>
              </w:rPr>
            </w:pPr>
            <w:r>
              <w:rPr>
                <w:rFonts w:ascii="宋体"/>
                <w:sz w:val="21"/>
              </w:rPr>
              <w:t>8,500,000.00</w:t>
            </w: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25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13,477,683.61</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10,273,154.31</w:t>
            </w: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其他非流动负债</w:t>
            </w:r>
          </w:p>
        </w:tc>
        <w:tc>
          <w:tcPr>
            <w:tcW w:w="2564" w:type="dxa"/>
            <w:tcBorders>
              <w:top w:val="single" w:sz="4" w:space="0" w:color="000000"/>
              <w:left w:val="single" w:sz="13"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非流动负债合计</w:t>
            </w:r>
          </w:p>
        </w:tc>
        <w:tc>
          <w:tcPr>
            <w:tcW w:w="25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147,477,683.61</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9"/>
              <w:jc w:val="right"/>
              <w:rPr>
                <w:rFonts w:ascii="宋体" w:hAnsi="宋体" w:cs="宋体" w:eastAsia="宋体" w:hint="default"/>
                <w:sz w:val="21"/>
                <w:szCs w:val="21"/>
              </w:rPr>
            </w:pPr>
            <w:r>
              <w:rPr>
                <w:rFonts w:ascii="宋体"/>
                <w:sz w:val="21"/>
              </w:rPr>
              <w:t>267,821,875.34</w:t>
            </w: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负债合计</w:t>
            </w:r>
          </w:p>
        </w:tc>
        <w:tc>
          <w:tcPr>
            <w:tcW w:w="25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836,382,654.66</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9"/>
              <w:jc w:val="right"/>
              <w:rPr>
                <w:rFonts w:ascii="宋体" w:hAnsi="宋体" w:cs="宋体" w:eastAsia="宋体" w:hint="default"/>
                <w:sz w:val="21"/>
                <w:szCs w:val="21"/>
              </w:rPr>
            </w:pPr>
            <w:r>
              <w:rPr>
                <w:rFonts w:ascii="宋体"/>
                <w:sz w:val="21"/>
              </w:rPr>
              <w:t>692,708,607.68</w:t>
            </w: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所有者权益：</w:t>
            </w:r>
          </w:p>
        </w:tc>
        <w:tc>
          <w:tcPr>
            <w:tcW w:w="25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3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股本</w:t>
            </w:r>
          </w:p>
        </w:tc>
        <w:tc>
          <w:tcPr>
            <w:tcW w:w="25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376,656,420.00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9"/>
              <w:jc w:val="right"/>
              <w:rPr>
                <w:rFonts w:ascii="宋体" w:hAnsi="宋体" w:cs="宋体" w:eastAsia="宋体" w:hint="default"/>
                <w:sz w:val="21"/>
                <w:szCs w:val="21"/>
              </w:rPr>
            </w:pPr>
            <w:r>
              <w:rPr>
                <w:rFonts w:ascii="宋体"/>
                <w:sz w:val="21"/>
              </w:rPr>
              <w:t>376,656,420.00</w:t>
            </w: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其他权益工具</w:t>
            </w:r>
          </w:p>
        </w:tc>
        <w:tc>
          <w:tcPr>
            <w:tcW w:w="2564" w:type="dxa"/>
            <w:tcBorders>
              <w:top w:val="single" w:sz="4" w:space="0" w:color="000000"/>
              <w:left w:val="single" w:sz="13"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4678"/>
        <w:gridCol w:w="2553"/>
        <w:gridCol w:w="2338"/>
      </w:tblGrid>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653" w:right="0"/>
              <w:jc w:val="left"/>
              <w:rPr>
                <w:rFonts w:ascii="宋体" w:hAnsi="宋体" w:cs="宋体" w:eastAsia="宋体" w:hint="default"/>
                <w:sz w:val="21"/>
                <w:szCs w:val="21"/>
              </w:rPr>
            </w:pPr>
            <w:r>
              <w:rPr>
                <w:rFonts w:ascii="宋体" w:hAnsi="宋体" w:cs="宋体" w:eastAsia="宋体" w:hint="default"/>
                <w:sz w:val="21"/>
                <w:szCs w:val="21"/>
              </w:rPr>
              <w:t>其中：优先股</w:t>
            </w:r>
          </w:p>
        </w:tc>
        <w:tc>
          <w:tcPr>
            <w:tcW w:w="2553"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283" w:right="0"/>
              <w:jc w:val="left"/>
              <w:rPr>
                <w:rFonts w:ascii="宋体" w:hAnsi="宋体" w:cs="宋体" w:eastAsia="宋体" w:hint="default"/>
                <w:sz w:val="21"/>
                <w:szCs w:val="21"/>
              </w:rPr>
            </w:pPr>
            <w:r>
              <w:rPr>
                <w:rFonts w:ascii="宋体" w:hAnsi="宋体" w:cs="宋体" w:eastAsia="宋体" w:hint="default"/>
                <w:sz w:val="21"/>
                <w:szCs w:val="21"/>
              </w:rPr>
              <w:t>永续债</w:t>
            </w:r>
          </w:p>
        </w:tc>
        <w:tc>
          <w:tcPr>
            <w:tcW w:w="2553"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42"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653,527,634.23</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9"/>
              <w:jc w:val="right"/>
              <w:rPr>
                <w:rFonts w:ascii="宋体" w:hAnsi="宋体" w:cs="宋体" w:eastAsia="宋体" w:hint="default"/>
                <w:sz w:val="21"/>
                <w:szCs w:val="21"/>
              </w:rPr>
            </w:pPr>
            <w:r>
              <w:rPr>
                <w:rFonts w:ascii="宋体"/>
                <w:spacing w:val="-1"/>
                <w:sz w:val="21"/>
              </w:rPr>
              <w:t>652,518,981.31</w:t>
            </w: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42" w:right="0"/>
              <w:jc w:val="left"/>
              <w:rPr>
                <w:rFonts w:ascii="宋体" w:hAnsi="宋体" w:cs="宋体" w:eastAsia="宋体" w:hint="default"/>
                <w:sz w:val="21"/>
                <w:szCs w:val="21"/>
              </w:rPr>
            </w:pPr>
            <w:r>
              <w:rPr>
                <w:rFonts w:ascii="宋体" w:hAnsi="宋体" w:cs="宋体" w:eastAsia="宋体" w:hint="default"/>
                <w:sz w:val="21"/>
                <w:szCs w:val="21"/>
              </w:rPr>
              <w:t>减：库存股</w:t>
            </w:r>
          </w:p>
        </w:tc>
        <w:tc>
          <w:tcPr>
            <w:tcW w:w="2553"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42" w:right="0"/>
              <w:jc w:val="left"/>
              <w:rPr>
                <w:rFonts w:ascii="宋体" w:hAnsi="宋体" w:cs="宋体" w:eastAsia="宋体" w:hint="default"/>
                <w:sz w:val="21"/>
                <w:szCs w:val="21"/>
              </w:rPr>
            </w:pPr>
            <w:r>
              <w:rPr>
                <w:rFonts w:ascii="宋体" w:hAnsi="宋体" w:cs="宋体" w:eastAsia="宋体" w:hint="default"/>
                <w:sz w:val="21"/>
                <w:szCs w:val="21"/>
              </w:rPr>
              <w:t>其他综合收益</w:t>
            </w:r>
          </w:p>
        </w:tc>
        <w:tc>
          <w:tcPr>
            <w:tcW w:w="2553"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42" w:right="0"/>
              <w:jc w:val="left"/>
              <w:rPr>
                <w:rFonts w:ascii="宋体" w:hAnsi="宋体" w:cs="宋体" w:eastAsia="宋体" w:hint="default"/>
                <w:sz w:val="21"/>
                <w:szCs w:val="21"/>
              </w:rPr>
            </w:pPr>
            <w:r>
              <w:rPr>
                <w:rFonts w:ascii="宋体" w:hAnsi="宋体" w:cs="宋体" w:eastAsia="宋体" w:hint="default"/>
                <w:sz w:val="21"/>
                <w:szCs w:val="21"/>
              </w:rPr>
              <w:t>专项储备</w:t>
            </w:r>
          </w:p>
        </w:tc>
        <w:tc>
          <w:tcPr>
            <w:tcW w:w="2553"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42"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64,909,865.84</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61,467,445.51</w:t>
            </w: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42" w:right="0"/>
              <w:jc w:val="left"/>
              <w:rPr>
                <w:rFonts w:ascii="宋体" w:hAnsi="宋体" w:cs="宋体" w:eastAsia="宋体" w:hint="default"/>
                <w:sz w:val="21"/>
                <w:szCs w:val="21"/>
              </w:rPr>
            </w:pPr>
            <w:r>
              <w:rPr>
                <w:rFonts w:ascii="宋体" w:hAnsi="宋体" w:cs="宋体" w:eastAsia="宋体" w:hint="default"/>
                <w:sz w:val="21"/>
                <w:szCs w:val="21"/>
              </w:rPr>
              <w:t>一般风险准备</w:t>
            </w:r>
          </w:p>
        </w:tc>
        <w:tc>
          <w:tcPr>
            <w:tcW w:w="2553"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42"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292,674,542.28</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9"/>
              <w:jc w:val="right"/>
              <w:rPr>
                <w:rFonts w:ascii="宋体" w:hAnsi="宋体" w:cs="宋体" w:eastAsia="宋体" w:hint="default"/>
                <w:sz w:val="21"/>
                <w:szCs w:val="21"/>
              </w:rPr>
            </w:pPr>
            <w:r>
              <w:rPr>
                <w:rFonts w:ascii="宋体"/>
                <w:sz w:val="21"/>
              </w:rPr>
              <w:t>451,626,351.00</w:t>
            </w: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归属于母公司所有者权益合计</w:t>
            </w:r>
          </w:p>
        </w:tc>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1,387,768,462.35</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9"/>
              <w:jc w:val="right"/>
              <w:rPr>
                <w:rFonts w:ascii="宋体" w:hAnsi="宋体" w:cs="宋体" w:eastAsia="宋体" w:hint="default"/>
                <w:sz w:val="21"/>
                <w:szCs w:val="21"/>
              </w:rPr>
            </w:pPr>
            <w:r>
              <w:rPr>
                <w:rFonts w:ascii="宋体"/>
                <w:sz w:val="21"/>
              </w:rPr>
              <w:t>1,542,269,197.82</w:t>
            </w: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42" w:right="0"/>
              <w:jc w:val="left"/>
              <w:rPr>
                <w:rFonts w:ascii="宋体" w:hAnsi="宋体" w:cs="宋体" w:eastAsia="宋体" w:hint="default"/>
                <w:sz w:val="21"/>
                <w:szCs w:val="21"/>
              </w:rPr>
            </w:pPr>
            <w:r>
              <w:rPr>
                <w:rFonts w:ascii="宋体" w:hAnsi="宋体" w:cs="宋体" w:eastAsia="宋体" w:hint="default"/>
                <w:sz w:val="21"/>
                <w:szCs w:val="21"/>
              </w:rPr>
              <w:t>少数股东权益</w:t>
            </w:r>
          </w:p>
        </w:tc>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24,739,365.17</w:t>
            </w: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所有者权益合计</w:t>
            </w:r>
          </w:p>
        </w:tc>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1,412,507,827.52</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9"/>
              <w:jc w:val="right"/>
              <w:rPr>
                <w:rFonts w:ascii="宋体" w:hAnsi="宋体" w:cs="宋体" w:eastAsia="宋体" w:hint="default"/>
                <w:sz w:val="21"/>
                <w:szCs w:val="21"/>
              </w:rPr>
            </w:pPr>
            <w:r>
              <w:rPr>
                <w:rFonts w:ascii="宋体"/>
                <w:sz w:val="21"/>
              </w:rPr>
              <w:t>1,542,269,197.82</w:t>
            </w: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负债和所有者权益总计</w:t>
            </w:r>
          </w:p>
        </w:tc>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2,248,890,482.18</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9"/>
              <w:jc w:val="right"/>
              <w:rPr>
                <w:rFonts w:ascii="宋体" w:hAnsi="宋体" w:cs="宋体" w:eastAsia="宋体" w:hint="default"/>
                <w:sz w:val="21"/>
                <w:szCs w:val="21"/>
              </w:rPr>
            </w:pPr>
            <w:r>
              <w:rPr>
                <w:rFonts w:ascii="宋体"/>
                <w:sz w:val="21"/>
              </w:rPr>
              <w:t>2,234,977,805.50</w:t>
            </w:r>
          </w:p>
        </w:tc>
      </w:tr>
    </w:tbl>
    <w:p>
      <w:pPr>
        <w:spacing w:line="240" w:lineRule="auto" w:before="10"/>
        <w:rPr>
          <w:rFonts w:ascii="Times New Roman" w:hAnsi="Times New Roman" w:cs="Times New Roman" w:eastAsia="Times New Roman" w:hint="default"/>
          <w:sz w:val="21"/>
          <w:szCs w:val="21"/>
        </w:rPr>
      </w:pPr>
    </w:p>
    <w:p>
      <w:pPr>
        <w:tabs>
          <w:tab w:pos="3150" w:val="left" w:leader="none"/>
          <w:tab w:pos="7245" w:val="left" w:leader="none"/>
        </w:tabs>
        <w:spacing w:before="35"/>
        <w:ind w:left="0" w:right="1216" w:firstLine="0"/>
        <w:jc w:val="right"/>
        <w:rPr>
          <w:rFonts w:ascii="宋体" w:hAnsi="宋体" w:cs="宋体" w:eastAsia="宋体" w:hint="default"/>
          <w:sz w:val="21"/>
          <w:szCs w:val="21"/>
        </w:rPr>
      </w:pPr>
      <w:r>
        <w:rPr>
          <w:rFonts w:ascii="宋体" w:hAnsi="宋体" w:cs="宋体" w:eastAsia="宋体" w:hint="default"/>
          <w:sz w:val="21"/>
          <w:szCs w:val="21"/>
        </w:rPr>
        <w:t>法定代表人：李海鹰</w:t>
        <w:tab/>
      </w:r>
      <w:r>
        <w:rPr>
          <w:rFonts w:ascii="宋体" w:hAnsi="宋体" w:cs="宋体" w:eastAsia="宋体" w:hint="default"/>
          <w:spacing w:val="-1"/>
          <w:sz w:val="21"/>
          <w:szCs w:val="21"/>
        </w:rPr>
        <w:t>主管会计工作负责人：侯菊艳</w:t>
        <w:tab/>
        <w:t>会计机构负责人：窦永贺</w:t>
      </w:r>
    </w:p>
    <w:p>
      <w:pPr>
        <w:spacing w:line="240" w:lineRule="auto" w:before="12"/>
        <w:rPr>
          <w:rFonts w:ascii="宋体" w:hAnsi="宋体" w:cs="宋体" w:eastAsia="宋体" w:hint="default"/>
          <w:sz w:val="23"/>
          <w:szCs w:val="23"/>
        </w:rPr>
      </w:pPr>
    </w:p>
    <w:p>
      <w:pPr>
        <w:pStyle w:val="Heading2"/>
        <w:spacing w:line="240" w:lineRule="auto" w:before="0"/>
        <w:ind w:right="996"/>
        <w:jc w:val="left"/>
        <w:rPr>
          <w:b w:val="0"/>
          <w:bCs w:val="0"/>
        </w:rPr>
      </w:pPr>
      <w:bookmarkStart w:name="2、母公司资产负债表" w:id="191"/>
      <w:bookmarkEnd w:id="191"/>
      <w:r>
        <w:rPr>
          <w:b w:val="0"/>
          <w:bCs w:val="0"/>
        </w:rPr>
      </w:r>
      <w:r>
        <w:rPr>
          <w:rFonts w:ascii="宋体" w:hAnsi="宋体" w:cs="宋体" w:eastAsia="宋体" w:hint="default"/>
        </w:rPr>
        <w:t>2</w:t>
      </w:r>
      <w:r>
        <w:rPr/>
        <w:t>、母公司资产负债表</w:t>
      </w:r>
      <w:r>
        <w:rPr>
          <w:b w:val="0"/>
          <w:bCs w:val="0"/>
        </w:rPr>
      </w:r>
    </w:p>
    <w:p>
      <w:pPr>
        <w:spacing w:line="240" w:lineRule="auto" w:before="9"/>
        <w:rPr>
          <w:rFonts w:ascii="宋体" w:hAnsi="宋体" w:cs="宋体" w:eastAsia="宋体" w:hint="default"/>
          <w:b/>
          <w:bCs/>
          <w:sz w:val="24"/>
          <w:szCs w:val="24"/>
        </w:rPr>
      </w:pPr>
    </w:p>
    <w:p>
      <w:pPr>
        <w:spacing w:before="0"/>
        <w:ind w:left="0" w:right="1130" w:firstLine="0"/>
        <w:jc w:val="right"/>
        <w:rPr>
          <w:rFonts w:ascii="宋体" w:hAnsi="宋体" w:cs="宋体" w:eastAsia="宋体" w:hint="default"/>
          <w:sz w:val="21"/>
          <w:szCs w:val="21"/>
        </w:rPr>
      </w:pPr>
      <w:r>
        <w:rPr>
          <w:rFonts w:ascii="宋体" w:hAnsi="宋体" w:cs="宋体" w:eastAsia="宋体" w:hint="default"/>
          <w:sz w:val="21"/>
          <w:szCs w:val="21"/>
        </w:rPr>
        <w:t>单位：元</w:t>
      </w:r>
    </w:p>
    <w:p>
      <w:pPr>
        <w:spacing w:line="240" w:lineRule="auto" w:before="0"/>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4656"/>
        <w:gridCol w:w="2564"/>
        <w:gridCol w:w="2338"/>
      </w:tblGrid>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5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863"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23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743" w:right="0"/>
              <w:jc w:val="left"/>
              <w:rPr>
                <w:rFonts w:ascii="宋体" w:hAnsi="宋体" w:cs="宋体" w:eastAsia="宋体" w:hint="default"/>
                <w:sz w:val="21"/>
                <w:szCs w:val="21"/>
              </w:rPr>
            </w:pPr>
            <w:r>
              <w:rPr>
                <w:rFonts w:ascii="宋体" w:hAnsi="宋体" w:cs="宋体" w:eastAsia="宋体" w:hint="default"/>
                <w:sz w:val="21"/>
                <w:szCs w:val="21"/>
              </w:rPr>
              <w:t>期初余额</w:t>
            </w: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流动资产：</w:t>
            </w:r>
          </w:p>
        </w:tc>
        <w:tc>
          <w:tcPr>
            <w:tcW w:w="25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3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25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826,924,350.21</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9"/>
              <w:jc w:val="right"/>
              <w:rPr>
                <w:rFonts w:ascii="宋体" w:hAnsi="宋体" w:cs="宋体" w:eastAsia="宋体" w:hint="default"/>
                <w:sz w:val="21"/>
                <w:szCs w:val="21"/>
              </w:rPr>
            </w:pPr>
            <w:r>
              <w:rPr>
                <w:rFonts w:ascii="宋体"/>
                <w:sz w:val="21"/>
              </w:rPr>
              <w:t>758,281,353.62</w:t>
            </w:r>
          </w:p>
        </w:tc>
      </w:tr>
      <w:tr>
        <w:trPr>
          <w:trHeight w:val="714"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11" w:right="12" w:firstLine="420"/>
              <w:jc w:val="left"/>
              <w:rPr>
                <w:rFonts w:ascii="宋体" w:hAnsi="宋体" w:cs="宋体" w:eastAsia="宋体" w:hint="default"/>
                <w:sz w:val="21"/>
                <w:szCs w:val="21"/>
              </w:rPr>
            </w:pPr>
            <w:r>
              <w:rPr>
                <w:rFonts w:ascii="宋体" w:hAnsi="宋体" w:cs="宋体" w:eastAsia="宋体" w:hint="default"/>
                <w:sz w:val="21"/>
                <w:szCs w:val="21"/>
              </w:rPr>
              <w:t>以公允价值计量且其变动计入当期损益的金融 资产</w:t>
            </w:r>
          </w:p>
        </w:tc>
        <w:tc>
          <w:tcPr>
            <w:tcW w:w="2564" w:type="dxa"/>
            <w:tcBorders>
              <w:top w:val="single" w:sz="4" w:space="0" w:color="000000"/>
              <w:left w:val="single" w:sz="13"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衍生金融资产</w:t>
            </w:r>
          </w:p>
        </w:tc>
        <w:tc>
          <w:tcPr>
            <w:tcW w:w="2564" w:type="dxa"/>
            <w:tcBorders>
              <w:top w:val="single" w:sz="4" w:space="0" w:color="000000"/>
              <w:left w:val="single" w:sz="13"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25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22,560,287.07</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22,213,801.10</w:t>
            </w: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5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419,929,976.57</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9"/>
              <w:jc w:val="right"/>
              <w:rPr>
                <w:rFonts w:ascii="宋体" w:hAnsi="宋体" w:cs="宋体" w:eastAsia="宋体" w:hint="default"/>
                <w:sz w:val="21"/>
                <w:szCs w:val="21"/>
              </w:rPr>
            </w:pPr>
            <w:r>
              <w:rPr>
                <w:rFonts w:ascii="宋体"/>
                <w:sz w:val="21"/>
              </w:rPr>
              <w:t>362,358,378.40</w:t>
            </w: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25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2,422,510.25</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9"/>
              <w:jc w:val="right"/>
              <w:rPr>
                <w:rFonts w:ascii="宋体" w:hAnsi="宋体" w:cs="宋体" w:eastAsia="宋体" w:hint="default"/>
                <w:sz w:val="21"/>
                <w:szCs w:val="21"/>
              </w:rPr>
            </w:pPr>
            <w:r>
              <w:rPr>
                <w:rFonts w:ascii="宋体"/>
                <w:sz w:val="21"/>
              </w:rPr>
              <w:t>8,624,303.50</w:t>
            </w: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应收利息</w:t>
            </w:r>
          </w:p>
        </w:tc>
        <w:tc>
          <w:tcPr>
            <w:tcW w:w="25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5,329,791.66</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9"/>
              <w:jc w:val="right"/>
              <w:rPr>
                <w:rFonts w:ascii="宋体" w:hAnsi="宋体" w:cs="宋体" w:eastAsia="宋体" w:hint="default"/>
                <w:sz w:val="21"/>
                <w:szCs w:val="21"/>
              </w:rPr>
            </w:pPr>
            <w:r>
              <w:rPr>
                <w:rFonts w:ascii="宋体"/>
                <w:sz w:val="21"/>
              </w:rPr>
              <w:t>2,954,791.66</w:t>
            </w: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应收股利</w:t>
            </w:r>
          </w:p>
        </w:tc>
        <w:tc>
          <w:tcPr>
            <w:tcW w:w="2564" w:type="dxa"/>
            <w:tcBorders>
              <w:top w:val="single" w:sz="4" w:space="0" w:color="000000"/>
              <w:left w:val="single" w:sz="13"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25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68,945,318.54</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62,141,399.73</w:t>
            </w: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25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106,216,164.91</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98,124,789.04</w:t>
            </w: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持有待售的资产</w:t>
            </w:r>
          </w:p>
        </w:tc>
        <w:tc>
          <w:tcPr>
            <w:tcW w:w="2564" w:type="dxa"/>
            <w:tcBorders>
              <w:top w:val="single" w:sz="4" w:space="0" w:color="000000"/>
              <w:left w:val="single" w:sz="13"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一年内到期的非流动资产</w:t>
            </w:r>
          </w:p>
        </w:tc>
        <w:tc>
          <w:tcPr>
            <w:tcW w:w="2564" w:type="dxa"/>
            <w:tcBorders>
              <w:top w:val="single" w:sz="4" w:space="0" w:color="000000"/>
              <w:left w:val="single" w:sz="13"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25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52,010.73</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9"/>
              <w:jc w:val="right"/>
              <w:rPr>
                <w:rFonts w:ascii="宋体" w:hAnsi="宋体" w:cs="宋体" w:eastAsia="宋体" w:hint="default"/>
                <w:sz w:val="21"/>
                <w:szCs w:val="21"/>
              </w:rPr>
            </w:pPr>
            <w:r>
              <w:rPr>
                <w:rFonts w:ascii="宋体"/>
                <w:sz w:val="21"/>
              </w:rPr>
              <w:t>3,679,245.28</w:t>
            </w: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流动资产合计</w:t>
            </w:r>
          </w:p>
        </w:tc>
        <w:tc>
          <w:tcPr>
            <w:tcW w:w="25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pacing w:val="-1"/>
                <w:sz w:val="21"/>
              </w:rPr>
              <w:t>1,452,380,409.94</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9"/>
              <w:jc w:val="right"/>
              <w:rPr>
                <w:rFonts w:ascii="宋体" w:hAnsi="宋体" w:cs="宋体" w:eastAsia="宋体" w:hint="default"/>
                <w:sz w:val="21"/>
                <w:szCs w:val="21"/>
              </w:rPr>
            </w:pPr>
            <w:r>
              <w:rPr>
                <w:rFonts w:ascii="宋体"/>
                <w:sz w:val="21"/>
              </w:rPr>
              <w:t>1,318,378,062.33</w:t>
            </w:r>
          </w:p>
        </w:tc>
      </w:tr>
    </w:tbl>
    <w:p>
      <w:pPr>
        <w:spacing w:after="0" w:line="240" w:lineRule="auto"/>
        <w:jc w:val="right"/>
        <w:rPr>
          <w:rFonts w:ascii="宋体" w:hAnsi="宋体" w:cs="宋体" w:eastAsia="宋体" w:hint="default"/>
          <w:sz w:val="21"/>
          <w:szCs w:val="21"/>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4656"/>
        <w:gridCol w:w="2564"/>
        <w:gridCol w:w="2338"/>
      </w:tblGrid>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非流动资产：</w:t>
            </w:r>
          </w:p>
        </w:tc>
        <w:tc>
          <w:tcPr>
            <w:tcW w:w="25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3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25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20,000,000.00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9"/>
              <w:jc w:val="right"/>
              <w:rPr>
                <w:rFonts w:ascii="宋体" w:hAnsi="宋体" w:cs="宋体" w:eastAsia="宋体" w:hint="default"/>
                <w:sz w:val="21"/>
                <w:szCs w:val="21"/>
              </w:rPr>
            </w:pPr>
            <w:r>
              <w:rPr>
                <w:rFonts w:ascii="宋体"/>
                <w:sz w:val="21"/>
              </w:rPr>
              <w:t>150,000,000.00</w:t>
            </w: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持有至到期投资</w:t>
            </w:r>
          </w:p>
        </w:tc>
        <w:tc>
          <w:tcPr>
            <w:tcW w:w="2564" w:type="dxa"/>
            <w:tcBorders>
              <w:top w:val="single" w:sz="4" w:space="0" w:color="000000"/>
              <w:left w:val="single" w:sz="13"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长期应收款</w:t>
            </w:r>
          </w:p>
        </w:tc>
        <w:tc>
          <w:tcPr>
            <w:tcW w:w="2564" w:type="dxa"/>
            <w:tcBorders>
              <w:top w:val="single" w:sz="4" w:space="0" w:color="000000"/>
              <w:left w:val="single" w:sz="13"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25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433,314,270.01</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9"/>
              <w:jc w:val="right"/>
              <w:rPr>
                <w:rFonts w:ascii="宋体" w:hAnsi="宋体" w:cs="宋体" w:eastAsia="宋体" w:hint="default"/>
                <w:sz w:val="21"/>
                <w:szCs w:val="21"/>
              </w:rPr>
            </w:pPr>
            <w:r>
              <w:rPr>
                <w:rFonts w:ascii="宋体"/>
                <w:sz w:val="21"/>
              </w:rPr>
              <w:t>481,546,066.37</w:t>
            </w: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2564" w:type="dxa"/>
            <w:tcBorders>
              <w:top w:val="single" w:sz="4" w:space="0" w:color="000000"/>
              <w:left w:val="single" w:sz="13"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25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38,573,331.85</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49,548,565.40</w:t>
            </w: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25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132,118,103.35</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9"/>
              <w:jc w:val="right"/>
              <w:rPr>
                <w:rFonts w:ascii="宋体" w:hAnsi="宋体" w:cs="宋体" w:eastAsia="宋体" w:hint="default"/>
                <w:sz w:val="21"/>
                <w:szCs w:val="21"/>
              </w:rPr>
            </w:pPr>
            <w:r>
              <w:rPr>
                <w:rFonts w:ascii="宋体"/>
                <w:sz w:val="21"/>
              </w:rPr>
              <w:t>112,756,662.81</w:t>
            </w: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工程物资</w:t>
            </w:r>
          </w:p>
        </w:tc>
        <w:tc>
          <w:tcPr>
            <w:tcW w:w="2564" w:type="dxa"/>
            <w:tcBorders>
              <w:top w:val="single" w:sz="4" w:space="0" w:color="000000"/>
              <w:left w:val="single" w:sz="13"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固定资产清理</w:t>
            </w:r>
          </w:p>
        </w:tc>
        <w:tc>
          <w:tcPr>
            <w:tcW w:w="2564" w:type="dxa"/>
            <w:tcBorders>
              <w:top w:val="single" w:sz="4" w:space="0" w:color="000000"/>
              <w:left w:val="single" w:sz="13"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生产性生物资产</w:t>
            </w:r>
          </w:p>
        </w:tc>
        <w:tc>
          <w:tcPr>
            <w:tcW w:w="2564" w:type="dxa"/>
            <w:tcBorders>
              <w:top w:val="single" w:sz="4" w:space="0" w:color="000000"/>
              <w:left w:val="single" w:sz="13"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油气资产</w:t>
            </w:r>
          </w:p>
        </w:tc>
        <w:tc>
          <w:tcPr>
            <w:tcW w:w="2564" w:type="dxa"/>
            <w:tcBorders>
              <w:top w:val="single" w:sz="4" w:space="0" w:color="000000"/>
              <w:left w:val="single" w:sz="13"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25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39,831,289.91</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41,898,706.00</w:t>
            </w: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开发支出</w:t>
            </w:r>
          </w:p>
        </w:tc>
        <w:tc>
          <w:tcPr>
            <w:tcW w:w="2564" w:type="dxa"/>
            <w:tcBorders>
              <w:top w:val="single" w:sz="4" w:space="0" w:color="000000"/>
              <w:left w:val="single" w:sz="13"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商誉</w:t>
            </w:r>
          </w:p>
        </w:tc>
        <w:tc>
          <w:tcPr>
            <w:tcW w:w="2564" w:type="dxa"/>
            <w:tcBorders>
              <w:top w:val="single" w:sz="4" w:space="0" w:color="000000"/>
              <w:left w:val="single" w:sz="13"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长期待摊费用</w:t>
            </w:r>
          </w:p>
        </w:tc>
        <w:tc>
          <w:tcPr>
            <w:tcW w:w="25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6,065,443.27</w:t>
            </w: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25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33,652,775.88</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27,555,699.45</w:t>
            </w: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其他非流动资产</w:t>
            </w:r>
          </w:p>
        </w:tc>
        <w:tc>
          <w:tcPr>
            <w:tcW w:w="25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76,037.99</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745,419.99</w:t>
            </w: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非流动资产合计</w:t>
            </w:r>
          </w:p>
        </w:tc>
        <w:tc>
          <w:tcPr>
            <w:tcW w:w="25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703,631,252.26</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9"/>
              <w:jc w:val="right"/>
              <w:rPr>
                <w:rFonts w:ascii="宋体" w:hAnsi="宋体" w:cs="宋体" w:eastAsia="宋体" w:hint="default"/>
                <w:sz w:val="21"/>
                <w:szCs w:val="21"/>
              </w:rPr>
            </w:pPr>
            <w:r>
              <w:rPr>
                <w:rFonts w:ascii="宋体"/>
                <w:sz w:val="21"/>
              </w:rPr>
              <w:t>864,051,120.02</w:t>
            </w: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资产总计</w:t>
            </w:r>
          </w:p>
        </w:tc>
        <w:tc>
          <w:tcPr>
            <w:tcW w:w="25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2,156,011,662.20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9"/>
              <w:jc w:val="right"/>
              <w:rPr>
                <w:rFonts w:ascii="宋体" w:hAnsi="宋体" w:cs="宋体" w:eastAsia="宋体" w:hint="default"/>
                <w:sz w:val="21"/>
                <w:szCs w:val="21"/>
              </w:rPr>
            </w:pPr>
            <w:r>
              <w:rPr>
                <w:rFonts w:ascii="宋体"/>
                <w:sz w:val="21"/>
              </w:rPr>
              <w:t>2,182,429,182.35</w:t>
            </w: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流动负债：</w:t>
            </w:r>
          </w:p>
        </w:tc>
        <w:tc>
          <w:tcPr>
            <w:tcW w:w="25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3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25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99,563,440.79</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9"/>
              <w:jc w:val="right"/>
              <w:rPr>
                <w:rFonts w:ascii="宋体" w:hAnsi="宋体" w:cs="宋体" w:eastAsia="宋体" w:hint="default"/>
                <w:sz w:val="21"/>
                <w:szCs w:val="21"/>
              </w:rPr>
            </w:pPr>
            <w:r>
              <w:rPr>
                <w:rFonts w:ascii="宋体"/>
                <w:sz w:val="21"/>
              </w:rPr>
              <w:t>142,413,508.96</w:t>
            </w:r>
          </w:p>
        </w:tc>
      </w:tr>
      <w:tr>
        <w:trPr>
          <w:trHeight w:val="714"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11" w:right="12" w:firstLine="420"/>
              <w:jc w:val="left"/>
              <w:rPr>
                <w:rFonts w:ascii="宋体" w:hAnsi="宋体" w:cs="宋体" w:eastAsia="宋体" w:hint="default"/>
                <w:sz w:val="21"/>
                <w:szCs w:val="21"/>
              </w:rPr>
            </w:pPr>
            <w:r>
              <w:rPr>
                <w:rFonts w:ascii="宋体" w:hAnsi="宋体" w:cs="宋体" w:eastAsia="宋体" w:hint="default"/>
                <w:sz w:val="21"/>
                <w:szCs w:val="21"/>
              </w:rPr>
              <w:t>以公允价值计量且其变动计入当期损益的金融 负债</w:t>
            </w:r>
          </w:p>
        </w:tc>
        <w:tc>
          <w:tcPr>
            <w:tcW w:w="2564" w:type="dxa"/>
            <w:tcBorders>
              <w:top w:val="single" w:sz="4" w:space="0" w:color="000000"/>
              <w:left w:val="single" w:sz="13"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衍生金融负债</w:t>
            </w:r>
          </w:p>
        </w:tc>
        <w:tc>
          <w:tcPr>
            <w:tcW w:w="2564" w:type="dxa"/>
            <w:tcBorders>
              <w:top w:val="single" w:sz="4" w:space="0" w:color="000000"/>
              <w:left w:val="single" w:sz="13"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2564" w:type="dxa"/>
            <w:tcBorders>
              <w:top w:val="single" w:sz="4" w:space="0" w:color="000000"/>
              <w:left w:val="single" w:sz="13"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933,692.00</w:t>
            </w: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25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268,053,774.21</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9"/>
              <w:jc w:val="right"/>
              <w:rPr>
                <w:rFonts w:ascii="宋体" w:hAnsi="宋体" w:cs="宋体" w:eastAsia="宋体" w:hint="default"/>
                <w:sz w:val="21"/>
                <w:szCs w:val="21"/>
              </w:rPr>
            </w:pPr>
            <w:r>
              <w:rPr>
                <w:rFonts w:ascii="宋体"/>
                <w:sz w:val="21"/>
              </w:rPr>
              <w:t>237,063,796.93</w:t>
            </w: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25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47,675,106.26</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20,159,776.87</w:t>
            </w: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25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3,864,045.73</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9"/>
              <w:jc w:val="right"/>
              <w:rPr>
                <w:rFonts w:ascii="宋体" w:hAnsi="宋体" w:cs="宋体" w:eastAsia="宋体" w:hint="default"/>
                <w:sz w:val="21"/>
                <w:szCs w:val="21"/>
              </w:rPr>
            </w:pPr>
            <w:r>
              <w:rPr>
                <w:rFonts w:ascii="宋体"/>
                <w:sz w:val="21"/>
              </w:rPr>
              <w:t>4,093,651.19</w:t>
            </w: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25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18,722,845.05</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16,928,214.90</w:t>
            </w: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应付利息</w:t>
            </w:r>
          </w:p>
        </w:tc>
        <w:tc>
          <w:tcPr>
            <w:tcW w:w="25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pacing w:val="-1"/>
                <w:sz w:val="21"/>
              </w:rPr>
              <w:t>15,889,500.00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18,562,500.00</w:t>
            </w: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应付股利</w:t>
            </w:r>
          </w:p>
        </w:tc>
        <w:tc>
          <w:tcPr>
            <w:tcW w:w="2564" w:type="dxa"/>
            <w:tcBorders>
              <w:top w:val="single" w:sz="4" w:space="0" w:color="000000"/>
              <w:left w:val="single" w:sz="13"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25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4,455,039.28</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9"/>
              <w:jc w:val="right"/>
              <w:rPr>
                <w:rFonts w:ascii="宋体" w:hAnsi="宋体" w:cs="宋体" w:eastAsia="宋体" w:hint="default"/>
                <w:sz w:val="21"/>
                <w:szCs w:val="21"/>
              </w:rPr>
            </w:pPr>
            <w:r>
              <w:rPr>
                <w:rFonts w:ascii="宋体"/>
                <w:sz w:val="21"/>
              </w:rPr>
              <w:t>1,997,535.62</w:t>
            </w: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持有待售的负债</w:t>
            </w:r>
          </w:p>
        </w:tc>
        <w:tc>
          <w:tcPr>
            <w:tcW w:w="2564" w:type="dxa"/>
            <w:tcBorders>
              <w:top w:val="single" w:sz="4" w:space="0" w:color="000000"/>
              <w:left w:val="single" w:sz="13"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4656"/>
        <w:gridCol w:w="2564"/>
        <w:gridCol w:w="2338"/>
      </w:tblGrid>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一年内到期的非流动负债</w:t>
            </w:r>
          </w:p>
        </w:tc>
        <w:tc>
          <w:tcPr>
            <w:tcW w:w="25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263,859,109.30</w:t>
            </w: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其他流动负债</w:t>
            </w:r>
          </w:p>
        </w:tc>
        <w:tc>
          <w:tcPr>
            <w:tcW w:w="2564" w:type="dxa"/>
            <w:tcBorders>
              <w:top w:val="single" w:sz="4" w:space="0" w:color="000000"/>
              <w:left w:val="single" w:sz="13"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流动负债合计</w:t>
            </w:r>
          </w:p>
        </w:tc>
        <w:tc>
          <w:tcPr>
            <w:tcW w:w="25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722,082,860.62</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9"/>
              <w:jc w:val="right"/>
              <w:rPr>
                <w:rFonts w:ascii="宋体" w:hAnsi="宋体" w:cs="宋体" w:eastAsia="宋体" w:hint="default"/>
                <w:sz w:val="21"/>
                <w:szCs w:val="21"/>
              </w:rPr>
            </w:pPr>
            <w:r>
              <w:rPr>
                <w:rFonts w:ascii="宋体"/>
                <w:sz w:val="21"/>
              </w:rPr>
              <w:t>442,152,676.47</w:t>
            </w: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非流动负债：</w:t>
            </w:r>
          </w:p>
        </w:tc>
        <w:tc>
          <w:tcPr>
            <w:tcW w:w="25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3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25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127,000,000.00</w:t>
            </w: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应付债券</w:t>
            </w:r>
          </w:p>
        </w:tc>
        <w:tc>
          <w:tcPr>
            <w:tcW w:w="2564" w:type="dxa"/>
            <w:tcBorders>
              <w:top w:val="single" w:sz="4" w:space="0" w:color="000000"/>
              <w:left w:val="single" w:sz="13"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9"/>
              <w:jc w:val="right"/>
              <w:rPr>
                <w:rFonts w:ascii="宋体" w:hAnsi="宋体" w:cs="宋体" w:eastAsia="宋体" w:hint="default"/>
                <w:sz w:val="21"/>
                <w:szCs w:val="21"/>
              </w:rPr>
            </w:pPr>
            <w:r>
              <w:rPr>
                <w:rFonts w:ascii="宋体"/>
                <w:sz w:val="21"/>
              </w:rPr>
              <w:t>249,048,721.03</w:t>
            </w: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641" w:right="0"/>
              <w:jc w:val="left"/>
              <w:rPr>
                <w:rFonts w:ascii="宋体" w:hAnsi="宋体" w:cs="宋体" w:eastAsia="宋体" w:hint="default"/>
                <w:sz w:val="21"/>
                <w:szCs w:val="21"/>
              </w:rPr>
            </w:pPr>
            <w:r>
              <w:rPr>
                <w:rFonts w:ascii="宋体" w:hAnsi="宋体" w:cs="宋体" w:eastAsia="宋体" w:hint="default"/>
                <w:sz w:val="21"/>
                <w:szCs w:val="21"/>
              </w:rPr>
              <w:t>其中：优先股</w:t>
            </w:r>
          </w:p>
        </w:tc>
        <w:tc>
          <w:tcPr>
            <w:tcW w:w="2564" w:type="dxa"/>
            <w:tcBorders>
              <w:top w:val="single" w:sz="4" w:space="0" w:color="000000"/>
              <w:left w:val="single" w:sz="13"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271" w:right="0"/>
              <w:jc w:val="left"/>
              <w:rPr>
                <w:rFonts w:ascii="宋体" w:hAnsi="宋体" w:cs="宋体" w:eastAsia="宋体" w:hint="default"/>
                <w:sz w:val="21"/>
                <w:szCs w:val="21"/>
              </w:rPr>
            </w:pPr>
            <w:r>
              <w:rPr>
                <w:rFonts w:ascii="宋体" w:hAnsi="宋体" w:cs="宋体" w:eastAsia="宋体" w:hint="default"/>
                <w:sz w:val="21"/>
                <w:szCs w:val="21"/>
              </w:rPr>
              <w:t>永续债</w:t>
            </w:r>
          </w:p>
        </w:tc>
        <w:tc>
          <w:tcPr>
            <w:tcW w:w="2564" w:type="dxa"/>
            <w:tcBorders>
              <w:top w:val="single" w:sz="4" w:space="0" w:color="000000"/>
              <w:left w:val="single" w:sz="13"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长期应付款</w:t>
            </w:r>
          </w:p>
        </w:tc>
        <w:tc>
          <w:tcPr>
            <w:tcW w:w="2564" w:type="dxa"/>
            <w:tcBorders>
              <w:top w:val="single" w:sz="4" w:space="0" w:color="000000"/>
              <w:left w:val="single" w:sz="13"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长期应付职工薪酬</w:t>
            </w:r>
          </w:p>
        </w:tc>
        <w:tc>
          <w:tcPr>
            <w:tcW w:w="2564" w:type="dxa"/>
            <w:tcBorders>
              <w:top w:val="single" w:sz="4" w:space="0" w:color="000000"/>
              <w:left w:val="single" w:sz="13"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专项应付款</w:t>
            </w:r>
          </w:p>
        </w:tc>
        <w:tc>
          <w:tcPr>
            <w:tcW w:w="2564" w:type="dxa"/>
            <w:tcBorders>
              <w:top w:val="single" w:sz="4" w:space="0" w:color="000000"/>
              <w:left w:val="single" w:sz="13"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预计负债</w:t>
            </w:r>
          </w:p>
        </w:tc>
        <w:tc>
          <w:tcPr>
            <w:tcW w:w="2564" w:type="dxa"/>
            <w:tcBorders>
              <w:top w:val="single" w:sz="4" w:space="0" w:color="000000"/>
              <w:left w:val="single" w:sz="13"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递延收益</w:t>
            </w:r>
          </w:p>
        </w:tc>
        <w:tc>
          <w:tcPr>
            <w:tcW w:w="25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6,500,000.00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9"/>
              <w:jc w:val="right"/>
              <w:rPr>
                <w:rFonts w:ascii="宋体" w:hAnsi="宋体" w:cs="宋体" w:eastAsia="宋体" w:hint="default"/>
                <w:sz w:val="21"/>
                <w:szCs w:val="21"/>
              </w:rPr>
            </w:pPr>
            <w:r>
              <w:rPr>
                <w:rFonts w:ascii="宋体"/>
                <w:sz w:val="21"/>
              </w:rPr>
              <w:t>8,500,000.00</w:t>
            </w: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25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13,477,683.61</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10,273,154.31</w:t>
            </w: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其他非流动负债</w:t>
            </w:r>
          </w:p>
        </w:tc>
        <w:tc>
          <w:tcPr>
            <w:tcW w:w="2564" w:type="dxa"/>
            <w:tcBorders>
              <w:top w:val="single" w:sz="4" w:space="0" w:color="000000"/>
              <w:left w:val="single" w:sz="13"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非流动负债合计</w:t>
            </w:r>
          </w:p>
        </w:tc>
        <w:tc>
          <w:tcPr>
            <w:tcW w:w="25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146,977,683.61</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9"/>
              <w:jc w:val="right"/>
              <w:rPr>
                <w:rFonts w:ascii="宋体" w:hAnsi="宋体" w:cs="宋体" w:eastAsia="宋体" w:hint="default"/>
                <w:sz w:val="21"/>
                <w:szCs w:val="21"/>
              </w:rPr>
            </w:pPr>
            <w:r>
              <w:rPr>
                <w:rFonts w:ascii="宋体"/>
                <w:sz w:val="21"/>
              </w:rPr>
              <w:t>267,821,875.34</w:t>
            </w: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负债合计</w:t>
            </w:r>
          </w:p>
        </w:tc>
        <w:tc>
          <w:tcPr>
            <w:tcW w:w="25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869,060,544.23</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9"/>
              <w:jc w:val="right"/>
              <w:rPr>
                <w:rFonts w:ascii="宋体" w:hAnsi="宋体" w:cs="宋体" w:eastAsia="宋体" w:hint="default"/>
                <w:sz w:val="21"/>
                <w:szCs w:val="21"/>
              </w:rPr>
            </w:pPr>
            <w:r>
              <w:rPr>
                <w:rFonts w:ascii="宋体"/>
                <w:sz w:val="21"/>
              </w:rPr>
              <w:t>709,974,551.81</w:t>
            </w: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所有者权益：</w:t>
            </w:r>
          </w:p>
        </w:tc>
        <w:tc>
          <w:tcPr>
            <w:tcW w:w="25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3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股本</w:t>
            </w:r>
          </w:p>
        </w:tc>
        <w:tc>
          <w:tcPr>
            <w:tcW w:w="25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376,656,420.00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9"/>
              <w:jc w:val="right"/>
              <w:rPr>
                <w:rFonts w:ascii="宋体" w:hAnsi="宋体" w:cs="宋体" w:eastAsia="宋体" w:hint="default"/>
                <w:sz w:val="21"/>
                <w:szCs w:val="21"/>
              </w:rPr>
            </w:pPr>
            <w:r>
              <w:rPr>
                <w:rFonts w:ascii="宋体"/>
                <w:sz w:val="21"/>
              </w:rPr>
              <w:t>376,656,420.00</w:t>
            </w: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其他权益工具</w:t>
            </w:r>
          </w:p>
        </w:tc>
        <w:tc>
          <w:tcPr>
            <w:tcW w:w="2564" w:type="dxa"/>
            <w:tcBorders>
              <w:top w:val="single" w:sz="4" w:space="0" w:color="000000"/>
              <w:left w:val="single" w:sz="13"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641" w:right="0"/>
              <w:jc w:val="left"/>
              <w:rPr>
                <w:rFonts w:ascii="宋体" w:hAnsi="宋体" w:cs="宋体" w:eastAsia="宋体" w:hint="default"/>
                <w:sz w:val="21"/>
                <w:szCs w:val="21"/>
              </w:rPr>
            </w:pPr>
            <w:r>
              <w:rPr>
                <w:rFonts w:ascii="宋体" w:hAnsi="宋体" w:cs="宋体" w:eastAsia="宋体" w:hint="default"/>
                <w:sz w:val="21"/>
                <w:szCs w:val="21"/>
              </w:rPr>
              <w:t>其中：优先股</w:t>
            </w:r>
          </w:p>
        </w:tc>
        <w:tc>
          <w:tcPr>
            <w:tcW w:w="2564" w:type="dxa"/>
            <w:tcBorders>
              <w:top w:val="single" w:sz="4" w:space="0" w:color="000000"/>
              <w:left w:val="single" w:sz="13"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271" w:right="0"/>
              <w:jc w:val="left"/>
              <w:rPr>
                <w:rFonts w:ascii="宋体" w:hAnsi="宋体" w:cs="宋体" w:eastAsia="宋体" w:hint="default"/>
                <w:sz w:val="21"/>
                <w:szCs w:val="21"/>
              </w:rPr>
            </w:pPr>
            <w:r>
              <w:rPr>
                <w:rFonts w:ascii="宋体" w:hAnsi="宋体" w:cs="宋体" w:eastAsia="宋体" w:hint="default"/>
                <w:sz w:val="21"/>
                <w:szCs w:val="21"/>
              </w:rPr>
              <w:t>永续债</w:t>
            </w:r>
          </w:p>
        </w:tc>
        <w:tc>
          <w:tcPr>
            <w:tcW w:w="2564" w:type="dxa"/>
            <w:tcBorders>
              <w:top w:val="single" w:sz="4" w:space="0" w:color="000000"/>
              <w:left w:val="single" w:sz="13"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25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533,365,302.04</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9"/>
              <w:jc w:val="right"/>
              <w:rPr>
                <w:rFonts w:ascii="宋体" w:hAnsi="宋体" w:cs="宋体" w:eastAsia="宋体" w:hint="default"/>
                <w:sz w:val="21"/>
                <w:szCs w:val="21"/>
              </w:rPr>
            </w:pPr>
            <w:r>
              <w:rPr>
                <w:rFonts w:ascii="宋体"/>
                <w:sz w:val="21"/>
              </w:rPr>
              <w:t>749,526,453.67</w:t>
            </w: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减：库存股</w:t>
            </w:r>
          </w:p>
        </w:tc>
        <w:tc>
          <w:tcPr>
            <w:tcW w:w="2564" w:type="dxa"/>
            <w:tcBorders>
              <w:top w:val="single" w:sz="4" w:space="0" w:color="000000"/>
              <w:left w:val="single" w:sz="13"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其他综合收益</w:t>
            </w:r>
          </w:p>
        </w:tc>
        <w:tc>
          <w:tcPr>
            <w:tcW w:w="2564" w:type="dxa"/>
            <w:tcBorders>
              <w:top w:val="single" w:sz="4" w:space="0" w:color="000000"/>
              <w:left w:val="single" w:sz="13"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专项储备</w:t>
            </w:r>
          </w:p>
        </w:tc>
        <w:tc>
          <w:tcPr>
            <w:tcW w:w="2564" w:type="dxa"/>
            <w:tcBorders>
              <w:top w:val="single" w:sz="4" w:space="0" w:color="000000"/>
              <w:left w:val="single" w:sz="13"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25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64,909,865.84</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61,467,445.51</w:t>
            </w: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25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312,019,530.09</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9"/>
              <w:jc w:val="right"/>
              <w:rPr>
                <w:rFonts w:ascii="宋体" w:hAnsi="宋体" w:cs="宋体" w:eastAsia="宋体" w:hint="default"/>
                <w:sz w:val="21"/>
                <w:szCs w:val="21"/>
              </w:rPr>
            </w:pPr>
            <w:r>
              <w:rPr>
                <w:rFonts w:ascii="宋体"/>
                <w:sz w:val="21"/>
              </w:rPr>
              <w:t>284,804,311.36</w:t>
            </w: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所有者权益合计</w:t>
            </w:r>
          </w:p>
        </w:tc>
        <w:tc>
          <w:tcPr>
            <w:tcW w:w="25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1,286,951,117.97</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9"/>
              <w:jc w:val="right"/>
              <w:rPr>
                <w:rFonts w:ascii="宋体" w:hAnsi="宋体" w:cs="宋体" w:eastAsia="宋体" w:hint="default"/>
                <w:sz w:val="21"/>
                <w:szCs w:val="21"/>
              </w:rPr>
            </w:pPr>
            <w:r>
              <w:rPr>
                <w:rFonts w:ascii="宋体"/>
                <w:sz w:val="21"/>
              </w:rPr>
              <w:t>1,472,454,630.54</w:t>
            </w: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负债和所有者权益总计</w:t>
            </w:r>
          </w:p>
        </w:tc>
        <w:tc>
          <w:tcPr>
            <w:tcW w:w="25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2,156,011,662.20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pacing w:val="-1"/>
                <w:sz w:val="21"/>
              </w:rPr>
              <w:t>2,182,429,182.35</w:t>
            </w:r>
          </w:p>
        </w:tc>
      </w:tr>
    </w:tbl>
    <w:p>
      <w:pPr>
        <w:spacing w:line="240" w:lineRule="auto" w:before="5"/>
        <w:rPr>
          <w:rFonts w:ascii="Times New Roman" w:hAnsi="Times New Roman" w:cs="Times New Roman" w:eastAsia="Times New Roman" w:hint="default"/>
          <w:sz w:val="20"/>
          <w:szCs w:val="20"/>
        </w:rPr>
      </w:pPr>
    </w:p>
    <w:p>
      <w:pPr>
        <w:pStyle w:val="Heading2"/>
        <w:spacing w:line="240" w:lineRule="auto"/>
        <w:ind w:right="996"/>
        <w:jc w:val="left"/>
        <w:rPr>
          <w:b w:val="0"/>
          <w:bCs w:val="0"/>
        </w:rPr>
      </w:pPr>
      <w:bookmarkStart w:name="3、合并利润表" w:id="192"/>
      <w:bookmarkEnd w:id="192"/>
      <w:r>
        <w:rPr>
          <w:b w:val="0"/>
          <w:bCs w:val="0"/>
        </w:rPr>
      </w:r>
      <w:r>
        <w:rPr>
          <w:rFonts w:ascii="宋体" w:hAnsi="宋体" w:cs="宋体" w:eastAsia="宋体" w:hint="default"/>
        </w:rPr>
        <w:t>3</w:t>
      </w:r>
      <w:r>
        <w:rPr/>
        <w:t>、合并利润表</w:t>
      </w:r>
      <w:r>
        <w:rPr>
          <w:b w:val="0"/>
          <w:bCs w:val="0"/>
        </w:rPr>
      </w:r>
    </w:p>
    <w:p>
      <w:pPr>
        <w:spacing w:line="240" w:lineRule="auto" w:before="0"/>
        <w:rPr>
          <w:rFonts w:ascii="宋体" w:hAnsi="宋体" w:cs="宋体" w:eastAsia="宋体" w:hint="default"/>
          <w:b/>
          <w:bCs/>
          <w:sz w:val="22"/>
          <w:szCs w:val="22"/>
        </w:rPr>
      </w:pPr>
    </w:p>
    <w:p>
      <w:pPr>
        <w:spacing w:before="35"/>
        <w:ind w:left="0" w:right="1130" w:firstLine="0"/>
        <w:jc w:val="right"/>
        <w:rPr>
          <w:rFonts w:ascii="宋体" w:hAnsi="宋体" w:cs="宋体" w:eastAsia="宋体" w:hint="default"/>
          <w:sz w:val="21"/>
          <w:szCs w:val="21"/>
        </w:rPr>
      </w:pPr>
      <w:r>
        <w:rPr>
          <w:rFonts w:ascii="宋体" w:hAnsi="宋体" w:cs="宋体" w:eastAsia="宋体" w:hint="default"/>
          <w:sz w:val="21"/>
          <w:szCs w:val="21"/>
        </w:rPr>
        <w:t>单位：元</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678"/>
        <w:gridCol w:w="2553"/>
        <w:gridCol w:w="2337"/>
      </w:tblGrid>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746"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3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638"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bl>
    <w:p>
      <w:pPr>
        <w:spacing w:after="0" w:line="240" w:lineRule="auto"/>
        <w:jc w:val="left"/>
        <w:rPr>
          <w:rFonts w:ascii="宋体" w:hAnsi="宋体" w:cs="宋体" w:eastAsia="宋体" w:hint="default"/>
          <w:sz w:val="21"/>
          <w:szCs w:val="21"/>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group style="position:absolute;margin-left:290.859985pt;margin-top:453.819977pt;width:126.05pt;height:20.85pt;mso-position-horizontal-relative:page;mso-position-vertical-relative:page;z-index:-915904" coordorigin="5817,9076" coordsize="2521,417">
            <v:group style="position:absolute;left:5829;top:9088;width:2;height:393" coordorigin="5829,9088" coordsize="2,393">
              <v:shape style="position:absolute;left:5829;top:9088;width:2;height:393" coordorigin="5829,9088" coordsize="0,393" path="m5829,9088l5829,9481e" filled="false" stroked="true" strokeweight="1.2pt" strokecolor="#ffffff">
                <v:path arrowok="t"/>
              </v:shape>
            </v:group>
            <v:group style="position:absolute;left:5841;top:9088;width:2497;height:393" coordorigin="5841,9088" coordsize="2497,393">
              <v:shape style="position:absolute;left:5841;top:9088;width:2497;height:393" coordorigin="5841,9088" coordsize="2497,393" path="m5841,9481l8338,9481,8338,9088,5841,9088,5841,9481xe" filled="true" fillcolor="#ffffff" stroked="false">
                <v:path arrowok="t"/>
                <v:fill type="solid"/>
              </v:shape>
            </v:group>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4678"/>
        <w:gridCol w:w="2553"/>
        <w:gridCol w:w="2338"/>
      </w:tblGrid>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一、营业总收入</w:t>
            </w:r>
          </w:p>
        </w:tc>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546,892,512.85</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514,609,100.85</w:t>
            </w: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42" w:right="0"/>
              <w:jc w:val="left"/>
              <w:rPr>
                <w:rFonts w:ascii="宋体" w:hAnsi="宋体" w:cs="宋体" w:eastAsia="宋体" w:hint="default"/>
                <w:sz w:val="21"/>
                <w:szCs w:val="21"/>
              </w:rPr>
            </w:pPr>
            <w:r>
              <w:rPr>
                <w:rFonts w:ascii="宋体" w:hAnsi="宋体" w:cs="宋体" w:eastAsia="宋体" w:hint="default"/>
                <w:sz w:val="21"/>
                <w:szCs w:val="21"/>
              </w:rPr>
              <w:t>其中：营业收入</w:t>
            </w:r>
          </w:p>
        </w:tc>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546,892,512.85</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514,609,100.85</w:t>
            </w: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073" w:right="0"/>
              <w:jc w:val="left"/>
              <w:rPr>
                <w:rFonts w:ascii="宋体" w:hAnsi="宋体" w:cs="宋体" w:eastAsia="宋体" w:hint="default"/>
                <w:sz w:val="21"/>
                <w:szCs w:val="21"/>
              </w:rPr>
            </w:pPr>
            <w:r>
              <w:rPr>
                <w:rFonts w:ascii="宋体" w:hAnsi="宋体" w:cs="宋体" w:eastAsia="宋体" w:hint="default"/>
                <w:sz w:val="21"/>
                <w:szCs w:val="21"/>
              </w:rPr>
              <w:t>利息收入</w:t>
            </w:r>
          </w:p>
        </w:tc>
        <w:tc>
          <w:tcPr>
            <w:tcW w:w="2553"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073" w:right="0"/>
              <w:jc w:val="left"/>
              <w:rPr>
                <w:rFonts w:ascii="宋体" w:hAnsi="宋体" w:cs="宋体" w:eastAsia="宋体" w:hint="default"/>
                <w:sz w:val="21"/>
                <w:szCs w:val="21"/>
              </w:rPr>
            </w:pPr>
            <w:r>
              <w:rPr>
                <w:rFonts w:ascii="宋体" w:hAnsi="宋体" w:cs="宋体" w:eastAsia="宋体" w:hint="default"/>
                <w:sz w:val="21"/>
                <w:szCs w:val="21"/>
              </w:rPr>
              <w:t>已赚保费</w:t>
            </w:r>
          </w:p>
        </w:tc>
        <w:tc>
          <w:tcPr>
            <w:tcW w:w="2553"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073" w:right="0"/>
              <w:jc w:val="left"/>
              <w:rPr>
                <w:rFonts w:ascii="宋体" w:hAnsi="宋体" w:cs="宋体" w:eastAsia="宋体" w:hint="default"/>
                <w:sz w:val="21"/>
                <w:szCs w:val="21"/>
              </w:rPr>
            </w:pPr>
            <w:r>
              <w:rPr>
                <w:rFonts w:ascii="宋体" w:hAnsi="宋体" w:cs="宋体" w:eastAsia="宋体" w:hint="default"/>
                <w:sz w:val="21"/>
                <w:szCs w:val="21"/>
              </w:rPr>
              <w:t>手续费及佣金收入</w:t>
            </w:r>
          </w:p>
        </w:tc>
        <w:tc>
          <w:tcPr>
            <w:tcW w:w="2553"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二、营业总成本</w:t>
            </w:r>
          </w:p>
        </w:tc>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685,572,013.92</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434,053,223.02</w:t>
            </w: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42" w:right="0"/>
              <w:jc w:val="left"/>
              <w:rPr>
                <w:rFonts w:ascii="宋体" w:hAnsi="宋体" w:cs="宋体" w:eastAsia="宋体" w:hint="default"/>
                <w:sz w:val="21"/>
                <w:szCs w:val="21"/>
              </w:rPr>
            </w:pPr>
            <w:r>
              <w:rPr>
                <w:rFonts w:ascii="宋体" w:hAnsi="宋体" w:cs="宋体" w:eastAsia="宋体" w:hint="default"/>
                <w:sz w:val="21"/>
                <w:szCs w:val="21"/>
              </w:rPr>
              <w:t>其中：营业成本</w:t>
            </w:r>
          </w:p>
        </w:tc>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288,274,429.29</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265,768,221.00</w:t>
            </w: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073" w:right="0"/>
              <w:jc w:val="left"/>
              <w:rPr>
                <w:rFonts w:ascii="宋体" w:hAnsi="宋体" w:cs="宋体" w:eastAsia="宋体" w:hint="default"/>
                <w:sz w:val="21"/>
                <w:szCs w:val="21"/>
              </w:rPr>
            </w:pPr>
            <w:r>
              <w:rPr>
                <w:rFonts w:ascii="宋体" w:hAnsi="宋体" w:cs="宋体" w:eastAsia="宋体" w:hint="default"/>
                <w:sz w:val="21"/>
                <w:szCs w:val="21"/>
              </w:rPr>
              <w:t>利息支出</w:t>
            </w:r>
          </w:p>
        </w:tc>
        <w:tc>
          <w:tcPr>
            <w:tcW w:w="2553"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073" w:right="0"/>
              <w:jc w:val="left"/>
              <w:rPr>
                <w:rFonts w:ascii="宋体" w:hAnsi="宋体" w:cs="宋体" w:eastAsia="宋体" w:hint="default"/>
                <w:sz w:val="21"/>
                <w:szCs w:val="21"/>
              </w:rPr>
            </w:pPr>
            <w:r>
              <w:rPr>
                <w:rFonts w:ascii="宋体" w:hAnsi="宋体" w:cs="宋体" w:eastAsia="宋体" w:hint="default"/>
                <w:sz w:val="21"/>
                <w:szCs w:val="21"/>
              </w:rPr>
              <w:t>手续费及佣金支出</w:t>
            </w:r>
          </w:p>
        </w:tc>
        <w:tc>
          <w:tcPr>
            <w:tcW w:w="2553"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073" w:right="0"/>
              <w:jc w:val="left"/>
              <w:rPr>
                <w:rFonts w:ascii="宋体" w:hAnsi="宋体" w:cs="宋体" w:eastAsia="宋体" w:hint="default"/>
                <w:sz w:val="21"/>
                <w:szCs w:val="21"/>
              </w:rPr>
            </w:pPr>
            <w:r>
              <w:rPr>
                <w:rFonts w:ascii="宋体" w:hAnsi="宋体" w:cs="宋体" w:eastAsia="宋体" w:hint="default"/>
                <w:sz w:val="21"/>
                <w:szCs w:val="21"/>
              </w:rPr>
              <w:t>退保金</w:t>
            </w:r>
          </w:p>
        </w:tc>
        <w:tc>
          <w:tcPr>
            <w:tcW w:w="2553"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073" w:right="0"/>
              <w:jc w:val="left"/>
              <w:rPr>
                <w:rFonts w:ascii="宋体" w:hAnsi="宋体" w:cs="宋体" w:eastAsia="宋体" w:hint="default"/>
                <w:sz w:val="21"/>
                <w:szCs w:val="21"/>
              </w:rPr>
            </w:pPr>
            <w:r>
              <w:rPr>
                <w:rFonts w:ascii="宋体" w:hAnsi="宋体" w:cs="宋体" w:eastAsia="宋体" w:hint="default"/>
                <w:sz w:val="21"/>
                <w:szCs w:val="21"/>
              </w:rPr>
              <w:t>赔付支出净额</w:t>
            </w:r>
          </w:p>
        </w:tc>
        <w:tc>
          <w:tcPr>
            <w:tcW w:w="2553"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073" w:right="0"/>
              <w:jc w:val="left"/>
              <w:rPr>
                <w:rFonts w:ascii="宋体" w:hAnsi="宋体" w:cs="宋体" w:eastAsia="宋体" w:hint="default"/>
                <w:sz w:val="21"/>
                <w:szCs w:val="21"/>
              </w:rPr>
            </w:pPr>
            <w:r>
              <w:rPr>
                <w:rFonts w:ascii="宋体" w:hAnsi="宋体" w:cs="宋体" w:eastAsia="宋体" w:hint="default"/>
                <w:sz w:val="21"/>
                <w:szCs w:val="21"/>
              </w:rPr>
              <w:t>提取保险合同准备金净额</w:t>
            </w:r>
          </w:p>
        </w:tc>
        <w:tc>
          <w:tcPr>
            <w:tcW w:w="2553"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073" w:right="0"/>
              <w:jc w:val="left"/>
              <w:rPr>
                <w:rFonts w:ascii="宋体" w:hAnsi="宋体" w:cs="宋体" w:eastAsia="宋体" w:hint="default"/>
                <w:sz w:val="21"/>
                <w:szCs w:val="21"/>
              </w:rPr>
            </w:pPr>
            <w:r>
              <w:rPr>
                <w:rFonts w:ascii="宋体" w:hAnsi="宋体" w:cs="宋体" w:eastAsia="宋体" w:hint="default"/>
                <w:sz w:val="21"/>
                <w:szCs w:val="21"/>
              </w:rPr>
              <w:t>保单红利支出</w:t>
            </w:r>
          </w:p>
        </w:tc>
        <w:tc>
          <w:tcPr>
            <w:tcW w:w="2553"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073" w:right="0"/>
              <w:jc w:val="left"/>
              <w:rPr>
                <w:rFonts w:ascii="宋体" w:hAnsi="宋体" w:cs="宋体" w:eastAsia="宋体" w:hint="default"/>
                <w:sz w:val="21"/>
                <w:szCs w:val="21"/>
              </w:rPr>
            </w:pPr>
            <w:r>
              <w:rPr>
                <w:rFonts w:ascii="宋体" w:hAnsi="宋体" w:cs="宋体" w:eastAsia="宋体" w:hint="default"/>
                <w:sz w:val="21"/>
                <w:szCs w:val="21"/>
              </w:rPr>
              <w:t>分保费用</w:t>
            </w:r>
          </w:p>
        </w:tc>
        <w:tc>
          <w:tcPr>
            <w:tcW w:w="2553"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073" w:right="0"/>
              <w:jc w:val="left"/>
              <w:rPr>
                <w:rFonts w:ascii="宋体" w:hAnsi="宋体" w:cs="宋体" w:eastAsia="宋体" w:hint="default"/>
                <w:sz w:val="21"/>
                <w:szCs w:val="21"/>
              </w:rPr>
            </w:pPr>
            <w:r>
              <w:rPr>
                <w:rFonts w:ascii="宋体" w:hAnsi="宋体" w:cs="宋体" w:eastAsia="宋体" w:hint="default"/>
                <w:sz w:val="21"/>
                <w:szCs w:val="21"/>
              </w:rPr>
              <w:t>税金及附加</w:t>
            </w:r>
          </w:p>
        </w:tc>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7,127,122.66</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5,893,881.98</w:t>
            </w: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073"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31,096,146.69</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32,051,198.07</w:t>
            </w: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073"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108,189,529.40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94,807,818.81</w:t>
            </w: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073"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15,641,036.26</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7,669,024.20</w:t>
            </w: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073" w:right="0"/>
              <w:jc w:val="left"/>
              <w:rPr>
                <w:rFonts w:ascii="宋体" w:hAnsi="宋体" w:cs="宋体" w:eastAsia="宋体" w:hint="default"/>
                <w:sz w:val="21"/>
                <w:szCs w:val="21"/>
              </w:rPr>
            </w:pPr>
            <w:r>
              <w:rPr>
                <w:rFonts w:ascii="宋体" w:hAnsi="宋体" w:cs="宋体" w:eastAsia="宋体" w:hint="default"/>
                <w:sz w:val="21"/>
                <w:szCs w:val="21"/>
              </w:rPr>
              <w:t>资产减值损失</w:t>
            </w:r>
          </w:p>
        </w:tc>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235,243,749.62</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27,863,078.96</w:t>
            </w: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125"/>
              <w:jc w:val="right"/>
              <w:rPr>
                <w:rFonts w:ascii="宋体" w:hAnsi="宋体" w:cs="宋体" w:eastAsia="宋体" w:hint="default"/>
                <w:sz w:val="21"/>
                <w:szCs w:val="21"/>
              </w:rPr>
            </w:pPr>
            <w:r>
              <w:rPr>
                <w:rFonts w:ascii="宋体" w:hAnsi="宋体" w:cs="宋体" w:eastAsia="宋体" w:hint="default"/>
                <w:spacing w:val="-6"/>
                <w:sz w:val="21"/>
                <w:szCs w:val="21"/>
              </w:rPr>
              <w:t>加：公允价值变动收益（损失以“－”号填列</w:t>
            </w:r>
          </w:p>
        </w:tc>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37" w:right="0"/>
              <w:jc w:val="left"/>
              <w:rPr>
                <w:rFonts w:ascii="宋体" w:hAnsi="宋体" w:cs="宋体" w:eastAsia="宋体" w:hint="default"/>
                <w:sz w:val="21"/>
                <w:szCs w:val="21"/>
              </w:rPr>
            </w:pPr>
            <w:r>
              <w:rPr>
                <w:rFonts w:ascii="宋体" w:hAnsi="宋体" w:cs="宋体" w:eastAsia="宋体" w:hint="default"/>
                <w:sz w:val="21"/>
                <w:szCs w:val="21"/>
              </w:rPr>
              <w:t>）</w:t>
            </w: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863" w:right="0"/>
              <w:jc w:val="left"/>
              <w:rPr>
                <w:rFonts w:ascii="宋体" w:hAnsi="宋体" w:cs="宋体" w:eastAsia="宋体" w:hint="default"/>
                <w:sz w:val="21"/>
                <w:szCs w:val="21"/>
              </w:rPr>
            </w:pPr>
            <w:r>
              <w:rPr>
                <w:rFonts w:ascii="宋体" w:hAnsi="宋体" w:cs="宋体" w:eastAsia="宋体" w:hint="default"/>
                <w:sz w:val="21"/>
                <w:szCs w:val="21"/>
              </w:rPr>
              <w:t>投资收益（损失以“－”号填列）</w:t>
            </w:r>
          </w:p>
        </w:tc>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pacing w:val="-1"/>
                <w:sz w:val="21"/>
              </w:rPr>
              <w:t>-14,715,210.50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pacing w:val="-1"/>
                <w:sz w:val="21"/>
              </w:rPr>
              <w:t>-14,166,435.10</w:t>
            </w: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23"/>
              <w:jc w:val="right"/>
              <w:rPr>
                <w:rFonts w:ascii="宋体" w:hAnsi="宋体" w:cs="宋体" w:eastAsia="宋体" w:hint="default"/>
                <w:sz w:val="21"/>
                <w:szCs w:val="21"/>
              </w:rPr>
            </w:pPr>
            <w:r>
              <w:rPr>
                <w:rFonts w:ascii="宋体" w:hAnsi="宋体" w:cs="宋体" w:eastAsia="宋体" w:hint="default"/>
                <w:sz w:val="21"/>
                <w:szCs w:val="21"/>
              </w:rPr>
              <w:t>其中：对联营企业和合营企业的投资收益</w:t>
            </w:r>
          </w:p>
        </w:tc>
        <w:tc>
          <w:tcPr>
            <w:tcW w:w="2553"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863" w:right="0"/>
              <w:jc w:val="left"/>
              <w:rPr>
                <w:rFonts w:ascii="宋体" w:hAnsi="宋体" w:cs="宋体" w:eastAsia="宋体" w:hint="default"/>
                <w:sz w:val="21"/>
                <w:szCs w:val="21"/>
              </w:rPr>
            </w:pPr>
            <w:r>
              <w:rPr>
                <w:rFonts w:ascii="宋体" w:hAnsi="宋体" w:cs="宋体" w:eastAsia="宋体" w:hint="default"/>
                <w:sz w:val="21"/>
                <w:szCs w:val="21"/>
              </w:rPr>
              <w:t>汇兑收益（损失以“</w:t>
            </w:r>
            <w:r>
              <w:rPr>
                <w:rFonts w:ascii="宋体" w:hAnsi="宋体" w:cs="宋体" w:eastAsia="宋体" w:hint="default"/>
                <w:sz w:val="21"/>
                <w:szCs w:val="21"/>
              </w:rPr>
              <w:t>-</w:t>
            </w:r>
            <w:r>
              <w:rPr>
                <w:rFonts w:ascii="宋体" w:hAnsi="宋体" w:cs="宋体" w:eastAsia="宋体" w:hint="default"/>
                <w:sz w:val="21"/>
                <w:szCs w:val="21"/>
              </w:rPr>
              <w:t>”号填列）</w:t>
            </w:r>
          </w:p>
        </w:tc>
        <w:tc>
          <w:tcPr>
            <w:tcW w:w="2553"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863" w:right="0"/>
              <w:jc w:val="left"/>
              <w:rPr>
                <w:rFonts w:ascii="宋体" w:hAnsi="宋体" w:cs="宋体" w:eastAsia="宋体" w:hint="default"/>
                <w:sz w:val="21"/>
                <w:szCs w:val="21"/>
              </w:rPr>
            </w:pPr>
            <w:r>
              <w:rPr>
                <w:rFonts w:ascii="宋体" w:hAnsi="宋体" w:cs="宋体" w:eastAsia="宋体" w:hint="default"/>
                <w:sz w:val="21"/>
                <w:szCs w:val="21"/>
              </w:rPr>
              <w:t>资产处置收益（损失以“</w:t>
            </w:r>
            <w:r>
              <w:rPr>
                <w:rFonts w:ascii="宋体" w:hAnsi="宋体" w:cs="宋体" w:eastAsia="宋体" w:hint="default"/>
                <w:sz w:val="21"/>
                <w:szCs w:val="21"/>
              </w:rPr>
              <w:t>-</w:t>
            </w:r>
            <w:r>
              <w:rPr>
                <w:rFonts w:ascii="宋体" w:hAnsi="宋体" w:cs="宋体" w:eastAsia="宋体" w:hint="default"/>
                <w:sz w:val="21"/>
                <w:szCs w:val="21"/>
              </w:rPr>
              <w:t>”号填列）</w:t>
            </w:r>
          </w:p>
        </w:tc>
        <w:tc>
          <w:tcPr>
            <w:tcW w:w="2553"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75,639.04</w:t>
            </w: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863" w:right="0"/>
              <w:jc w:val="left"/>
              <w:rPr>
                <w:rFonts w:ascii="宋体" w:hAnsi="宋体" w:cs="宋体" w:eastAsia="宋体" w:hint="default"/>
                <w:sz w:val="21"/>
                <w:szCs w:val="21"/>
              </w:rPr>
            </w:pPr>
            <w:r>
              <w:rPr>
                <w:rFonts w:ascii="宋体" w:hAnsi="宋体" w:cs="宋体" w:eastAsia="宋体" w:hint="default"/>
                <w:sz w:val="21"/>
                <w:szCs w:val="21"/>
              </w:rPr>
              <w:t>其他收益</w:t>
            </w:r>
          </w:p>
        </w:tc>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28,561,151.98</w:t>
            </w: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三、营业利润（亏损以“－”号填列）</w:t>
            </w:r>
          </w:p>
        </w:tc>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pacing w:val="-1"/>
                <w:sz w:val="21"/>
              </w:rPr>
              <w:t>-124,833,559.59</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2"/>
              <w:jc w:val="right"/>
              <w:rPr>
                <w:rFonts w:ascii="宋体" w:hAnsi="宋体" w:cs="宋体" w:eastAsia="宋体" w:hint="default"/>
                <w:sz w:val="21"/>
                <w:szCs w:val="21"/>
              </w:rPr>
            </w:pPr>
            <w:r>
              <w:rPr>
                <w:rFonts w:ascii="宋体"/>
                <w:spacing w:val="-1"/>
                <w:sz w:val="21"/>
              </w:rPr>
              <w:t>66,465,081.77</w:t>
            </w: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42" w:right="0"/>
              <w:jc w:val="left"/>
              <w:rPr>
                <w:rFonts w:ascii="宋体" w:hAnsi="宋体" w:cs="宋体" w:eastAsia="宋体" w:hint="default"/>
                <w:sz w:val="21"/>
                <w:szCs w:val="21"/>
              </w:rPr>
            </w:pPr>
            <w:r>
              <w:rPr>
                <w:rFonts w:ascii="宋体" w:hAnsi="宋体" w:cs="宋体" w:eastAsia="宋体" w:hint="default"/>
                <w:sz w:val="21"/>
                <w:szCs w:val="21"/>
              </w:rPr>
              <w:t>加：营业外收入</w:t>
            </w:r>
          </w:p>
        </w:tc>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375,270.80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40,096,351.49</w:t>
            </w: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42" w:right="0"/>
              <w:jc w:val="left"/>
              <w:rPr>
                <w:rFonts w:ascii="宋体" w:hAnsi="宋体" w:cs="宋体" w:eastAsia="宋体" w:hint="default"/>
                <w:sz w:val="21"/>
                <w:szCs w:val="21"/>
              </w:rPr>
            </w:pPr>
            <w:r>
              <w:rPr>
                <w:rFonts w:ascii="宋体" w:hAnsi="宋体" w:cs="宋体" w:eastAsia="宋体" w:hint="default"/>
                <w:sz w:val="21"/>
                <w:szCs w:val="21"/>
              </w:rPr>
              <w:t>减：营业外支出</w:t>
            </w:r>
          </w:p>
        </w:tc>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5,679,496.79</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3"/>
              <w:jc w:val="right"/>
              <w:rPr>
                <w:rFonts w:ascii="宋体" w:hAnsi="宋体" w:cs="宋体" w:eastAsia="宋体" w:hint="default"/>
                <w:sz w:val="21"/>
                <w:szCs w:val="21"/>
              </w:rPr>
            </w:pPr>
            <w:r>
              <w:rPr>
                <w:rFonts w:ascii="宋体"/>
                <w:sz w:val="21"/>
              </w:rPr>
              <w:t>151,007.96</w:t>
            </w: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四、利润总额（亏损总额以“－”号填列）</w:t>
            </w:r>
          </w:p>
        </w:tc>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pacing w:val="-1"/>
                <w:sz w:val="21"/>
              </w:rPr>
              <w:t>-130,137,785.58</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106,410,425.30</w:t>
            </w: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42" w:right="0"/>
              <w:jc w:val="left"/>
              <w:rPr>
                <w:rFonts w:ascii="宋体" w:hAnsi="宋体" w:cs="宋体" w:eastAsia="宋体" w:hint="default"/>
                <w:sz w:val="21"/>
                <w:szCs w:val="21"/>
              </w:rPr>
            </w:pPr>
            <w:r>
              <w:rPr>
                <w:rFonts w:ascii="宋体" w:hAnsi="宋体" w:cs="宋体" w:eastAsia="宋体" w:hint="default"/>
                <w:sz w:val="21"/>
                <w:szCs w:val="21"/>
              </w:rPr>
              <w:t>减：所得税费用</w:t>
            </w:r>
          </w:p>
        </w:tc>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16,201,720.66</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21,340,281.35</w:t>
            </w: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五、净利润（净亏损以“－”号填列）</w:t>
            </w:r>
          </w:p>
        </w:tc>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pacing w:val="-1"/>
                <w:sz w:val="21"/>
              </w:rPr>
              <w:t>-146,339,506.24</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85,070,143.95</w:t>
            </w:r>
          </w:p>
        </w:tc>
      </w:tr>
      <w:tr>
        <w:trPr>
          <w:trHeight w:val="714"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22" w:right="23" w:firstLine="420"/>
              <w:jc w:val="left"/>
              <w:rPr>
                <w:rFonts w:ascii="宋体" w:hAnsi="宋体" w:cs="宋体" w:eastAsia="宋体" w:hint="default"/>
                <w:sz w:val="21"/>
                <w:szCs w:val="21"/>
              </w:rPr>
            </w:pPr>
            <w:r>
              <w:rPr>
                <w:rFonts w:ascii="宋体" w:hAnsi="宋体" w:cs="宋体" w:eastAsia="宋体" w:hint="default"/>
                <w:sz w:val="21"/>
                <w:szCs w:val="21"/>
              </w:rPr>
              <w:t>（一）持续经营净利润（净亏损以“－”号填 列）</w:t>
            </w:r>
          </w:p>
        </w:tc>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20"/>
              <w:jc w:val="right"/>
              <w:rPr>
                <w:rFonts w:ascii="宋体" w:hAnsi="宋体" w:cs="宋体" w:eastAsia="宋体" w:hint="default"/>
                <w:sz w:val="21"/>
                <w:szCs w:val="21"/>
              </w:rPr>
            </w:pPr>
            <w:r>
              <w:rPr>
                <w:rFonts w:ascii="宋体"/>
                <w:spacing w:val="-1"/>
                <w:sz w:val="21"/>
              </w:rPr>
              <w:t>-146,339,506.24</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21"/>
              <w:jc w:val="right"/>
              <w:rPr>
                <w:rFonts w:ascii="宋体" w:hAnsi="宋体" w:cs="宋体" w:eastAsia="宋体" w:hint="default"/>
                <w:sz w:val="21"/>
                <w:szCs w:val="21"/>
              </w:rPr>
            </w:pPr>
            <w:r>
              <w:rPr>
                <w:rFonts w:ascii="宋体"/>
                <w:sz w:val="21"/>
              </w:rPr>
              <w:t>85,070,143.95</w:t>
            </w:r>
          </w:p>
        </w:tc>
      </w:tr>
      <w:tr>
        <w:trPr>
          <w:trHeight w:val="714"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22" w:right="23" w:firstLine="420"/>
              <w:jc w:val="left"/>
              <w:rPr>
                <w:rFonts w:ascii="宋体" w:hAnsi="宋体" w:cs="宋体" w:eastAsia="宋体" w:hint="default"/>
                <w:sz w:val="21"/>
                <w:szCs w:val="21"/>
              </w:rPr>
            </w:pPr>
            <w:r>
              <w:rPr>
                <w:rFonts w:ascii="宋体" w:hAnsi="宋体" w:cs="宋体" w:eastAsia="宋体" w:hint="default"/>
                <w:sz w:val="21"/>
                <w:szCs w:val="21"/>
              </w:rPr>
              <w:t>（二）终止经营净利润（净亏损以“－”号填 列）</w:t>
            </w:r>
          </w:p>
        </w:tc>
        <w:tc>
          <w:tcPr>
            <w:tcW w:w="2553"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4656"/>
        <w:gridCol w:w="2564"/>
        <w:gridCol w:w="2338"/>
      </w:tblGrid>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归属于母公司所有者的净利润</w:t>
            </w:r>
          </w:p>
        </w:tc>
        <w:tc>
          <w:tcPr>
            <w:tcW w:w="25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pacing w:val="-1"/>
                <w:sz w:val="21"/>
              </w:rPr>
              <w:t>-151,742,824.19</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85,070,143.95</w:t>
            </w: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少数股东损益</w:t>
            </w:r>
          </w:p>
        </w:tc>
        <w:tc>
          <w:tcPr>
            <w:tcW w:w="25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5,403,317.95</w:t>
            </w: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六、其他综合收益的税后净额</w:t>
            </w:r>
          </w:p>
        </w:tc>
        <w:tc>
          <w:tcPr>
            <w:tcW w:w="2564" w:type="dxa"/>
            <w:tcBorders>
              <w:top w:val="single" w:sz="4" w:space="0" w:color="000000"/>
              <w:left w:val="single" w:sz="13"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1" w:right="0"/>
              <w:jc w:val="left"/>
              <w:rPr>
                <w:rFonts w:ascii="宋体" w:hAnsi="宋体" w:cs="宋体" w:eastAsia="宋体" w:hint="default"/>
                <w:sz w:val="21"/>
                <w:szCs w:val="21"/>
              </w:rPr>
            </w:pPr>
            <w:r>
              <w:rPr>
                <w:rFonts w:ascii="宋体" w:hAnsi="宋体" w:cs="宋体" w:eastAsia="宋体" w:hint="default"/>
                <w:sz w:val="21"/>
                <w:szCs w:val="21"/>
              </w:rPr>
              <w:t>归属母公司所有者的其他综合收益的税后净额</w:t>
            </w:r>
          </w:p>
        </w:tc>
        <w:tc>
          <w:tcPr>
            <w:tcW w:w="2564" w:type="dxa"/>
            <w:tcBorders>
              <w:top w:val="single" w:sz="4" w:space="0" w:color="000000"/>
              <w:left w:val="single" w:sz="13"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（一）以后不能重分类进损益的其他综合收益</w:t>
            </w:r>
          </w:p>
        </w:tc>
        <w:tc>
          <w:tcPr>
            <w:tcW w:w="2564" w:type="dxa"/>
            <w:tcBorders>
              <w:top w:val="single" w:sz="4" w:space="0" w:color="000000"/>
              <w:left w:val="single" w:sz="13"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061"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重新计量设定受益计划净负债或净资</w:t>
            </w:r>
          </w:p>
          <w:p>
            <w:pPr>
              <w:pStyle w:val="TableParagraph"/>
              <w:spacing w:line="240" w:lineRule="auto" w:before="38"/>
              <w:ind w:left="11" w:right="0"/>
              <w:jc w:val="left"/>
              <w:rPr>
                <w:rFonts w:ascii="宋体" w:hAnsi="宋体" w:cs="宋体" w:eastAsia="宋体" w:hint="default"/>
                <w:sz w:val="21"/>
                <w:szCs w:val="21"/>
              </w:rPr>
            </w:pPr>
            <w:r>
              <w:rPr>
                <w:rFonts w:ascii="宋体" w:hAnsi="宋体" w:cs="宋体" w:eastAsia="宋体" w:hint="default"/>
                <w:sz w:val="21"/>
                <w:szCs w:val="21"/>
              </w:rPr>
              <w:t>产的变动</w:t>
            </w:r>
          </w:p>
        </w:tc>
        <w:tc>
          <w:tcPr>
            <w:tcW w:w="2564" w:type="dxa"/>
            <w:tcBorders>
              <w:top w:val="single" w:sz="4" w:space="0" w:color="000000"/>
              <w:left w:val="single" w:sz="13"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11" w:right="13" w:firstLine="105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权益法下在被投资单位不能重分类进 损益的其他综合收益中享有的份额</w:t>
            </w:r>
          </w:p>
        </w:tc>
        <w:tc>
          <w:tcPr>
            <w:tcW w:w="2564" w:type="dxa"/>
            <w:tcBorders>
              <w:top w:val="single" w:sz="4" w:space="0" w:color="000000"/>
              <w:left w:val="single" w:sz="13"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（二）以后将重分类进损益的其他综合收益</w:t>
            </w:r>
          </w:p>
        </w:tc>
        <w:tc>
          <w:tcPr>
            <w:tcW w:w="2564" w:type="dxa"/>
            <w:tcBorders>
              <w:top w:val="single" w:sz="4" w:space="0" w:color="000000"/>
              <w:left w:val="single" w:sz="13"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11" w:right="12" w:firstLine="63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权益法下在被投资单位以后将重分类进损 益的其他综合收益中享有的份额</w:t>
            </w:r>
          </w:p>
        </w:tc>
        <w:tc>
          <w:tcPr>
            <w:tcW w:w="2564" w:type="dxa"/>
            <w:tcBorders>
              <w:top w:val="single" w:sz="4" w:space="0" w:color="000000"/>
              <w:left w:val="single" w:sz="13"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641"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可供出售金融资产公允价值变动损益</w:t>
            </w:r>
          </w:p>
        </w:tc>
        <w:tc>
          <w:tcPr>
            <w:tcW w:w="2564" w:type="dxa"/>
            <w:tcBorders>
              <w:top w:val="single" w:sz="4" w:space="0" w:color="000000"/>
              <w:left w:val="single" w:sz="13"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641"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持有至到期投资重分类为可供出售金融资</w:t>
            </w:r>
          </w:p>
          <w:p>
            <w:pPr>
              <w:pStyle w:val="TableParagraph"/>
              <w:spacing w:line="240" w:lineRule="auto" w:before="38"/>
              <w:ind w:left="11" w:right="0"/>
              <w:jc w:val="left"/>
              <w:rPr>
                <w:rFonts w:ascii="宋体" w:hAnsi="宋体" w:cs="宋体" w:eastAsia="宋体" w:hint="default"/>
                <w:sz w:val="21"/>
                <w:szCs w:val="21"/>
              </w:rPr>
            </w:pPr>
            <w:r>
              <w:rPr>
                <w:rFonts w:ascii="宋体" w:hAnsi="宋体" w:cs="宋体" w:eastAsia="宋体" w:hint="default"/>
                <w:sz w:val="21"/>
                <w:szCs w:val="21"/>
              </w:rPr>
              <w:t>产损益</w:t>
            </w:r>
          </w:p>
        </w:tc>
        <w:tc>
          <w:tcPr>
            <w:tcW w:w="2564" w:type="dxa"/>
            <w:tcBorders>
              <w:top w:val="single" w:sz="4" w:space="0" w:color="000000"/>
              <w:left w:val="single" w:sz="13"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641"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现金流量套期损益的有效部分</w:t>
            </w:r>
          </w:p>
        </w:tc>
        <w:tc>
          <w:tcPr>
            <w:tcW w:w="2564" w:type="dxa"/>
            <w:tcBorders>
              <w:top w:val="single" w:sz="4" w:space="0" w:color="000000"/>
              <w:left w:val="single" w:sz="13"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641"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z w:val="21"/>
                <w:szCs w:val="21"/>
              </w:rPr>
              <w:t>外币财务报表折算差额</w:t>
            </w:r>
          </w:p>
        </w:tc>
        <w:tc>
          <w:tcPr>
            <w:tcW w:w="2564" w:type="dxa"/>
            <w:tcBorders>
              <w:top w:val="single" w:sz="4" w:space="0" w:color="000000"/>
              <w:left w:val="single" w:sz="13"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641" w:right="0"/>
              <w:jc w:val="left"/>
              <w:rPr>
                <w:rFonts w:ascii="宋体" w:hAnsi="宋体" w:cs="宋体" w:eastAsia="宋体" w:hint="default"/>
                <w:sz w:val="21"/>
                <w:szCs w:val="21"/>
              </w:rPr>
            </w:pPr>
            <w:r>
              <w:rPr>
                <w:rFonts w:ascii="宋体" w:hAnsi="宋体" w:cs="宋体" w:eastAsia="宋体" w:hint="default"/>
                <w:sz w:val="21"/>
                <w:szCs w:val="21"/>
              </w:rPr>
              <w:t>6.</w:t>
            </w:r>
            <w:r>
              <w:rPr>
                <w:rFonts w:ascii="宋体" w:hAnsi="宋体" w:cs="宋体" w:eastAsia="宋体" w:hint="default"/>
                <w:sz w:val="21"/>
                <w:szCs w:val="21"/>
              </w:rPr>
              <w:t>其他</w:t>
            </w:r>
          </w:p>
        </w:tc>
        <w:tc>
          <w:tcPr>
            <w:tcW w:w="2564" w:type="dxa"/>
            <w:tcBorders>
              <w:top w:val="single" w:sz="4" w:space="0" w:color="000000"/>
              <w:left w:val="single" w:sz="13"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1" w:right="0"/>
              <w:jc w:val="left"/>
              <w:rPr>
                <w:rFonts w:ascii="宋体" w:hAnsi="宋体" w:cs="宋体" w:eastAsia="宋体" w:hint="default"/>
                <w:sz w:val="21"/>
                <w:szCs w:val="21"/>
              </w:rPr>
            </w:pPr>
            <w:r>
              <w:rPr>
                <w:rFonts w:ascii="宋体" w:hAnsi="宋体" w:cs="宋体" w:eastAsia="宋体" w:hint="default"/>
                <w:sz w:val="21"/>
                <w:szCs w:val="21"/>
              </w:rPr>
              <w:t>归属于少数股东的其他综合收益的税后净额</w:t>
            </w:r>
          </w:p>
        </w:tc>
        <w:tc>
          <w:tcPr>
            <w:tcW w:w="2564" w:type="dxa"/>
            <w:tcBorders>
              <w:top w:val="single" w:sz="4" w:space="0" w:color="000000"/>
              <w:left w:val="single" w:sz="13"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七、综合收益总额</w:t>
            </w:r>
          </w:p>
        </w:tc>
        <w:tc>
          <w:tcPr>
            <w:tcW w:w="25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pacing w:val="-1"/>
                <w:sz w:val="21"/>
              </w:rPr>
              <w:t>-146,339,506.24</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85,070,143.95</w:t>
            </w: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归属于母公司所有者的综合收益总额</w:t>
            </w:r>
          </w:p>
        </w:tc>
        <w:tc>
          <w:tcPr>
            <w:tcW w:w="25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pacing w:val="-1"/>
                <w:sz w:val="21"/>
              </w:rPr>
              <w:t>-151,742,824.19</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85,070,143.95</w:t>
            </w: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归属于少数股东的综合收益总额</w:t>
            </w:r>
          </w:p>
        </w:tc>
        <w:tc>
          <w:tcPr>
            <w:tcW w:w="25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5,403,317.95</w:t>
            </w: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八、每股收益：</w:t>
            </w:r>
          </w:p>
        </w:tc>
        <w:tc>
          <w:tcPr>
            <w:tcW w:w="25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3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（一）基本每股收益</w:t>
            </w:r>
          </w:p>
        </w:tc>
        <w:tc>
          <w:tcPr>
            <w:tcW w:w="25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-0.4029</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3"/>
              <w:jc w:val="right"/>
              <w:rPr>
                <w:rFonts w:ascii="宋体" w:hAnsi="宋体" w:cs="宋体" w:eastAsia="宋体" w:hint="default"/>
                <w:sz w:val="21"/>
                <w:szCs w:val="21"/>
              </w:rPr>
            </w:pPr>
            <w:r>
              <w:rPr>
                <w:rFonts w:ascii="宋体"/>
                <w:sz w:val="21"/>
              </w:rPr>
              <w:t>0.2259</w:t>
            </w: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（二）稀释每股收益</w:t>
            </w:r>
          </w:p>
        </w:tc>
        <w:tc>
          <w:tcPr>
            <w:tcW w:w="25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-0.4029</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3"/>
              <w:jc w:val="right"/>
              <w:rPr>
                <w:rFonts w:ascii="宋体" w:hAnsi="宋体" w:cs="宋体" w:eastAsia="宋体" w:hint="default"/>
                <w:sz w:val="21"/>
                <w:szCs w:val="21"/>
              </w:rPr>
            </w:pPr>
            <w:r>
              <w:rPr>
                <w:rFonts w:ascii="宋体"/>
                <w:sz w:val="21"/>
              </w:rPr>
              <w:t>0.2259</w:t>
            </w:r>
          </w:p>
        </w:tc>
      </w:tr>
    </w:tbl>
    <w:p>
      <w:pPr>
        <w:spacing w:line="240" w:lineRule="auto" w:before="10"/>
        <w:rPr>
          <w:rFonts w:ascii="Times New Roman" w:hAnsi="Times New Roman" w:cs="Times New Roman" w:eastAsia="Times New Roman" w:hint="default"/>
          <w:sz w:val="21"/>
          <w:szCs w:val="21"/>
        </w:rPr>
      </w:pPr>
    </w:p>
    <w:p>
      <w:pPr>
        <w:tabs>
          <w:tab w:pos="3038" w:val="left" w:leader="none"/>
          <w:tab w:pos="7336" w:val="left" w:leader="none"/>
        </w:tabs>
        <w:spacing w:before="35"/>
        <w:ind w:left="0" w:right="1132" w:firstLine="0"/>
        <w:jc w:val="right"/>
        <w:rPr>
          <w:rFonts w:ascii="宋体" w:hAnsi="宋体" w:cs="宋体" w:eastAsia="宋体" w:hint="default"/>
          <w:sz w:val="21"/>
          <w:szCs w:val="21"/>
        </w:rPr>
      </w:pPr>
      <w:r>
        <w:rPr>
          <w:rFonts w:ascii="宋体" w:hAnsi="宋体" w:cs="宋体" w:eastAsia="宋体" w:hint="default"/>
          <w:spacing w:val="-1"/>
          <w:sz w:val="21"/>
          <w:szCs w:val="21"/>
        </w:rPr>
        <w:t>法定代表人：李海鹰</w:t>
        <w:tab/>
        <w:t>主管会计工作负责人：侯菊艳</w:t>
        <w:tab/>
        <w:t>会计机构负责人：窦永贺</w:t>
      </w:r>
    </w:p>
    <w:p>
      <w:pPr>
        <w:spacing w:line="240" w:lineRule="auto" w:before="12"/>
        <w:rPr>
          <w:rFonts w:ascii="宋体" w:hAnsi="宋体" w:cs="宋体" w:eastAsia="宋体" w:hint="default"/>
          <w:sz w:val="23"/>
          <w:szCs w:val="23"/>
        </w:rPr>
      </w:pPr>
    </w:p>
    <w:p>
      <w:pPr>
        <w:pStyle w:val="Heading2"/>
        <w:spacing w:line="240" w:lineRule="auto" w:before="0"/>
        <w:ind w:right="996"/>
        <w:jc w:val="left"/>
        <w:rPr>
          <w:b w:val="0"/>
          <w:bCs w:val="0"/>
        </w:rPr>
      </w:pPr>
      <w:bookmarkStart w:name="4、母公司利润表" w:id="193"/>
      <w:bookmarkEnd w:id="193"/>
      <w:r>
        <w:rPr>
          <w:b w:val="0"/>
          <w:bCs w:val="0"/>
        </w:rPr>
      </w:r>
      <w:r>
        <w:rPr>
          <w:rFonts w:ascii="宋体" w:hAnsi="宋体" w:cs="宋体" w:eastAsia="宋体" w:hint="default"/>
        </w:rPr>
        <w:t>4</w:t>
      </w:r>
      <w:r>
        <w:rPr/>
        <w:t>、母公司利润表</w:t>
      </w:r>
      <w:r>
        <w:rPr>
          <w:b w:val="0"/>
          <w:bCs w:val="0"/>
        </w:rPr>
      </w:r>
    </w:p>
    <w:p>
      <w:pPr>
        <w:spacing w:line="240" w:lineRule="auto" w:before="8"/>
        <w:rPr>
          <w:rFonts w:ascii="宋体" w:hAnsi="宋体" w:cs="宋体" w:eastAsia="宋体" w:hint="default"/>
          <w:b/>
          <w:bCs/>
          <w:sz w:val="24"/>
          <w:szCs w:val="24"/>
        </w:rPr>
      </w:pPr>
    </w:p>
    <w:p>
      <w:pPr>
        <w:spacing w:before="0"/>
        <w:ind w:left="0" w:right="1130" w:firstLine="0"/>
        <w:jc w:val="right"/>
        <w:rPr>
          <w:rFonts w:ascii="宋体" w:hAnsi="宋体" w:cs="宋体" w:eastAsia="宋体" w:hint="default"/>
          <w:sz w:val="21"/>
          <w:szCs w:val="21"/>
        </w:rPr>
      </w:pPr>
      <w:r>
        <w:rPr>
          <w:rFonts w:ascii="宋体" w:hAnsi="宋体" w:cs="宋体" w:eastAsia="宋体" w:hint="default"/>
          <w:sz w:val="21"/>
          <w:szCs w:val="21"/>
        </w:rPr>
        <w:t>单位：元</w:t>
      </w:r>
    </w:p>
    <w:p>
      <w:pPr>
        <w:spacing w:line="240" w:lineRule="auto" w:before="0"/>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4656"/>
        <w:gridCol w:w="2564"/>
        <w:gridCol w:w="2338"/>
      </w:tblGrid>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5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757"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3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638"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一、营业收入</w:t>
            </w:r>
          </w:p>
        </w:tc>
        <w:tc>
          <w:tcPr>
            <w:tcW w:w="25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399,390,501.38</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pacing w:val="-1"/>
                <w:sz w:val="21"/>
              </w:rPr>
              <w:t>408,519,973.30</w:t>
            </w: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减：营业成本</w:t>
            </w:r>
          </w:p>
        </w:tc>
        <w:tc>
          <w:tcPr>
            <w:tcW w:w="25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229,574,693.54</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9"/>
              <w:jc w:val="right"/>
              <w:rPr>
                <w:rFonts w:ascii="宋体" w:hAnsi="宋体" w:cs="宋体" w:eastAsia="宋体" w:hint="default"/>
                <w:sz w:val="21"/>
                <w:szCs w:val="21"/>
              </w:rPr>
            </w:pPr>
            <w:r>
              <w:rPr>
                <w:rFonts w:ascii="宋体"/>
                <w:sz w:val="21"/>
              </w:rPr>
              <w:t>231,884,692.54</w:t>
            </w: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851" w:right="0"/>
              <w:jc w:val="left"/>
              <w:rPr>
                <w:rFonts w:ascii="宋体" w:hAnsi="宋体" w:cs="宋体" w:eastAsia="宋体" w:hint="default"/>
                <w:sz w:val="21"/>
                <w:szCs w:val="21"/>
              </w:rPr>
            </w:pPr>
            <w:r>
              <w:rPr>
                <w:rFonts w:ascii="宋体" w:hAnsi="宋体" w:cs="宋体" w:eastAsia="宋体" w:hint="default"/>
                <w:sz w:val="21"/>
                <w:szCs w:val="21"/>
              </w:rPr>
              <w:t>税金及附加</w:t>
            </w:r>
          </w:p>
        </w:tc>
        <w:tc>
          <w:tcPr>
            <w:tcW w:w="25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5,102,883.94</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9"/>
              <w:jc w:val="right"/>
              <w:rPr>
                <w:rFonts w:ascii="宋体" w:hAnsi="宋体" w:cs="宋体" w:eastAsia="宋体" w:hint="default"/>
                <w:sz w:val="21"/>
                <w:szCs w:val="21"/>
              </w:rPr>
            </w:pPr>
            <w:r>
              <w:rPr>
                <w:rFonts w:ascii="宋体"/>
                <w:sz w:val="21"/>
              </w:rPr>
              <w:t>4,485,961.44</w:t>
            </w: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851"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25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15,364,846.64</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17,274,922.77</w:t>
            </w:r>
          </w:p>
        </w:tc>
      </w:tr>
    </w:tbl>
    <w:p>
      <w:pPr>
        <w:spacing w:after="0" w:line="240" w:lineRule="auto"/>
        <w:jc w:val="right"/>
        <w:rPr>
          <w:rFonts w:ascii="宋体" w:hAnsi="宋体" w:cs="宋体" w:eastAsia="宋体" w:hint="default"/>
          <w:sz w:val="21"/>
          <w:szCs w:val="21"/>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group style="position:absolute;margin-left:290.859985pt;margin-top:132.179977pt;width:126.05pt;height:20.85pt;mso-position-horizontal-relative:page;mso-position-vertical-relative:page;z-index:-915880" coordorigin="5817,2644" coordsize="2521,417">
            <v:group style="position:absolute;left:5829;top:2656;width:2;height:393" coordorigin="5829,2656" coordsize="2,393">
              <v:shape style="position:absolute;left:5829;top:2656;width:2;height:393" coordorigin="5829,2656" coordsize="0,393" path="m5829,2656l5829,3048e" filled="false" stroked="true" strokeweight="1.2pt" strokecolor="#ffffff">
                <v:path arrowok="t"/>
              </v:shape>
            </v:group>
            <v:group style="position:absolute;left:5841;top:2656;width:2497;height:393" coordorigin="5841,2656" coordsize="2497,393">
              <v:shape style="position:absolute;left:5841;top:2656;width:2497;height:393" coordorigin="5841,2656" coordsize="2497,393" path="m5841,3048l8338,3048,8338,2656,5841,2656,5841,3048xe" filled="true" fillcolor="#ffffff" stroked="false">
                <v:path arrowok="t"/>
                <v:fill type="solid"/>
              </v:shape>
            </v:group>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4656"/>
        <w:gridCol w:w="2564"/>
        <w:gridCol w:w="2338"/>
      </w:tblGrid>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851"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25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65,942,849.84</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54,649,852.75</w:t>
            </w: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851"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25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15,739,777.81</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9"/>
              <w:jc w:val="right"/>
              <w:rPr>
                <w:rFonts w:ascii="宋体" w:hAnsi="宋体" w:cs="宋体" w:eastAsia="宋体" w:hint="default"/>
                <w:sz w:val="21"/>
                <w:szCs w:val="21"/>
              </w:rPr>
            </w:pPr>
            <w:r>
              <w:rPr>
                <w:rFonts w:ascii="宋体"/>
                <w:sz w:val="21"/>
              </w:rPr>
              <w:t>7,400,803.67</w:t>
            </w: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851" w:right="0"/>
              <w:jc w:val="left"/>
              <w:rPr>
                <w:rFonts w:ascii="宋体" w:hAnsi="宋体" w:cs="宋体" w:eastAsia="宋体" w:hint="default"/>
                <w:sz w:val="21"/>
                <w:szCs w:val="21"/>
              </w:rPr>
            </w:pPr>
            <w:r>
              <w:rPr>
                <w:rFonts w:ascii="宋体" w:hAnsi="宋体" w:cs="宋体" w:eastAsia="宋体" w:hint="default"/>
                <w:sz w:val="21"/>
                <w:szCs w:val="21"/>
              </w:rPr>
              <w:t>资产减值损失</w:t>
            </w:r>
          </w:p>
        </w:tc>
        <w:tc>
          <w:tcPr>
            <w:tcW w:w="25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32,521,647.40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19,082,731.24</w:t>
            </w: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113"/>
              <w:jc w:val="right"/>
              <w:rPr>
                <w:rFonts w:ascii="宋体" w:hAnsi="宋体" w:cs="宋体" w:eastAsia="宋体" w:hint="default"/>
                <w:sz w:val="21"/>
                <w:szCs w:val="21"/>
              </w:rPr>
            </w:pPr>
            <w:r>
              <w:rPr>
                <w:rFonts w:ascii="宋体" w:hAnsi="宋体" w:cs="宋体" w:eastAsia="宋体" w:hint="default"/>
                <w:spacing w:val="-6"/>
                <w:sz w:val="21"/>
                <w:szCs w:val="21"/>
              </w:rPr>
              <w:t>加：公允价值变动收益（损失以“－”号填列</w:t>
            </w:r>
          </w:p>
        </w:tc>
        <w:tc>
          <w:tcPr>
            <w:tcW w:w="25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left="-137" w:right="0"/>
              <w:jc w:val="left"/>
              <w:rPr>
                <w:rFonts w:ascii="宋体" w:hAnsi="宋体" w:cs="宋体" w:eastAsia="宋体" w:hint="default"/>
                <w:sz w:val="21"/>
                <w:szCs w:val="21"/>
              </w:rPr>
            </w:pPr>
            <w:r>
              <w:rPr>
                <w:rFonts w:ascii="宋体" w:hAnsi="宋体" w:cs="宋体" w:eastAsia="宋体" w:hint="default"/>
                <w:sz w:val="21"/>
                <w:szCs w:val="21"/>
              </w:rPr>
              <w:t>）</w:t>
            </w: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851" w:right="0"/>
              <w:jc w:val="left"/>
              <w:rPr>
                <w:rFonts w:ascii="宋体" w:hAnsi="宋体" w:cs="宋体" w:eastAsia="宋体" w:hint="default"/>
                <w:sz w:val="21"/>
                <w:szCs w:val="21"/>
              </w:rPr>
            </w:pPr>
            <w:r>
              <w:rPr>
                <w:rFonts w:ascii="宋体" w:hAnsi="宋体" w:cs="宋体" w:eastAsia="宋体" w:hint="default"/>
                <w:sz w:val="21"/>
                <w:szCs w:val="21"/>
              </w:rPr>
              <w:t>投资收益（损失以“－”号填列）</w:t>
            </w:r>
          </w:p>
        </w:tc>
        <w:tc>
          <w:tcPr>
            <w:tcW w:w="25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pacing w:val="-1"/>
                <w:sz w:val="21"/>
              </w:rPr>
              <w:t>-8,483,544.73</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pacing w:val="-1"/>
                <w:sz w:val="21"/>
              </w:rPr>
              <w:t>-14,175,147.38</w:t>
            </w: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12"/>
              <w:jc w:val="right"/>
              <w:rPr>
                <w:rFonts w:ascii="宋体" w:hAnsi="宋体" w:cs="宋体" w:eastAsia="宋体" w:hint="default"/>
                <w:sz w:val="21"/>
                <w:szCs w:val="21"/>
              </w:rPr>
            </w:pPr>
            <w:r>
              <w:rPr>
                <w:rFonts w:ascii="宋体" w:hAnsi="宋体" w:cs="宋体" w:eastAsia="宋体" w:hint="default"/>
                <w:sz w:val="21"/>
                <w:szCs w:val="21"/>
              </w:rPr>
              <w:t>其中：对联营企业和合营企业的投资收益</w:t>
            </w:r>
          </w:p>
        </w:tc>
        <w:tc>
          <w:tcPr>
            <w:tcW w:w="2564" w:type="dxa"/>
            <w:tcBorders>
              <w:top w:val="single" w:sz="4" w:space="0" w:color="000000"/>
              <w:left w:val="single" w:sz="13"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851" w:right="0"/>
              <w:jc w:val="left"/>
              <w:rPr>
                <w:rFonts w:ascii="宋体" w:hAnsi="宋体" w:cs="宋体" w:eastAsia="宋体" w:hint="default"/>
                <w:sz w:val="21"/>
                <w:szCs w:val="21"/>
              </w:rPr>
            </w:pPr>
            <w:r>
              <w:rPr>
                <w:rFonts w:ascii="宋体" w:hAnsi="宋体" w:cs="宋体" w:eastAsia="宋体" w:hint="default"/>
                <w:sz w:val="21"/>
                <w:szCs w:val="21"/>
              </w:rPr>
              <w:t>资产处置收益（损失以“</w:t>
            </w:r>
            <w:r>
              <w:rPr>
                <w:rFonts w:ascii="宋体" w:hAnsi="宋体" w:cs="宋体" w:eastAsia="宋体" w:hint="default"/>
                <w:sz w:val="21"/>
                <w:szCs w:val="21"/>
              </w:rPr>
              <w:t>-</w:t>
            </w:r>
            <w:r>
              <w:rPr>
                <w:rFonts w:ascii="宋体" w:hAnsi="宋体" w:cs="宋体" w:eastAsia="宋体" w:hint="default"/>
                <w:sz w:val="21"/>
                <w:szCs w:val="21"/>
              </w:rPr>
              <w:t>”号填列）</w:t>
            </w:r>
          </w:p>
        </w:tc>
        <w:tc>
          <w:tcPr>
            <w:tcW w:w="2564" w:type="dxa"/>
            <w:tcBorders>
              <w:top w:val="single" w:sz="4" w:space="0" w:color="000000"/>
              <w:left w:val="single" w:sz="13"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3,792.33</w:t>
            </w: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851" w:right="0"/>
              <w:jc w:val="left"/>
              <w:rPr>
                <w:rFonts w:ascii="宋体" w:hAnsi="宋体" w:cs="宋体" w:eastAsia="宋体" w:hint="default"/>
                <w:sz w:val="21"/>
                <w:szCs w:val="21"/>
              </w:rPr>
            </w:pPr>
            <w:r>
              <w:rPr>
                <w:rFonts w:ascii="宋体" w:hAnsi="宋体" w:cs="宋体" w:eastAsia="宋体" w:hint="default"/>
                <w:sz w:val="21"/>
                <w:szCs w:val="21"/>
              </w:rPr>
              <w:t>其他收益</w:t>
            </w:r>
          </w:p>
        </w:tc>
        <w:tc>
          <w:tcPr>
            <w:tcW w:w="25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23,033,332.64</w:t>
            </w: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二、营业利润（亏损以“－”号填列）</w:t>
            </w:r>
          </w:p>
        </w:tc>
        <w:tc>
          <w:tcPr>
            <w:tcW w:w="25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49,693,590.12</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59,569,653.84</w:t>
            </w: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加：营业外收入</w:t>
            </w:r>
          </w:p>
        </w:tc>
        <w:tc>
          <w:tcPr>
            <w:tcW w:w="25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372,870.07</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34,090,980.83</w:t>
            </w: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减：营业外支出</w:t>
            </w:r>
          </w:p>
        </w:tc>
        <w:tc>
          <w:tcPr>
            <w:tcW w:w="25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5,667,889.19</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150,993.85</w:t>
            </w: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三、利润总额（亏损总额以“－”号填列）</w:t>
            </w:r>
          </w:p>
        </w:tc>
        <w:tc>
          <w:tcPr>
            <w:tcW w:w="25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44,398,571.00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93,509,640.82</w:t>
            </w: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减：所得税费用</w:t>
            </w:r>
          </w:p>
        </w:tc>
        <w:tc>
          <w:tcPr>
            <w:tcW w:w="25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9,974,367.74</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17,525,712.86</w:t>
            </w: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四、净利润（净亏损以“－”号填列）</w:t>
            </w:r>
          </w:p>
        </w:tc>
        <w:tc>
          <w:tcPr>
            <w:tcW w:w="25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34,424,203.26</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75,983,927.96</w:t>
            </w:r>
          </w:p>
        </w:tc>
      </w:tr>
      <w:tr>
        <w:trPr>
          <w:trHeight w:val="714"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11" w:right="11" w:firstLine="420"/>
              <w:jc w:val="left"/>
              <w:rPr>
                <w:rFonts w:ascii="宋体" w:hAnsi="宋体" w:cs="宋体" w:eastAsia="宋体" w:hint="default"/>
                <w:sz w:val="21"/>
                <w:szCs w:val="21"/>
              </w:rPr>
            </w:pPr>
            <w:r>
              <w:rPr>
                <w:rFonts w:ascii="宋体" w:hAnsi="宋体" w:cs="宋体" w:eastAsia="宋体" w:hint="default"/>
                <w:sz w:val="21"/>
                <w:szCs w:val="21"/>
              </w:rPr>
              <w:t>（一）持续经营净利润（净亏损以“－”号填 列）</w:t>
            </w:r>
          </w:p>
        </w:tc>
        <w:tc>
          <w:tcPr>
            <w:tcW w:w="25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20"/>
              <w:jc w:val="right"/>
              <w:rPr>
                <w:rFonts w:ascii="宋体" w:hAnsi="宋体" w:cs="宋体" w:eastAsia="宋体" w:hint="default"/>
                <w:sz w:val="21"/>
                <w:szCs w:val="21"/>
              </w:rPr>
            </w:pPr>
            <w:r>
              <w:rPr>
                <w:rFonts w:ascii="宋体"/>
                <w:sz w:val="21"/>
              </w:rPr>
              <w:t>34,424,203.26</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20"/>
              <w:jc w:val="right"/>
              <w:rPr>
                <w:rFonts w:ascii="宋体" w:hAnsi="宋体" w:cs="宋体" w:eastAsia="宋体" w:hint="default"/>
                <w:sz w:val="21"/>
                <w:szCs w:val="21"/>
              </w:rPr>
            </w:pPr>
            <w:r>
              <w:rPr>
                <w:rFonts w:ascii="宋体"/>
                <w:sz w:val="21"/>
              </w:rPr>
              <w:t>75,983,927.96</w:t>
            </w:r>
          </w:p>
        </w:tc>
      </w:tr>
      <w:tr>
        <w:trPr>
          <w:trHeight w:val="714"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11" w:right="11" w:firstLine="420"/>
              <w:jc w:val="left"/>
              <w:rPr>
                <w:rFonts w:ascii="宋体" w:hAnsi="宋体" w:cs="宋体" w:eastAsia="宋体" w:hint="default"/>
                <w:sz w:val="21"/>
                <w:szCs w:val="21"/>
              </w:rPr>
            </w:pPr>
            <w:r>
              <w:rPr>
                <w:rFonts w:ascii="宋体" w:hAnsi="宋体" w:cs="宋体" w:eastAsia="宋体" w:hint="default"/>
                <w:sz w:val="21"/>
                <w:szCs w:val="21"/>
              </w:rPr>
              <w:t>（二）终止经营净利润（净亏损以“－”号填 列）</w:t>
            </w:r>
          </w:p>
        </w:tc>
        <w:tc>
          <w:tcPr>
            <w:tcW w:w="2564" w:type="dxa"/>
            <w:tcBorders>
              <w:top w:val="single" w:sz="4" w:space="0" w:color="000000"/>
              <w:left w:val="single" w:sz="13"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五、其他综合收益的税后净额</w:t>
            </w:r>
          </w:p>
        </w:tc>
        <w:tc>
          <w:tcPr>
            <w:tcW w:w="2564" w:type="dxa"/>
            <w:tcBorders>
              <w:top w:val="single" w:sz="4" w:space="0" w:color="000000"/>
              <w:left w:val="single" w:sz="13"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12"/>
              <w:jc w:val="right"/>
              <w:rPr>
                <w:rFonts w:ascii="宋体" w:hAnsi="宋体" w:cs="宋体" w:eastAsia="宋体" w:hint="default"/>
                <w:sz w:val="21"/>
                <w:szCs w:val="21"/>
              </w:rPr>
            </w:pPr>
            <w:r>
              <w:rPr>
                <w:rFonts w:ascii="宋体" w:hAnsi="宋体" w:cs="宋体" w:eastAsia="宋体" w:hint="default"/>
                <w:sz w:val="21"/>
                <w:szCs w:val="21"/>
              </w:rPr>
              <w:t>（一）以后不能重分类进损益的其他综合收益</w:t>
            </w:r>
          </w:p>
        </w:tc>
        <w:tc>
          <w:tcPr>
            <w:tcW w:w="2564" w:type="dxa"/>
            <w:tcBorders>
              <w:top w:val="single" w:sz="4" w:space="0" w:color="000000"/>
              <w:left w:val="single" w:sz="13"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641"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重新计量设定受益计划净负债或净资产的</w:t>
            </w:r>
          </w:p>
          <w:p>
            <w:pPr>
              <w:pStyle w:val="TableParagraph"/>
              <w:spacing w:line="240" w:lineRule="auto" w:before="38"/>
              <w:ind w:left="11" w:right="0"/>
              <w:jc w:val="left"/>
              <w:rPr>
                <w:rFonts w:ascii="宋体" w:hAnsi="宋体" w:cs="宋体" w:eastAsia="宋体" w:hint="default"/>
                <w:sz w:val="21"/>
                <w:szCs w:val="21"/>
              </w:rPr>
            </w:pPr>
            <w:r>
              <w:rPr>
                <w:rFonts w:ascii="宋体" w:hAnsi="宋体" w:cs="宋体" w:eastAsia="宋体" w:hint="default"/>
                <w:sz w:val="21"/>
                <w:szCs w:val="21"/>
              </w:rPr>
              <w:t>变动</w:t>
            </w:r>
          </w:p>
        </w:tc>
        <w:tc>
          <w:tcPr>
            <w:tcW w:w="2564" w:type="dxa"/>
            <w:tcBorders>
              <w:top w:val="single" w:sz="4" w:space="0" w:color="000000"/>
              <w:left w:val="single" w:sz="13"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11" w:right="12" w:firstLine="63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权益法下在被投资单位不能重分类进损益 的其他综合收益中享有的份额</w:t>
            </w:r>
          </w:p>
        </w:tc>
        <w:tc>
          <w:tcPr>
            <w:tcW w:w="2564" w:type="dxa"/>
            <w:tcBorders>
              <w:top w:val="single" w:sz="4" w:space="0" w:color="000000"/>
              <w:left w:val="single" w:sz="13"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（二）以后将重分类进损益的其他综合收益</w:t>
            </w:r>
          </w:p>
        </w:tc>
        <w:tc>
          <w:tcPr>
            <w:tcW w:w="2564" w:type="dxa"/>
            <w:tcBorders>
              <w:top w:val="single" w:sz="4" w:space="0" w:color="000000"/>
              <w:left w:val="single" w:sz="13"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11" w:right="12" w:firstLine="63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权益法下在被投资单位以后将重分类进损 益的其他综合收益中享有的份额</w:t>
            </w:r>
          </w:p>
        </w:tc>
        <w:tc>
          <w:tcPr>
            <w:tcW w:w="2564" w:type="dxa"/>
            <w:tcBorders>
              <w:top w:val="single" w:sz="4" w:space="0" w:color="000000"/>
              <w:left w:val="single" w:sz="13"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641"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可供出售金融资产公允价值变动损益</w:t>
            </w:r>
          </w:p>
        </w:tc>
        <w:tc>
          <w:tcPr>
            <w:tcW w:w="2564" w:type="dxa"/>
            <w:tcBorders>
              <w:top w:val="single" w:sz="4" w:space="0" w:color="000000"/>
              <w:left w:val="single" w:sz="13"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11" w:right="12" w:firstLine="42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持有至到期投资重分类为可供出售金融资产 损益</w:t>
            </w:r>
          </w:p>
        </w:tc>
        <w:tc>
          <w:tcPr>
            <w:tcW w:w="2564" w:type="dxa"/>
            <w:tcBorders>
              <w:top w:val="single" w:sz="4" w:space="0" w:color="000000"/>
              <w:left w:val="single" w:sz="13"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现金流量套期损益的有效部分</w:t>
            </w:r>
          </w:p>
        </w:tc>
        <w:tc>
          <w:tcPr>
            <w:tcW w:w="2564" w:type="dxa"/>
            <w:tcBorders>
              <w:top w:val="single" w:sz="4" w:space="0" w:color="000000"/>
              <w:left w:val="single" w:sz="13"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z w:val="21"/>
                <w:szCs w:val="21"/>
              </w:rPr>
              <w:t>外币财务报表折算差额</w:t>
            </w:r>
          </w:p>
        </w:tc>
        <w:tc>
          <w:tcPr>
            <w:tcW w:w="2564" w:type="dxa"/>
            <w:tcBorders>
              <w:top w:val="single" w:sz="4" w:space="0" w:color="000000"/>
              <w:left w:val="single" w:sz="13"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6.</w:t>
            </w:r>
            <w:r>
              <w:rPr>
                <w:rFonts w:ascii="宋体" w:hAnsi="宋体" w:cs="宋体" w:eastAsia="宋体" w:hint="default"/>
                <w:sz w:val="21"/>
                <w:szCs w:val="21"/>
              </w:rPr>
              <w:t>其他</w:t>
            </w:r>
          </w:p>
        </w:tc>
        <w:tc>
          <w:tcPr>
            <w:tcW w:w="2564" w:type="dxa"/>
            <w:tcBorders>
              <w:top w:val="single" w:sz="4" w:space="0" w:color="000000"/>
              <w:left w:val="single" w:sz="13"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六、综合收益总额</w:t>
            </w:r>
          </w:p>
        </w:tc>
        <w:tc>
          <w:tcPr>
            <w:tcW w:w="25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34,424,203.26</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75,983,927.96</w:t>
            </w: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七、每股收益：</w:t>
            </w:r>
          </w:p>
        </w:tc>
        <w:tc>
          <w:tcPr>
            <w:tcW w:w="25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3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（一）基本每股收益</w:t>
            </w:r>
          </w:p>
        </w:tc>
        <w:tc>
          <w:tcPr>
            <w:tcW w:w="2564" w:type="dxa"/>
            <w:tcBorders>
              <w:top w:val="single" w:sz="4" w:space="0" w:color="000000"/>
              <w:left w:val="single" w:sz="13"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4678"/>
        <w:gridCol w:w="2553"/>
        <w:gridCol w:w="2338"/>
      </w:tblGrid>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42" w:right="0"/>
              <w:jc w:val="left"/>
              <w:rPr>
                <w:rFonts w:ascii="宋体" w:hAnsi="宋体" w:cs="宋体" w:eastAsia="宋体" w:hint="default"/>
                <w:sz w:val="21"/>
                <w:szCs w:val="21"/>
              </w:rPr>
            </w:pPr>
            <w:r>
              <w:rPr>
                <w:rFonts w:ascii="宋体" w:hAnsi="宋体" w:cs="宋体" w:eastAsia="宋体" w:hint="default"/>
                <w:sz w:val="21"/>
                <w:szCs w:val="21"/>
              </w:rPr>
              <w:t>（二）稀释每股收益</w:t>
            </w:r>
          </w:p>
        </w:tc>
        <w:tc>
          <w:tcPr>
            <w:tcW w:w="2553"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5"/>
        <w:rPr>
          <w:rFonts w:ascii="Times New Roman" w:hAnsi="Times New Roman" w:cs="Times New Roman" w:eastAsia="Times New Roman" w:hint="default"/>
          <w:sz w:val="20"/>
          <w:szCs w:val="20"/>
        </w:rPr>
      </w:pPr>
    </w:p>
    <w:p>
      <w:pPr>
        <w:pStyle w:val="Heading2"/>
        <w:spacing w:line="240" w:lineRule="auto"/>
        <w:ind w:right="996"/>
        <w:jc w:val="left"/>
        <w:rPr>
          <w:b w:val="0"/>
          <w:bCs w:val="0"/>
        </w:rPr>
      </w:pPr>
      <w:bookmarkStart w:name="5、合并现金流量表" w:id="194"/>
      <w:bookmarkEnd w:id="194"/>
      <w:r>
        <w:rPr>
          <w:b w:val="0"/>
          <w:bCs w:val="0"/>
        </w:rPr>
      </w:r>
      <w:r>
        <w:rPr>
          <w:rFonts w:ascii="宋体" w:hAnsi="宋体" w:cs="宋体" w:eastAsia="宋体" w:hint="default"/>
        </w:rPr>
        <w:t>5</w:t>
      </w:r>
      <w:r>
        <w:rPr/>
        <w:t>、合并现金流量表</w:t>
      </w:r>
      <w:r>
        <w:rPr>
          <w:b w:val="0"/>
          <w:bCs w:val="0"/>
        </w:rPr>
      </w:r>
    </w:p>
    <w:p>
      <w:pPr>
        <w:spacing w:line="240" w:lineRule="auto" w:before="1"/>
        <w:rPr>
          <w:rFonts w:ascii="宋体" w:hAnsi="宋体" w:cs="宋体" w:eastAsia="宋体" w:hint="default"/>
          <w:b/>
          <w:bCs/>
          <w:sz w:val="22"/>
          <w:szCs w:val="22"/>
        </w:rPr>
      </w:pPr>
    </w:p>
    <w:p>
      <w:pPr>
        <w:spacing w:before="35"/>
        <w:ind w:left="0" w:right="1130" w:firstLine="0"/>
        <w:jc w:val="right"/>
        <w:rPr>
          <w:rFonts w:ascii="宋体" w:hAnsi="宋体" w:cs="宋体" w:eastAsia="宋体" w:hint="default"/>
          <w:sz w:val="21"/>
          <w:szCs w:val="21"/>
        </w:rPr>
      </w:pPr>
      <w:r>
        <w:rPr>
          <w:rFonts w:ascii="宋体" w:hAnsi="宋体" w:cs="宋体" w:eastAsia="宋体" w:hint="default"/>
          <w:sz w:val="21"/>
          <w:szCs w:val="21"/>
        </w:rPr>
        <w:t>单位：元</w:t>
      </w:r>
    </w:p>
    <w:p>
      <w:pPr>
        <w:spacing w:line="240" w:lineRule="auto" w:before="0"/>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4656"/>
        <w:gridCol w:w="2564"/>
        <w:gridCol w:w="2338"/>
      </w:tblGrid>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5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757"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3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638"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一、经营活动产生的现金流量：</w:t>
            </w:r>
          </w:p>
        </w:tc>
        <w:tc>
          <w:tcPr>
            <w:tcW w:w="25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3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销售商品、提供劳务收到的现金</w:t>
            </w:r>
          </w:p>
        </w:tc>
        <w:tc>
          <w:tcPr>
            <w:tcW w:w="25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534,001,880.49</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9"/>
              <w:jc w:val="right"/>
              <w:rPr>
                <w:rFonts w:ascii="宋体" w:hAnsi="宋体" w:cs="宋体" w:eastAsia="宋体" w:hint="default"/>
                <w:sz w:val="21"/>
                <w:szCs w:val="21"/>
              </w:rPr>
            </w:pPr>
            <w:r>
              <w:rPr>
                <w:rFonts w:ascii="宋体"/>
                <w:sz w:val="21"/>
              </w:rPr>
              <w:t>546,655,234.76</w:t>
            </w: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1062"/>
              <w:jc w:val="right"/>
              <w:rPr>
                <w:rFonts w:ascii="宋体" w:hAnsi="宋体" w:cs="宋体" w:eastAsia="宋体" w:hint="default"/>
                <w:sz w:val="21"/>
                <w:szCs w:val="21"/>
              </w:rPr>
            </w:pPr>
            <w:r>
              <w:rPr>
                <w:rFonts w:ascii="宋体" w:hAnsi="宋体" w:cs="宋体" w:eastAsia="宋体" w:hint="default"/>
                <w:sz w:val="21"/>
                <w:szCs w:val="21"/>
              </w:rPr>
              <w:t>客户存款和同业存放款项净增加额</w:t>
            </w:r>
          </w:p>
        </w:tc>
        <w:tc>
          <w:tcPr>
            <w:tcW w:w="2564" w:type="dxa"/>
            <w:tcBorders>
              <w:top w:val="single" w:sz="4" w:space="0" w:color="000000"/>
              <w:left w:val="single" w:sz="13"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向中央银行借款净增加额</w:t>
            </w:r>
          </w:p>
        </w:tc>
        <w:tc>
          <w:tcPr>
            <w:tcW w:w="2564" w:type="dxa"/>
            <w:tcBorders>
              <w:top w:val="single" w:sz="4" w:space="0" w:color="000000"/>
              <w:left w:val="single" w:sz="13"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1062"/>
              <w:jc w:val="right"/>
              <w:rPr>
                <w:rFonts w:ascii="宋体" w:hAnsi="宋体" w:cs="宋体" w:eastAsia="宋体" w:hint="default"/>
                <w:sz w:val="21"/>
                <w:szCs w:val="21"/>
              </w:rPr>
            </w:pPr>
            <w:r>
              <w:rPr>
                <w:rFonts w:ascii="宋体" w:hAnsi="宋体" w:cs="宋体" w:eastAsia="宋体" w:hint="default"/>
                <w:sz w:val="21"/>
                <w:szCs w:val="21"/>
              </w:rPr>
              <w:t>向其他金融机构拆入资金净增加额</w:t>
            </w:r>
          </w:p>
        </w:tc>
        <w:tc>
          <w:tcPr>
            <w:tcW w:w="2564" w:type="dxa"/>
            <w:tcBorders>
              <w:top w:val="single" w:sz="4" w:space="0" w:color="000000"/>
              <w:left w:val="single" w:sz="13"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收到原保险合同保费取得的现金</w:t>
            </w:r>
          </w:p>
        </w:tc>
        <w:tc>
          <w:tcPr>
            <w:tcW w:w="2564" w:type="dxa"/>
            <w:tcBorders>
              <w:top w:val="single" w:sz="4" w:space="0" w:color="000000"/>
              <w:left w:val="single" w:sz="13"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收到再保险业务现金净额</w:t>
            </w:r>
          </w:p>
        </w:tc>
        <w:tc>
          <w:tcPr>
            <w:tcW w:w="2564" w:type="dxa"/>
            <w:tcBorders>
              <w:top w:val="single" w:sz="4" w:space="0" w:color="000000"/>
              <w:left w:val="single" w:sz="13"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保户储金及投资款净增加额</w:t>
            </w:r>
          </w:p>
        </w:tc>
        <w:tc>
          <w:tcPr>
            <w:tcW w:w="2564" w:type="dxa"/>
            <w:tcBorders>
              <w:top w:val="single" w:sz="4" w:space="0" w:color="000000"/>
              <w:left w:val="single" w:sz="13"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11" w:right="12" w:firstLine="420"/>
              <w:jc w:val="left"/>
              <w:rPr>
                <w:rFonts w:ascii="宋体" w:hAnsi="宋体" w:cs="宋体" w:eastAsia="宋体" w:hint="default"/>
                <w:sz w:val="21"/>
                <w:szCs w:val="21"/>
              </w:rPr>
            </w:pPr>
            <w:r>
              <w:rPr>
                <w:rFonts w:ascii="宋体" w:hAnsi="宋体" w:cs="宋体" w:eastAsia="宋体" w:hint="default"/>
                <w:sz w:val="21"/>
                <w:szCs w:val="21"/>
              </w:rPr>
              <w:t>处置以公允价值计量且其变动计入当期损益的 金融资产净增加额</w:t>
            </w:r>
          </w:p>
        </w:tc>
        <w:tc>
          <w:tcPr>
            <w:tcW w:w="2564" w:type="dxa"/>
            <w:tcBorders>
              <w:top w:val="single" w:sz="4" w:space="0" w:color="000000"/>
              <w:left w:val="single" w:sz="13"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收取利息、手续费及佣金的现金</w:t>
            </w:r>
          </w:p>
        </w:tc>
        <w:tc>
          <w:tcPr>
            <w:tcW w:w="2564" w:type="dxa"/>
            <w:tcBorders>
              <w:top w:val="single" w:sz="4" w:space="0" w:color="000000"/>
              <w:left w:val="single" w:sz="13"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拆入资金净增加额</w:t>
            </w:r>
          </w:p>
        </w:tc>
        <w:tc>
          <w:tcPr>
            <w:tcW w:w="2564" w:type="dxa"/>
            <w:tcBorders>
              <w:top w:val="single" w:sz="4" w:space="0" w:color="000000"/>
              <w:left w:val="single" w:sz="13"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回购业务资金净增加额</w:t>
            </w:r>
          </w:p>
        </w:tc>
        <w:tc>
          <w:tcPr>
            <w:tcW w:w="2564" w:type="dxa"/>
            <w:tcBorders>
              <w:top w:val="single" w:sz="4" w:space="0" w:color="000000"/>
              <w:left w:val="single" w:sz="13"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收到的税费返还</w:t>
            </w:r>
          </w:p>
        </w:tc>
        <w:tc>
          <w:tcPr>
            <w:tcW w:w="25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24,513,275.80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36,158,054.98</w:t>
            </w: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收到其他与经营活动有关的现金</w:t>
            </w:r>
          </w:p>
        </w:tc>
        <w:tc>
          <w:tcPr>
            <w:tcW w:w="25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20,092,844.80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25,237,020.06</w:t>
            </w: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经营活动现金流入小计</w:t>
            </w:r>
          </w:p>
        </w:tc>
        <w:tc>
          <w:tcPr>
            <w:tcW w:w="25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578,608,001.09</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9"/>
              <w:jc w:val="right"/>
              <w:rPr>
                <w:rFonts w:ascii="宋体" w:hAnsi="宋体" w:cs="宋体" w:eastAsia="宋体" w:hint="default"/>
                <w:sz w:val="21"/>
                <w:szCs w:val="21"/>
              </w:rPr>
            </w:pPr>
            <w:r>
              <w:rPr>
                <w:rFonts w:ascii="宋体"/>
                <w:sz w:val="21"/>
              </w:rPr>
              <w:t>608,050,309.80</w:t>
            </w: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购买商品、接受劳务支付的现金</w:t>
            </w:r>
          </w:p>
        </w:tc>
        <w:tc>
          <w:tcPr>
            <w:tcW w:w="25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pacing w:val="-1"/>
                <w:sz w:val="21"/>
              </w:rPr>
              <w:t>275,802,715.50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9"/>
              <w:jc w:val="right"/>
              <w:rPr>
                <w:rFonts w:ascii="宋体" w:hAnsi="宋体" w:cs="宋体" w:eastAsia="宋体" w:hint="default"/>
                <w:sz w:val="21"/>
                <w:szCs w:val="21"/>
              </w:rPr>
            </w:pPr>
            <w:r>
              <w:rPr>
                <w:rFonts w:ascii="宋体"/>
                <w:sz w:val="21"/>
              </w:rPr>
              <w:t>250,561,534.01</w:t>
            </w: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客户贷款及垫款净增加额</w:t>
            </w:r>
          </w:p>
        </w:tc>
        <w:tc>
          <w:tcPr>
            <w:tcW w:w="2564" w:type="dxa"/>
            <w:tcBorders>
              <w:top w:val="single" w:sz="4" w:space="0" w:color="000000"/>
              <w:left w:val="single" w:sz="13"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1062"/>
              <w:jc w:val="right"/>
              <w:rPr>
                <w:rFonts w:ascii="宋体" w:hAnsi="宋体" w:cs="宋体" w:eastAsia="宋体" w:hint="default"/>
                <w:sz w:val="21"/>
                <w:szCs w:val="21"/>
              </w:rPr>
            </w:pPr>
            <w:r>
              <w:rPr>
                <w:rFonts w:ascii="宋体" w:hAnsi="宋体" w:cs="宋体" w:eastAsia="宋体" w:hint="default"/>
                <w:sz w:val="21"/>
                <w:szCs w:val="21"/>
              </w:rPr>
              <w:t>存放中央银行和同业款项净增加额</w:t>
            </w:r>
          </w:p>
        </w:tc>
        <w:tc>
          <w:tcPr>
            <w:tcW w:w="2564" w:type="dxa"/>
            <w:tcBorders>
              <w:top w:val="single" w:sz="4" w:space="0" w:color="000000"/>
              <w:left w:val="single" w:sz="13"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支付原保险合同赔付款项的现金</w:t>
            </w:r>
          </w:p>
        </w:tc>
        <w:tc>
          <w:tcPr>
            <w:tcW w:w="2564" w:type="dxa"/>
            <w:tcBorders>
              <w:top w:val="single" w:sz="4" w:space="0" w:color="000000"/>
              <w:left w:val="single" w:sz="13"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支付利息、手续费及佣金的现金</w:t>
            </w:r>
          </w:p>
        </w:tc>
        <w:tc>
          <w:tcPr>
            <w:tcW w:w="2564" w:type="dxa"/>
            <w:tcBorders>
              <w:top w:val="single" w:sz="4" w:space="0" w:color="000000"/>
              <w:left w:val="single" w:sz="13"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支付保单红利的现金</w:t>
            </w:r>
          </w:p>
        </w:tc>
        <w:tc>
          <w:tcPr>
            <w:tcW w:w="2564" w:type="dxa"/>
            <w:tcBorders>
              <w:top w:val="single" w:sz="4" w:space="0" w:color="000000"/>
              <w:left w:val="single" w:sz="13"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1062"/>
              <w:jc w:val="right"/>
              <w:rPr>
                <w:rFonts w:ascii="宋体" w:hAnsi="宋体" w:cs="宋体" w:eastAsia="宋体" w:hint="default"/>
                <w:sz w:val="21"/>
                <w:szCs w:val="21"/>
              </w:rPr>
            </w:pPr>
            <w:r>
              <w:rPr>
                <w:rFonts w:ascii="宋体" w:hAnsi="宋体" w:cs="宋体" w:eastAsia="宋体" w:hint="default"/>
                <w:sz w:val="21"/>
                <w:szCs w:val="21"/>
              </w:rPr>
              <w:t>支付给职工以及为职工支付的现金</w:t>
            </w:r>
          </w:p>
        </w:tc>
        <w:tc>
          <w:tcPr>
            <w:tcW w:w="25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80,513,230.22</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89,670,293.82</w:t>
            </w: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支付的各项税费</w:t>
            </w:r>
          </w:p>
        </w:tc>
        <w:tc>
          <w:tcPr>
            <w:tcW w:w="25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69,787,109.25</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61,224,272.78</w:t>
            </w: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支付其他与经营活动有关的现金</w:t>
            </w:r>
          </w:p>
        </w:tc>
        <w:tc>
          <w:tcPr>
            <w:tcW w:w="25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92,786,035.81</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70,025,001.01</w:t>
            </w: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经营活动现金流出小计</w:t>
            </w:r>
          </w:p>
        </w:tc>
        <w:tc>
          <w:tcPr>
            <w:tcW w:w="25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518,889,090.78</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9"/>
              <w:jc w:val="right"/>
              <w:rPr>
                <w:rFonts w:ascii="宋体" w:hAnsi="宋体" w:cs="宋体" w:eastAsia="宋体" w:hint="default"/>
                <w:sz w:val="21"/>
                <w:szCs w:val="21"/>
              </w:rPr>
            </w:pPr>
            <w:r>
              <w:rPr>
                <w:rFonts w:ascii="宋体"/>
                <w:sz w:val="21"/>
              </w:rPr>
              <w:t>471,481,101.62</w:t>
            </w: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25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59,718,910.31</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9"/>
              <w:jc w:val="right"/>
              <w:rPr>
                <w:rFonts w:ascii="宋体" w:hAnsi="宋体" w:cs="宋体" w:eastAsia="宋体" w:hint="default"/>
                <w:sz w:val="21"/>
                <w:szCs w:val="21"/>
              </w:rPr>
            </w:pPr>
            <w:r>
              <w:rPr>
                <w:rFonts w:ascii="宋体"/>
                <w:sz w:val="21"/>
              </w:rPr>
              <w:t>136,569,208.18</w:t>
            </w: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二、投资活动产生的现金流量：</w:t>
            </w:r>
          </w:p>
        </w:tc>
        <w:tc>
          <w:tcPr>
            <w:tcW w:w="25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3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收回投资收到的现金</w:t>
            </w:r>
          </w:p>
        </w:tc>
        <w:tc>
          <w:tcPr>
            <w:tcW w:w="25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5,100,000.00</w:t>
            </w:r>
          </w:p>
        </w:tc>
        <w:tc>
          <w:tcPr>
            <w:tcW w:w="233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4656"/>
        <w:gridCol w:w="2564"/>
        <w:gridCol w:w="2338"/>
      </w:tblGrid>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取得投资收益收到的现金</w:t>
            </w:r>
          </w:p>
        </w:tc>
        <w:tc>
          <w:tcPr>
            <w:tcW w:w="25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195,569.93</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8,712.28</w:t>
            </w:r>
          </w:p>
        </w:tc>
      </w:tr>
      <w:tr>
        <w:trPr>
          <w:trHeight w:val="714"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11" w:right="12" w:firstLine="420"/>
              <w:jc w:val="left"/>
              <w:rPr>
                <w:rFonts w:ascii="宋体" w:hAnsi="宋体" w:cs="宋体" w:eastAsia="宋体" w:hint="default"/>
                <w:sz w:val="21"/>
                <w:szCs w:val="21"/>
              </w:rPr>
            </w:pPr>
            <w:r>
              <w:rPr>
                <w:rFonts w:ascii="宋体" w:hAnsi="宋体" w:cs="宋体" w:eastAsia="宋体" w:hint="default"/>
                <w:sz w:val="21"/>
                <w:szCs w:val="21"/>
              </w:rPr>
              <w:t>处置固定资产、无形资产和其他长期资产收回 的现金净额</w:t>
            </w:r>
          </w:p>
        </w:tc>
        <w:tc>
          <w:tcPr>
            <w:tcW w:w="25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1"/>
              <w:jc w:val="right"/>
              <w:rPr>
                <w:rFonts w:ascii="宋体" w:hAnsi="宋体" w:cs="宋体" w:eastAsia="宋体" w:hint="default"/>
                <w:sz w:val="21"/>
                <w:szCs w:val="21"/>
              </w:rPr>
            </w:pPr>
            <w:r>
              <w:rPr>
                <w:rFonts w:ascii="宋体"/>
                <w:sz w:val="21"/>
              </w:rPr>
              <w:t>640.00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0"/>
              <w:jc w:val="right"/>
              <w:rPr>
                <w:rFonts w:ascii="宋体" w:hAnsi="宋体" w:cs="宋体" w:eastAsia="宋体" w:hint="default"/>
                <w:sz w:val="21"/>
                <w:szCs w:val="21"/>
              </w:rPr>
            </w:pPr>
            <w:r>
              <w:rPr>
                <w:rFonts w:ascii="宋体"/>
                <w:sz w:val="21"/>
              </w:rPr>
              <w:t>90,000.00</w:t>
            </w: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222"/>
              <w:jc w:val="right"/>
              <w:rPr>
                <w:rFonts w:ascii="宋体" w:hAnsi="宋体" w:cs="宋体" w:eastAsia="宋体" w:hint="default"/>
                <w:sz w:val="21"/>
                <w:szCs w:val="21"/>
              </w:rPr>
            </w:pPr>
            <w:r>
              <w:rPr>
                <w:rFonts w:ascii="宋体" w:hAnsi="宋体" w:cs="宋体" w:eastAsia="宋体" w:hint="default"/>
                <w:sz w:val="21"/>
                <w:szCs w:val="21"/>
              </w:rPr>
              <w:t>处置子公司及其他营业单位收到的现金净额</w:t>
            </w:r>
          </w:p>
        </w:tc>
        <w:tc>
          <w:tcPr>
            <w:tcW w:w="2564" w:type="dxa"/>
            <w:tcBorders>
              <w:top w:val="single" w:sz="4" w:space="0" w:color="000000"/>
              <w:left w:val="single" w:sz="13"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收到其他与投资活动有关的现金</w:t>
            </w:r>
          </w:p>
        </w:tc>
        <w:tc>
          <w:tcPr>
            <w:tcW w:w="2564" w:type="dxa"/>
            <w:tcBorders>
              <w:top w:val="single" w:sz="4" w:space="0" w:color="000000"/>
              <w:left w:val="single" w:sz="13"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投资活动现金流入小计</w:t>
            </w:r>
          </w:p>
        </w:tc>
        <w:tc>
          <w:tcPr>
            <w:tcW w:w="25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5,296,209.93</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98,712.28</w:t>
            </w:r>
          </w:p>
        </w:tc>
      </w:tr>
      <w:tr>
        <w:trPr>
          <w:trHeight w:val="714"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11" w:right="12" w:firstLine="420"/>
              <w:jc w:val="left"/>
              <w:rPr>
                <w:rFonts w:ascii="宋体" w:hAnsi="宋体" w:cs="宋体" w:eastAsia="宋体" w:hint="default"/>
                <w:sz w:val="21"/>
                <w:szCs w:val="21"/>
              </w:rPr>
            </w:pPr>
            <w:r>
              <w:rPr>
                <w:rFonts w:ascii="宋体" w:hAnsi="宋体" w:cs="宋体" w:eastAsia="宋体" w:hint="default"/>
                <w:sz w:val="21"/>
                <w:szCs w:val="21"/>
              </w:rPr>
              <w:t>购建固定资产、无形资产和其他长期资产支付 的现金</w:t>
            </w:r>
          </w:p>
        </w:tc>
        <w:tc>
          <w:tcPr>
            <w:tcW w:w="25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0"/>
              <w:jc w:val="right"/>
              <w:rPr>
                <w:rFonts w:ascii="宋体" w:hAnsi="宋体" w:cs="宋体" w:eastAsia="宋体" w:hint="default"/>
                <w:sz w:val="21"/>
                <w:szCs w:val="21"/>
              </w:rPr>
            </w:pPr>
            <w:r>
              <w:rPr>
                <w:rFonts w:ascii="宋体"/>
                <w:sz w:val="21"/>
              </w:rPr>
              <w:t>36,800,789.08</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0"/>
              <w:jc w:val="right"/>
              <w:rPr>
                <w:rFonts w:ascii="宋体" w:hAnsi="宋体" w:cs="宋体" w:eastAsia="宋体" w:hint="default"/>
                <w:sz w:val="21"/>
                <w:szCs w:val="21"/>
              </w:rPr>
            </w:pPr>
            <w:r>
              <w:rPr>
                <w:rFonts w:ascii="宋体"/>
                <w:sz w:val="21"/>
              </w:rPr>
              <w:t>27,434,619.92</w:t>
            </w: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投资支付的现金</w:t>
            </w:r>
          </w:p>
        </w:tc>
        <w:tc>
          <w:tcPr>
            <w:tcW w:w="25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3,460,000.00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9"/>
              <w:jc w:val="right"/>
              <w:rPr>
                <w:rFonts w:ascii="宋体" w:hAnsi="宋体" w:cs="宋体" w:eastAsia="宋体" w:hint="default"/>
                <w:sz w:val="21"/>
                <w:szCs w:val="21"/>
              </w:rPr>
            </w:pPr>
            <w:r>
              <w:rPr>
                <w:rFonts w:ascii="宋体"/>
                <w:sz w:val="21"/>
              </w:rPr>
              <w:t>100,000,000.00</w:t>
            </w: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质押贷款净增加额</w:t>
            </w:r>
          </w:p>
        </w:tc>
        <w:tc>
          <w:tcPr>
            <w:tcW w:w="2564" w:type="dxa"/>
            <w:tcBorders>
              <w:top w:val="single" w:sz="4" w:space="0" w:color="000000"/>
              <w:left w:val="single" w:sz="13"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222"/>
              <w:jc w:val="right"/>
              <w:rPr>
                <w:rFonts w:ascii="宋体" w:hAnsi="宋体" w:cs="宋体" w:eastAsia="宋体" w:hint="default"/>
                <w:sz w:val="21"/>
                <w:szCs w:val="21"/>
              </w:rPr>
            </w:pPr>
            <w:r>
              <w:rPr>
                <w:rFonts w:ascii="宋体" w:hAnsi="宋体" w:cs="宋体" w:eastAsia="宋体" w:hint="default"/>
                <w:sz w:val="21"/>
                <w:szCs w:val="21"/>
              </w:rPr>
              <w:t>取得子公司及其他营业单位支付的现金净额</w:t>
            </w:r>
          </w:p>
        </w:tc>
        <w:tc>
          <w:tcPr>
            <w:tcW w:w="25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35,261,137.82</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29,000,000.00</w:t>
            </w: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支付其他与投资活动有关的现金</w:t>
            </w:r>
          </w:p>
        </w:tc>
        <w:tc>
          <w:tcPr>
            <w:tcW w:w="2564" w:type="dxa"/>
            <w:tcBorders>
              <w:top w:val="single" w:sz="4" w:space="0" w:color="000000"/>
              <w:left w:val="single" w:sz="13"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投资活动现金流出小计</w:t>
            </w:r>
          </w:p>
        </w:tc>
        <w:tc>
          <w:tcPr>
            <w:tcW w:w="25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75,521,926.90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9"/>
              <w:jc w:val="right"/>
              <w:rPr>
                <w:rFonts w:ascii="宋体" w:hAnsi="宋体" w:cs="宋体" w:eastAsia="宋体" w:hint="default"/>
                <w:sz w:val="21"/>
                <w:szCs w:val="21"/>
              </w:rPr>
            </w:pPr>
            <w:r>
              <w:rPr>
                <w:rFonts w:ascii="宋体"/>
                <w:sz w:val="21"/>
              </w:rPr>
              <w:t>156,434,619.92</w:t>
            </w: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投资活动产生的现金流量净额</w:t>
            </w:r>
          </w:p>
        </w:tc>
        <w:tc>
          <w:tcPr>
            <w:tcW w:w="25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pacing w:val="-1"/>
                <w:sz w:val="21"/>
              </w:rPr>
              <w:t>-70,225,716.97</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pacing w:val="-1"/>
                <w:sz w:val="21"/>
              </w:rPr>
              <w:t>-156,335,907.64</w:t>
            </w: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三、筹资活动产生的现金流量：</w:t>
            </w:r>
          </w:p>
        </w:tc>
        <w:tc>
          <w:tcPr>
            <w:tcW w:w="25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3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吸收投资收到的现金</w:t>
            </w:r>
          </w:p>
        </w:tc>
        <w:tc>
          <w:tcPr>
            <w:tcW w:w="2564" w:type="dxa"/>
            <w:tcBorders>
              <w:top w:val="single" w:sz="4" w:space="0" w:color="000000"/>
              <w:left w:val="single" w:sz="13"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222"/>
              <w:jc w:val="right"/>
              <w:rPr>
                <w:rFonts w:ascii="宋体" w:hAnsi="宋体" w:cs="宋体" w:eastAsia="宋体" w:hint="default"/>
                <w:sz w:val="21"/>
                <w:szCs w:val="21"/>
              </w:rPr>
            </w:pPr>
            <w:r>
              <w:rPr>
                <w:rFonts w:ascii="宋体" w:hAnsi="宋体" w:cs="宋体" w:eastAsia="宋体" w:hint="default"/>
                <w:sz w:val="21"/>
                <w:szCs w:val="21"/>
              </w:rPr>
              <w:t>其中：子公司吸收少数股东投资收到的现金</w:t>
            </w:r>
          </w:p>
        </w:tc>
        <w:tc>
          <w:tcPr>
            <w:tcW w:w="2564" w:type="dxa"/>
            <w:tcBorders>
              <w:top w:val="single" w:sz="4" w:space="0" w:color="000000"/>
              <w:left w:val="single" w:sz="13"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取得借款收到的现金</w:t>
            </w:r>
          </w:p>
        </w:tc>
        <w:tc>
          <w:tcPr>
            <w:tcW w:w="25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351,589,018.34</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9"/>
              <w:jc w:val="right"/>
              <w:rPr>
                <w:rFonts w:ascii="宋体" w:hAnsi="宋体" w:cs="宋体" w:eastAsia="宋体" w:hint="default"/>
                <w:sz w:val="21"/>
                <w:szCs w:val="21"/>
              </w:rPr>
            </w:pPr>
            <w:r>
              <w:rPr>
                <w:rFonts w:ascii="宋体"/>
                <w:sz w:val="21"/>
              </w:rPr>
              <w:t>142,413,508.96</w:t>
            </w: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发行债券收到的现金</w:t>
            </w:r>
          </w:p>
        </w:tc>
        <w:tc>
          <w:tcPr>
            <w:tcW w:w="2564" w:type="dxa"/>
            <w:tcBorders>
              <w:top w:val="single" w:sz="4" w:space="0" w:color="000000"/>
              <w:left w:val="single" w:sz="13"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收到其他与筹资活动有关的现金</w:t>
            </w:r>
          </w:p>
        </w:tc>
        <w:tc>
          <w:tcPr>
            <w:tcW w:w="2564" w:type="dxa"/>
            <w:tcBorders>
              <w:top w:val="single" w:sz="4" w:space="0" w:color="000000"/>
              <w:left w:val="single" w:sz="13"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筹资活动现金流入小计</w:t>
            </w:r>
          </w:p>
        </w:tc>
        <w:tc>
          <w:tcPr>
            <w:tcW w:w="25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351,589,018.34</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9"/>
              <w:jc w:val="right"/>
              <w:rPr>
                <w:rFonts w:ascii="宋体" w:hAnsi="宋体" w:cs="宋体" w:eastAsia="宋体" w:hint="default"/>
                <w:sz w:val="21"/>
                <w:szCs w:val="21"/>
              </w:rPr>
            </w:pPr>
            <w:r>
              <w:rPr>
                <w:rFonts w:ascii="宋体"/>
                <w:sz w:val="21"/>
              </w:rPr>
              <w:t>142,413,508.96</w:t>
            </w: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偿还债务支付的现金</w:t>
            </w:r>
          </w:p>
        </w:tc>
        <w:tc>
          <w:tcPr>
            <w:tcW w:w="25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253,439,086.51</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70,000,000.00</w:t>
            </w: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分配股利、利润或偿付利息支付的现金</w:t>
            </w:r>
          </w:p>
        </w:tc>
        <w:tc>
          <w:tcPr>
            <w:tcW w:w="25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33,256,080.25</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40,053,600.00</w:t>
            </w: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222"/>
              <w:jc w:val="right"/>
              <w:rPr>
                <w:rFonts w:ascii="宋体" w:hAnsi="宋体" w:cs="宋体" w:eastAsia="宋体" w:hint="default"/>
                <w:sz w:val="21"/>
                <w:szCs w:val="21"/>
              </w:rPr>
            </w:pPr>
            <w:r>
              <w:rPr>
                <w:rFonts w:ascii="宋体" w:hAnsi="宋体" w:cs="宋体" w:eastAsia="宋体" w:hint="default"/>
                <w:sz w:val="21"/>
                <w:szCs w:val="21"/>
              </w:rPr>
              <w:t>其中：子公司支付给少数股东的股利、利润</w:t>
            </w:r>
          </w:p>
        </w:tc>
        <w:tc>
          <w:tcPr>
            <w:tcW w:w="2564" w:type="dxa"/>
            <w:tcBorders>
              <w:top w:val="single" w:sz="4" w:space="0" w:color="000000"/>
              <w:left w:val="single" w:sz="13"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支付其他与筹资活动有关的现金</w:t>
            </w:r>
          </w:p>
        </w:tc>
        <w:tc>
          <w:tcPr>
            <w:tcW w:w="2564" w:type="dxa"/>
            <w:tcBorders>
              <w:top w:val="single" w:sz="4" w:space="0" w:color="000000"/>
              <w:left w:val="single" w:sz="13"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筹资活动现金流出小计</w:t>
            </w:r>
          </w:p>
        </w:tc>
        <w:tc>
          <w:tcPr>
            <w:tcW w:w="25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286,695,166.76</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9"/>
              <w:jc w:val="right"/>
              <w:rPr>
                <w:rFonts w:ascii="宋体" w:hAnsi="宋体" w:cs="宋体" w:eastAsia="宋体" w:hint="default"/>
                <w:sz w:val="21"/>
                <w:szCs w:val="21"/>
              </w:rPr>
            </w:pPr>
            <w:r>
              <w:rPr>
                <w:rFonts w:ascii="宋体"/>
                <w:sz w:val="21"/>
              </w:rPr>
              <w:t>110,053,600.00</w:t>
            </w: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筹资活动产生的现金流量净额</w:t>
            </w:r>
          </w:p>
        </w:tc>
        <w:tc>
          <w:tcPr>
            <w:tcW w:w="25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64,893,851.58</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32,359,908.96</w:t>
            </w: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四、汇率变动对现金及现金等价物的影响</w:t>
            </w:r>
          </w:p>
        </w:tc>
        <w:tc>
          <w:tcPr>
            <w:tcW w:w="2564" w:type="dxa"/>
            <w:tcBorders>
              <w:top w:val="single" w:sz="4" w:space="0" w:color="000000"/>
              <w:left w:val="single" w:sz="13"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五、现金及现金等价物净增加额</w:t>
            </w:r>
          </w:p>
        </w:tc>
        <w:tc>
          <w:tcPr>
            <w:tcW w:w="25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54,387,044.92</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12,593,209.50</w:t>
            </w: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加：期初现金及现金等价物余额</w:t>
            </w:r>
          </w:p>
        </w:tc>
        <w:tc>
          <w:tcPr>
            <w:tcW w:w="25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820,682,598.12</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9"/>
              <w:jc w:val="right"/>
              <w:rPr>
                <w:rFonts w:ascii="宋体" w:hAnsi="宋体" w:cs="宋体" w:eastAsia="宋体" w:hint="default"/>
                <w:sz w:val="21"/>
                <w:szCs w:val="21"/>
              </w:rPr>
            </w:pPr>
            <w:r>
              <w:rPr>
                <w:rFonts w:ascii="宋体"/>
                <w:sz w:val="21"/>
              </w:rPr>
              <w:t>808,089,388.62</w:t>
            </w: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六、期末现金及现金等价物余额</w:t>
            </w:r>
          </w:p>
        </w:tc>
        <w:tc>
          <w:tcPr>
            <w:tcW w:w="25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875,069,643.04</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9"/>
              <w:jc w:val="right"/>
              <w:rPr>
                <w:rFonts w:ascii="宋体" w:hAnsi="宋体" w:cs="宋体" w:eastAsia="宋体" w:hint="default"/>
                <w:sz w:val="21"/>
                <w:szCs w:val="21"/>
              </w:rPr>
            </w:pPr>
            <w:r>
              <w:rPr>
                <w:rFonts w:ascii="宋体"/>
                <w:sz w:val="21"/>
              </w:rPr>
              <w:t>820,682,598.12</w:t>
            </w:r>
          </w:p>
        </w:tc>
      </w:tr>
    </w:tbl>
    <w:p>
      <w:pPr>
        <w:spacing w:line="240" w:lineRule="auto" w:before="13"/>
        <w:rPr>
          <w:rFonts w:ascii="宋体" w:hAnsi="宋体" w:cs="宋体" w:eastAsia="宋体" w:hint="default"/>
          <w:sz w:val="17"/>
          <w:szCs w:val="17"/>
        </w:rPr>
      </w:pPr>
    </w:p>
    <w:p>
      <w:pPr>
        <w:pStyle w:val="Heading2"/>
        <w:spacing w:line="240" w:lineRule="auto"/>
        <w:ind w:right="996"/>
        <w:jc w:val="left"/>
        <w:rPr>
          <w:b w:val="0"/>
          <w:bCs w:val="0"/>
        </w:rPr>
      </w:pPr>
      <w:bookmarkStart w:name="6、母公司现金流量表" w:id="195"/>
      <w:bookmarkEnd w:id="195"/>
      <w:r>
        <w:rPr>
          <w:b w:val="0"/>
          <w:bCs w:val="0"/>
        </w:rPr>
      </w:r>
      <w:r>
        <w:rPr>
          <w:rFonts w:ascii="宋体" w:hAnsi="宋体" w:cs="宋体" w:eastAsia="宋体" w:hint="default"/>
        </w:rPr>
        <w:t>6</w:t>
      </w:r>
      <w:r>
        <w:rPr/>
        <w:t>、母公司现金流量表</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after="0"/>
        <w:jc w:val="righ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4656"/>
        <w:gridCol w:w="2564"/>
        <w:gridCol w:w="2338"/>
      </w:tblGrid>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5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757"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3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638"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一、经营活动产生的现金流量：</w:t>
            </w:r>
          </w:p>
        </w:tc>
        <w:tc>
          <w:tcPr>
            <w:tcW w:w="25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3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销售商品、提供劳务收到的现金</w:t>
            </w:r>
          </w:p>
        </w:tc>
        <w:tc>
          <w:tcPr>
            <w:tcW w:w="25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399,734,154.30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9"/>
              <w:jc w:val="right"/>
              <w:rPr>
                <w:rFonts w:ascii="宋体" w:hAnsi="宋体" w:cs="宋体" w:eastAsia="宋体" w:hint="default"/>
                <w:sz w:val="21"/>
                <w:szCs w:val="21"/>
              </w:rPr>
            </w:pPr>
            <w:r>
              <w:rPr>
                <w:rFonts w:ascii="宋体"/>
                <w:sz w:val="21"/>
              </w:rPr>
              <w:t>406,323,860.64</w:t>
            </w: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收到的税费返还</w:t>
            </w:r>
          </w:p>
        </w:tc>
        <w:tc>
          <w:tcPr>
            <w:tcW w:w="25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20,780,732.64</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30,535,922.83</w:t>
            </w: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收到其他与经营活动有关的现金</w:t>
            </w:r>
          </w:p>
        </w:tc>
        <w:tc>
          <w:tcPr>
            <w:tcW w:w="25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12,849,433.20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24,342,094.70</w:t>
            </w: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经营活动现金流入小计</w:t>
            </w:r>
          </w:p>
        </w:tc>
        <w:tc>
          <w:tcPr>
            <w:tcW w:w="25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433,364,320.14</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9"/>
              <w:jc w:val="right"/>
              <w:rPr>
                <w:rFonts w:ascii="宋体" w:hAnsi="宋体" w:cs="宋体" w:eastAsia="宋体" w:hint="default"/>
                <w:sz w:val="21"/>
                <w:szCs w:val="21"/>
              </w:rPr>
            </w:pPr>
            <w:r>
              <w:rPr>
                <w:rFonts w:ascii="宋体"/>
                <w:sz w:val="21"/>
              </w:rPr>
              <w:t>461,201,878.17</w:t>
            </w: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购买商品、接受劳务支付的现金</w:t>
            </w:r>
          </w:p>
        </w:tc>
        <w:tc>
          <w:tcPr>
            <w:tcW w:w="25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189,925,102.56</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9"/>
              <w:jc w:val="right"/>
              <w:rPr>
                <w:rFonts w:ascii="宋体" w:hAnsi="宋体" w:cs="宋体" w:eastAsia="宋体" w:hint="default"/>
                <w:sz w:val="21"/>
                <w:szCs w:val="21"/>
              </w:rPr>
            </w:pPr>
            <w:r>
              <w:rPr>
                <w:rFonts w:ascii="宋体"/>
                <w:sz w:val="21"/>
              </w:rPr>
              <w:t>187,143,871.83</w:t>
            </w: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支付给职工以及为职工支付的现金</w:t>
            </w:r>
          </w:p>
        </w:tc>
        <w:tc>
          <w:tcPr>
            <w:tcW w:w="25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40,069,409.66</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49,409,401.50</w:t>
            </w: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支付的各项税费</w:t>
            </w:r>
          </w:p>
        </w:tc>
        <w:tc>
          <w:tcPr>
            <w:tcW w:w="25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48,770,013.02</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41,134,103.68</w:t>
            </w: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支付其他与经营活动有关的现金</w:t>
            </w:r>
          </w:p>
        </w:tc>
        <w:tc>
          <w:tcPr>
            <w:tcW w:w="25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60,865,384.64</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53,096,280.10</w:t>
            </w: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经营活动现金流出小计</w:t>
            </w:r>
          </w:p>
        </w:tc>
        <w:tc>
          <w:tcPr>
            <w:tcW w:w="25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339,629,909.88</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9"/>
              <w:jc w:val="right"/>
              <w:rPr>
                <w:rFonts w:ascii="宋体" w:hAnsi="宋体" w:cs="宋体" w:eastAsia="宋体" w:hint="default"/>
                <w:sz w:val="21"/>
                <w:szCs w:val="21"/>
              </w:rPr>
            </w:pPr>
            <w:r>
              <w:rPr>
                <w:rFonts w:ascii="宋体"/>
                <w:sz w:val="21"/>
              </w:rPr>
              <w:t>330,783,657.11</w:t>
            </w: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25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93,734,410.26</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9"/>
              <w:jc w:val="right"/>
              <w:rPr>
                <w:rFonts w:ascii="宋体" w:hAnsi="宋体" w:cs="宋体" w:eastAsia="宋体" w:hint="default"/>
                <w:sz w:val="21"/>
                <w:szCs w:val="21"/>
              </w:rPr>
            </w:pPr>
            <w:r>
              <w:rPr>
                <w:rFonts w:ascii="宋体"/>
                <w:sz w:val="21"/>
              </w:rPr>
              <w:t>130,418,221.06</w:t>
            </w: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二、投资活动产生的现金流量：</w:t>
            </w:r>
          </w:p>
        </w:tc>
        <w:tc>
          <w:tcPr>
            <w:tcW w:w="25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3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收回投资收到的现金</w:t>
            </w:r>
          </w:p>
        </w:tc>
        <w:tc>
          <w:tcPr>
            <w:tcW w:w="2564" w:type="dxa"/>
            <w:tcBorders>
              <w:top w:val="single" w:sz="4" w:space="0" w:color="000000"/>
              <w:left w:val="single" w:sz="13"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取得投资收益收到的现金</w:t>
            </w:r>
          </w:p>
        </w:tc>
        <w:tc>
          <w:tcPr>
            <w:tcW w:w="2564" w:type="dxa"/>
            <w:tcBorders>
              <w:top w:val="single" w:sz="4" w:space="0" w:color="000000"/>
              <w:left w:val="single" w:sz="13"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11" w:right="12" w:firstLine="420"/>
              <w:jc w:val="left"/>
              <w:rPr>
                <w:rFonts w:ascii="宋体" w:hAnsi="宋体" w:cs="宋体" w:eastAsia="宋体" w:hint="default"/>
                <w:sz w:val="21"/>
                <w:szCs w:val="21"/>
              </w:rPr>
            </w:pPr>
            <w:r>
              <w:rPr>
                <w:rFonts w:ascii="宋体" w:hAnsi="宋体" w:cs="宋体" w:eastAsia="宋体" w:hint="default"/>
                <w:sz w:val="21"/>
                <w:szCs w:val="21"/>
              </w:rPr>
              <w:t>处置固定资产、无形资产和其他长期资产收回 的现金净额</w:t>
            </w:r>
          </w:p>
        </w:tc>
        <w:tc>
          <w:tcPr>
            <w:tcW w:w="25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21"/>
              <w:jc w:val="right"/>
              <w:rPr>
                <w:rFonts w:ascii="宋体" w:hAnsi="宋体" w:cs="宋体" w:eastAsia="宋体" w:hint="default"/>
                <w:sz w:val="21"/>
                <w:szCs w:val="21"/>
              </w:rPr>
            </w:pPr>
            <w:r>
              <w:rPr>
                <w:rFonts w:ascii="宋体"/>
                <w:sz w:val="21"/>
              </w:rPr>
              <w:t>640.00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20"/>
              <w:jc w:val="right"/>
              <w:rPr>
                <w:rFonts w:ascii="宋体" w:hAnsi="宋体" w:cs="宋体" w:eastAsia="宋体" w:hint="default"/>
                <w:sz w:val="21"/>
                <w:szCs w:val="21"/>
              </w:rPr>
            </w:pPr>
            <w:r>
              <w:rPr>
                <w:rFonts w:ascii="宋体"/>
                <w:sz w:val="21"/>
              </w:rPr>
              <w:t>10,000.00</w:t>
            </w: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222"/>
              <w:jc w:val="right"/>
              <w:rPr>
                <w:rFonts w:ascii="宋体" w:hAnsi="宋体" w:cs="宋体" w:eastAsia="宋体" w:hint="default"/>
                <w:sz w:val="21"/>
                <w:szCs w:val="21"/>
              </w:rPr>
            </w:pPr>
            <w:r>
              <w:rPr>
                <w:rFonts w:ascii="宋体" w:hAnsi="宋体" w:cs="宋体" w:eastAsia="宋体" w:hint="default"/>
                <w:sz w:val="21"/>
                <w:szCs w:val="21"/>
              </w:rPr>
              <w:t>处置子公司及其他营业单位收到的现金净额</w:t>
            </w:r>
          </w:p>
        </w:tc>
        <w:tc>
          <w:tcPr>
            <w:tcW w:w="2564" w:type="dxa"/>
            <w:tcBorders>
              <w:top w:val="single" w:sz="4" w:space="0" w:color="000000"/>
              <w:left w:val="single" w:sz="13"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收到其他与投资活动有关的现金</w:t>
            </w:r>
          </w:p>
        </w:tc>
        <w:tc>
          <w:tcPr>
            <w:tcW w:w="2564" w:type="dxa"/>
            <w:tcBorders>
              <w:top w:val="single" w:sz="4" w:space="0" w:color="000000"/>
              <w:left w:val="single" w:sz="13"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投资活动现金流入小计</w:t>
            </w:r>
          </w:p>
        </w:tc>
        <w:tc>
          <w:tcPr>
            <w:tcW w:w="25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640.00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10,000.00</w:t>
            </w:r>
          </w:p>
        </w:tc>
      </w:tr>
      <w:tr>
        <w:trPr>
          <w:trHeight w:val="714"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11" w:right="12" w:firstLine="420"/>
              <w:jc w:val="left"/>
              <w:rPr>
                <w:rFonts w:ascii="宋体" w:hAnsi="宋体" w:cs="宋体" w:eastAsia="宋体" w:hint="default"/>
                <w:sz w:val="21"/>
                <w:szCs w:val="21"/>
              </w:rPr>
            </w:pPr>
            <w:r>
              <w:rPr>
                <w:rFonts w:ascii="宋体" w:hAnsi="宋体" w:cs="宋体" w:eastAsia="宋体" w:hint="default"/>
                <w:sz w:val="21"/>
                <w:szCs w:val="21"/>
              </w:rPr>
              <w:t>购建固定资产、无形资产和其他长期资产支付 的现金</w:t>
            </w:r>
          </w:p>
        </w:tc>
        <w:tc>
          <w:tcPr>
            <w:tcW w:w="25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20"/>
              <w:jc w:val="right"/>
              <w:rPr>
                <w:rFonts w:ascii="宋体" w:hAnsi="宋体" w:cs="宋体" w:eastAsia="宋体" w:hint="default"/>
                <w:sz w:val="21"/>
                <w:szCs w:val="21"/>
              </w:rPr>
            </w:pPr>
            <w:r>
              <w:rPr>
                <w:rFonts w:ascii="宋体"/>
                <w:sz w:val="21"/>
              </w:rPr>
              <w:t>23,465,590.65</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20"/>
              <w:jc w:val="right"/>
              <w:rPr>
                <w:rFonts w:ascii="宋体" w:hAnsi="宋体" w:cs="宋体" w:eastAsia="宋体" w:hint="default"/>
                <w:sz w:val="21"/>
                <w:szCs w:val="21"/>
              </w:rPr>
            </w:pPr>
            <w:r>
              <w:rPr>
                <w:rFonts w:ascii="宋体"/>
                <w:sz w:val="21"/>
              </w:rPr>
              <w:t>12,147,858.67</w:t>
            </w: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投资支付的现金</w:t>
            </w:r>
          </w:p>
        </w:tc>
        <w:tc>
          <w:tcPr>
            <w:tcW w:w="25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14,460,000.00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9"/>
              <w:jc w:val="right"/>
              <w:rPr>
                <w:rFonts w:ascii="宋体" w:hAnsi="宋体" w:cs="宋体" w:eastAsia="宋体" w:hint="default"/>
                <w:sz w:val="21"/>
                <w:szCs w:val="21"/>
              </w:rPr>
            </w:pPr>
            <w:r>
              <w:rPr>
                <w:rFonts w:ascii="宋体"/>
                <w:sz w:val="21"/>
              </w:rPr>
              <w:t>100,000,000.00</w:t>
            </w: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222"/>
              <w:jc w:val="right"/>
              <w:rPr>
                <w:rFonts w:ascii="宋体" w:hAnsi="宋体" w:cs="宋体" w:eastAsia="宋体" w:hint="default"/>
                <w:sz w:val="21"/>
                <w:szCs w:val="21"/>
              </w:rPr>
            </w:pPr>
            <w:r>
              <w:rPr>
                <w:rFonts w:ascii="宋体" w:hAnsi="宋体" w:cs="宋体" w:eastAsia="宋体" w:hint="default"/>
                <w:sz w:val="21"/>
                <w:szCs w:val="21"/>
              </w:rPr>
              <w:t>取得子公司及其他营业单位支付的现金净额</w:t>
            </w:r>
          </w:p>
        </w:tc>
        <w:tc>
          <w:tcPr>
            <w:tcW w:w="25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54,266,600.00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41,000,000.00</w:t>
            </w: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支付其他与投资活动有关的现金</w:t>
            </w:r>
          </w:p>
        </w:tc>
        <w:tc>
          <w:tcPr>
            <w:tcW w:w="2564" w:type="dxa"/>
            <w:tcBorders>
              <w:top w:val="single" w:sz="4" w:space="0" w:color="000000"/>
              <w:left w:val="single" w:sz="13"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投资活动现金流出小计</w:t>
            </w:r>
          </w:p>
        </w:tc>
        <w:tc>
          <w:tcPr>
            <w:tcW w:w="25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92,192,190.65</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9"/>
              <w:jc w:val="right"/>
              <w:rPr>
                <w:rFonts w:ascii="宋体" w:hAnsi="宋体" w:cs="宋体" w:eastAsia="宋体" w:hint="default"/>
                <w:sz w:val="21"/>
                <w:szCs w:val="21"/>
              </w:rPr>
            </w:pPr>
            <w:r>
              <w:rPr>
                <w:rFonts w:ascii="宋体"/>
                <w:sz w:val="21"/>
              </w:rPr>
              <w:t>153,147,858.67</w:t>
            </w: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投资活动产生的现金流量净额</w:t>
            </w:r>
          </w:p>
        </w:tc>
        <w:tc>
          <w:tcPr>
            <w:tcW w:w="25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pacing w:val="-1"/>
                <w:sz w:val="21"/>
              </w:rPr>
              <w:t>-92,191,550.65</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pacing w:val="-1"/>
                <w:sz w:val="21"/>
              </w:rPr>
              <w:t>-153,137,858.67</w:t>
            </w: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三、筹资活动产生的现金流量：</w:t>
            </w:r>
          </w:p>
        </w:tc>
        <w:tc>
          <w:tcPr>
            <w:tcW w:w="25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3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吸收投资收到的现金</w:t>
            </w:r>
          </w:p>
        </w:tc>
        <w:tc>
          <w:tcPr>
            <w:tcW w:w="2564" w:type="dxa"/>
            <w:tcBorders>
              <w:top w:val="single" w:sz="4" w:space="0" w:color="000000"/>
              <w:left w:val="single" w:sz="13"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取得借款收到的现金</w:t>
            </w:r>
          </w:p>
        </w:tc>
        <w:tc>
          <w:tcPr>
            <w:tcW w:w="25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351,589,018.34</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9"/>
              <w:jc w:val="right"/>
              <w:rPr>
                <w:rFonts w:ascii="宋体" w:hAnsi="宋体" w:cs="宋体" w:eastAsia="宋体" w:hint="default"/>
                <w:sz w:val="21"/>
                <w:szCs w:val="21"/>
              </w:rPr>
            </w:pPr>
            <w:r>
              <w:rPr>
                <w:rFonts w:ascii="宋体"/>
                <w:sz w:val="21"/>
              </w:rPr>
              <w:t>142,413,508.96</w:t>
            </w: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发行债券收到的现金</w:t>
            </w:r>
          </w:p>
        </w:tc>
        <w:tc>
          <w:tcPr>
            <w:tcW w:w="2564" w:type="dxa"/>
            <w:tcBorders>
              <w:top w:val="single" w:sz="4" w:space="0" w:color="000000"/>
              <w:left w:val="single" w:sz="13"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收到其他与筹资活动有关的现金</w:t>
            </w:r>
          </w:p>
        </w:tc>
        <w:tc>
          <w:tcPr>
            <w:tcW w:w="2564" w:type="dxa"/>
            <w:tcBorders>
              <w:top w:val="single" w:sz="4" w:space="0" w:color="000000"/>
              <w:left w:val="single" w:sz="13"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筹资活动现金流入小计</w:t>
            </w:r>
          </w:p>
        </w:tc>
        <w:tc>
          <w:tcPr>
            <w:tcW w:w="25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351,589,018.34</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9"/>
              <w:jc w:val="right"/>
              <w:rPr>
                <w:rFonts w:ascii="宋体" w:hAnsi="宋体" w:cs="宋体" w:eastAsia="宋体" w:hint="default"/>
                <w:sz w:val="21"/>
                <w:szCs w:val="21"/>
              </w:rPr>
            </w:pPr>
            <w:r>
              <w:rPr>
                <w:rFonts w:ascii="宋体"/>
                <w:sz w:val="21"/>
              </w:rPr>
              <w:t>142,413,508.96</w:t>
            </w: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偿还债务支付的现金</w:t>
            </w:r>
          </w:p>
        </w:tc>
        <w:tc>
          <w:tcPr>
            <w:tcW w:w="25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253,439,086.51</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70,000,000.00</w:t>
            </w: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分配股利、利润或偿付利息支付的现金</w:t>
            </w:r>
          </w:p>
        </w:tc>
        <w:tc>
          <w:tcPr>
            <w:tcW w:w="25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33,256,080.25</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40,053,600.00</w:t>
            </w:r>
          </w:p>
        </w:tc>
      </w:tr>
    </w:tbl>
    <w:p>
      <w:pPr>
        <w:spacing w:after="0" w:line="240" w:lineRule="auto"/>
        <w:jc w:val="right"/>
        <w:rPr>
          <w:rFonts w:ascii="宋体" w:hAnsi="宋体" w:cs="宋体" w:eastAsia="宋体" w:hint="default"/>
          <w:sz w:val="21"/>
          <w:szCs w:val="21"/>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669" w:type="dxa"/>
        <w:tblLayout w:type="fixed"/>
        <w:tblCellMar>
          <w:top w:w="0" w:type="dxa"/>
          <w:left w:w="0" w:type="dxa"/>
          <w:bottom w:w="0" w:type="dxa"/>
          <w:right w:w="0" w:type="dxa"/>
        </w:tblCellMar>
        <w:tblLook w:val="01E0"/>
      </w:tblPr>
      <w:tblGrid>
        <w:gridCol w:w="4678"/>
        <w:gridCol w:w="2553"/>
        <w:gridCol w:w="2338"/>
      </w:tblGrid>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42" w:right="0"/>
              <w:jc w:val="left"/>
              <w:rPr>
                <w:rFonts w:ascii="宋体" w:hAnsi="宋体" w:cs="宋体" w:eastAsia="宋体" w:hint="default"/>
                <w:sz w:val="21"/>
                <w:szCs w:val="21"/>
              </w:rPr>
            </w:pPr>
            <w:r>
              <w:rPr>
                <w:rFonts w:ascii="宋体" w:hAnsi="宋体" w:cs="宋体" w:eastAsia="宋体" w:hint="default"/>
                <w:sz w:val="21"/>
                <w:szCs w:val="21"/>
              </w:rPr>
              <w:t>支付其他与筹资活动有关的现金</w:t>
            </w:r>
          </w:p>
        </w:tc>
        <w:tc>
          <w:tcPr>
            <w:tcW w:w="2553"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筹资活动现金流出小计</w:t>
            </w:r>
          </w:p>
        </w:tc>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pacing w:val="-1"/>
                <w:sz w:val="21"/>
              </w:rPr>
              <w:t>286,695,166.76</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9"/>
              <w:jc w:val="right"/>
              <w:rPr>
                <w:rFonts w:ascii="宋体" w:hAnsi="宋体" w:cs="宋体" w:eastAsia="宋体" w:hint="default"/>
                <w:sz w:val="21"/>
                <w:szCs w:val="21"/>
              </w:rPr>
            </w:pPr>
            <w:r>
              <w:rPr>
                <w:rFonts w:ascii="宋体"/>
                <w:sz w:val="21"/>
              </w:rPr>
              <w:t>110,053,600.00</w:t>
            </w: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筹资活动产生的现金流量净额</w:t>
            </w:r>
          </w:p>
        </w:tc>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64,893,851.58</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32,359,908.96</w:t>
            </w: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四、汇率变动对现金及现金等价物的影响</w:t>
            </w:r>
          </w:p>
        </w:tc>
        <w:tc>
          <w:tcPr>
            <w:tcW w:w="2553"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五、现金及现金等价物净增加额</w:t>
            </w:r>
          </w:p>
        </w:tc>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66,436,711.19</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9"/>
              <w:jc w:val="right"/>
              <w:rPr>
                <w:rFonts w:ascii="宋体" w:hAnsi="宋体" w:cs="宋体" w:eastAsia="宋体" w:hint="default"/>
                <w:sz w:val="21"/>
                <w:szCs w:val="21"/>
              </w:rPr>
            </w:pPr>
            <w:r>
              <w:rPr>
                <w:rFonts w:ascii="宋体"/>
                <w:sz w:val="21"/>
              </w:rPr>
              <w:t>9,640,271.35</w:t>
            </w: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42" w:right="0"/>
              <w:jc w:val="left"/>
              <w:rPr>
                <w:rFonts w:ascii="宋体" w:hAnsi="宋体" w:cs="宋体" w:eastAsia="宋体" w:hint="default"/>
                <w:sz w:val="21"/>
                <w:szCs w:val="21"/>
              </w:rPr>
            </w:pPr>
            <w:r>
              <w:rPr>
                <w:rFonts w:ascii="宋体" w:hAnsi="宋体" w:cs="宋体" w:eastAsia="宋体" w:hint="default"/>
                <w:sz w:val="21"/>
                <w:szCs w:val="21"/>
              </w:rPr>
              <w:t>加：期初现金及现金等价物余额</w:t>
            </w:r>
          </w:p>
        </w:tc>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751,807,233.91</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9"/>
              <w:jc w:val="right"/>
              <w:rPr>
                <w:rFonts w:ascii="宋体" w:hAnsi="宋体" w:cs="宋体" w:eastAsia="宋体" w:hint="default"/>
                <w:sz w:val="21"/>
                <w:szCs w:val="21"/>
              </w:rPr>
            </w:pPr>
            <w:r>
              <w:rPr>
                <w:rFonts w:ascii="宋体"/>
                <w:sz w:val="21"/>
              </w:rPr>
              <w:t>742,166,962.56</w:t>
            </w: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六、期末现金及现金等价物余额</w:t>
            </w:r>
          </w:p>
        </w:tc>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818,243,945.10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9"/>
              <w:jc w:val="right"/>
              <w:rPr>
                <w:rFonts w:ascii="宋体" w:hAnsi="宋体" w:cs="宋体" w:eastAsia="宋体" w:hint="default"/>
                <w:sz w:val="21"/>
                <w:szCs w:val="21"/>
              </w:rPr>
            </w:pPr>
            <w:r>
              <w:rPr>
                <w:rFonts w:ascii="宋体"/>
                <w:sz w:val="21"/>
              </w:rPr>
              <w:t>751,807,233.91</w:t>
            </w:r>
          </w:p>
        </w:tc>
      </w:tr>
    </w:tbl>
    <w:p>
      <w:pPr>
        <w:spacing w:line="240" w:lineRule="auto" w:before="5"/>
        <w:rPr>
          <w:rFonts w:ascii="Times New Roman" w:hAnsi="Times New Roman" w:cs="Times New Roman" w:eastAsia="Times New Roman" w:hint="default"/>
          <w:sz w:val="20"/>
          <w:szCs w:val="20"/>
        </w:rPr>
      </w:pPr>
    </w:p>
    <w:p>
      <w:pPr>
        <w:pStyle w:val="Heading2"/>
        <w:spacing w:line="240" w:lineRule="auto"/>
        <w:ind w:left="1156" w:right="0"/>
        <w:jc w:val="left"/>
        <w:rPr>
          <w:b w:val="0"/>
          <w:bCs w:val="0"/>
        </w:rPr>
      </w:pPr>
      <w:bookmarkStart w:name="7、合并所有者权益变动表" w:id="196"/>
      <w:bookmarkEnd w:id="196"/>
      <w:r>
        <w:rPr>
          <w:b w:val="0"/>
          <w:bCs w:val="0"/>
        </w:rPr>
      </w:r>
      <w:r>
        <w:rPr>
          <w:rFonts w:ascii="宋体" w:hAnsi="宋体" w:cs="宋体" w:eastAsia="宋体" w:hint="default"/>
        </w:rPr>
        <w:t>7</w:t>
      </w:r>
      <w:r>
        <w:rPr/>
        <w:t>、合并所有者权益变动表</w:t>
      </w:r>
      <w:r>
        <w:rPr>
          <w:b w:val="0"/>
          <w:bCs w:val="0"/>
        </w:rPr>
      </w:r>
    </w:p>
    <w:p>
      <w:pPr>
        <w:spacing w:line="240" w:lineRule="auto" w:before="11"/>
        <w:rPr>
          <w:rFonts w:ascii="宋体" w:hAnsi="宋体" w:cs="宋体" w:eastAsia="宋体" w:hint="default"/>
          <w:b/>
          <w:bCs/>
          <w:sz w:val="20"/>
          <w:szCs w:val="20"/>
        </w:rPr>
      </w:pPr>
    </w:p>
    <w:p>
      <w:pPr>
        <w:spacing w:after="0" w:line="240" w:lineRule="auto"/>
        <w:rPr>
          <w:rFonts w:ascii="宋体" w:hAnsi="宋体" w:cs="宋体" w:eastAsia="宋体" w:hint="default"/>
          <w:sz w:val="20"/>
          <w:szCs w:val="20"/>
        </w:rPr>
        <w:sectPr>
          <w:pgSz w:w="11910" w:h="16840"/>
          <w:pgMar w:header="747" w:footer="979" w:top="1060" w:bottom="1160" w:left="460" w:right="0"/>
        </w:sectPr>
      </w:pPr>
    </w:p>
    <w:p>
      <w:pPr>
        <w:pStyle w:val="BodyText"/>
        <w:spacing w:line="240" w:lineRule="auto" w:before="26"/>
        <w:ind w:left="673" w:right="-19"/>
        <w:jc w:val="left"/>
      </w:pPr>
      <w:r>
        <w:rPr/>
        <w:t>本期金额</w:t>
      </w:r>
    </w:p>
    <w:p>
      <w:pPr>
        <w:spacing w:line="240" w:lineRule="auto" w:before="0"/>
        <w:rPr>
          <w:rFonts w:ascii="宋体" w:hAnsi="宋体" w:cs="宋体" w:eastAsia="宋体" w:hint="default"/>
          <w:sz w:val="20"/>
          <w:szCs w:val="20"/>
        </w:rPr>
      </w:pPr>
      <w:r>
        <w:rPr/>
        <w:br w:type="column"/>
      </w:r>
      <w:r>
        <w:rPr>
          <w:rFonts w:ascii="宋体"/>
          <w:sz w:val="20"/>
        </w:rPr>
      </w:r>
    </w:p>
    <w:p>
      <w:pPr>
        <w:spacing w:before="141"/>
        <w:ind w:left="673" w:right="0" w:firstLine="0"/>
        <w:jc w:val="left"/>
        <w:rPr>
          <w:rFonts w:ascii="宋体" w:hAnsi="宋体" w:cs="宋体" w:eastAsia="宋体" w:hint="default"/>
          <w:sz w:val="21"/>
          <w:szCs w:val="21"/>
        </w:rPr>
      </w:pPr>
      <w:r>
        <w:rPr>
          <w:rFonts w:ascii="宋体" w:hAnsi="宋体" w:cs="宋体" w:eastAsia="宋体" w:hint="default"/>
          <w:sz w:val="21"/>
          <w:szCs w:val="21"/>
        </w:rPr>
        <w:t>单位：元</w:t>
      </w:r>
    </w:p>
    <w:p>
      <w:pPr>
        <w:spacing w:after="0"/>
        <w:jc w:val="left"/>
        <w:rPr>
          <w:rFonts w:ascii="宋体" w:hAnsi="宋体" w:cs="宋体" w:eastAsia="宋体" w:hint="default"/>
          <w:sz w:val="21"/>
          <w:szCs w:val="21"/>
        </w:rPr>
        <w:sectPr>
          <w:type w:val="continuous"/>
          <w:pgSz w:w="11910" w:h="16840"/>
          <w:pgMar w:top="1060" w:bottom="1160" w:left="460" w:right="0"/>
          <w:cols w:num="2" w:equalWidth="0">
            <w:col w:w="1635" w:space="7165"/>
            <w:col w:w="2650"/>
          </w:cols>
        </w:sectPr>
      </w:pPr>
    </w:p>
    <w:p>
      <w:pPr>
        <w:spacing w:line="240" w:lineRule="auto" w:before="12"/>
        <w:rPr>
          <w:rFonts w:ascii="宋体" w:hAnsi="宋体" w:cs="宋体" w:eastAsia="宋体" w:hint="default"/>
          <w:sz w:val="6"/>
          <w:szCs w:val="6"/>
        </w:rPr>
      </w:pPr>
      <w:r>
        <w:rPr/>
        <w:pict>
          <v:group style="position:absolute;margin-left:114.620003pt;margin-top:615.25pt;width:61.15pt;height:20.8pt;mso-position-horizontal-relative:page;mso-position-vertical-relative:page;z-index:-915856" coordorigin="2292,12305" coordsize="1223,416">
            <v:group style="position:absolute;left:2304;top:12316;width:2;height:393" coordorigin="2304,12316" coordsize="2,393">
              <v:shape style="position:absolute;left:2304;top:12316;width:2;height:393" coordorigin="2304,12316" coordsize="0,393" path="m2304,12316l2304,12709e" filled="false" stroked="true" strokeweight="1.140pt" strokecolor="#ffffff">
                <v:path arrowok="t"/>
              </v:shape>
            </v:group>
            <v:group style="position:absolute;left:2315;top:12316;width:1200;height:393" coordorigin="2315,12316" coordsize="1200,393">
              <v:shape style="position:absolute;left:2315;top:12316;width:1200;height:393" coordorigin="2315,12316" coordsize="1200,393" path="m2315,12709l3515,12709,3515,12316,2315,12316,2315,12709xe" filled="true" fillcolor="#ffffff" stroked="false">
                <v:path arrowok="t"/>
                <v:fill type="solid"/>
              </v:shape>
            </v:group>
            <w10:wrap type="none"/>
          </v:group>
        </w:pict>
      </w:r>
    </w:p>
    <w:tbl>
      <w:tblPr>
        <w:tblW w:w="0" w:type="auto"/>
        <w:jc w:val="left"/>
        <w:tblInd w:w="106" w:type="dxa"/>
        <w:tblLayout w:type="fixed"/>
        <w:tblCellMar>
          <w:top w:w="0" w:type="dxa"/>
          <w:left w:w="0" w:type="dxa"/>
          <w:bottom w:w="0" w:type="dxa"/>
          <w:right w:w="0" w:type="dxa"/>
        </w:tblCellMar>
        <w:tblLook w:val="01E0"/>
      </w:tblPr>
      <w:tblGrid>
        <w:gridCol w:w="1710"/>
        <w:gridCol w:w="1256"/>
        <w:gridCol w:w="282"/>
        <w:gridCol w:w="1420"/>
        <w:gridCol w:w="282"/>
        <w:gridCol w:w="284"/>
        <w:gridCol w:w="283"/>
        <w:gridCol w:w="1277"/>
        <w:gridCol w:w="1418"/>
        <w:gridCol w:w="1274"/>
        <w:gridCol w:w="1277"/>
      </w:tblGrid>
      <w:tr>
        <w:trPr>
          <w:trHeight w:val="402" w:hRule="exact"/>
        </w:trPr>
        <w:tc>
          <w:tcPr>
            <w:tcW w:w="1710" w:type="dxa"/>
            <w:vMerge w:val="restart"/>
            <w:tcBorders>
              <w:top w:val="single" w:sz="4" w:space="0" w:color="000000"/>
              <w:left w:val="single" w:sz="4" w:space="0" w:color="000000"/>
              <w:right w:val="single" w:sz="4" w:space="0" w:color="000000"/>
            </w:tcBorders>
            <w:shd w:val="clear" w:color="auto" w:fill="D2D2D2"/>
          </w:tcPr>
          <w:p>
            <w:pPr/>
          </w:p>
        </w:tc>
        <w:tc>
          <w:tcPr>
            <w:tcW w:w="9054" w:type="dxa"/>
            <w:gridSpan w:val="10"/>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本期</w:t>
            </w:r>
          </w:p>
        </w:tc>
      </w:tr>
      <w:tr>
        <w:trPr>
          <w:trHeight w:val="397" w:hRule="exact"/>
        </w:trPr>
        <w:tc>
          <w:tcPr>
            <w:tcW w:w="1710" w:type="dxa"/>
            <w:vMerge/>
            <w:tcBorders>
              <w:left w:val="single" w:sz="4" w:space="0" w:color="000000"/>
              <w:right w:val="single" w:sz="4" w:space="0" w:color="000000"/>
            </w:tcBorders>
            <w:shd w:val="clear" w:color="auto" w:fill="D2D2D2"/>
          </w:tcPr>
          <w:p>
            <w:pPr/>
          </w:p>
        </w:tc>
        <w:tc>
          <w:tcPr>
            <w:tcW w:w="6502"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090" w:right="0"/>
              <w:jc w:val="left"/>
              <w:rPr>
                <w:rFonts w:ascii="宋体" w:hAnsi="宋体" w:cs="宋体" w:eastAsia="宋体" w:hint="default"/>
                <w:sz w:val="21"/>
                <w:szCs w:val="21"/>
              </w:rPr>
            </w:pPr>
            <w:r>
              <w:rPr>
                <w:rFonts w:ascii="宋体" w:hAnsi="宋体" w:cs="宋体" w:eastAsia="宋体" w:hint="default"/>
                <w:sz w:val="21"/>
                <w:szCs w:val="21"/>
              </w:rPr>
              <w:t>归属于母公司所有者权益</w:t>
            </w:r>
          </w:p>
        </w:tc>
        <w:tc>
          <w:tcPr>
            <w:tcW w:w="1274" w:type="dxa"/>
            <w:vMerge w:val="restart"/>
            <w:tcBorders>
              <w:top w:val="single" w:sz="4" w:space="0" w:color="000000"/>
              <w:left w:val="single" w:sz="4" w:space="0" w:color="000000"/>
              <w:right w:val="single" w:sz="4" w:space="0" w:color="000000"/>
            </w:tcBorders>
            <w:shd w:val="clear" w:color="auto" w:fill="D2D2D2"/>
          </w:tcPr>
          <w:p>
            <w:pPr/>
          </w:p>
        </w:tc>
        <w:tc>
          <w:tcPr>
            <w:tcW w:w="1277" w:type="dxa"/>
            <w:vMerge w:val="restart"/>
            <w:tcBorders>
              <w:top w:val="single" w:sz="4" w:space="0" w:color="000000"/>
              <w:left w:val="single" w:sz="4" w:space="0" w:color="000000"/>
              <w:right w:val="single" w:sz="4" w:space="0" w:color="000000"/>
            </w:tcBorders>
            <w:shd w:val="clear" w:color="auto" w:fill="D2D2D2"/>
          </w:tcPr>
          <w:p>
            <w:pPr/>
          </w:p>
        </w:tc>
      </w:tr>
      <w:tr>
        <w:trPr>
          <w:trHeight w:val="166" w:hRule="exact"/>
        </w:trPr>
        <w:tc>
          <w:tcPr>
            <w:tcW w:w="1710" w:type="dxa"/>
            <w:vMerge/>
            <w:tcBorders>
              <w:left w:val="single" w:sz="4" w:space="0" w:color="000000"/>
              <w:right w:val="single" w:sz="4" w:space="0" w:color="000000"/>
            </w:tcBorders>
            <w:shd w:val="clear" w:color="auto" w:fill="D2D2D2"/>
          </w:tcPr>
          <w:p>
            <w:pPr/>
          </w:p>
        </w:tc>
        <w:tc>
          <w:tcPr>
            <w:tcW w:w="1256" w:type="dxa"/>
            <w:vMerge w:val="restart"/>
            <w:tcBorders>
              <w:top w:val="single" w:sz="4" w:space="0" w:color="000000"/>
              <w:left w:val="single" w:sz="4" w:space="0" w:color="000000"/>
              <w:right w:val="single" w:sz="4" w:space="0" w:color="000000"/>
            </w:tcBorders>
            <w:shd w:val="clear" w:color="auto" w:fill="D2D2D2"/>
          </w:tcPr>
          <w:p>
            <w:pPr/>
          </w:p>
        </w:tc>
        <w:tc>
          <w:tcPr>
            <w:tcW w:w="282"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30"/>
              <w:ind w:left="31" w:right="29"/>
              <w:jc w:val="both"/>
              <w:rPr>
                <w:rFonts w:ascii="宋体" w:hAnsi="宋体" w:cs="宋体" w:eastAsia="宋体" w:hint="default"/>
                <w:sz w:val="21"/>
                <w:szCs w:val="21"/>
              </w:rPr>
            </w:pPr>
            <w:r>
              <w:rPr>
                <w:rFonts w:ascii="宋体" w:hAnsi="宋体" w:cs="宋体" w:eastAsia="宋体" w:hint="default"/>
                <w:sz w:val="21"/>
                <w:szCs w:val="21"/>
              </w:rPr>
              <w:t>其 他 权 益 工 具</w:t>
            </w:r>
          </w:p>
        </w:tc>
        <w:tc>
          <w:tcPr>
            <w:tcW w:w="1420" w:type="dxa"/>
            <w:vMerge w:val="restart"/>
            <w:tcBorders>
              <w:top w:val="single" w:sz="4" w:space="0" w:color="000000"/>
              <w:left w:val="single" w:sz="4" w:space="0" w:color="000000"/>
              <w:right w:val="single" w:sz="4" w:space="0" w:color="000000"/>
            </w:tcBorders>
            <w:shd w:val="clear" w:color="auto" w:fill="D2D2D2"/>
          </w:tcPr>
          <w:p>
            <w:pPr/>
          </w:p>
        </w:tc>
        <w:tc>
          <w:tcPr>
            <w:tcW w:w="282" w:type="dxa"/>
            <w:tcBorders>
              <w:top w:val="single" w:sz="4" w:space="0" w:color="000000"/>
              <w:left w:val="single" w:sz="4" w:space="0" w:color="000000"/>
              <w:bottom w:val="nil" w:sz="6" w:space="0" w:color="auto"/>
              <w:right w:val="single" w:sz="4" w:space="0" w:color="000000"/>
            </w:tcBorders>
            <w:shd w:val="clear" w:color="auto" w:fill="D2D2D2"/>
          </w:tcPr>
          <w:p>
            <w:pPr/>
          </w:p>
        </w:tc>
        <w:tc>
          <w:tcPr>
            <w:tcW w:w="284"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30"/>
              <w:ind w:left="32" w:right="30"/>
              <w:jc w:val="both"/>
              <w:rPr>
                <w:rFonts w:ascii="宋体" w:hAnsi="宋体" w:cs="宋体" w:eastAsia="宋体" w:hint="default"/>
                <w:sz w:val="21"/>
                <w:szCs w:val="21"/>
              </w:rPr>
            </w:pPr>
            <w:r>
              <w:rPr>
                <w:rFonts w:ascii="宋体" w:hAnsi="宋体" w:cs="宋体" w:eastAsia="宋体" w:hint="default"/>
                <w:sz w:val="21"/>
                <w:szCs w:val="21"/>
              </w:rPr>
              <w:t>其 他 综 合 收 益</w:t>
            </w:r>
          </w:p>
        </w:tc>
        <w:tc>
          <w:tcPr>
            <w:tcW w:w="283" w:type="dxa"/>
            <w:vMerge w:val="restart"/>
            <w:tcBorders>
              <w:top w:val="single" w:sz="4" w:space="0" w:color="000000"/>
              <w:left w:val="single" w:sz="4" w:space="0" w:color="000000"/>
              <w:right w:val="single" w:sz="4" w:space="0" w:color="000000"/>
            </w:tcBorders>
            <w:shd w:val="clear" w:color="auto" w:fill="D2D2D2"/>
          </w:tcPr>
          <w:p>
            <w:pPr/>
          </w:p>
        </w:tc>
        <w:tc>
          <w:tcPr>
            <w:tcW w:w="1277" w:type="dxa"/>
            <w:vMerge w:val="restart"/>
            <w:tcBorders>
              <w:top w:val="single" w:sz="4" w:space="0" w:color="000000"/>
              <w:left w:val="single" w:sz="4" w:space="0" w:color="000000"/>
              <w:right w:val="single" w:sz="4" w:space="0" w:color="000000"/>
            </w:tcBorders>
            <w:shd w:val="clear" w:color="auto" w:fill="D2D2D2"/>
          </w:tcPr>
          <w:p>
            <w:pPr/>
          </w:p>
        </w:tc>
        <w:tc>
          <w:tcPr>
            <w:tcW w:w="1418" w:type="dxa"/>
            <w:vMerge w:val="restart"/>
            <w:tcBorders>
              <w:top w:val="single" w:sz="4" w:space="0" w:color="000000"/>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shd w:val="clear" w:color="auto" w:fill="D2D2D2"/>
          </w:tcPr>
          <w:p>
            <w:pPr/>
          </w:p>
        </w:tc>
      </w:tr>
      <w:tr>
        <w:trPr>
          <w:trHeight w:val="189" w:hRule="exact"/>
        </w:trPr>
        <w:tc>
          <w:tcPr>
            <w:tcW w:w="1710" w:type="dxa"/>
            <w:vMerge/>
            <w:tcBorders>
              <w:left w:val="single" w:sz="4" w:space="0" w:color="000000"/>
              <w:bottom w:val="nil" w:sz="6" w:space="0" w:color="auto"/>
              <w:right w:val="single" w:sz="4" w:space="0" w:color="000000"/>
            </w:tcBorders>
            <w:shd w:val="clear" w:color="auto" w:fill="D2D2D2"/>
          </w:tcPr>
          <w:p>
            <w:pPr/>
          </w:p>
        </w:tc>
        <w:tc>
          <w:tcPr>
            <w:tcW w:w="1256" w:type="dxa"/>
            <w:vMerge/>
            <w:tcBorders>
              <w:left w:val="single" w:sz="4" w:space="0" w:color="000000"/>
              <w:right w:val="single" w:sz="4" w:space="0" w:color="000000"/>
            </w:tcBorders>
            <w:shd w:val="clear" w:color="auto" w:fill="D2D2D2"/>
          </w:tcPr>
          <w:p>
            <w:pPr/>
          </w:p>
        </w:tc>
        <w:tc>
          <w:tcPr>
            <w:tcW w:w="282" w:type="dxa"/>
            <w:vMerge/>
            <w:tcBorders>
              <w:left w:val="single" w:sz="4" w:space="0" w:color="000000"/>
              <w:right w:val="single" w:sz="4" w:space="0" w:color="000000"/>
            </w:tcBorders>
            <w:shd w:val="clear" w:color="auto" w:fill="D2D2D2"/>
          </w:tcPr>
          <w:p>
            <w:pPr/>
          </w:p>
        </w:tc>
        <w:tc>
          <w:tcPr>
            <w:tcW w:w="1420" w:type="dxa"/>
            <w:vMerge/>
            <w:tcBorders>
              <w:left w:val="single" w:sz="4" w:space="0" w:color="000000"/>
              <w:right w:val="single" w:sz="4" w:space="0" w:color="000000"/>
            </w:tcBorders>
            <w:shd w:val="clear" w:color="auto" w:fill="D2D2D2"/>
          </w:tcPr>
          <w:p>
            <w:pPr/>
          </w:p>
        </w:tc>
        <w:tc>
          <w:tcPr>
            <w:tcW w:w="28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6"/>
              <w:ind w:left="30" w:right="0"/>
              <w:jc w:val="both"/>
              <w:rPr>
                <w:rFonts w:ascii="宋体" w:hAnsi="宋体" w:cs="宋体" w:eastAsia="宋体" w:hint="default"/>
                <w:sz w:val="21"/>
                <w:szCs w:val="21"/>
              </w:rPr>
            </w:pPr>
            <w:r>
              <w:rPr>
                <w:rFonts w:ascii="宋体" w:hAnsi="宋体" w:cs="宋体" w:eastAsia="宋体" w:hint="default"/>
                <w:sz w:val="21"/>
                <w:szCs w:val="21"/>
              </w:rPr>
              <w:t>减</w:t>
            </w:r>
          </w:p>
          <w:p>
            <w:pPr>
              <w:pStyle w:val="TableParagraph"/>
              <w:spacing w:line="273" w:lineRule="auto" w:before="37"/>
              <w:ind w:left="30" w:right="30"/>
              <w:jc w:val="both"/>
              <w:rPr>
                <w:rFonts w:ascii="宋体" w:hAnsi="宋体" w:cs="宋体" w:eastAsia="宋体" w:hint="default"/>
                <w:sz w:val="21"/>
                <w:szCs w:val="21"/>
              </w:rPr>
            </w:pPr>
            <w:r>
              <w:rPr>
                <w:rFonts w:ascii="宋体" w:hAnsi="宋体" w:cs="宋体" w:eastAsia="宋体" w:hint="default"/>
                <w:sz w:val="21"/>
                <w:szCs w:val="21"/>
              </w:rPr>
              <w:t>： 库 存 股</w:t>
            </w:r>
          </w:p>
        </w:tc>
        <w:tc>
          <w:tcPr>
            <w:tcW w:w="284" w:type="dxa"/>
            <w:vMerge/>
            <w:tcBorders>
              <w:left w:val="single" w:sz="4" w:space="0" w:color="000000"/>
              <w:right w:val="single" w:sz="4" w:space="0" w:color="000000"/>
            </w:tcBorders>
            <w:shd w:val="clear" w:color="auto" w:fill="D2D2D2"/>
          </w:tcPr>
          <w:p>
            <w:pPr/>
          </w:p>
        </w:tc>
        <w:tc>
          <w:tcPr>
            <w:tcW w:w="283" w:type="dxa"/>
            <w:vMerge/>
            <w:tcBorders>
              <w:left w:val="single" w:sz="4" w:space="0" w:color="000000"/>
              <w:bottom w:val="nil" w:sz="6" w:space="0" w:color="auto"/>
              <w:right w:val="single" w:sz="4" w:space="0" w:color="000000"/>
            </w:tcBorders>
            <w:shd w:val="clear" w:color="auto" w:fill="D2D2D2"/>
          </w:tcPr>
          <w:p>
            <w:pPr/>
          </w:p>
        </w:tc>
        <w:tc>
          <w:tcPr>
            <w:tcW w:w="1277" w:type="dxa"/>
            <w:vMerge/>
            <w:tcBorders>
              <w:left w:val="single" w:sz="4" w:space="0" w:color="000000"/>
              <w:right w:val="single" w:sz="4" w:space="0" w:color="000000"/>
            </w:tcBorders>
            <w:shd w:val="clear" w:color="auto" w:fill="D2D2D2"/>
          </w:tcPr>
          <w:p>
            <w:pPr/>
          </w:p>
        </w:tc>
        <w:tc>
          <w:tcPr>
            <w:tcW w:w="1418"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bottom w:val="nil" w:sz="6" w:space="0" w:color="auto"/>
              <w:right w:val="single" w:sz="4" w:space="0" w:color="000000"/>
            </w:tcBorders>
            <w:shd w:val="clear" w:color="auto" w:fill="D2D2D2"/>
          </w:tcPr>
          <w:p>
            <w:pPr/>
          </w:p>
        </w:tc>
        <w:tc>
          <w:tcPr>
            <w:tcW w:w="1277" w:type="dxa"/>
            <w:vMerge/>
            <w:tcBorders>
              <w:left w:val="single" w:sz="4" w:space="0" w:color="000000"/>
              <w:bottom w:val="nil" w:sz="6" w:space="0" w:color="auto"/>
              <w:right w:val="single" w:sz="4" w:space="0" w:color="000000"/>
            </w:tcBorders>
            <w:shd w:val="clear" w:color="auto" w:fill="D2D2D2"/>
          </w:tcPr>
          <w:p>
            <w:pPr/>
          </w:p>
        </w:tc>
      </w:tr>
      <w:tr>
        <w:trPr>
          <w:trHeight w:val="393" w:hRule="exact"/>
        </w:trPr>
        <w:tc>
          <w:tcPr>
            <w:tcW w:w="1710" w:type="dxa"/>
            <w:tcBorders>
              <w:top w:val="nil" w:sz="6" w:space="0" w:color="auto"/>
              <w:left w:val="single" w:sz="4" w:space="0" w:color="000000"/>
              <w:bottom w:val="single" w:sz="4" w:space="0" w:color="FFFFFF"/>
              <w:right w:val="single" w:sz="4" w:space="0" w:color="000000"/>
            </w:tcBorders>
            <w:shd w:val="clear" w:color="auto" w:fill="D2D2D2"/>
          </w:tcPr>
          <w:p>
            <w:pPr>
              <w:pStyle w:val="TableParagraph"/>
              <w:spacing w:line="240" w:lineRule="auto" w:before="19"/>
              <w:ind w:right="9"/>
              <w:jc w:val="center"/>
              <w:rPr>
                <w:rFonts w:ascii="宋体" w:hAnsi="宋体" w:cs="宋体" w:eastAsia="宋体" w:hint="default"/>
                <w:sz w:val="21"/>
                <w:szCs w:val="21"/>
              </w:rPr>
            </w:pPr>
            <w:r>
              <w:rPr>
                <w:rFonts w:ascii="宋体" w:hAnsi="宋体" w:cs="宋体" w:eastAsia="宋体" w:hint="default"/>
                <w:sz w:val="21"/>
                <w:szCs w:val="21"/>
              </w:rPr>
              <w:t>项目</w:t>
            </w:r>
          </w:p>
        </w:tc>
        <w:tc>
          <w:tcPr>
            <w:tcW w:w="1256" w:type="dxa"/>
            <w:vMerge/>
            <w:tcBorders>
              <w:left w:val="single" w:sz="4" w:space="0" w:color="000000"/>
              <w:bottom w:val="single" w:sz="4" w:space="0" w:color="FFFFFF"/>
              <w:right w:val="single" w:sz="4" w:space="0" w:color="000000"/>
            </w:tcBorders>
            <w:shd w:val="clear" w:color="auto" w:fill="D2D2D2"/>
          </w:tcPr>
          <w:p>
            <w:pPr/>
          </w:p>
        </w:tc>
        <w:tc>
          <w:tcPr>
            <w:tcW w:w="282" w:type="dxa"/>
            <w:vMerge/>
            <w:tcBorders>
              <w:left w:val="single" w:sz="4" w:space="0" w:color="000000"/>
              <w:right w:val="single" w:sz="4" w:space="0" w:color="000000"/>
            </w:tcBorders>
            <w:shd w:val="clear" w:color="auto" w:fill="D2D2D2"/>
          </w:tcPr>
          <w:p>
            <w:pPr/>
          </w:p>
        </w:tc>
        <w:tc>
          <w:tcPr>
            <w:tcW w:w="1420" w:type="dxa"/>
            <w:vMerge/>
            <w:tcBorders>
              <w:left w:val="single" w:sz="4" w:space="0" w:color="000000"/>
              <w:bottom w:val="nil" w:sz="6" w:space="0" w:color="auto"/>
              <w:right w:val="single" w:sz="4" w:space="0" w:color="000000"/>
            </w:tcBorders>
            <w:shd w:val="clear" w:color="auto" w:fill="D2D2D2"/>
          </w:tcPr>
          <w:p>
            <w:pPr/>
          </w:p>
        </w:tc>
        <w:tc>
          <w:tcPr>
            <w:tcW w:w="282" w:type="dxa"/>
            <w:vMerge/>
            <w:tcBorders>
              <w:left w:val="single" w:sz="4" w:space="0" w:color="000000"/>
              <w:right w:val="single" w:sz="4" w:space="0" w:color="000000"/>
            </w:tcBorders>
            <w:shd w:val="clear" w:color="auto" w:fill="D2D2D2"/>
          </w:tcPr>
          <w:p>
            <w:pPr/>
          </w:p>
        </w:tc>
        <w:tc>
          <w:tcPr>
            <w:tcW w:w="284" w:type="dxa"/>
            <w:vMerge/>
            <w:tcBorders>
              <w:left w:val="single" w:sz="4" w:space="0" w:color="000000"/>
              <w:right w:val="single" w:sz="4" w:space="0" w:color="000000"/>
            </w:tcBorders>
            <w:shd w:val="clear" w:color="auto" w:fill="D2D2D2"/>
          </w:tcPr>
          <w:p>
            <w:pPr/>
          </w:p>
        </w:tc>
        <w:tc>
          <w:tcPr>
            <w:tcW w:w="283" w:type="dxa"/>
            <w:vMerge w:val="restart"/>
            <w:tcBorders>
              <w:top w:val="nil" w:sz="6" w:space="0" w:color="auto"/>
              <w:left w:val="single" w:sz="4" w:space="0" w:color="000000"/>
              <w:right w:val="single" w:sz="4" w:space="0" w:color="000000"/>
            </w:tcBorders>
            <w:shd w:val="clear" w:color="auto" w:fill="D2D2D2"/>
          </w:tcPr>
          <w:p>
            <w:pPr>
              <w:pStyle w:val="TableParagraph"/>
              <w:spacing w:line="273" w:lineRule="auto"/>
              <w:ind w:left="32" w:right="29"/>
              <w:jc w:val="both"/>
              <w:rPr>
                <w:rFonts w:ascii="宋体" w:hAnsi="宋体" w:cs="宋体" w:eastAsia="宋体" w:hint="default"/>
                <w:sz w:val="21"/>
                <w:szCs w:val="21"/>
              </w:rPr>
            </w:pPr>
            <w:r>
              <w:rPr>
                <w:rFonts w:ascii="宋体" w:hAnsi="宋体" w:cs="宋体" w:eastAsia="宋体" w:hint="default"/>
                <w:sz w:val="21"/>
                <w:szCs w:val="21"/>
              </w:rPr>
              <w:t>专 项 储 备</w:t>
            </w:r>
          </w:p>
        </w:tc>
        <w:tc>
          <w:tcPr>
            <w:tcW w:w="1277" w:type="dxa"/>
            <w:vMerge/>
            <w:tcBorders>
              <w:left w:val="single" w:sz="4" w:space="0" w:color="000000"/>
              <w:bottom w:val="nil" w:sz="6" w:space="0" w:color="auto"/>
              <w:right w:val="single" w:sz="4" w:space="0" w:color="000000"/>
            </w:tcBorders>
            <w:shd w:val="clear" w:color="auto" w:fill="D2D2D2"/>
          </w:tcPr>
          <w:p>
            <w:pPr/>
          </w:p>
        </w:tc>
        <w:tc>
          <w:tcPr>
            <w:tcW w:w="1418" w:type="dxa"/>
            <w:vMerge/>
            <w:tcBorders>
              <w:left w:val="single" w:sz="4" w:space="0" w:color="000000"/>
              <w:bottom w:val="nil" w:sz="6" w:space="0" w:color="auto"/>
              <w:right w:val="single" w:sz="4" w:space="0" w:color="000000"/>
            </w:tcBorders>
            <w:shd w:val="clear" w:color="auto" w:fill="D2D2D2"/>
          </w:tcPr>
          <w:p>
            <w:pPr/>
          </w:p>
        </w:tc>
        <w:tc>
          <w:tcPr>
            <w:tcW w:w="1274" w:type="dxa"/>
            <w:vMerge w:val="restart"/>
            <w:tcBorders>
              <w:top w:val="nil" w:sz="6" w:space="0" w:color="auto"/>
              <w:left w:val="single" w:sz="4" w:space="0" w:color="000000"/>
              <w:right w:val="single" w:sz="4" w:space="0" w:color="000000"/>
            </w:tcBorders>
            <w:shd w:val="clear" w:color="auto" w:fill="D2D2D2"/>
          </w:tcPr>
          <w:p>
            <w:pPr>
              <w:pStyle w:val="TableParagraph"/>
              <w:spacing w:line="273" w:lineRule="auto" w:before="65"/>
              <w:ind w:left="526" w:right="107" w:hanging="420"/>
              <w:jc w:val="left"/>
              <w:rPr>
                <w:rFonts w:ascii="宋体" w:hAnsi="宋体" w:cs="宋体" w:eastAsia="宋体" w:hint="default"/>
                <w:sz w:val="21"/>
                <w:szCs w:val="21"/>
              </w:rPr>
            </w:pPr>
            <w:r>
              <w:rPr>
                <w:rFonts w:ascii="宋体" w:hAnsi="宋体" w:cs="宋体" w:eastAsia="宋体" w:hint="default"/>
                <w:sz w:val="21"/>
                <w:szCs w:val="21"/>
              </w:rPr>
              <w:t>少数股东权 益</w:t>
            </w:r>
          </w:p>
        </w:tc>
        <w:tc>
          <w:tcPr>
            <w:tcW w:w="1277" w:type="dxa"/>
            <w:vMerge w:val="restart"/>
            <w:tcBorders>
              <w:top w:val="nil" w:sz="6" w:space="0" w:color="auto"/>
              <w:left w:val="single" w:sz="4" w:space="0" w:color="000000"/>
              <w:right w:val="single" w:sz="4" w:space="0" w:color="000000"/>
            </w:tcBorders>
            <w:shd w:val="clear" w:color="auto" w:fill="D2D2D2"/>
          </w:tcPr>
          <w:p>
            <w:pPr>
              <w:pStyle w:val="TableParagraph"/>
              <w:spacing w:line="273" w:lineRule="auto" w:before="65"/>
              <w:ind w:left="423" w:right="107" w:hanging="316"/>
              <w:jc w:val="left"/>
              <w:rPr>
                <w:rFonts w:ascii="宋体" w:hAnsi="宋体" w:cs="宋体" w:eastAsia="宋体" w:hint="default"/>
                <w:sz w:val="21"/>
                <w:szCs w:val="21"/>
              </w:rPr>
            </w:pPr>
            <w:r>
              <w:rPr>
                <w:rFonts w:ascii="宋体" w:hAnsi="宋体" w:cs="宋体" w:eastAsia="宋体" w:hint="default"/>
                <w:sz w:val="21"/>
                <w:szCs w:val="21"/>
              </w:rPr>
              <w:t>所有者权益 合计</w:t>
            </w:r>
          </w:p>
        </w:tc>
      </w:tr>
      <w:tr>
        <w:trPr>
          <w:trHeight w:val="382" w:hRule="exact"/>
        </w:trPr>
        <w:tc>
          <w:tcPr>
            <w:tcW w:w="1710" w:type="dxa"/>
            <w:vMerge w:val="restart"/>
            <w:tcBorders>
              <w:top w:val="single" w:sz="4" w:space="0" w:color="FFFFFF"/>
              <w:left w:val="single" w:sz="4" w:space="0" w:color="000000"/>
              <w:right w:val="single" w:sz="4" w:space="0" w:color="000000"/>
            </w:tcBorders>
            <w:shd w:val="clear" w:color="auto" w:fill="D2D2D2"/>
          </w:tcPr>
          <w:p>
            <w:pPr/>
          </w:p>
        </w:tc>
        <w:tc>
          <w:tcPr>
            <w:tcW w:w="1256" w:type="dxa"/>
            <w:tcBorders>
              <w:top w:val="single" w:sz="4" w:space="0" w:color="FFFFFF"/>
              <w:left w:val="single" w:sz="4" w:space="0" w:color="000000"/>
              <w:bottom w:val="nil" w:sz="6" w:space="0" w:color="auto"/>
              <w:right w:val="single" w:sz="4" w:space="0" w:color="000000"/>
            </w:tcBorders>
            <w:shd w:val="clear" w:color="auto" w:fill="D2D2D2"/>
          </w:tcPr>
          <w:p>
            <w:pPr>
              <w:pStyle w:val="TableParagraph"/>
              <w:spacing w:line="240" w:lineRule="auto" w:before="23"/>
              <w:ind w:left="412" w:right="0"/>
              <w:jc w:val="left"/>
              <w:rPr>
                <w:rFonts w:ascii="宋体" w:hAnsi="宋体" w:cs="宋体" w:eastAsia="宋体" w:hint="default"/>
                <w:sz w:val="21"/>
                <w:szCs w:val="21"/>
              </w:rPr>
            </w:pPr>
            <w:r>
              <w:rPr>
                <w:rFonts w:ascii="宋体" w:hAnsi="宋体" w:cs="宋体" w:eastAsia="宋体" w:hint="default"/>
                <w:sz w:val="21"/>
                <w:szCs w:val="21"/>
              </w:rPr>
              <w:t>股本</w:t>
            </w:r>
          </w:p>
        </w:tc>
        <w:tc>
          <w:tcPr>
            <w:tcW w:w="282" w:type="dxa"/>
            <w:vMerge/>
            <w:tcBorders>
              <w:left w:val="single" w:sz="4" w:space="0" w:color="000000"/>
              <w:right w:val="single" w:sz="4" w:space="0" w:color="000000"/>
            </w:tcBorders>
            <w:shd w:val="clear" w:color="auto" w:fill="D2D2D2"/>
          </w:tcPr>
          <w:p>
            <w:pPr/>
          </w:p>
        </w:tc>
        <w:tc>
          <w:tcPr>
            <w:tcW w:w="142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7"/>
              <w:ind w:left="285"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282" w:type="dxa"/>
            <w:vMerge/>
            <w:tcBorders>
              <w:left w:val="single" w:sz="4" w:space="0" w:color="000000"/>
              <w:right w:val="single" w:sz="4" w:space="0" w:color="000000"/>
            </w:tcBorders>
            <w:shd w:val="clear" w:color="auto" w:fill="D2D2D2"/>
          </w:tcPr>
          <w:p>
            <w:pPr/>
          </w:p>
        </w:tc>
        <w:tc>
          <w:tcPr>
            <w:tcW w:w="284" w:type="dxa"/>
            <w:vMerge/>
            <w:tcBorders>
              <w:left w:val="single" w:sz="4" w:space="0" w:color="000000"/>
              <w:right w:val="single" w:sz="4" w:space="0" w:color="000000"/>
            </w:tcBorders>
            <w:shd w:val="clear" w:color="auto" w:fill="D2D2D2"/>
          </w:tcPr>
          <w:p>
            <w:pPr/>
          </w:p>
        </w:tc>
        <w:tc>
          <w:tcPr>
            <w:tcW w:w="283" w:type="dxa"/>
            <w:vMerge/>
            <w:tcBorders>
              <w:left w:val="single" w:sz="4" w:space="0" w:color="000000"/>
              <w:right w:val="single" w:sz="4" w:space="0" w:color="000000"/>
            </w:tcBorders>
            <w:shd w:val="clear" w:color="auto" w:fill="D2D2D2"/>
          </w:tcPr>
          <w:p>
            <w:pPr/>
          </w:p>
        </w:tc>
        <w:tc>
          <w:tcPr>
            <w:tcW w:w="1277" w:type="dxa"/>
            <w:tcBorders>
              <w:top w:val="nil" w:sz="6" w:space="0" w:color="auto"/>
              <w:left w:val="single" w:sz="4" w:space="0" w:color="000000"/>
              <w:bottom w:val="single" w:sz="18" w:space="0" w:color="FFFFFF"/>
              <w:right w:val="single" w:sz="4" w:space="0" w:color="000000"/>
            </w:tcBorders>
            <w:shd w:val="clear" w:color="auto" w:fill="D2D2D2"/>
          </w:tcPr>
          <w:p>
            <w:pPr>
              <w:pStyle w:val="TableParagraph"/>
              <w:spacing w:line="240" w:lineRule="auto" w:before="27"/>
              <w:ind w:left="212"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1418" w:type="dxa"/>
            <w:tcBorders>
              <w:top w:val="nil" w:sz="6" w:space="0" w:color="auto"/>
              <w:left w:val="single" w:sz="4" w:space="0" w:color="000000"/>
              <w:bottom w:val="single" w:sz="18" w:space="0" w:color="FFFFFF"/>
              <w:right w:val="single" w:sz="4" w:space="0" w:color="000000"/>
            </w:tcBorders>
            <w:shd w:val="clear" w:color="auto" w:fill="D2D2D2"/>
          </w:tcPr>
          <w:p>
            <w:pPr>
              <w:pStyle w:val="TableParagraph"/>
              <w:spacing w:line="240" w:lineRule="auto" w:before="27"/>
              <w:ind w:right="0"/>
              <w:jc w:val="center"/>
              <w:rPr>
                <w:rFonts w:ascii="宋体" w:hAnsi="宋体" w:cs="宋体" w:eastAsia="宋体" w:hint="default"/>
                <w:sz w:val="21"/>
                <w:szCs w:val="21"/>
              </w:rPr>
            </w:pPr>
            <w:r>
              <w:rPr>
                <w:rFonts w:ascii="宋体" w:hAnsi="宋体" w:cs="宋体" w:eastAsia="宋体" w:hint="default"/>
                <w:sz w:val="21"/>
                <w:szCs w:val="21"/>
              </w:rPr>
              <w:t>未分配利润</w:t>
            </w:r>
          </w:p>
        </w:tc>
        <w:tc>
          <w:tcPr>
            <w:tcW w:w="1274" w:type="dxa"/>
            <w:vMerge/>
            <w:tcBorders>
              <w:left w:val="single" w:sz="4" w:space="0" w:color="000000"/>
              <w:bottom w:val="single" w:sz="18" w:space="0" w:color="FFFFFF"/>
              <w:right w:val="single" w:sz="4" w:space="0" w:color="000000"/>
            </w:tcBorders>
            <w:shd w:val="clear" w:color="auto" w:fill="D2D2D2"/>
          </w:tcPr>
          <w:p>
            <w:pPr/>
          </w:p>
        </w:tc>
        <w:tc>
          <w:tcPr>
            <w:tcW w:w="1277" w:type="dxa"/>
            <w:vMerge/>
            <w:tcBorders>
              <w:left w:val="single" w:sz="4" w:space="0" w:color="000000"/>
              <w:bottom w:val="single" w:sz="18" w:space="0" w:color="FFFFFF"/>
              <w:right w:val="single" w:sz="4" w:space="0" w:color="000000"/>
            </w:tcBorders>
            <w:shd w:val="clear" w:color="auto" w:fill="D2D2D2"/>
          </w:tcPr>
          <w:p>
            <w:pPr/>
          </w:p>
        </w:tc>
      </w:tr>
      <w:tr>
        <w:trPr>
          <w:trHeight w:val="474" w:hRule="exact"/>
        </w:trPr>
        <w:tc>
          <w:tcPr>
            <w:tcW w:w="1710" w:type="dxa"/>
            <w:vMerge/>
            <w:tcBorders>
              <w:left w:val="single" w:sz="4" w:space="0" w:color="000000"/>
              <w:right w:val="single" w:sz="4" w:space="0" w:color="000000"/>
            </w:tcBorders>
            <w:shd w:val="clear" w:color="auto" w:fill="D2D2D2"/>
          </w:tcPr>
          <w:p>
            <w:pPr/>
          </w:p>
        </w:tc>
        <w:tc>
          <w:tcPr>
            <w:tcW w:w="1256" w:type="dxa"/>
            <w:vMerge w:val="restart"/>
            <w:tcBorders>
              <w:top w:val="nil" w:sz="6" w:space="0" w:color="auto"/>
              <w:left w:val="single" w:sz="4" w:space="0" w:color="000000"/>
              <w:right w:val="single" w:sz="4" w:space="0" w:color="000000"/>
            </w:tcBorders>
            <w:shd w:val="clear" w:color="auto" w:fill="D2D2D2"/>
          </w:tcPr>
          <w:p>
            <w:pPr/>
          </w:p>
        </w:tc>
        <w:tc>
          <w:tcPr>
            <w:tcW w:w="282" w:type="dxa"/>
            <w:vMerge/>
            <w:tcBorders>
              <w:left w:val="single" w:sz="4" w:space="0" w:color="000000"/>
              <w:right w:val="single" w:sz="4" w:space="0" w:color="000000"/>
            </w:tcBorders>
            <w:shd w:val="clear" w:color="auto" w:fill="D2D2D2"/>
          </w:tcPr>
          <w:p>
            <w:pPr/>
          </w:p>
        </w:tc>
        <w:tc>
          <w:tcPr>
            <w:tcW w:w="1420" w:type="dxa"/>
            <w:vMerge w:val="restart"/>
            <w:tcBorders>
              <w:top w:val="nil" w:sz="6" w:space="0" w:color="auto"/>
              <w:left w:val="single" w:sz="4" w:space="0" w:color="000000"/>
              <w:right w:val="single" w:sz="4" w:space="0" w:color="000000"/>
            </w:tcBorders>
            <w:shd w:val="clear" w:color="auto" w:fill="D2D2D2"/>
          </w:tcPr>
          <w:p>
            <w:pPr/>
          </w:p>
        </w:tc>
        <w:tc>
          <w:tcPr>
            <w:tcW w:w="282" w:type="dxa"/>
            <w:vMerge/>
            <w:tcBorders>
              <w:left w:val="single" w:sz="4" w:space="0" w:color="000000"/>
              <w:right w:val="single" w:sz="4" w:space="0" w:color="000000"/>
            </w:tcBorders>
            <w:shd w:val="clear" w:color="auto" w:fill="D2D2D2"/>
          </w:tcPr>
          <w:p>
            <w:pPr/>
          </w:p>
        </w:tc>
        <w:tc>
          <w:tcPr>
            <w:tcW w:w="284" w:type="dxa"/>
            <w:vMerge/>
            <w:tcBorders>
              <w:left w:val="single" w:sz="4" w:space="0" w:color="000000"/>
              <w:right w:val="single" w:sz="4" w:space="0" w:color="000000"/>
            </w:tcBorders>
            <w:shd w:val="clear" w:color="auto" w:fill="D2D2D2"/>
          </w:tcPr>
          <w:p>
            <w:pPr/>
          </w:p>
        </w:tc>
        <w:tc>
          <w:tcPr>
            <w:tcW w:w="283" w:type="dxa"/>
            <w:vMerge/>
            <w:tcBorders>
              <w:left w:val="single" w:sz="4" w:space="0" w:color="000000"/>
              <w:bottom w:val="nil" w:sz="6" w:space="0" w:color="auto"/>
              <w:right w:val="single" w:sz="4" w:space="0" w:color="000000"/>
            </w:tcBorders>
            <w:shd w:val="clear" w:color="auto" w:fill="D2D2D2"/>
          </w:tcPr>
          <w:p>
            <w:pPr/>
          </w:p>
        </w:tc>
        <w:tc>
          <w:tcPr>
            <w:tcW w:w="1277" w:type="dxa"/>
            <w:vMerge w:val="restart"/>
            <w:tcBorders>
              <w:top w:val="single" w:sz="18" w:space="0" w:color="FFFFFF"/>
              <w:left w:val="single" w:sz="4" w:space="0" w:color="000000"/>
              <w:right w:val="single" w:sz="4" w:space="0" w:color="000000"/>
            </w:tcBorders>
            <w:shd w:val="clear" w:color="auto" w:fill="D2D2D2"/>
          </w:tcPr>
          <w:p>
            <w:pPr/>
          </w:p>
        </w:tc>
        <w:tc>
          <w:tcPr>
            <w:tcW w:w="1418" w:type="dxa"/>
            <w:vMerge w:val="restart"/>
            <w:tcBorders>
              <w:top w:val="single" w:sz="18" w:space="0" w:color="FFFFFF"/>
              <w:left w:val="single" w:sz="4" w:space="0" w:color="000000"/>
              <w:right w:val="single" w:sz="4" w:space="0" w:color="000000"/>
            </w:tcBorders>
            <w:shd w:val="clear" w:color="auto" w:fill="D2D2D2"/>
          </w:tcPr>
          <w:p>
            <w:pPr/>
          </w:p>
        </w:tc>
        <w:tc>
          <w:tcPr>
            <w:tcW w:w="1274" w:type="dxa"/>
            <w:vMerge w:val="restart"/>
            <w:tcBorders>
              <w:top w:val="single" w:sz="18" w:space="0" w:color="FFFFFF"/>
              <w:left w:val="single" w:sz="4" w:space="0" w:color="000000"/>
              <w:right w:val="single" w:sz="4" w:space="0" w:color="000000"/>
            </w:tcBorders>
            <w:shd w:val="clear" w:color="auto" w:fill="D2D2D2"/>
          </w:tcPr>
          <w:p>
            <w:pPr/>
          </w:p>
        </w:tc>
        <w:tc>
          <w:tcPr>
            <w:tcW w:w="1277" w:type="dxa"/>
            <w:vMerge w:val="restart"/>
            <w:tcBorders>
              <w:top w:val="single" w:sz="18" w:space="0" w:color="FFFFFF"/>
              <w:left w:val="single" w:sz="4" w:space="0" w:color="000000"/>
              <w:right w:val="single" w:sz="4" w:space="0" w:color="000000"/>
            </w:tcBorders>
            <w:shd w:val="clear" w:color="auto" w:fill="D2D2D2"/>
          </w:tcPr>
          <w:p>
            <w:pPr/>
          </w:p>
        </w:tc>
      </w:tr>
      <w:tr>
        <w:trPr>
          <w:trHeight w:val="156" w:hRule="exact"/>
        </w:trPr>
        <w:tc>
          <w:tcPr>
            <w:tcW w:w="1710" w:type="dxa"/>
            <w:vMerge/>
            <w:tcBorders>
              <w:left w:val="single" w:sz="4" w:space="0" w:color="000000"/>
              <w:right w:val="single" w:sz="4" w:space="0" w:color="000000"/>
            </w:tcBorders>
            <w:shd w:val="clear" w:color="auto" w:fill="D2D2D2"/>
          </w:tcPr>
          <w:p>
            <w:pPr/>
          </w:p>
        </w:tc>
        <w:tc>
          <w:tcPr>
            <w:tcW w:w="1256" w:type="dxa"/>
            <w:vMerge/>
            <w:tcBorders>
              <w:left w:val="single" w:sz="4" w:space="0" w:color="000000"/>
              <w:right w:val="single" w:sz="4" w:space="0" w:color="000000"/>
            </w:tcBorders>
            <w:shd w:val="clear" w:color="auto" w:fill="D2D2D2"/>
          </w:tcPr>
          <w:p>
            <w:pPr/>
          </w:p>
        </w:tc>
        <w:tc>
          <w:tcPr>
            <w:tcW w:w="282" w:type="dxa"/>
            <w:vMerge/>
            <w:tcBorders>
              <w:left w:val="single" w:sz="4" w:space="0" w:color="000000"/>
              <w:right w:val="single" w:sz="4" w:space="0" w:color="000000"/>
            </w:tcBorders>
            <w:shd w:val="clear" w:color="auto" w:fill="D2D2D2"/>
          </w:tcPr>
          <w:p>
            <w:pPr/>
          </w:p>
        </w:tc>
        <w:tc>
          <w:tcPr>
            <w:tcW w:w="1420" w:type="dxa"/>
            <w:vMerge/>
            <w:tcBorders>
              <w:left w:val="single" w:sz="4" w:space="0" w:color="000000"/>
              <w:right w:val="single" w:sz="4" w:space="0" w:color="000000"/>
            </w:tcBorders>
            <w:shd w:val="clear" w:color="auto" w:fill="D2D2D2"/>
          </w:tcPr>
          <w:p>
            <w:pPr/>
          </w:p>
        </w:tc>
        <w:tc>
          <w:tcPr>
            <w:tcW w:w="282" w:type="dxa"/>
            <w:vMerge/>
            <w:tcBorders>
              <w:left w:val="single" w:sz="4" w:space="0" w:color="000000"/>
              <w:bottom w:val="nil" w:sz="6" w:space="0" w:color="auto"/>
              <w:right w:val="single" w:sz="4" w:space="0" w:color="000000"/>
            </w:tcBorders>
            <w:shd w:val="clear" w:color="auto" w:fill="D2D2D2"/>
          </w:tcPr>
          <w:p>
            <w:pPr/>
          </w:p>
        </w:tc>
        <w:tc>
          <w:tcPr>
            <w:tcW w:w="284" w:type="dxa"/>
            <w:vMerge/>
            <w:tcBorders>
              <w:left w:val="single" w:sz="4" w:space="0" w:color="000000"/>
              <w:right w:val="single" w:sz="4" w:space="0" w:color="000000"/>
            </w:tcBorders>
            <w:shd w:val="clear" w:color="auto" w:fill="D2D2D2"/>
          </w:tcPr>
          <w:p>
            <w:pPr/>
          </w:p>
        </w:tc>
        <w:tc>
          <w:tcPr>
            <w:tcW w:w="283" w:type="dxa"/>
            <w:vMerge w:val="restart"/>
            <w:tcBorders>
              <w:top w:val="nil" w:sz="6" w:space="0" w:color="auto"/>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shd w:val="clear" w:color="auto" w:fill="D2D2D2"/>
          </w:tcPr>
          <w:p>
            <w:pPr/>
          </w:p>
        </w:tc>
        <w:tc>
          <w:tcPr>
            <w:tcW w:w="1418"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shd w:val="clear" w:color="auto" w:fill="D2D2D2"/>
          </w:tcPr>
          <w:p>
            <w:pPr/>
          </w:p>
        </w:tc>
      </w:tr>
      <w:tr>
        <w:trPr>
          <w:trHeight w:val="161" w:hRule="exact"/>
        </w:trPr>
        <w:tc>
          <w:tcPr>
            <w:tcW w:w="1710" w:type="dxa"/>
            <w:vMerge/>
            <w:tcBorders>
              <w:left w:val="single" w:sz="4" w:space="0" w:color="000000"/>
              <w:bottom w:val="single" w:sz="4" w:space="0" w:color="000000"/>
              <w:right w:val="single" w:sz="4" w:space="0" w:color="000000"/>
            </w:tcBorders>
            <w:shd w:val="clear" w:color="auto" w:fill="D2D2D2"/>
          </w:tcPr>
          <w:p>
            <w:pPr/>
          </w:p>
        </w:tc>
        <w:tc>
          <w:tcPr>
            <w:tcW w:w="1256" w:type="dxa"/>
            <w:vMerge/>
            <w:tcBorders>
              <w:left w:val="single" w:sz="4" w:space="0" w:color="000000"/>
              <w:bottom w:val="single" w:sz="4" w:space="0" w:color="000000"/>
              <w:right w:val="single" w:sz="4" w:space="0" w:color="000000"/>
            </w:tcBorders>
            <w:shd w:val="clear" w:color="auto" w:fill="D2D2D2"/>
          </w:tcPr>
          <w:p>
            <w:pPr/>
          </w:p>
        </w:tc>
        <w:tc>
          <w:tcPr>
            <w:tcW w:w="282" w:type="dxa"/>
            <w:vMerge/>
            <w:tcBorders>
              <w:left w:val="single" w:sz="4" w:space="0" w:color="000000"/>
              <w:bottom w:val="single" w:sz="4" w:space="0" w:color="000000"/>
              <w:right w:val="single" w:sz="4" w:space="0" w:color="000000"/>
            </w:tcBorders>
            <w:shd w:val="clear" w:color="auto" w:fill="D2D2D2"/>
          </w:tcPr>
          <w:p>
            <w:pPr/>
          </w:p>
        </w:tc>
        <w:tc>
          <w:tcPr>
            <w:tcW w:w="1420" w:type="dxa"/>
            <w:vMerge/>
            <w:tcBorders>
              <w:left w:val="single" w:sz="4" w:space="0" w:color="000000"/>
              <w:bottom w:val="single" w:sz="4" w:space="0" w:color="000000"/>
              <w:right w:val="single" w:sz="4" w:space="0" w:color="000000"/>
            </w:tcBorders>
            <w:shd w:val="clear" w:color="auto" w:fill="D2D2D2"/>
          </w:tcPr>
          <w:p>
            <w:pPr/>
          </w:p>
        </w:tc>
        <w:tc>
          <w:tcPr>
            <w:tcW w:w="282" w:type="dxa"/>
            <w:tcBorders>
              <w:top w:val="nil" w:sz="6" w:space="0" w:color="auto"/>
              <w:left w:val="single" w:sz="4" w:space="0" w:color="000000"/>
              <w:bottom w:val="single" w:sz="4" w:space="0" w:color="000000"/>
              <w:right w:val="single" w:sz="4" w:space="0" w:color="000000"/>
            </w:tcBorders>
            <w:shd w:val="clear" w:color="auto" w:fill="D2D2D2"/>
          </w:tcPr>
          <w:p>
            <w:pPr/>
          </w:p>
        </w:tc>
        <w:tc>
          <w:tcPr>
            <w:tcW w:w="284" w:type="dxa"/>
            <w:vMerge/>
            <w:tcBorders>
              <w:left w:val="single" w:sz="4" w:space="0" w:color="000000"/>
              <w:bottom w:val="single" w:sz="4" w:space="0" w:color="000000"/>
              <w:right w:val="single" w:sz="4" w:space="0" w:color="000000"/>
            </w:tcBorders>
            <w:shd w:val="clear" w:color="auto" w:fill="D2D2D2"/>
          </w:tcPr>
          <w:p>
            <w:pPr/>
          </w:p>
        </w:tc>
        <w:tc>
          <w:tcPr>
            <w:tcW w:w="283" w:type="dxa"/>
            <w:vMerge/>
            <w:tcBorders>
              <w:left w:val="single" w:sz="4" w:space="0" w:color="000000"/>
              <w:bottom w:val="single" w:sz="4" w:space="0" w:color="000000"/>
              <w:right w:val="single" w:sz="4" w:space="0" w:color="000000"/>
            </w:tcBorders>
            <w:shd w:val="clear" w:color="auto" w:fill="D2D2D2"/>
          </w:tcPr>
          <w:p>
            <w:pPr/>
          </w:p>
        </w:tc>
        <w:tc>
          <w:tcPr>
            <w:tcW w:w="1277" w:type="dxa"/>
            <w:vMerge/>
            <w:tcBorders>
              <w:left w:val="single" w:sz="4" w:space="0" w:color="000000"/>
              <w:bottom w:val="single" w:sz="4" w:space="0" w:color="000000"/>
              <w:right w:val="single" w:sz="4" w:space="0" w:color="000000"/>
            </w:tcBorders>
            <w:shd w:val="clear" w:color="auto" w:fill="D2D2D2"/>
          </w:tcPr>
          <w:p>
            <w:pPr/>
          </w:p>
        </w:tc>
        <w:tc>
          <w:tcPr>
            <w:tcW w:w="1418" w:type="dxa"/>
            <w:vMerge/>
            <w:tcBorders>
              <w:left w:val="single" w:sz="4" w:space="0" w:color="000000"/>
              <w:bottom w:val="single" w:sz="4" w:space="0" w:color="000000"/>
              <w:right w:val="single" w:sz="4" w:space="0" w:color="000000"/>
            </w:tcBorders>
            <w:shd w:val="clear" w:color="auto" w:fill="D2D2D2"/>
          </w:tcPr>
          <w:p>
            <w:pPr/>
          </w:p>
        </w:tc>
        <w:tc>
          <w:tcPr>
            <w:tcW w:w="1274" w:type="dxa"/>
            <w:vMerge/>
            <w:tcBorders>
              <w:left w:val="single" w:sz="4" w:space="0" w:color="000000"/>
              <w:bottom w:val="single" w:sz="4" w:space="0" w:color="000000"/>
              <w:right w:val="single" w:sz="4" w:space="0" w:color="000000"/>
            </w:tcBorders>
            <w:shd w:val="clear" w:color="auto" w:fill="D2D2D2"/>
          </w:tcPr>
          <w:p>
            <w:pPr/>
          </w:p>
        </w:tc>
        <w:tc>
          <w:tcPr>
            <w:tcW w:w="1277"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1710" w:type="dxa"/>
            <w:tcBorders>
              <w:top w:val="single" w:sz="4" w:space="0" w:color="000000"/>
              <w:left w:val="single" w:sz="4" w:space="0" w:color="000000"/>
              <w:bottom w:val="nil" w:sz="6" w:space="0" w:color="auto"/>
              <w:right w:val="single" w:sz="4" w:space="0" w:color="000000"/>
            </w:tcBorders>
            <w:shd w:val="clear" w:color="auto" w:fill="D2D2D2"/>
          </w:tcPr>
          <w:p>
            <w:pPr/>
          </w:p>
        </w:tc>
        <w:tc>
          <w:tcPr>
            <w:tcW w:w="1256" w:type="dxa"/>
            <w:vMerge w:val="restart"/>
            <w:tcBorders>
              <w:top w:val="single" w:sz="4" w:space="0" w:color="000000"/>
              <w:left w:val="single" w:sz="10" w:space="0" w:color="D2D2D2"/>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376,656,420.0</w:t>
            </w:r>
          </w:p>
          <w:p>
            <w:pPr>
              <w:pStyle w:val="TableParagraph"/>
              <w:spacing w:line="240" w:lineRule="auto" w:before="77"/>
              <w:ind w:right="23"/>
              <w:jc w:val="right"/>
              <w:rPr>
                <w:rFonts w:ascii="宋体" w:hAnsi="宋体" w:cs="宋体" w:eastAsia="宋体" w:hint="default"/>
                <w:sz w:val="18"/>
                <w:szCs w:val="18"/>
              </w:rPr>
            </w:pPr>
            <w:r>
              <w:rPr>
                <w:rFonts w:ascii="宋体"/>
                <w:sz w:val="18"/>
              </w:rPr>
              <w:t>0</w:t>
            </w:r>
          </w:p>
        </w:tc>
        <w:tc>
          <w:tcPr>
            <w:tcW w:w="282" w:type="dxa"/>
            <w:vMerge w:val="restart"/>
            <w:tcBorders>
              <w:top w:val="single" w:sz="4" w:space="0" w:color="000000"/>
              <w:left w:val="single" w:sz="4" w:space="0" w:color="000000"/>
              <w:right w:val="single" w:sz="4" w:space="0" w:color="000000"/>
            </w:tcBorders>
          </w:tcPr>
          <w:p>
            <w:pPr/>
          </w:p>
        </w:tc>
        <w:tc>
          <w:tcPr>
            <w:tcW w:w="1420"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27" w:right="0"/>
              <w:jc w:val="left"/>
              <w:rPr>
                <w:rFonts w:ascii="宋体" w:hAnsi="宋体" w:cs="宋体" w:eastAsia="宋体" w:hint="default"/>
                <w:sz w:val="18"/>
                <w:szCs w:val="18"/>
              </w:rPr>
            </w:pPr>
            <w:r>
              <w:rPr>
                <w:rFonts w:ascii="宋体"/>
                <w:sz w:val="18"/>
              </w:rPr>
              <w:t>652,518,981.31</w:t>
            </w:r>
          </w:p>
        </w:tc>
        <w:tc>
          <w:tcPr>
            <w:tcW w:w="282" w:type="dxa"/>
            <w:vMerge w:val="restart"/>
            <w:tcBorders>
              <w:top w:val="single" w:sz="4" w:space="0" w:color="000000"/>
              <w:left w:val="single" w:sz="4" w:space="0" w:color="000000"/>
              <w:right w:val="single" w:sz="4" w:space="0" w:color="000000"/>
            </w:tcBorders>
          </w:tcPr>
          <w:p>
            <w:pPr/>
          </w:p>
        </w:tc>
        <w:tc>
          <w:tcPr>
            <w:tcW w:w="284" w:type="dxa"/>
            <w:vMerge w:val="restart"/>
            <w:tcBorders>
              <w:top w:val="single" w:sz="4" w:space="0" w:color="000000"/>
              <w:left w:val="single" w:sz="4" w:space="0" w:color="000000"/>
              <w:right w:val="single" w:sz="4" w:space="0" w:color="000000"/>
            </w:tcBorders>
          </w:tcPr>
          <w:p>
            <w:pPr/>
          </w:p>
        </w:tc>
        <w:tc>
          <w:tcPr>
            <w:tcW w:w="283" w:type="dxa"/>
            <w:vMerge w:val="restart"/>
            <w:tcBorders>
              <w:top w:val="single" w:sz="4" w:space="0" w:color="000000"/>
              <w:left w:val="single" w:sz="4" w:space="0" w:color="000000"/>
              <w:right w:val="single" w:sz="4" w:space="0" w:color="000000"/>
            </w:tcBorders>
          </w:tcPr>
          <w:p>
            <w:pPr/>
          </w:p>
        </w:tc>
        <w:tc>
          <w:tcPr>
            <w:tcW w:w="1277"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3" w:right="0"/>
              <w:jc w:val="left"/>
              <w:rPr>
                <w:rFonts w:ascii="宋体" w:hAnsi="宋体" w:cs="宋体" w:eastAsia="宋体" w:hint="default"/>
                <w:sz w:val="18"/>
                <w:szCs w:val="18"/>
              </w:rPr>
            </w:pPr>
            <w:r>
              <w:rPr>
                <w:rFonts w:ascii="宋体"/>
                <w:sz w:val="18"/>
              </w:rPr>
              <w:t>61,467,445.51</w:t>
            </w:r>
          </w:p>
        </w:tc>
        <w:tc>
          <w:tcPr>
            <w:tcW w:w="1418"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24" w:right="0"/>
              <w:jc w:val="left"/>
              <w:rPr>
                <w:rFonts w:ascii="宋体" w:hAnsi="宋体" w:cs="宋体" w:eastAsia="宋体" w:hint="default"/>
                <w:sz w:val="18"/>
                <w:szCs w:val="18"/>
              </w:rPr>
            </w:pPr>
            <w:r>
              <w:rPr>
                <w:rFonts w:ascii="宋体"/>
                <w:sz w:val="18"/>
              </w:rPr>
              <w:t>451,626,351.00</w:t>
            </w:r>
          </w:p>
        </w:tc>
        <w:tc>
          <w:tcPr>
            <w:tcW w:w="1274" w:type="dxa"/>
            <w:vMerge w:val="restart"/>
            <w:tcBorders>
              <w:top w:val="single" w:sz="4" w:space="0" w:color="000000"/>
              <w:left w:val="single" w:sz="4" w:space="0" w:color="000000"/>
              <w:right w:val="single" w:sz="4" w:space="0" w:color="000000"/>
            </w:tcBorders>
          </w:tcPr>
          <w:p>
            <w:pPr/>
          </w:p>
        </w:tc>
        <w:tc>
          <w:tcPr>
            <w:tcW w:w="1277" w:type="dxa"/>
            <w:vMerge w:val="restart"/>
            <w:tcBorders>
              <w:top w:val="single" w:sz="4" w:space="0" w:color="000000"/>
              <w:left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1,542,269,197</w:t>
            </w:r>
          </w:p>
          <w:p>
            <w:pPr>
              <w:pStyle w:val="TableParagraph"/>
              <w:spacing w:line="240" w:lineRule="auto" w:before="77"/>
              <w:ind w:right="20"/>
              <w:jc w:val="right"/>
              <w:rPr>
                <w:rFonts w:ascii="宋体" w:hAnsi="宋体" w:cs="宋体" w:eastAsia="宋体" w:hint="default"/>
                <w:sz w:val="18"/>
                <w:szCs w:val="18"/>
              </w:rPr>
            </w:pPr>
            <w:r>
              <w:rPr>
                <w:rFonts w:ascii="宋体"/>
                <w:sz w:val="18"/>
              </w:rPr>
              <w:t>.82</w:t>
            </w:r>
          </w:p>
        </w:tc>
      </w:tr>
      <w:tr>
        <w:trPr>
          <w:trHeight w:val="392" w:hRule="exact"/>
        </w:trPr>
        <w:tc>
          <w:tcPr>
            <w:tcW w:w="1710" w:type="dxa"/>
            <w:tcBorders>
              <w:top w:val="nil" w:sz="6" w:space="0" w:color="auto"/>
              <w:left w:val="single" w:sz="9" w:space="0" w:color="D2D2D2"/>
              <w:bottom w:val="nil" w:sz="6" w:space="0" w:color="auto"/>
              <w:right w:val="single" w:sz="13" w:space="0" w:color="D2D2D2"/>
            </w:tcBorders>
          </w:tcPr>
          <w:p>
            <w:pPr>
              <w:pStyle w:val="TableParagraph"/>
              <w:spacing w:line="240" w:lineRule="auto" w:before="26"/>
              <w:ind w:left="4" w:right="0"/>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pacing w:val="-3"/>
                <w:sz w:val="21"/>
                <w:szCs w:val="21"/>
                <w:shd w:fill="D2D2D2" w:color="auto" w:val="clear"/>
              </w:rPr>
              <w:t>一、上年期末余额</w:t>
            </w:r>
            <w:r>
              <w:rPr>
                <w:rFonts w:ascii="宋体" w:hAnsi="宋体" w:cs="宋体" w:eastAsia="宋体" w:hint="default"/>
                <w:spacing w:val="-3"/>
                <w:sz w:val="21"/>
                <w:szCs w:val="21"/>
              </w:rPr>
            </w:r>
          </w:p>
        </w:tc>
        <w:tc>
          <w:tcPr>
            <w:tcW w:w="1256" w:type="dxa"/>
            <w:vMerge/>
            <w:tcBorders>
              <w:left w:val="single" w:sz="10" w:space="0" w:color="D2D2D2"/>
              <w:right w:val="single" w:sz="4" w:space="0" w:color="000000"/>
            </w:tcBorders>
          </w:tcPr>
          <w:p>
            <w:pPr/>
          </w:p>
        </w:tc>
        <w:tc>
          <w:tcPr>
            <w:tcW w:w="282" w:type="dxa"/>
            <w:vMerge/>
            <w:tcBorders>
              <w:left w:val="single" w:sz="4" w:space="0" w:color="000000"/>
              <w:right w:val="single" w:sz="4" w:space="0" w:color="000000"/>
            </w:tcBorders>
          </w:tcPr>
          <w:p>
            <w:pPr/>
          </w:p>
        </w:tc>
        <w:tc>
          <w:tcPr>
            <w:tcW w:w="1420" w:type="dxa"/>
            <w:vMerge/>
            <w:tcBorders>
              <w:left w:val="single" w:sz="4" w:space="0" w:color="000000"/>
              <w:right w:val="single" w:sz="4" w:space="0" w:color="000000"/>
            </w:tcBorders>
          </w:tcPr>
          <w:p>
            <w:pPr/>
          </w:p>
        </w:tc>
        <w:tc>
          <w:tcPr>
            <w:tcW w:w="282" w:type="dxa"/>
            <w:vMerge/>
            <w:tcBorders>
              <w:left w:val="single" w:sz="4" w:space="0" w:color="000000"/>
              <w:right w:val="single" w:sz="4" w:space="0" w:color="000000"/>
            </w:tcBorders>
          </w:tcPr>
          <w:p>
            <w:pPr/>
          </w:p>
        </w:tc>
        <w:tc>
          <w:tcPr>
            <w:tcW w:w="284" w:type="dxa"/>
            <w:vMerge/>
            <w:tcBorders>
              <w:left w:val="single" w:sz="4" w:space="0" w:color="000000"/>
              <w:right w:val="single" w:sz="4" w:space="0" w:color="000000"/>
            </w:tcBorders>
          </w:tcPr>
          <w:p>
            <w:pPr/>
          </w:p>
        </w:tc>
        <w:tc>
          <w:tcPr>
            <w:tcW w:w="283"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r>
      <w:tr>
        <w:trPr>
          <w:trHeight w:val="161" w:hRule="exact"/>
        </w:trPr>
        <w:tc>
          <w:tcPr>
            <w:tcW w:w="1710" w:type="dxa"/>
            <w:tcBorders>
              <w:top w:val="nil" w:sz="6" w:space="0" w:color="auto"/>
              <w:left w:val="single" w:sz="4" w:space="0" w:color="000000"/>
              <w:bottom w:val="single" w:sz="4" w:space="0" w:color="000000"/>
              <w:right w:val="single" w:sz="4" w:space="0" w:color="000000"/>
            </w:tcBorders>
            <w:shd w:val="clear" w:color="auto" w:fill="D2D2D2"/>
          </w:tcPr>
          <w:p>
            <w:pPr/>
          </w:p>
        </w:tc>
        <w:tc>
          <w:tcPr>
            <w:tcW w:w="1256" w:type="dxa"/>
            <w:vMerge/>
            <w:tcBorders>
              <w:left w:val="single" w:sz="10" w:space="0" w:color="D2D2D2"/>
              <w:bottom w:val="single" w:sz="4" w:space="0" w:color="000000"/>
              <w:right w:val="single" w:sz="4" w:space="0" w:color="000000"/>
            </w:tcBorders>
          </w:tcPr>
          <w:p>
            <w:pPr/>
          </w:p>
        </w:tc>
        <w:tc>
          <w:tcPr>
            <w:tcW w:w="282" w:type="dxa"/>
            <w:vMerge/>
            <w:tcBorders>
              <w:left w:val="single" w:sz="4" w:space="0" w:color="000000"/>
              <w:bottom w:val="single" w:sz="4" w:space="0" w:color="000000"/>
              <w:right w:val="single" w:sz="4" w:space="0" w:color="000000"/>
            </w:tcBorders>
          </w:tcPr>
          <w:p>
            <w:pPr/>
          </w:p>
        </w:tc>
        <w:tc>
          <w:tcPr>
            <w:tcW w:w="1420" w:type="dxa"/>
            <w:vMerge/>
            <w:tcBorders>
              <w:left w:val="single" w:sz="4" w:space="0" w:color="000000"/>
              <w:bottom w:val="single" w:sz="4" w:space="0" w:color="000000"/>
              <w:right w:val="single" w:sz="4" w:space="0" w:color="000000"/>
            </w:tcBorders>
          </w:tcPr>
          <w:p>
            <w:pPr/>
          </w:p>
        </w:tc>
        <w:tc>
          <w:tcPr>
            <w:tcW w:w="282" w:type="dxa"/>
            <w:vMerge/>
            <w:tcBorders>
              <w:left w:val="single" w:sz="4" w:space="0" w:color="000000"/>
              <w:bottom w:val="single" w:sz="4" w:space="0" w:color="000000"/>
              <w:right w:val="single" w:sz="4" w:space="0" w:color="000000"/>
            </w:tcBorders>
          </w:tcPr>
          <w:p>
            <w:pPr/>
          </w:p>
        </w:tc>
        <w:tc>
          <w:tcPr>
            <w:tcW w:w="284" w:type="dxa"/>
            <w:vMerge/>
            <w:tcBorders>
              <w:left w:val="single" w:sz="4" w:space="0" w:color="000000"/>
              <w:bottom w:val="single" w:sz="4" w:space="0" w:color="000000"/>
              <w:right w:val="single" w:sz="4" w:space="0" w:color="000000"/>
            </w:tcBorders>
          </w:tcPr>
          <w:p>
            <w:pPr/>
          </w:p>
        </w:tc>
        <w:tc>
          <w:tcPr>
            <w:tcW w:w="283" w:type="dxa"/>
            <w:vMerge/>
            <w:tcBorders>
              <w:left w:val="single" w:sz="4" w:space="0" w:color="000000"/>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c>
          <w:tcPr>
            <w:tcW w:w="1418" w:type="dxa"/>
            <w:vMerge/>
            <w:tcBorders>
              <w:left w:val="single" w:sz="4" w:space="0" w:color="000000"/>
              <w:bottom w:val="single" w:sz="4" w:space="0" w:color="000000"/>
              <w:right w:val="single" w:sz="4" w:space="0" w:color="000000"/>
            </w:tcBorders>
          </w:tcPr>
          <w:p>
            <w:pPr/>
          </w:p>
        </w:tc>
        <w:tc>
          <w:tcPr>
            <w:tcW w:w="1274" w:type="dxa"/>
            <w:vMerge/>
            <w:tcBorders>
              <w:left w:val="single" w:sz="4" w:space="0" w:color="000000"/>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r>
      <w:tr>
        <w:trPr>
          <w:trHeight w:val="402" w:hRule="exact"/>
        </w:trPr>
        <w:tc>
          <w:tcPr>
            <w:tcW w:w="1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pacing w:val="-3"/>
                <w:sz w:val="21"/>
                <w:szCs w:val="21"/>
              </w:rPr>
              <w:t>加：会计政策变更</w:t>
            </w:r>
          </w:p>
        </w:tc>
        <w:tc>
          <w:tcPr>
            <w:tcW w:w="1256" w:type="dxa"/>
            <w:tcBorders>
              <w:top w:val="single" w:sz="4" w:space="0" w:color="000000"/>
              <w:left w:val="single" w:sz="13" w:space="0" w:color="D2D2D2"/>
              <w:bottom w:val="single" w:sz="4" w:space="0" w:color="000000"/>
              <w:right w:val="single" w:sz="4" w:space="0" w:color="000000"/>
            </w:tcBorders>
          </w:tcPr>
          <w:p>
            <w:pPr/>
          </w:p>
        </w:tc>
        <w:tc>
          <w:tcPr>
            <w:tcW w:w="282" w:type="dxa"/>
            <w:tcBorders>
              <w:top w:val="single" w:sz="4" w:space="0" w:color="000000"/>
              <w:left w:val="single" w:sz="4" w:space="0" w:color="000000"/>
              <w:bottom w:val="single" w:sz="4" w:space="0" w:color="000000"/>
              <w:right w:val="single" w:sz="4" w:space="0" w:color="000000"/>
            </w:tcBorders>
          </w:tcPr>
          <w:p>
            <w:pPr/>
          </w:p>
        </w:tc>
        <w:tc>
          <w:tcPr>
            <w:tcW w:w="1420" w:type="dxa"/>
            <w:tcBorders>
              <w:top w:val="single" w:sz="4" w:space="0" w:color="000000"/>
              <w:left w:val="single" w:sz="4" w:space="0" w:color="000000"/>
              <w:bottom w:val="single" w:sz="4" w:space="0" w:color="000000"/>
              <w:right w:val="single" w:sz="4" w:space="0" w:color="000000"/>
            </w:tcBorders>
          </w:tcPr>
          <w:p>
            <w:pPr/>
          </w:p>
        </w:tc>
        <w:tc>
          <w:tcPr>
            <w:tcW w:w="282"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前期差错更正</w:t>
            </w:r>
          </w:p>
        </w:tc>
        <w:tc>
          <w:tcPr>
            <w:tcW w:w="1256" w:type="dxa"/>
            <w:tcBorders>
              <w:top w:val="single" w:sz="4" w:space="0" w:color="000000"/>
              <w:left w:val="single" w:sz="13" w:space="0" w:color="D2D2D2"/>
              <w:bottom w:val="single" w:sz="4" w:space="0" w:color="000000"/>
              <w:right w:val="single" w:sz="4" w:space="0" w:color="000000"/>
            </w:tcBorders>
          </w:tcPr>
          <w:p>
            <w:pPr/>
          </w:p>
        </w:tc>
        <w:tc>
          <w:tcPr>
            <w:tcW w:w="282" w:type="dxa"/>
            <w:tcBorders>
              <w:top w:val="single" w:sz="4" w:space="0" w:color="000000"/>
              <w:left w:val="single" w:sz="4" w:space="0" w:color="000000"/>
              <w:bottom w:val="single" w:sz="4" w:space="0" w:color="000000"/>
              <w:right w:val="single" w:sz="4" w:space="0" w:color="000000"/>
            </w:tcBorders>
          </w:tcPr>
          <w:p>
            <w:pPr/>
          </w:p>
        </w:tc>
        <w:tc>
          <w:tcPr>
            <w:tcW w:w="1420" w:type="dxa"/>
            <w:tcBorders>
              <w:top w:val="single" w:sz="4" w:space="0" w:color="000000"/>
              <w:left w:val="single" w:sz="4" w:space="0" w:color="000000"/>
              <w:bottom w:val="single" w:sz="4" w:space="0" w:color="000000"/>
              <w:right w:val="single" w:sz="4" w:space="0" w:color="000000"/>
            </w:tcBorders>
          </w:tcPr>
          <w:p>
            <w:pPr/>
          </w:p>
        </w:tc>
        <w:tc>
          <w:tcPr>
            <w:tcW w:w="282"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11" w:right="216"/>
              <w:jc w:val="left"/>
              <w:rPr>
                <w:rFonts w:ascii="宋体" w:hAnsi="宋体" w:cs="宋体" w:eastAsia="宋体" w:hint="default"/>
                <w:sz w:val="21"/>
                <w:szCs w:val="21"/>
              </w:rPr>
            </w:pPr>
            <w:r>
              <w:rPr>
                <w:rFonts w:ascii="宋体" w:hAnsi="宋体" w:cs="宋体" w:eastAsia="宋体" w:hint="default"/>
                <w:sz w:val="21"/>
                <w:szCs w:val="21"/>
              </w:rPr>
              <w:t>同一控制下企业 合并</w:t>
            </w:r>
          </w:p>
        </w:tc>
        <w:tc>
          <w:tcPr>
            <w:tcW w:w="1256" w:type="dxa"/>
            <w:tcBorders>
              <w:top w:val="single" w:sz="4" w:space="0" w:color="000000"/>
              <w:left w:val="single" w:sz="13" w:space="0" w:color="D2D2D2"/>
              <w:bottom w:val="single" w:sz="4" w:space="0" w:color="000000"/>
              <w:right w:val="single" w:sz="4" w:space="0" w:color="000000"/>
            </w:tcBorders>
          </w:tcPr>
          <w:p>
            <w:pPr/>
          </w:p>
        </w:tc>
        <w:tc>
          <w:tcPr>
            <w:tcW w:w="282" w:type="dxa"/>
            <w:tcBorders>
              <w:top w:val="single" w:sz="4" w:space="0" w:color="000000"/>
              <w:left w:val="single" w:sz="4" w:space="0" w:color="000000"/>
              <w:bottom w:val="single" w:sz="4" w:space="0" w:color="000000"/>
              <w:right w:val="single" w:sz="4" w:space="0" w:color="000000"/>
            </w:tcBorders>
          </w:tcPr>
          <w:p>
            <w:pPr/>
          </w:p>
        </w:tc>
        <w:tc>
          <w:tcPr>
            <w:tcW w:w="1420" w:type="dxa"/>
            <w:tcBorders>
              <w:top w:val="single" w:sz="4" w:space="0" w:color="000000"/>
              <w:left w:val="single" w:sz="4" w:space="0" w:color="000000"/>
              <w:bottom w:val="single" w:sz="4" w:space="0" w:color="000000"/>
              <w:right w:val="single" w:sz="4" w:space="0" w:color="000000"/>
            </w:tcBorders>
          </w:tcPr>
          <w:p>
            <w:pPr/>
          </w:p>
        </w:tc>
        <w:tc>
          <w:tcPr>
            <w:tcW w:w="282"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256" w:type="dxa"/>
            <w:tcBorders>
              <w:top w:val="single" w:sz="4" w:space="0" w:color="000000"/>
              <w:left w:val="single" w:sz="13" w:space="0" w:color="D2D2D2"/>
              <w:bottom w:val="single" w:sz="4" w:space="0" w:color="000000"/>
              <w:right w:val="single" w:sz="4" w:space="0" w:color="000000"/>
            </w:tcBorders>
          </w:tcPr>
          <w:p>
            <w:pPr/>
          </w:p>
        </w:tc>
        <w:tc>
          <w:tcPr>
            <w:tcW w:w="282" w:type="dxa"/>
            <w:tcBorders>
              <w:top w:val="single" w:sz="4" w:space="0" w:color="000000"/>
              <w:left w:val="single" w:sz="4" w:space="0" w:color="000000"/>
              <w:bottom w:val="single" w:sz="4" w:space="0" w:color="000000"/>
              <w:right w:val="single" w:sz="4" w:space="0" w:color="000000"/>
            </w:tcBorders>
          </w:tcPr>
          <w:p>
            <w:pPr/>
          </w:p>
        </w:tc>
        <w:tc>
          <w:tcPr>
            <w:tcW w:w="1420" w:type="dxa"/>
            <w:tcBorders>
              <w:top w:val="single" w:sz="4" w:space="0" w:color="000000"/>
              <w:left w:val="single" w:sz="4" w:space="0" w:color="000000"/>
              <w:bottom w:val="single" w:sz="4" w:space="0" w:color="000000"/>
              <w:right w:val="single" w:sz="4" w:space="0" w:color="000000"/>
            </w:tcBorders>
          </w:tcPr>
          <w:p>
            <w:pPr/>
          </w:p>
        </w:tc>
        <w:tc>
          <w:tcPr>
            <w:tcW w:w="282"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710" w:type="dxa"/>
            <w:tcBorders>
              <w:top w:val="single" w:sz="4" w:space="0" w:color="000000"/>
              <w:left w:val="single" w:sz="4" w:space="0" w:color="000000"/>
              <w:bottom w:val="nil" w:sz="6" w:space="0" w:color="auto"/>
              <w:right w:val="single" w:sz="4" w:space="0" w:color="000000"/>
            </w:tcBorders>
            <w:shd w:val="clear" w:color="auto" w:fill="D2D2D2"/>
          </w:tcPr>
          <w:p>
            <w:pPr/>
          </w:p>
        </w:tc>
        <w:tc>
          <w:tcPr>
            <w:tcW w:w="1256" w:type="dxa"/>
            <w:vMerge w:val="restart"/>
            <w:tcBorders>
              <w:top w:val="single" w:sz="4" w:space="0" w:color="000000"/>
              <w:left w:val="single" w:sz="10" w:space="0" w:color="D2D2D2"/>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376,656,420.0</w:t>
            </w:r>
          </w:p>
          <w:p>
            <w:pPr>
              <w:pStyle w:val="TableParagraph"/>
              <w:spacing w:line="240" w:lineRule="auto" w:before="77"/>
              <w:ind w:right="23"/>
              <w:jc w:val="right"/>
              <w:rPr>
                <w:rFonts w:ascii="宋体" w:hAnsi="宋体" w:cs="宋体" w:eastAsia="宋体" w:hint="default"/>
                <w:sz w:val="18"/>
                <w:szCs w:val="18"/>
              </w:rPr>
            </w:pPr>
            <w:r>
              <w:rPr>
                <w:rFonts w:ascii="宋体"/>
                <w:sz w:val="18"/>
              </w:rPr>
              <w:t>0</w:t>
            </w:r>
          </w:p>
        </w:tc>
        <w:tc>
          <w:tcPr>
            <w:tcW w:w="282" w:type="dxa"/>
            <w:vMerge w:val="restart"/>
            <w:tcBorders>
              <w:top w:val="single" w:sz="4" w:space="0" w:color="000000"/>
              <w:left w:val="single" w:sz="4" w:space="0" w:color="000000"/>
              <w:right w:val="single" w:sz="4" w:space="0" w:color="000000"/>
            </w:tcBorders>
          </w:tcPr>
          <w:p>
            <w:pPr/>
          </w:p>
        </w:tc>
        <w:tc>
          <w:tcPr>
            <w:tcW w:w="1420"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27" w:right="0"/>
              <w:jc w:val="left"/>
              <w:rPr>
                <w:rFonts w:ascii="宋体" w:hAnsi="宋体" w:cs="宋体" w:eastAsia="宋体" w:hint="default"/>
                <w:sz w:val="18"/>
                <w:szCs w:val="18"/>
              </w:rPr>
            </w:pPr>
            <w:r>
              <w:rPr>
                <w:rFonts w:ascii="宋体"/>
                <w:sz w:val="18"/>
              </w:rPr>
              <w:t>652,518,981.31</w:t>
            </w:r>
          </w:p>
        </w:tc>
        <w:tc>
          <w:tcPr>
            <w:tcW w:w="282" w:type="dxa"/>
            <w:vMerge w:val="restart"/>
            <w:tcBorders>
              <w:top w:val="single" w:sz="4" w:space="0" w:color="000000"/>
              <w:left w:val="single" w:sz="4" w:space="0" w:color="000000"/>
              <w:right w:val="single" w:sz="4" w:space="0" w:color="000000"/>
            </w:tcBorders>
          </w:tcPr>
          <w:p>
            <w:pPr/>
          </w:p>
        </w:tc>
        <w:tc>
          <w:tcPr>
            <w:tcW w:w="284" w:type="dxa"/>
            <w:vMerge w:val="restart"/>
            <w:tcBorders>
              <w:top w:val="single" w:sz="4" w:space="0" w:color="000000"/>
              <w:left w:val="single" w:sz="4" w:space="0" w:color="000000"/>
              <w:right w:val="single" w:sz="4" w:space="0" w:color="000000"/>
            </w:tcBorders>
          </w:tcPr>
          <w:p>
            <w:pPr/>
          </w:p>
        </w:tc>
        <w:tc>
          <w:tcPr>
            <w:tcW w:w="283" w:type="dxa"/>
            <w:vMerge w:val="restart"/>
            <w:tcBorders>
              <w:top w:val="single" w:sz="4" w:space="0" w:color="000000"/>
              <w:left w:val="single" w:sz="4" w:space="0" w:color="000000"/>
              <w:right w:val="single" w:sz="4" w:space="0" w:color="000000"/>
            </w:tcBorders>
          </w:tcPr>
          <w:p>
            <w:pPr/>
          </w:p>
        </w:tc>
        <w:tc>
          <w:tcPr>
            <w:tcW w:w="1277"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3" w:right="0"/>
              <w:jc w:val="left"/>
              <w:rPr>
                <w:rFonts w:ascii="宋体" w:hAnsi="宋体" w:cs="宋体" w:eastAsia="宋体" w:hint="default"/>
                <w:sz w:val="18"/>
                <w:szCs w:val="18"/>
              </w:rPr>
            </w:pPr>
            <w:r>
              <w:rPr>
                <w:rFonts w:ascii="宋体"/>
                <w:sz w:val="18"/>
              </w:rPr>
              <w:t>61,467,445.51</w:t>
            </w:r>
          </w:p>
        </w:tc>
        <w:tc>
          <w:tcPr>
            <w:tcW w:w="1418"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24" w:right="0"/>
              <w:jc w:val="left"/>
              <w:rPr>
                <w:rFonts w:ascii="宋体" w:hAnsi="宋体" w:cs="宋体" w:eastAsia="宋体" w:hint="default"/>
                <w:sz w:val="18"/>
                <w:szCs w:val="18"/>
              </w:rPr>
            </w:pPr>
            <w:r>
              <w:rPr>
                <w:rFonts w:ascii="宋体"/>
                <w:sz w:val="18"/>
              </w:rPr>
              <w:t>451,626,351.00</w:t>
            </w:r>
          </w:p>
        </w:tc>
        <w:tc>
          <w:tcPr>
            <w:tcW w:w="1274" w:type="dxa"/>
            <w:vMerge w:val="restart"/>
            <w:tcBorders>
              <w:top w:val="single" w:sz="4" w:space="0" w:color="000000"/>
              <w:left w:val="single" w:sz="4" w:space="0" w:color="000000"/>
              <w:right w:val="single" w:sz="4" w:space="0" w:color="000000"/>
            </w:tcBorders>
          </w:tcPr>
          <w:p>
            <w:pPr/>
          </w:p>
        </w:tc>
        <w:tc>
          <w:tcPr>
            <w:tcW w:w="1277" w:type="dxa"/>
            <w:vMerge w:val="restart"/>
            <w:tcBorders>
              <w:top w:val="single" w:sz="4" w:space="0" w:color="000000"/>
              <w:left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1,542,269,197</w:t>
            </w:r>
          </w:p>
          <w:p>
            <w:pPr>
              <w:pStyle w:val="TableParagraph"/>
              <w:spacing w:line="240" w:lineRule="auto" w:before="77"/>
              <w:ind w:right="20"/>
              <w:jc w:val="right"/>
              <w:rPr>
                <w:rFonts w:ascii="宋体" w:hAnsi="宋体" w:cs="宋体" w:eastAsia="宋体" w:hint="default"/>
                <w:sz w:val="18"/>
                <w:szCs w:val="18"/>
              </w:rPr>
            </w:pPr>
            <w:r>
              <w:rPr>
                <w:rFonts w:ascii="宋体"/>
                <w:sz w:val="18"/>
              </w:rPr>
              <w:t>.82</w:t>
            </w:r>
          </w:p>
        </w:tc>
      </w:tr>
      <w:tr>
        <w:trPr>
          <w:trHeight w:val="392" w:hRule="exact"/>
        </w:trPr>
        <w:tc>
          <w:tcPr>
            <w:tcW w:w="1710" w:type="dxa"/>
            <w:tcBorders>
              <w:top w:val="nil" w:sz="6" w:space="0" w:color="auto"/>
              <w:left w:val="single" w:sz="9" w:space="0" w:color="D2D2D2"/>
              <w:bottom w:val="nil" w:sz="6" w:space="0" w:color="auto"/>
              <w:right w:val="single" w:sz="13" w:space="0" w:color="D2D2D2"/>
            </w:tcBorders>
          </w:tcPr>
          <w:p>
            <w:pPr>
              <w:pStyle w:val="TableParagraph"/>
              <w:spacing w:line="240" w:lineRule="auto" w:before="26"/>
              <w:ind w:left="4" w:right="0"/>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pacing w:val="-3"/>
                <w:sz w:val="21"/>
                <w:szCs w:val="21"/>
                <w:shd w:fill="D2D2D2" w:color="auto" w:val="clear"/>
              </w:rPr>
              <w:t>二、本年期初余额</w:t>
            </w:r>
            <w:r>
              <w:rPr>
                <w:rFonts w:ascii="宋体" w:hAnsi="宋体" w:cs="宋体" w:eastAsia="宋体" w:hint="default"/>
                <w:spacing w:val="-3"/>
                <w:sz w:val="21"/>
                <w:szCs w:val="21"/>
              </w:rPr>
            </w:r>
          </w:p>
        </w:tc>
        <w:tc>
          <w:tcPr>
            <w:tcW w:w="1256" w:type="dxa"/>
            <w:vMerge/>
            <w:tcBorders>
              <w:left w:val="single" w:sz="10" w:space="0" w:color="D2D2D2"/>
              <w:right w:val="single" w:sz="4" w:space="0" w:color="000000"/>
            </w:tcBorders>
          </w:tcPr>
          <w:p>
            <w:pPr/>
          </w:p>
        </w:tc>
        <w:tc>
          <w:tcPr>
            <w:tcW w:w="282" w:type="dxa"/>
            <w:vMerge/>
            <w:tcBorders>
              <w:left w:val="single" w:sz="4" w:space="0" w:color="000000"/>
              <w:right w:val="single" w:sz="4" w:space="0" w:color="000000"/>
            </w:tcBorders>
          </w:tcPr>
          <w:p>
            <w:pPr/>
          </w:p>
        </w:tc>
        <w:tc>
          <w:tcPr>
            <w:tcW w:w="1420" w:type="dxa"/>
            <w:vMerge/>
            <w:tcBorders>
              <w:left w:val="single" w:sz="4" w:space="0" w:color="000000"/>
              <w:right w:val="single" w:sz="4" w:space="0" w:color="000000"/>
            </w:tcBorders>
          </w:tcPr>
          <w:p>
            <w:pPr/>
          </w:p>
        </w:tc>
        <w:tc>
          <w:tcPr>
            <w:tcW w:w="282" w:type="dxa"/>
            <w:vMerge/>
            <w:tcBorders>
              <w:left w:val="single" w:sz="4" w:space="0" w:color="000000"/>
              <w:right w:val="single" w:sz="4" w:space="0" w:color="000000"/>
            </w:tcBorders>
          </w:tcPr>
          <w:p>
            <w:pPr/>
          </w:p>
        </w:tc>
        <w:tc>
          <w:tcPr>
            <w:tcW w:w="284" w:type="dxa"/>
            <w:vMerge/>
            <w:tcBorders>
              <w:left w:val="single" w:sz="4" w:space="0" w:color="000000"/>
              <w:right w:val="single" w:sz="4" w:space="0" w:color="000000"/>
            </w:tcBorders>
          </w:tcPr>
          <w:p>
            <w:pPr/>
          </w:p>
        </w:tc>
        <w:tc>
          <w:tcPr>
            <w:tcW w:w="283"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r>
      <w:tr>
        <w:trPr>
          <w:trHeight w:val="161" w:hRule="exact"/>
        </w:trPr>
        <w:tc>
          <w:tcPr>
            <w:tcW w:w="1710" w:type="dxa"/>
            <w:tcBorders>
              <w:top w:val="nil" w:sz="6" w:space="0" w:color="auto"/>
              <w:left w:val="single" w:sz="4" w:space="0" w:color="000000"/>
              <w:bottom w:val="single" w:sz="4" w:space="0" w:color="000000"/>
              <w:right w:val="single" w:sz="4" w:space="0" w:color="000000"/>
            </w:tcBorders>
            <w:shd w:val="clear" w:color="auto" w:fill="D2D2D2"/>
          </w:tcPr>
          <w:p>
            <w:pPr/>
          </w:p>
        </w:tc>
        <w:tc>
          <w:tcPr>
            <w:tcW w:w="1256" w:type="dxa"/>
            <w:vMerge/>
            <w:tcBorders>
              <w:left w:val="single" w:sz="10" w:space="0" w:color="D2D2D2"/>
              <w:bottom w:val="single" w:sz="4" w:space="0" w:color="000000"/>
              <w:right w:val="single" w:sz="4" w:space="0" w:color="000000"/>
            </w:tcBorders>
          </w:tcPr>
          <w:p>
            <w:pPr/>
          </w:p>
        </w:tc>
        <w:tc>
          <w:tcPr>
            <w:tcW w:w="282" w:type="dxa"/>
            <w:vMerge/>
            <w:tcBorders>
              <w:left w:val="single" w:sz="4" w:space="0" w:color="000000"/>
              <w:bottom w:val="single" w:sz="4" w:space="0" w:color="000000"/>
              <w:right w:val="single" w:sz="4" w:space="0" w:color="000000"/>
            </w:tcBorders>
          </w:tcPr>
          <w:p>
            <w:pPr/>
          </w:p>
        </w:tc>
        <w:tc>
          <w:tcPr>
            <w:tcW w:w="1420" w:type="dxa"/>
            <w:vMerge/>
            <w:tcBorders>
              <w:left w:val="single" w:sz="4" w:space="0" w:color="000000"/>
              <w:bottom w:val="single" w:sz="4" w:space="0" w:color="000000"/>
              <w:right w:val="single" w:sz="4" w:space="0" w:color="000000"/>
            </w:tcBorders>
          </w:tcPr>
          <w:p>
            <w:pPr/>
          </w:p>
        </w:tc>
        <w:tc>
          <w:tcPr>
            <w:tcW w:w="282" w:type="dxa"/>
            <w:vMerge/>
            <w:tcBorders>
              <w:left w:val="single" w:sz="4" w:space="0" w:color="000000"/>
              <w:bottom w:val="single" w:sz="4" w:space="0" w:color="000000"/>
              <w:right w:val="single" w:sz="4" w:space="0" w:color="000000"/>
            </w:tcBorders>
          </w:tcPr>
          <w:p>
            <w:pPr/>
          </w:p>
        </w:tc>
        <w:tc>
          <w:tcPr>
            <w:tcW w:w="284" w:type="dxa"/>
            <w:vMerge/>
            <w:tcBorders>
              <w:left w:val="single" w:sz="4" w:space="0" w:color="000000"/>
              <w:bottom w:val="single" w:sz="4" w:space="0" w:color="000000"/>
              <w:right w:val="single" w:sz="4" w:space="0" w:color="000000"/>
            </w:tcBorders>
          </w:tcPr>
          <w:p>
            <w:pPr/>
          </w:p>
        </w:tc>
        <w:tc>
          <w:tcPr>
            <w:tcW w:w="283" w:type="dxa"/>
            <w:vMerge/>
            <w:tcBorders>
              <w:left w:val="single" w:sz="4" w:space="0" w:color="000000"/>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c>
          <w:tcPr>
            <w:tcW w:w="1418" w:type="dxa"/>
            <w:vMerge/>
            <w:tcBorders>
              <w:left w:val="single" w:sz="4" w:space="0" w:color="000000"/>
              <w:bottom w:val="single" w:sz="4" w:space="0" w:color="000000"/>
              <w:right w:val="single" w:sz="4" w:space="0" w:color="000000"/>
            </w:tcBorders>
          </w:tcPr>
          <w:p>
            <w:pPr/>
          </w:p>
        </w:tc>
        <w:tc>
          <w:tcPr>
            <w:tcW w:w="1274" w:type="dxa"/>
            <w:vMerge/>
            <w:tcBorders>
              <w:left w:val="single" w:sz="4" w:space="0" w:color="000000"/>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r>
      <w:tr>
        <w:trPr>
          <w:trHeight w:val="1026" w:hRule="exact"/>
        </w:trPr>
        <w:tc>
          <w:tcPr>
            <w:tcW w:w="1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11" w:right="22"/>
              <w:jc w:val="left"/>
              <w:rPr>
                <w:rFonts w:ascii="宋体" w:hAnsi="宋体" w:cs="宋体" w:eastAsia="宋体" w:hint="default"/>
                <w:sz w:val="21"/>
                <w:szCs w:val="21"/>
              </w:rPr>
            </w:pPr>
            <w:r>
              <w:rPr>
                <w:rFonts w:ascii="宋体" w:hAnsi="宋体" w:cs="宋体" w:eastAsia="宋体" w:hint="default"/>
                <w:spacing w:val="-3"/>
                <w:sz w:val="21"/>
                <w:szCs w:val="21"/>
              </w:rPr>
              <w:t>三、本期增减变动</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pacing w:val="-16"/>
                <w:sz w:val="21"/>
                <w:szCs w:val="21"/>
              </w:rPr>
              <w:t>金额（减少以“－</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号填列）</w:t>
            </w:r>
          </w:p>
        </w:tc>
        <w:tc>
          <w:tcPr>
            <w:tcW w:w="125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left="-150" w:right="0"/>
              <w:jc w:val="left"/>
              <w:rPr>
                <w:rFonts w:ascii="宋体" w:hAnsi="宋体" w:cs="宋体" w:eastAsia="宋体" w:hint="default"/>
                <w:sz w:val="21"/>
                <w:szCs w:val="21"/>
              </w:rPr>
            </w:pPr>
            <w:r>
              <w:rPr>
                <w:rFonts w:ascii="宋体" w:hAnsi="宋体" w:cs="宋体" w:eastAsia="宋体" w:hint="default"/>
                <w:sz w:val="21"/>
                <w:szCs w:val="21"/>
              </w:rPr>
              <w:t>”</w:t>
            </w:r>
          </w:p>
        </w:tc>
        <w:tc>
          <w:tcPr>
            <w:tcW w:w="282" w:type="dxa"/>
            <w:tcBorders>
              <w:top w:val="single" w:sz="4" w:space="0" w:color="000000"/>
              <w:left w:val="single" w:sz="4" w:space="0" w:color="000000"/>
              <w:bottom w:val="single" w:sz="4" w:space="0" w:color="000000"/>
              <w:right w:val="single" w:sz="4" w:space="0" w:color="000000"/>
            </w:tcBorders>
          </w:tcPr>
          <w:p>
            <w:pP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07" w:right="0"/>
              <w:jc w:val="left"/>
              <w:rPr>
                <w:rFonts w:ascii="宋体" w:hAnsi="宋体" w:cs="宋体" w:eastAsia="宋体" w:hint="default"/>
                <w:sz w:val="18"/>
                <w:szCs w:val="18"/>
              </w:rPr>
            </w:pPr>
            <w:r>
              <w:rPr>
                <w:rFonts w:ascii="宋体"/>
                <w:sz w:val="18"/>
              </w:rPr>
              <w:t>1,008,652.92</w:t>
            </w:r>
          </w:p>
        </w:tc>
        <w:tc>
          <w:tcPr>
            <w:tcW w:w="282"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63" w:right="0"/>
              <w:jc w:val="left"/>
              <w:rPr>
                <w:rFonts w:ascii="宋体" w:hAnsi="宋体" w:cs="宋体" w:eastAsia="宋体" w:hint="default"/>
                <w:sz w:val="18"/>
                <w:szCs w:val="18"/>
              </w:rPr>
            </w:pPr>
            <w:r>
              <w:rPr>
                <w:rFonts w:ascii="宋体"/>
                <w:sz w:val="18"/>
              </w:rPr>
              <w:t>3,442,420.33</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1" w:right="0"/>
              <w:jc w:val="center"/>
              <w:rPr>
                <w:rFonts w:ascii="宋体" w:hAnsi="宋体" w:cs="宋体" w:eastAsia="宋体" w:hint="default"/>
                <w:sz w:val="18"/>
                <w:szCs w:val="18"/>
              </w:rPr>
            </w:pPr>
            <w:r>
              <w:rPr>
                <w:rFonts w:ascii="宋体"/>
                <w:sz w:val="18"/>
              </w:rPr>
              <w:t>-158,951,808.72</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46" w:right="0"/>
              <w:jc w:val="center"/>
              <w:rPr>
                <w:rFonts w:ascii="宋体" w:hAnsi="宋体" w:cs="宋体" w:eastAsia="宋体" w:hint="default"/>
                <w:sz w:val="18"/>
                <w:szCs w:val="18"/>
              </w:rPr>
            </w:pPr>
            <w:r>
              <w:rPr>
                <w:rFonts w:ascii="宋体"/>
                <w:sz w:val="18"/>
              </w:rPr>
              <w:t>24,739,365.17</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-129,761,370.</w:t>
            </w:r>
          </w:p>
          <w:p>
            <w:pPr>
              <w:pStyle w:val="TableParagraph"/>
              <w:spacing w:line="240" w:lineRule="auto" w:before="77"/>
              <w:ind w:right="20"/>
              <w:jc w:val="right"/>
              <w:rPr>
                <w:rFonts w:ascii="宋体" w:hAnsi="宋体" w:cs="宋体" w:eastAsia="宋体" w:hint="default"/>
                <w:sz w:val="18"/>
                <w:szCs w:val="18"/>
              </w:rPr>
            </w:pPr>
            <w:r>
              <w:rPr>
                <w:rFonts w:ascii="宋体"/>
                <w:sz w:val="18"/>
              </w:rPr>
              <w:t>30</w:t>
            </w:r>
          </w:p>
        </w:tc>
      </w:tr>
      <w:tr>
        <w:trPr>
          <w:trHeight w:val="714" w:hRule="exact"/>
        </w:trPr>
        <w:tc>
          <w:tcPr>
            <w:tcW w:w="1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11" w:right="22"/>
              <w:jc w:val="left"/>
              <w:rPr>
                <w:rFonts w:ascii="宋体" w:hAnsi="宋体" w:cs="宋体" w:eastAsia="宋体" w:hint="default"/>
                <w:sz w:val="21"/>
                <w:szCs w:val="21"/>
              </w:rPr>
            </w:pPr>
            <w:r>
              <w:rPr>
                <w:rFonts w:ascii="宋体" w:hAnsi="宋体" w:cs="宋体" w:eastAsia="宋体" w:hint="default"/>
                <w:spacing w:val="-3"/>
                <w:sz w:val="21"/>
                <w:szCs w:val="21"/>
              </w:rPr>
              <w:t>（一）综合收益总</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额</w:t>
            </w:r>
          </w:p>
        </w:tc>
        <w:tc>
          <w:tcPr>
            <w:tcW w:w="1256" w:type="dxa"/>
            <w:tcBorders>
              <w:top w:val="single" w:sz="4" w:space="0" w:color="000000"/>
              <w:left w:val="single" w:sz="13" w:space="0" w:color="D2D2D2"/>
              <w:bottom w:val="single" w:sz="4" w:space="0" w:color="000000"/>
              <w:right w:val="single" w:sz="4" w:space="0" w:color="000000"/>
            </w:tcBorders>
          </w:tcPr>
          <w:p>
            <w:pPr/>
          </w:p>
        </w:tc>
        <w:tc>
          <w:tcPr>
            <w:tcW w:w="282" w:type="dxa"/>
            <w:tcBorders>
              <w:top w:val="single" w:sz="4" w:space="0" w:color="000000"/>
              <w:left w:val="single" w:sz="4" w:space="0" w:color="000000"/>
              <w:bottom w:val="single" w:sz="4" w:space="0" w:color="000000"/>
              <w:right w:val="single" w:sz="4" w:space="0" w:color="000000"/>
            </w:tcBorders>
          </w:tcPr>
          <w:p>
            <w:pPr/>
          </w:p>
        </w:tc>
        <w:tc>
          <w:tcPr>
            <w:tcW w:w="1420" w:type="dxa"/>
            <w:tcBorders>
              <w:top w:val="single" w:sz="4" w:space="0" w:color="000000"/>
              <w:left w:val="single" w:sz="4" w:space="0" w:color="000000"/>
              <w:bottom w:val="single" w:sz="4" w:space="0" w:color="000000"/>
              <w:right w:val="single" w:sz="4" w:space="0" w:color="000000"/>
            </w:tcBorders>
          </w:tcPr>
          <w:p>
            <w:pPr/>
          </w:p>
        </w:tc>
        <w:tc>
          <w:tcPr>
            <w:tcW w:w="282"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 w:right="0"/>
              <w:jc w:val="center"/>
              <w:rPr>
                <w:rFonts w:ascii="宋体" w:hAnsi="宋体" w:cs="宋体" w:eastAsia="宋体" w:hint="default"/>
                <w:sz w:val="18"/>
                <w:szCs w:val="18"/>
              </w:rPr>
            </w:pPr>
            <w:r>
              <w:rPr>
                <w:rFonts w:ascii="宋体"/>
                <w:sz w:val="18"/>
              </w:rPr>
              <w:t>-151,742,824.19</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6" w:right="0"/>
              <w:jc w:val="center"/>
              <w:rPr>
                <w:rFonts w:ascii="宋体" w:hAnsi="宋体" w:cs="宋体" w:eastAsia="宋体" w:hint="default"/>
                <w:sz w:val="18"/>
                <w:szCs w:val="18"/>
              </w:rPr>
            </w:pPr>
            <w:r>
              <w:rPr>
                <w:rFonts w:ascii="宋体"/>
                <w:sz w:val="18"/>
              </w:rPr>
              <w:t>24,739,365.17</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-127,003,459.</w:t>
            </w:r>
          </w:p>
          <w:p>
            <w:pPr>
              <w:pStyle w:val="TableParagraph"/>
              <w:spacing w:line="240" w:lineRule="auto" w:before="77"/>
              <w:ind w:right="20"/>
              <w:jc w:val="right"/>
              <w:rPr>
                <w:rFonts w:ascii="宋体" w:hAnsi="宋体" w:cs="宋体" w:eastAsia="宋体" w:hint="default"/>
                <w:sz w:val="18"/>
                <w:szCs w:val="18"/>
              </w:rPr>
            </w:pPr>
            <w:r>
              <w:rPr>
                <w:rFonts w:ascii="宋体"/>
                <w:sz w:val="18"/>
              </w:rPr>
              <w:t>02</w:t>
            </w:r>
          </w:p>
        </w:tc>
      </w:tr>
      <w:tr>
        <w:trPr>
          <w:trHeight w:val="714" w:hRule="exact"/>
        </w:trPr>
        <w:tc>
          <w:tcPr>
            <w:tcW w:w="1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11" w:right="22"/>
              <w:jc w:val="left"/>
              <w:rPr>
                <w:rFonts w:ascii="宋体" w:hAnsi="宋体" w:cs="宋体" w:eastAsia="宋体" w:hint="default"/>
                <w:sz w:val="21"/>
                <w:szCs w:val="21"/>
              </w:rPr>
            </w:pPr>
            <w:r>
              <w:rPr>
                <w:rFonts w:ascii="宋体" w:hAnsi="宋体" w:cs="宋体" w:eastAsia="宋体" w:hint="default"/>
                <w:spacing w:val="-3"/>
                <w:sz w:val="21"/>
                <w:szCs w:val="21"/>
              </w:rPr>
              <w:t>（二）所有者投入</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和减少资本</w:t>
            </w:r>
          </w:p>
        </w:tc>
        <w:tc>
          <w:tcPr>
            <w:tcW w:w="1256" w:type="dxa"/>
            <w:tcBorders>
              <w:top w:val="single" w:sz="4" w:space="0" w:color="000000"/>
              <w:left w:val="single" w:sz="13" w:space="0" w:color="D2D2D2"/>
              <w:bottom w:val="single" w:sz="4" w:space="0" w:color="000000"/>
              <w:right w:val="single" w:sz="4" w:space="0" w:color="000000"/>
            </w:tcBorders>
          </w:tcPr>
          <w:p>
            <w:pPr/>
          </w:p>
        </w:tc>
        <w:tc>
          <w:tcPr>
            <w:tcW w:w="282" w:type="dxa"/>
            <w:tcBorders>
              <w:top w:val="single" w:sz="4" w:space="0" w:color="000000"/>
              <w:left w:val="single" w:sz="4" w:space="0" w:color="000000"/>
              <w:bottom w:val="single" w:sz="4" w:space="0" w:color="000000"/>
              <w:right w:val="single" w:sz="4" w:space="0" w:color="000000"/>
            </w:tcBorders>
          </w:tcPr>
          <w:p>
            <w:pPr/>
          </w:p>
        </w:tc>
        <w:tc>
          <w:tcPr>
            <w:tcW w:w="1420" w:type="dxa"/>
            <w:tcBorders>
              <w:top w:val="single" w:sz="4" w:space="0" w:color="000000"/>
              <w:left w:val="single" w:sz="4" w:space="0" w:color="000000"/>
              <w:bottom w:val="single" w:sz="4" w:space="0" w:color="000000"/>
              <w:right w:val="single" w:sz="4" w:space="0" w:color="000000"/>
            </w:tcBorders>
          </w:tcPr>
          <w:p>
            <w:pPr/>
          </w:p>
        </w:tc>
        <w:tc>
          <w:tcPr>
            <w:tcW w:w="282"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11" w:right="112"/>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．股东投入的普 通股</w:t>
            </w:r>
          </w:p>
        </w:tc>
        <w:tc>
          <w:tcPr>
            <w:tcW w:w="1256" w:type="dxa"/>
            <w:tcBorders>
              <w:top w:val="single" w:sz="4" w:space="0" w:color="000000"/>
              <w:left w:val="single" w:sz="13" w:space="0" w:color="D2D2D2"/>
              <w:bottom w:val="single" w:sz="4" w:space="0" w:color="000000"/>
              <w:right w:val="single" w:sz="4" w:space="0" w:color="000000"/>
            </w:tcBorders>
          </w:tcPr>
          <w:p>
            <w:pPr/>
          </w:p>
        </w:tc>
        <w:tc>
          <w:tcPr>
            <w:tcW w:w="282" w:type="dxa"/>
            <w:tcBorders>
              <w:top w:val="single" w:sz="4" w:space="0" w:color="000000"/>
              <w:left w:val="single" w:sz="4" w:space="0" w:color="000000"/>
              <w:bottom w:val="single" w:sz="4" w:space="0" w:color="000000"/>
              <w:right w:val="single" w:sz="4" w:space="0" w:color="000000"/>
            </w:tcBorders>
          </w:tcPr>
          <w:p>
            <w:pPr/>
          </w:p>
        </w:tc>
        <w:tc>
          <w:tcPr>
            <w:tcW w:w="1420" w:type="dxa"/>
            <w:tcBorders>
              <w:top w:val="single" w:sz="4" w:space="0" w:color="000000"/>
              <w:left w:val="single" w:sz="4" w:space="0" w:color="000000"/>
              <w:bottom w:val="single" w:sz="4" w:space="0" w:color="000000"/>
              <w:right w:val="single" w:sz="4" w:space="0" w:color="000000"/>
            </w:tcBorders>
          </w:tcPr>
          <w:p>
            <w:pPr/>
          </w:p>
        </w:tc>
        <w:tc>
          <w:tcPr>
            <w:tcW w:w="282"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460" w:right="0"/>
        </w:sectPr>
      </w:pPr>
    </w:p>
    <w:p>
      <w:pPr>
        <w:spacing w:line="240" w:lineRule="auto" w:before="6"/>
        <w:rPr>
          <w:rFonts w:ascii="宋体" w:hAnsi="宋体" w:cs="宋体" w:eastAsia="宋体" w:hint="default"/>
          <w:sz w:val="28"/>
          <w:szCs w:val="28"/>
        </w:rPr>
      </w:pPr>
    </w:p>
    <w:tbl>
      <w:tblPr>
        <w:tblW w:w="0" w:type="auto"/>
        <w:jc w:val="left"/>
        <w:tblInd w:w="101" w:type="dxa"/>
        <w:tblLayout w:type="fixed"/>
        <w:tblCellMar>
          <w:top w:w="0" w:type="dxa"/>
          <w:left w:w="0" w:type="dxa"/>
          <w:bottom w:w="0" w:type="dxa"/>
          <w:right w:w="0" w:type="dxa"/>
        </w:tblCellMar>
        <w:tblLook w:val="01E0"/>
      </w:tblPr>
      <w:tblGrid>
        <w:gridCol w:w="1721"/>
        <w:gridCol w:w="1256"/>
        <w:gridCol w:w="282"/>
        <w:gridCol w:w="1420"/>
        <w:gridCol w:w="282"/>
        <w:gridCol w:w="284"/>
        <w:gridCol w:w="283"/>
        <w:gridCol w:w="1277"/>
        <w:gridCol w:w="1418"/>
        <w:gridCol w:w="1274"/>
        <w:gridCol w:w="1277"/>
      </w:tblGrid>
      <w:tr>
        <w:trPr>
          <w:trHeight w:val="714" w:hRule="exact"/>
        </w:trPr>
        <w:tc>
          <w:tcPr>
            <w:tcW w:w="1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22" w:right="112"/>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．其他权益工具 持有者投入资本</w:t>
            </w:r>
          </w:p>
        </w:tc>
        <w:tc>
          <w:tcPr>
            <w:tcW w:w="1256" w:type="dxa"/>
            <w:tcBorders>
              <w:top w:val="single" w:sz="4" w:space="0" w:color="000000"/>
              <w:left w:val="single" w:sz="4" w:space="0" w:color="000000"/>
              <w:bottom w:val="single" w:sz="4" w:space="0" w:color="000000"/>
              <w:right w:val="single" w:sz="4" w:space="0" w:color="000000"/>
            </w:tcBorders>
          </w:tcPr>
          <w:p>
            <w:pPr/>
          </w:p>
        </w:tc>
        <w:tc>
          <w:tcPr>
            <w:tcW w:w="282" w:type="dxa"/>
            <w:tcBorders>
              <w:top w:val="single" w:sz="4" w:space="0" w:color="000000"/>
              <w:left w:val="single" w:sz="4" w:space="0" w:color="000000"/>
              <w:bottom w:val="single" w:sz="4" w:space="0" w:color="000000"/>
              <w:right w:val="single" w:sz="4" w:space="0" w:color="000000"/>
            </w:tcBorders>
          </w:tcPr>
          <w:p>
            <w:pPr/>
          </w:p>
        </w:tc>
        <w:tc>
          <w:tcPr>
            <w:tcW w:w="1420" w:type="dxa"/>
            <w:tcBorders>
              <w:top w:val="single" w:sz="4" w:space="0" w:color="000000"/>
              <w:left w:val="single" w:sz="4" w:space="0" w:color="000000"/>
              <w:bottom w:val="single" w:sz="4" w:space="0" w:color="000000"/>
              <w:right w:val="single" w:sz="4" w:space="0" w:color="000000"/>
            </w:tcBorders>
          </w:tcPr>
          <w:p>
            <w:pPr/>
          </w:p>
        </w:tc>
        <w:tc>
          <w:tcPr>
            <w:tcW w:w="282"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22" w:right="112"/>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．股份支付计入 所有者权益的金 额</w:t>
            </w:r>
          </w:p>
        </w:tc>
        <w:tc>
          <w:tcPr>
            <w:tcW w:w="1256" w:type="dxa"/>
            <w:tcBorders>
              <w:top w:val="single" w:sz="4" w:space="0" w:color="000000"/>
              <w:left w:val="single" w:sz="4" w:space="0" w:color="000000"/>
              <w:bottom w:val="single" w:sz="4" w:space="0" w:color="000000"/>
              <w:right w:val="single" w:sz="4" w:space="0" w:color="000000"/>
            </w:tcBorders>
          </w:tcPr>
          <w:p>
            <w:pPr/>
          </w:p>
        </w:tc>
        <w:tc>
          <w:tcPr>
            <w:tcW w:w="282" w:type="dxa"/>
            <w:tcBorders>
              <w:top w:val="single" w:sz="4" w:space="0" w:color="000000"/>
              <w:left w:val="single" w:sz="4" w:space="0" w:color="000000"/>
              <w:bottom w:val="single" w:sz="4" w:space="0" w:color="000000"/>
              <w:right w:val="single" w:sz="4" w:space="0" w:color="000000"/>
            </w:tcBorders>
          </w:tcPr>
          <w:p>
            <w:pPr/>
          </w:p>
        </w:tc>
        <w:tc>
          <w:tcPr>
            <w:tcW w:w="1420" w:type="dxa"/>
            <w:tcBorders>
              <w:top w:val="single" w:sz="4" w:space="0" w:color="000000"/>
              <w:left w:val="single" w:sz="4" w:space="0" w:color="000000"/>
              <w:bottom w:val="single" w:sz="4" w:space="0" w:color="000000"/>
              <w:right w:val="single" w:sz="4" w:space="0" w:color="000000"/>
            </w:tcBorders>
          </w:tcPr>
          <w:p>
            <w:pPr/>
          </w:p>
        </w:tc>
        <w:tc>
          <w:tcPr>
            <w:tcW w:w="282"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．其他</w:t>
            </w:r>
          </w:p>
        </w:tc>
        <w:tc>
          <w:tcPr>
            <w:tcW w:w="1256" w:type="dxa"/>
            <w:tcBorders>
              <w:top w:val="single" w:sz="4" w:space="0" w:color="000000"/>
              <w:left w:val="single" w:sz="4" w:space="0" w:color="000000"/>
              <w:bottom w:val="single" w:sz="4" w:space="0" w:color="000000"/>
              <w:right w:val="single" w:sz="4" w:space="0" w:color="000000"/>
            </w:tcBorders>
          </w:tcPr>
          <w:p>
            <w:pPr/>
          </w:p>
        </w:tc>
        <w:tc>
          <w:tcPr>
            <w:tcW w:w="282" w:type="dxa"/>
            <w:tcBorders>
              <w:top w:val="single" w:sz="4" w:space="0" w:color="000000"/>
              <w:left w:val="single" w:sz="4" w:space="0" w:color="000000"/>
              <w:bottom w:val="single" w:sz="4" w:space="0" w:color="000000"/>
              <w:right w:val="single" w:sz="4" w:space="0" w:color="000000"/>
            </w:tcBorders>
          </w:tcPr>
          <w:p>
            <w:pPr/>
          </w:p>
        </w:tc>
        <w:tc>
          <w:tcPr>
            <w:tcW w:w="1420" w:type="dxa"/>
            <w:tcBorders>
              <w:top w:val="single" w:sz="4" w:space="0" w:color="000000"/>
              <w:left w:val="single" w:sz="4" w:space="0" w:color="000000"/>
              <w:bottom w:val="single" w:sz="4" w:space="0" w:color="000000"/>
              <w:right w:val="single" w:sz="4" w:space="0" w:color="000000"/>
            </w:tcBorders>
          </w:tcPr>
          <w:p>
            <w:pPr/>
          </w:p>
        </w:tc>
        <w:tc>
          <w:tcPr>
            <w:tcW w:w="282"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（三）利润分配</w:t>
            </w:r>
          </w:p>
        </w:tc>
        <w:tc>
          <w:tcPr>
            <w:tcW w:w="1256" w:type="dxa"/>
            <w:tcBorders>
              <w:top w:val="single" w:sz="4" w:space="0" w:color="000000"/>
              <w:left w:val="single" w:sz="4" w:space="0" w:color="000000"/>
              <w:bottom w:val="single" w:sz="4" w:space="0" w:color="000000"/>
              <w:right w:val="single" w:sz="4" w:space="0" w:color="000000"/>
            </w:tcBorders>
          </w:tcPr>
          <w:p>
            <w:pPr/>
          </w:p>
        </w:tc>
        <w:tc>
          <w:tcPr>
            <w:tcW w:w="282" w:type="dxa"/>
            <w:tcBorders>
              <w:top w:val="single" w:sz="4" w:space="0" w:color="000000"/>
              <w:left w:val="single" w:sz="4" w:space="0" w:color="000000"/>
              <w:bottom w:val="single" w:sz="4" w:space="0" w:color="000000"/>
              <w:right w:val="single" w:sz="4" w:space="0" w:color="000000"/>
            </w:tcBorders>
          </w:tcPr>
          <w:p>
            <w:pPr/>
          </w:p>
        </w:tc>
        <w:tc>
          <w:tcPr>
            <w:tcW w:w="1420" w:type="dxa"/>
            <w:tcBorders>
              <w:top w:val="single" w:sz="4" w:space="0" w:color="000000"/>
              <w:left w:val="single" w:sz="4" w:space="0" w:color="000000"/>
              <w:bottom w:val="single" w:sz="4" w:space="0" w:color="000000"/>
              <w:right w:val="single" w:sz="4" w:space="0" w:color="000000"/>
            </w:tcBorders>
          </w:tcPr>
          <w:p>
            <w:pPr/>
          </w:p>
        </w:tc>
        <w:tc>
          <w:tcPr>
            <w:tcW w:w="282"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3,442,420.33</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-7,208,984.53</w:t>
            </w: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1" w:right="0"/>
              <w:jc w:val="center"/>
              <w:rPr>
                <w:rFonts w:ascii="宋体" w:hAnsi="宋体" w:cs="宋体" w:eastAsia="宋体" w:hint="default"/>
                <w:sz w:val="18"/>
                <w:szCs w:val="18"/>
              </w:rPr>
            </w:pPr>
            <w:r>
              <w:rPr>
                <w:rFonts w:ascii="宋体"/>
                <w:sz w:val="18"/>
              </w:rPr>
              <w:t>-3,766,564.20</w:t>
            </w:r>
          </w:p>
        </w:tc>
      </w:tr>
      <w:tr>
        <w:trPr>
          <w:trHeight w:val="402" w:hRule="exact"/>
        </w:trPr>
        <w:tc>
          <w:tcPr>
            <w:tcW w:w="1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．提取盈余公积</w:t>
            </w:r>
          </w:p>
        </w:tc>
        <w:tc>
          <w:tcPr>
            <w:tcW w:w="1256" w:type="dxa"/>
            <w:tcBorders>
              <w:top w:val="single" w:sz="4" w:space="0" w:color="000000"/>
              <w:left w:val="single" w:sz="4" w:space="0" w:color="000000"/>
              <w:bottom w:val="single" w:sz="4" w:space="0" w:color="000000"/>
              <w:right w:val="single" w:sz="4" w:space="0" w:color="000000"/>
            </w:tcBorders>
          </w:tcPr>
          <w:p>
            <w:pPr/>
          </w:p>
        </w:tc>
        <w:tc>
          <w:tcPr>
            <w:tcW w:w="282" w:type="dxa"/>
            <w:tcBorders>
              <w:top w:val="single" w:sz="4" w:space="0" w:color="000000"/>
              <w:left w:val="single" w:sz="4" w:space="0" w:color="000000"/>
              <w:bottom w:val="single" w:sz="4" w:space="0" w:color="000000"/>
              <w:right w:val="single" w:sz="4" w:space="0" w:color="000000"/>
            </w:tcBorders>
          </w:tcPr>
          <w:p>
            <w:pPr/>
          </w:p>
        </w:tc>
        <w:tc>
          <w:tcPr>
            <w:tcW w:w="1420" w:type="dxa"/>
            <w:tcBorders>
              <w:top w:val="single" w:sz="4" w:space="0" w:color="000000"/>
              <w:left w:val="single" w:sz="4" w:space="0" w:color="000000"/>
              <w:bottom w:val="single" w:sz="4" w:space="0" w:color="000000"/>
              <w:right w:val="single" w:sz="4" w:space="0" w:color="000000"/>
            </w:tcBorders>
          </w:tcPr>
          <w:p>
            <w:pPr/>
          </w:p>
        </w:tc>
        <w:tc>
          <w:tcPr>
            <w:tcW w:w="282"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3,442,420.33</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-3,442,420.33</w:t>
            </w: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22" w:right="112"/>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．提取一般风险 准备</w:t>
            </w:r>
          </w:p>
        </w:tc>
        <w:tc>
          <w:tcPr>
            <w:tcW w:w="1256" w:type="dxa"/>
            <w:tcBorders>
              <w:top w:val="single" w:sz="4" w:space="0" w:color="000000"/>
              <w:left w:val="single" w:sz="4" w:space="0" w:color="000000"/>
              <w:bottom w:val="single" w:sz="4" w:space="0" w:color="000000"/>
              <w:right w:val="single" w:sz="4" w:space="0" w:color="000000"/>
            </w:tcBorders>
          </w:tcPr>
          <w:p>
            <w:pPr/>
          </w:p>
        </w:tc>
        <w:tc>
          <w:tcPr>
            <w:tcW w:w="282" w:type="dxa"/>
            <w:tcBorders>
              <w:top w:val="single" w:sz="4" w:space="0" w:color="000000"/>
              <w:left w:val="single" w:sz="4" w:space="0" w:color="000000"/>
              <w:bottom w:val="single" w:sz="4" w:space="0" w:color="000000"/>
              <w:right w:val="single" w:sz="4" w:space="0" w:color="000000"/>
            </w:tcBorders>
          </w:tcPr>
          <w:p>
            <w:pPr/>
          </w:p>
        </w:tc>
        <w:tc>
          <w:tcPr>
            <w:tcW w:w="1420" w:type="dxa"/>
            <w:tcBorders>
              <w:top w:val="single" w:sz="4" w:space="0" w:color="000000"/>
              <w:left w:val="single" w:sz="4" w:space="0" w:color="000000"/>
              <w:bottom w:val="single" w:sz="4" w:space="0" w:color="000000"/>
              <w:right w:val="single" w:sz="4" w:space="0" w:color="000000"/>
            </w:tcBorders>
          </w:tcPr>
          <w:p>
            <w:pPr/>
          </w:p>
        </w:tc>
        <w:tc>
          <w:tcPr>
            <w:tcW w:w="282"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22" w:right="112"/>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．对所有者（或 股东）的分配</w:t>
            </w:r>
          </w:p>
        </w:tc>
        <w:tc>
          <w:tcPr>
            <w:tcW w:w="1256" w:type="dxa"/>
            <w:tcBorders>
              <w:top w:val="single" w:sz="4" w:space="0" w:color="000000"/>
              <w:left w:val="single" w:sz="4" w:space="0" w:color="000000"/>
              <w:bottom w:val="single" w:sz="4" w:space="0" w:color="000000"/>
              <w:right w:val="single" w:sz="4" w:space="0" w:color="000000"/>
            </w:tcBorders>
          </w:tcPr>
          <w:p>
            <w:pPr/>
          </w:p>
        </w:tc>
        <w:tc>
          <w:tcPr>
            <w:tcW w:w="282" w:type="dxa"/>
            <w:tcBorders>
              <w:top w:val="single" w:sz="4" w:space="0" w:color="000000"/>
              <w:left w:val="single" w:sz="4" w:space="0" w:color="000000"/>
              <w:bottom w:val="single" w:sz="4" w:space="0" w:color="000000"/>
              <w:right w:val="single" w:sz="4" w:space="0" w:color="000000"/>
            </w:tcBorders>
          </w:tcPr>
          <w:p>
            <w:pPr/>
          </w:p>
        </w:tc>
        <w:tc>
          <w:tcPr>
            <w:tcW w:w="1420" w:type="dxa"/>
            <w:tcBorders>
              <w:top w:val="single" w:sz="4" w:space="0" w:color="000000"/>
              <w:left w:val="single" w:sz="4" w:space="0" w:color="000000"/>
              <w:bottom w:val="single" w:sz="4" w:space="0" w:color="000000"/>
              <w:right w:val="single" w:sz="4" w:space="0" w:color="000000"/>
            </w:tcBorders>
          </w:tcPr>
          <w:p>
            <w:pPr/>
          </w:p>
        </w:tc>
        <w:tc>
          <w:tcPr>
            <w:tcW w:w="282"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-3,766,564.20</w:t>
            </w: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1" w:right="0"/>
              <w:jc w:val="center"/>
              <w:rPr>
                <w:rFonts w:ascii="宋体" w:hAnsi="宋体" w:cs="宋体" w:eastAsia="宋体" w:hint="default"/>
                <w:sz w:val="18"/>
                <w:szCs w:val="18"/>
              </w:rPr>
            </w:pPr>
            <w:r>
              <w:rPr>
                <w:rFonts w:ascii="宋体"/>
                <w:sz w:val="18"/>
              </w:rPr>
              <w:t>-3,766,564.20</w:t>
            </w:r>
          </w:p>
        </w:tc>
      </w:tr>
      <w:tr>
        <w:trPr>
          <w:trHeight w:val="402" w:hRule="exact"/>
        </w:trPr>
        <w:tc>
          <w:tcPr>
            <w:tcW w:w="1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．其他</w:t>
            </w:r>
          </w:p>
        </w:tc>
        <w:tc>
          <w:tcPr>
            <w:tcW w:w="1256" w:type="dxa"/>
            <w:tcBorders>
              <w:top w:val="single" w:sz="4" w:space="0" w:color="000000"/>
              <w:left w:val="single" w:sz="4" w:space="0" w:color="000000"/>
              <w:bottom w:val="single" w:sz="4" w:space="0" w:color="000000"/>
              <w:right w:val="single" w:sz="4" w:space="0" w:color="000000"/>
            </w:tcBorders>
          </w:tcPr>
          <w:p>
            <w:pPr/>
          </w:p>
        </w:tc>
        <w:tc>
          <w:tcPr>
            <w:tcW w:w="282" w:type="dxa"/>
            <w:tcBorders>
              <w:top w:val="single" w:sz="4" w:space="0" w:color="000000"/>
              <w:left w:val="single" w:sz="4" w:space="0" w:color="000000"/>
              <w:bottom w:val="single" w:sz="4" w:space="0" w:color="000000"/>
              <w:right w:val="single" w:sz="4" w:space="0" w:color="000000"/>
            </w:tcBorders>
          </w:tcPr>
          <w:p>
            <w:pPr/>
          </w:p>
        </w:tc>
        <w:tc>
          <w:tcPr>
            <w:tcW w:w="1420" w:type="dxa"/>
            <w:tcBorders>
              <w:top w:val="single" w:sz="4" w:space="0" w:color="000000"/>
              <w:left w:val="single" w:sz="4" w:space="0" w:color="000000"/>
              <w:bottom w:val="single" w:sz="4" w:space="0" w:color="000000"/>
              <w:right w:val="single" w:sz="4" w:space="0" w:color="000000"/>
            </w:tcBorders>
          </w:tcPr>
          <w:p>
            <w:pPr/>
          </w:p>
        </w:tc>
        <w:tc>
          <w:tcPr>
            <w:tcW w:w="282"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22" w:right="22"/>
              <w:jc w:val="left"/>
              <w:rPr>
                <w:rFonts w:ascii="宋体" w:hAnsi="宋体" w:cs="宋体" w:eastAsia="宋体" w:hint="default"/>
                <w:sz w:val="21"/>
                <w:szCs w:val="21"/>
              </w:rPr>
            </w:pPr>
            <w:r>
              <w:rPr>
                <w:rFonts w:ascii="宋体" w:hAnsi="宋体" w:cs="宋体" w:eastAsia="宋体" w:hint="default"/>
                <w:spacing w:val="-3"/>
                <w:sz w:val="21"/>
                <w:szCs w:val="21"/>
              </w:rPr>
              <w:t>（四）所有者权益</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内部结转</w:t>
            </w:r>
          </w:p>
        </w:tc>
        <w:tc>
          <w:tcPr>
            <w:tcW w:w="1256" w:type="dxa"/>
            <w:tcBorders>
              <w:top w:val="single" w:sz="4" w:space="0" w:color="000000"/>
              <w:left w:val="single" w:sz="4" w:space="0" w:color="000000"/>
              <w:bottom w:val="single" w:sz="4" w:space="0" w:color="000000"/>
              <w:right w:val="single" w:sz="4" w:space="0" w:color="000000"/>
            </w:tcBorders>
          </w:tcPr>
          <w:p>
            <w:pPr/>
          </w:p>
        </w:tc>
        <w:tc>
          <w:tcPr>
            <w:tcW w:w="282" w:type="dxa"/>
            <w:tcBorders>
              <w:top w:val="single" w:sz="4" w:space="0" w:color="000000"/>
              <w:left w:val="single" w:sz="4" w:space="0" w:color="000000"/>
              <w:bottom w:val="single" w:sz="4" w:space="0" w:color="000000"/>
              <w:right w:val="single" w:sz="4" w:space="0" w:color="000000"/>
            </w:tcBorders>
          </w:tcPr>
          <w:p>
            <w:pPr/>
          </w:p>
        </w:tc>
        <w:tc>
          <w:tcPr>
            <w:tcW w:w="1420" w:type="dxa"/>
            <w:tcBorders>
              <w:top w:val="single" w:sz="4" w:space="0" w:color="000000"/>
              <w:left w:val="single" w:sz="4" w:space="0" w:color="000000"/>
              <w:bottom w:val="single" w:sz="4" w:space="0" w:color="000000"/>
              <w:right w:val="single" w:sz="4" w:space="0" w:color="000000"/>
            </w:tcBorders>
          </w:tcPr>
          <w:p>
            <w:pPr/>
          </w:p>
        </w:tc>
        <w:tc>
          <w:tcPr>
            <w:tcW w:w="282"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22" w:right="112"/>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．资本公积转增 资本（或股本）</w:t>
            </w:r>
          </w:p>
        </w:tc>
        <w:tc>
          <w:tcPr>
            <w:tcW w:w="1256" w:type="dxa"/>
            <w:tcBorders>
              <w:top w:val="single" w:sz="4" w:space="0" w:color="000000"/>
              <w:left w:val="single" w:sz="4" w:space="0" w:color="000000"/>
              <w:bottom w:val="single" w:sz="4" w:space="0" w:color="000000"/>
              <w:right w:val="single" w:sz="4" w:space="0" w:color="000000"/>
            </w:tcBorders>
          </w:tcPr>
          <w:p>
            <w:pPr/>
          </w:p>
        </w:tc>
        <w:tc>
          <w:tcPr>
            <w:tcW w:w="282" w:type="dxa"/>
            <w:tcBorders>
              <w:top w:val="single" w:sz="4" w:space="0" w:color="000000"/>
              <w:left w:val="single" w:sz="4" w:space="0" w:color="000000"/>
              <w:bottom w:val="single" w:sz="4" w:space="0" w:color="000000"/>
              <w:right w:val="single" w:sz="4" w:space="0" w:color="000000"/>
            </w:tcBorders>
          </w:tcPr>
          <w:p>
            <w:pPr/>
          </w:p>
        </w:tc>
        <w:tc>
          <w:tcPr>
            <w:tcW w:w="1420" w:type="dxa"/>
            <w:tcBorders>
              <w:top w:val="single" w:sz="4" w:space="0" w:color="000000"/>
              <w:left w:val="single" w:sz="4" w:space="0" w:color="000000"/>
              <w:bottom w:val="single" w:sz="4" w:space="0" w:color="000000"/>
              <w:right w:val="single" w:sz="4" w:space="0" w:color="000000"/>
            </w:tcBorders>
          </w:tcPr>
          <w:p>
            <w:pPr/>
          </w:p>
        </w:tc>
        <w:tc>
          <w:tcPr>
            <w:tcW w:w="282"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22" w:right="112"/>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．盈余公积转增 资本（或股本）</w:t>
            </w:r>
          </w:p>
        </w:tc>
        <w:tc>
          <w:tcPr>
            <w:tcW w:w="1256" w:type="dxa"/>
            <w:tcBorders>
              <w:top w:val="single" w:sz="4" w:space="0" w:color="000000"/>
              <w:left w:val="single" w:sz="4" w:space="0" w:color="000000"/>
              <w:bottom w:val="single" w:sz="4" w:space="0" w:color="000000"/>
              <w:right w:val="single" w:sz="4" w:space="0" w:color="000000"/>
            </w:tcBorders>
          </w:tcPr>
          <w:p>
            <w:pPr/>
          </w:p>
        </w:tc>
        <w:tc>
          <w:tcPr>
            <w:tcW w:w="282" w:type="dxa"/>
            <w:tcBorders>
              <w:top w:val="single" w:sz="4" w:space="0" w:color="000000"/>
              <w:left w:val="single" w:sz="4" w:space="0" w:color="000000"/>
              <w:bottom w:val="single" w:sz="4" w:space="0" w:color="000000"/>
              <w:right w:val="single" w:sz="4" w:space="0" w:color="000000"/>
            </w:tcBorders>
          </w:tcPr>
          <w:p>
            <w:pPr/>
          </w:p>
        </w:tc>
        <w:tc>
          <w:tcPr>
            <w:tcW w:w="1420" w:type="dxa"/>
            <w:tcBorders>
              <w:top w:val="single" w:sz="4" w:space="0" w:color="000000"/>
              <w:left w:val="single" w:sz="4" w:space="0" w:color="000000"/>
              <w:bottom w:val="single" w:sz="4" w:space="0" w:color="000000"/>
              <w:right w:val="single" w:sz="4" w:space="0" w:color="000000"/>
            </w:tcBorders>
          </w:tcPr>
          <w:p>
            <w:pPr/>
          </w:p>
        </w:tc>
        <w:tc>
          <w:tcPr>
            <w:tcW w:w="282"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22" w:right="112"/>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．盈余公积弥补 亏损</w:t>
            </w:r>
          </w:p>
        </w:tc>
        <w:tc>
          <w:tcPr>
            <w:tcW w:w="1256" w:type="dxa"/>
            <w:tcBorders>
              <w:top w:val="single" w:sz="4" w:space="0" w:color="000000"/>
              <w:left w:val="single" w:sz="4" w:space="0" w:color="000000"/>
              <w:bottom w:val="single" w:sz="4" w:space="0" w:color="000000"/>
              <w:right w:val="single" w:sz="4" w:space="0" w:color="000000"/>
            </w:tcBorders>
          </w:tcPr>
          <w:p>
            <w:pPr/>
          </w:p>
        </w:tc>
        <w:tc>
          <w:tcPr>
            <w:tcW w:w="282" w:type="dxa"/>
            <w:tcBorders>
              <w:top w:val="single" w:sz="4" w:space="0" w:color="000000"/>
              <w:left w:val="single" w:sz="4" w:space="0" w:color="000000"/>
              <w:bottom w:val="single" w:sz="4" w:space="0" w:color="000000"/>
              <w:right w:val="single" w:sz="4" w:space="0" w:color="000000"/>
            </w:tcBorders>
          </w:tcPr>
          <w:p>
            <w:pPr/>
          </w:p>
        </w:tc>
        <w:tc>
          <w:tcPr>
            <w:tcW w:w="1420" w:type="dxa"/>
            <w:tcBorders>
              <w:top w:val="single" w:sz="4" w:space="0" w:color="000000"/>
              <w:left w:val="single" w:sz="4" w:space="0" w:color="000000"/>
              <w:bottom w:val="single" w:sz="4" w:space="0" w:color="000000"/>
              <w:right w:val="single" w:sz="4" w:space="0" w:color="000000"/>
            </w:tcBorders>
          </w:tcPr>
          <w:p>
            <w:pPr/>
          </w:p>
        </w:tc>
        <w:tc>
          <w:tcPr>
            <w:tcW w:w="282"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．其他</w:t>
            </w:r>
          </w:p>
        </w:tc>
        <w:tc>
          <w:tcPr>
            <w:tcW w:w="1256" w:type="dxa"/>
            <w:tcBorders>
              <w:top w:val="single" w:sz="4" w:space="0" w:color="000000"/>
              <w:left w:val="single" w:sz="4" w:space="0" w:color="000000"/>
              <w:bottom w:val="single" w:sz="4" w:space="0" w:color="000000"/>
              <w:right w:val="single" w:sz="4" w:space="0" w:color="000000"/>
            </w:tcBorders>
          </w:tcPr>
          <w:p>
            <w:pPr/>
          </w:p>
        </w:tc>
        <w:tc>
          <w:tcPr>
            <w:tcW w:w="282" w:type="dxa"/>
            <w:tcBorders>
              <w:top w:val="single" w:sz="4" w:space="0" w:color="000000"/>
              <w:left w:val="single" w:sz="4" w:space="0" w:color="000000"/>
              <w:bottom w:val="single" w:sz="4" w:space="0" w:color="000000"/>
              <w:right w:val="single" w:sz="4" w:space="0" w:color="000000"/>
            </w:tcBorders>
          </w:tcPr>
          <w:p>
            <w:pPr/>
          </w:p>
        </w:tc>
        <w:tc>
          <w:tcPr>
            <w:tcW w:w="1420" w:type="dxa"/>
            <w:tcBorders>
              <w:top w:val="single" w:sz="4" w:space="0" w:color="000000"/>
              <w:left w:val="single" w:sz="4" w:space="0" w:color="000000"/>
              <w:bottom w:val="single" w:sz="4" w:space="0" w:color="000000"/>
              <w:right w:val="single" w:sz="4" w:space="0" w:color="000000"/>
            </w:tcBorders>
          </w:tcPr>
          <w:p>
            <w:pPr/>
          </w:p>
        </w:tc>
        <w:tc>
          <w:tcPr>
            <w:tcW w:w="282"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（五）专项储备</w:t>
            </w:r>
          </w:p>
        </w:tc>
        <w:tc>
          <w:tcPr>
            <w:tcW w:w="1256" w:type="dxa"/>
            <w:tcBorders>
              <w:top w:val="single" w:sz="4" w:space="0" w:color="000000"/>
              <w:left w:val="single" w:sz="4" w:space="0" w:color="000000"/>
              <w:bottom w:val="single" w:sz="4" w:space="0" w:color="000000"/>
              <w:right w:val="single" w:sz="4" w:space="0" w:color="000000"/>
            </w:tcBorders>
          </w:tcPr>
          <w:p>
            <w:pPr/>
          </w:p>
        </w:tc>
        <w:tc>
          <w:tcPr>
            <w:tcW w:w="282" w:type="dxa"/>
            <w:tcBorders>
              <w:top w:val="single" w:sz="4" w:space="0" w:color="000000"/>
              <w:left w:val="single" w:sz="4" w:space="0" w:color="000000"/>
              <w:bottom w:val="single" w:sz="4" w:space="0" w:color="000000"/>
              <w:right w:val="single" w:sz="4" w:space="0" w:color="000000"/>
            </w:tcBorders>
          </w:tcPr>
          <w:p>
            <w:pPr/>
          </w:p>
        </w:tc>
        <w:tc>
          <w:tcPr>
            <w:tcW w:w="1420" w:type="dxa"/>
            <w:tcBorders>
              <w:top w:val="single" w:sz="4" w:space="0" w:color="000000"/>
              <w:left w:val="single" w:sz="4" w:space="0" w:color="000000"/>
              <w:bottom w:val="single" w:sz="4" w:space="0" w:color="000000"/>
              <w:right w:val="single" w:sz="4" w:space="0" w:color="000000"/>
            </w:tcBorders>
          </w:tcPr>
          <w:p>
            <w:pPr/>
          </w:p>
        </w:tc>
        <w:tc>
          <w:tcPr>
            <w:tcW w:w="282"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．本期提取</w:t>
            </w:r>
          </w:p>
        </w:tc>
        <w:tc>
          <w:tcPr>
            <w:tcW w:w="1256" w:type="dxa"/>
            <w:tcBorders>
              <w:top w:val="single" w:sz="4" w:space="0" w:color="000000"/>
              <w:left w:val="single" w:sz="4" w:space="0" w:color="000000"/>
              <w:bottom w:val="single" w:sz="4" w:space="0" w:color="000000"/>
              <w:right w:val="single" w:sz="4" w:space="0" w:color="000000"/>
            </w:tcBorders>
          </w:tcPr>
          <w:p>
            <w:pPr/>
          </w:p>
        </w:tc>
        <w:tc>
          <w:tcPr>
            <w:tcW w:w="282" w:type="dxa"/>
            <w:tcBorders>
              <w:top w:val="single" w:sz="4" w:space="0" w:color="000000"/>
              <w:left w:val="single" w:sz="4" w:space="0" w:color="000000"/>
              <w:bottom w:val="single" w:sz="4" w:space="0" w:color="000000"/>
              <w:right w:val="single" w:sz="4" w:space="0" w:color="000000"/>
            </w:tcBorders>
          </w:tcPr>
          <w:p>
            <w:pPr/>
          </w:p>
        </w:tc>
        <w:tc>
          <w:tcPr>
            <w:tcW w:w="1420" w:type="dxa"/>
            <w:tcBorders>
              <w:top w:val="single" w:sz="4" w:space="0" w:color="000000"/>
              <w:left w:val="single" w:sz="4" w:space="0" w:color="000000"/>
              <w:bottom w:val="single" w:sz="4" w:space="0" w:color="000000"/>
              <w:right w:val="single" w:sz="4" w:space="0" w:color="000000"/>
            </w:tcBorders>
          </w:tcPr>
          <w:p>
            <w:pPr/>
          </w:p>
        </w:tc>
        <w:tc>
          <w:tcPr>
            <w:tcW w:w="282"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．本期使用</w:t>
            </w:r>
          </w:p>
        </w:tc>
        <w:tc>
          <w:tcPr>
            <w:tcW w:w="1256" w:type="dxa"/>
            <w:tcBorders>
              <w:top w:val="single" w:sz="4" w:space="0" w:color="000000"/>
              <w:left w:val="single" w:sz="4" w:space="0" w:color="000000"/>
              <w:bottom w:val="single" w:sz="4" w:space="0" w:color="000000"/>
              <w:right w:val="single" w:sz="4" w:space="0" w:color="000000"/>
            </w:tcBorders>
          </w:tcPr>
          <w:p>
            <w:pPr/>
          </w:p>
        </w:tc>
        <w:tc>
          <w:tcPr>
            <w:tcW w:w="282" w:type="dxa"/>
            <w:tcBorders>
              <w:top w:val="single" w:sz="4" w:space="0" w:color="000000"/>
              <w:left w:val="single" w:sz="4" w:space="0" w:color="000000"/>
              <w:bottom w:val="single" w:sz="4" w:space="0" w:color="000000"/>
              <w:right w:val="single" w:sz="4" w:space="0" w:color="000000"/>
            </w:tcBorders>
          </w:tcPr>
          <w:p>
            <w:pPr/>
          </w:p>
        </w:tc>
        <w:tc>
          <w:tcPr>
            <w:tcW w:w="1420" w:type="dxa"/>
            <w:tcBorders>
              <w:top w:val="single" w:sz="4" w:space="0" w:color="000000"/>
              <w:left w:val="single" w:sz="4" w:space="0" w:color="000000"/>
              <w:bottom w:val="single" w:sz="4" w:space="0" w:color="000000"/>
              <w:right w:val="single" w:sz="4" w:space="0" w:color="000000"/>
            </w:tcBorders>
          </w:tcPr>
          <w:p>
            <w:pPr/>
          </w:p>
        </w:tc>
        <w:tc>
          <w:tcPr>
            <w:tcW w:w="282"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（六）其他</w:t>
            </w:r>
          </w:p>
        </w:tc>
        <w:tc>
          <w:tcPr>
            <w:tcW w:w="1256" w:type="dxa"/>
            <w:tcBorders>
              <w:top w:val="single" w:sz="4" w:space="0" w:color="000000"/>
              <w:left w:val="single" w:sz="4" w:space="0" w:color="000000"/>
              <w:bottom w:val="single" w:sz="4" w:space="0" w:color="000000"/>
              <w:right w:val="single" w:sz="4" w:space="0" w:color="000000"/>
            </w:tcBorders>
          </w:tcPr>
          <w:p>
            <w:pPr/>
          </w:p>
        </w:tc>
        <w:tc>
          <w:tcPr>
            <w:tcW w:w="282" w:type="dxa"/>
            <w:tcBorders>
              <w:top w:val="single" w:sz="4" w:space="0" w:color="000000"/>
              <w:left w:val="single" w:sz="4" w:space="0" w:color="000000"/>
              <w:bottom w:val="single" w:sz="4" w:space="0" w:color="000000"/>
              <w:right w:val="single" w:sz="4" w:space="0" w:color="000000"/>
            </w:tcBorders>
          </w:tcPr>
          <w:p>
            <w:pP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1,008,652.92</w:t>
            </w:r>
          </w:p>
        </w:tc>
        <w:tc>
          <w:tcPr>
            <w:tcW w:w="282"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41" w:right="0"/>
              <w:jc w:val="center"/>
              <w:rPr>
                <w:rFonts w:ascii="宋体" w:hAnsi="宋体" w:cs="宋体" w:eastAsia="宋体" w:hint="default"/>
                <w:sz w:val="18"/>
                <w:szCs w:val="18"/>
              </w:rPr>
            </w:pPr>
            <w:r>
              <w:rPr>
                <w:rFonts w:ascii="宋体"/>
                <w:sz w:val="18"/>
              </w:rPr>
              <w:t>1,008,652.92</w:t>
            </w:r>
          </w:p>
        </w:tc>
      </w:tr>
      <w:tr>
        <w:trPr>
          <w:trHeight w:val="714" w:hRule="exact"/>
        </w:trPr>
        <w:tc>
          <w:tcPr>
            <w:tcW w:w="1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pacing w:val="-3"/>
                <w:sz w:val="21"/>
                <w:szCs w:val="21"/>
              </w:rPr>
              <w:t>四、本期期末余额</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376,656,420.0</w:t>
            </w:r>
          </w:p>
          <w:p>
            <w:pPr>
              <w:pStyle w:val="TableParagraph"/>
              <w:spacing w:line="240" w:lineRule="auto" w:before="77"/>
              <w:ind w:right="23"/>
              <w:jc w:val="right"/>
              <w:rPr>
                <w:rFonts w:ascii="宋体" w:hAnsi="宋体" w:cs="宋体" w:eastAsia="宋体" w:hint="default"/>
                <w:sz w:val="18"/>
                <w:szCs w:val="18"/>
              </w:rPr>
            </w:pPr>
            <w:r>
              <w:rPr>
                <w:rFonts w:ascii="宋体"/>
                <w:sz w:val="18"/>
              </w:rPr>
              <w:t>0</w:t>
            </w:r>
          </w:p>
        </w:tc>
        <w:tc>
          <w:tcPr>
            <w:tcW w:w="282" w:type="dxa"/>
            <w:tcBorders>
              <w:top w:val="single" w:sz="4" w:space="0" w:color="000000"/>
              <w:left w:val="single" w:sz="4" w:space="0" w:color="000000"/>
              <w:bottom w:val="single" w:sz="4" w:space="0" w:color="000000"/>
              <w:right w:val="single" w:sz="4" w:space="0" w:color="000000"/>
            </w:tcBorders>
          </w:tcPr>
          <w:p>
            <w:pP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653,527,634.23</w:t>
            </w:r>
          </w:p>
        </w:tc>
        <w:tc>
          <w:tcPr>
            <w:tcW w:w="282"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64,909,865.84</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292,674,542.28</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0" w:right="0"/>
              <w:jc w:val="left"/>
              <w:rPr>
                <w:rFonts w:ascii="宋体" w:hAnsi="宋体" w:cs="宋体" w:eastAsia="宋体" w:hint="default"/>
                <w:sz w:val="18"/>
                <w:szCs w:val="18"/>
              </w:rPr>
            </w:pPr>
            <w:r>
              <w:rPr>
                <w:rFonts w:ascii="宋体"/>
                <w:sz w:val="18"/>
              </w:rPr>
              <w:t>24,739,365.17</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1,412,507,827</w:t>
            </w:r>
          </w:p>
          <w:p>
            <w:pPr>
              <w:pStyle w:val="TableParagraph"/>
              <w:spacing w:line="240" w:lineRule="auto" w:before="77"/>
              <w:ind w:right="20"/>
              <w:jc w:val="right"/>
              <w:rPr>
                <w:rFonts w:ascii="宋体" w:hAnsi="宋体" w:cs="宋体" w:eastAsia="宋体" w:hint="default"/>
                <w:sz w:val="18"/>
                <w:szCs w:val="18"/>
              </w:rPr>
            </w:pPr>
            <w:r>
              <w:rPr>
                <w:rFonts w:ascii="宋体"/>
                <w:sz w:val="18"/>
              </w:rPr>
              <w:t>.52</w:t>
            </w:r>
          </w:p>
        </w:tc>
      </w:tr>
    </w:tbl>
    <w:p>
      <w:pPr>
        <w:spacing w:line="240" w:lineRule="auto" w:before="1"/>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pgSz w:w="11910" w:h="16840"/>
          <w:pgMar w:header="747" w:footer="979" w:top="1060" w:bottom="1160" w:left="460" w:right="0"/>
        </w:sectPr>
      </w:pPr>
    </w:p>
    <w:p>
      <w:pPr>
        <w:pStyle w:val="BodyText"/>
        <w:spacing w:line="240" w:lineRule="auto" w:before="26"/>
        <w:ind w:left="674" w:right="-20"/>
        <w:jc w:val="left"/>
      </w:pPr>
      <w:r>
        <w:rPr/>
        <w:t>上期金额</w:t>
      </w:r>
    </w:p>
    <w:p>
      <w:pPr>
        <w:spacing w:line="240" w:lineRule="auto" w:before="0"/>
        <w:rPr>
          <w:rFonts w:ascii="宋体" w:hAnsi="宋体" w:cs="宋体" w:eastAsia="宋体" w:hint="default"/>
          <w:sz w:val="20"/>
          <w:szCs w:val="20"/>
        </w:rPr>
      </w:pPr>
      <w:r>
        <w:rPr/>
        <w:br w:type="column"/>
      </w:r>
      <w:r>
        <w:rPr>
          <w:rFonts w:ascii="宋体"/>
          <w:sz w:val="20"/>
        </w:rPr>
      </w:r>
    </w:p>
    <w:p>
      <w:pPr>
        <w:spacing w:before="163"/>
        <w:ind w:left="673" w:right="0" w:firstLine="0"/>
        <w:jc w:val="left"/>
        <w:rPr>
          <w:rFonts w:ascii="宋体" w:hAnsi="宋体" w:cs="宋体" w:eastAsia="宋体" w:hint="default"/>
          <w:sz w:val="21"/>
          <w:szCs w:val="21"/>
        </w:rPr>
      </w:pPr>
      <w:r>
        <w:rPr>
          <w:rFonts w:ascii="宋体" w:hAnsi="宋体" w:cs="宋体" w:eastAsia="宋体" w:hint="default"/>
          <w:sz w:val="21"/>
          <w:szCs w:val="21"/>
        </w:rPr>
        <w:t>单位：元</w:t>
      </w:r>
    </w:p>
    <w:p>
      <w:pPr>
        <w:spacing w:after="0"/>
        <w:jc w:val="left"/>
        <w:rPr>
          <w:rFonts w:ascii="宋体" w:hAnsi="宋体" w:cs="宋体" w:eastAsia="宋体" w:hint="default"/>
          <w:sz w:val="21"/>
          <w:szCs w:val="21"/>
        </w:rPr>
        <w:sectPr>
          <w:type w:val="continuous"/>
          <w:pgSz w:w="11910" w:h="16840"/>
          <w:pgMar w:top="1060" w:bottom="1160" w:left="460" w:right="0"/>
          <w:cols w:num="2" w:equalWidth="0">
            <w:col w:w="1635" w:space="7165"/>
            <w:col w:w="2650"/>
          </w:cols>
        </w:sectPr>
      </w:pPr>
    </w:p>
    <w:p>
      <w:pPr>
        <w:spacing w:line="240" w:lineRule="auto" w:before="13"/>
        <w:rPr>
          <w:rFonts w:ascii="宋体" w:hAnsi="宋体" w:cs="宋体" w:eastAsia="宋体" w:hint="default"/>
          <w:sz w:val="6"/>
          <w:szCs w:val="6"/>
        </w:rPr>
      </w:pPr>
    </w:p>
    <w:tbl>
      <w:tblPr>
        <w:tblW w:w="0" w:type="auto"/>
        <w:jc w:val="left"/>
        <w:tblInd w:w="190" w:type="dxa"/>
        <w:tblLayout w:type="fixed"/>
        <w:tblCellMar>
          <w:top w:w="0" w:type="dxa"/>
          <w:left w:w="0" w:type="dxa"/>
          <w:bottom w:w="0" w:type="dxa"/>
          <w:right w:w="0" w:type="dxa"/>
        </w:tblCellMar>
        <w:tblLook w:val="01E0"/>
      </w:tblPr>
      <w:tblGrid>
        <w:gridCol w:w="2039"/>
        <w:gridCol w:w="1468"/>
        <w:gridCol w:w="284"/>
        <w:gridCol w:w="1418"/>
        <w:gridCol w:w="284"/>
        <w:gridCol w:w="282"/>
        <w:gridCol w:w="284"/>
        <w:gridCol w:w="1276"/>
        <w:gridCol w:w="1418"/>
        <w:gridCol w:w="283"/>
        <w:gridCol w:w="1562"/>
      </w:tblGrid>
      <w:tr>
        <w:trPr>
          <w:trHeight w:val="402" w:hRule="exact"/>
        </w:trPr>
        <w:tc>
          <w:tcPr>
            <w:tcW w:w="203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8559" w:type="dxa"/>
            <w:gridSpan w:val="10"/>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2"/>
              <w:jc w:val="center"/>
              <w:rPr>
                <w:rFonts w:ascii="宋体" w:hAnsi="宋体" w:cs="宋体" w:eastAsia="宋体" w:hint="default"/>
                <w:sz w:val="21"/>
                <w:szCs w:val="21"/>
              </w:rPr>
            </w:pPr>
            <w:r>
              <w:rPr>
                <w:rFonts w:ascii="宋体" w:hAnsi="宋体" w:cs="宋体" w:eastAsia="宋体" w:hint="default"/>
                <w:sz w:val="21"/>
                <w:szCs w:val="21"/>
              </w:rPr>
              <w:t>上期</w:t>
            </w:r>
          </w:p>
        </w:tc>
      </w:tr>
      <w:tr>
        <w:trPr>
          <w:trHeight w:val="401" w:hRule="exact"/>
        </w:trPr>
        <w:tc>
          <w:tcPr>
            <w:tcW w:w="2039" w:type="dxa"/>
            <w:vMerge/>
            <w:tcBorders>
              <w:left w:val="single" w:sz="4" w:space="0" w:color="000000"/>
              <w:right w:val="single" w:sz="4" w:space="0" w:color="000000"/>
            </w:tcBorders>
            <w:shd w:val="clear" w:color="auto" w:fill="D2D2D2"/>
          </w:tcPr>
          <w:p>
            <w:pPr/>
          </w:p>
        </w:tc>
        <w:tc>
          <w:tcPr>
            <w:tcW w:w="6714"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196" w:right="0"/>
              <w:jc w:val="left"/>
              <w:rPr>
                <w:rFonts w:ascii="宋体" w:hAnsi="宋体" w:cs="宋体" w:eastAsia="宋体" w:hint="default"/>
                <w:sz w:val="21"/>
                <w:szCs w:val="21"/>
              </w:rPr>
            </w:pPr>
            <w:r>
              <w:rPr>
                <w:rFonts w:ascii="宋体" w:hAnsi="宋体" w:cs="宋体" w:eastAsia="宋体" w:hint="default"/>
                <w:sz w:val="21"/>
                <w:szCs w:val="21"/>
              </w:rPr>
              <w:t>归属于母公司所有者权益</w:t>
            </w:r>
          </w:p>
        </w:tc>
        <w:tc>
          <w:tcPr>
            <w:tcW w:w="283"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71"/>
              <w:ind w:left="31" w:right="30"/>
              <w:jc w:val="both"/>
              <w:rPr>
                <w:rFonts w:ascii="宋体" w:hAnsi="宋体" w:cs="宋体" w:eastAsia="宋体" w:hint="default"/>
                <w:sz w:val="21"/>
                <w:szCs w:val="21"/>
              </w:rPr>
            </w:pPr>
            <w:r>
              <w:rPr>
                <w:rFonts w:ascii="宋体" w:hAnsi="宋体" w:cs="宋体" w:eastAsia="宋体" w:hint="default"/>
                <w:sz w:val="21"/>
                <w:szCs w:val="21"/>
              </w:rPr>
              <w:t>少 数 股 东 权 益</w:t>
            </w:r>
          </w:p>
        </w:tc>
        <w:tc>
          <w:tcPr>
            <w:tcW w:w="15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5"/>
                <w:szCs w:val="25"/>
              </w:rPr>
            </w:pPr>
          </w:p>
          <w:p>
            <w:pPr>
              <w:pStyle w:val="TableParagraph"/>
              <w:spacing w:line="240" w:lineRule="auto"/>
              <w:ind w:left="39" w:right="0"/>
              <w:jc w:val="left"/>
              <w:rPr>
                <w:rFonts w:ascii="宋体" w:hAnsi="宋体" w:cs="宋体" w:eastAsia="宋体" w:hint="default"/>
                <w:sz w:val="21"/>
                <w:szCs w:val="21"/>
              </w:rPr>
            </w:pPr>
            <w:r>
              <w:rPr>
                <w:rFonts w:ascii="宋体" w:hAnsi="宋体" w:cs="宋体" w:eastAsia="宋体" w:hint="default"/>
                <w:sz w:val="21"/>
                <w:szCs w:val="21"/>
              </w:rPr>
              <w:t>所有者权益合计</w:t>
            </w:r>
          </w:p>
        </w:tc>
      </w:tr>
      <w:tr>
        <w:trPr>
          <w:trHeight w:val="1651" w:hRule="exact"/>
        </w:trPr>
        <w:tc>
          <w:tcPr>
            <w:tcW w:w="2039" w:type="dxa"/>
            <w:vMerge/>
            <w:tcBorders>
              <w:left w:val="single" w:sz="4" w:space="0" w:color="000000"/>
              <w:bottom w:val="single" w:sz="4" w:space="0" w:color="000000"/>
              <w:right w:val="single" w:sz="4" w:space="0" w:color="000000"/>
            </w:tcBorders>
            <w:shd w:val="clear" w:color="auto" w:fill="D2D2D2"/>
          </w:tcPr>
          <w:p>
            <w:pPr/>
          </w:p>
        </w:tc>
        <w:tc>
          <w:tcPr>
            <w:tcW w:w="14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9"/>
                <w:szCs w:val="29"/>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股本</w:t>
            </w:r>
          </w:p>
        </w:tc>
        <w:tc>
          <w:tcPr>
            <w:tcW w:w="284"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73" w:lineRule="auto" w:before="46"/>
              <w:ind w:left="32" w:right="30"/>
              <w:jc w:val="both"/>
              <w:rPr>
                <w:rFonts w:ascii="宋体" w:hAnsi="宋体" w:cs="宋体" w:eastAsia="宋体" w:hint="default"/>
                <w:sz w:val="21"/>
                <w:szCs w:val="21"/>
              </w:rPr>
            </w:pPr>
            <w:r>
              <w:rPr>
                <w:rFonts w:ascii="宋体" w:hAnsi="宋体" w:cs="宋体" w:eastAsia="宋体" w:hint="default"/>
                <w:sz w:val="21"/>
                <w:szCs w:val="21"/>
              </w:rPr>
              <w:t>其 他 权 益 工</w:t>
            </w:r>
          </w:p>
        </w:tc>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9"/>
                <w:szCs w:val="29"/>
              </w:rPr>
            </w:pPr>
          </w:p>
          <w:p>
            <w:pPr>
              <w:pStyle w:val="TableParagraph"/>
              <w:spacing w:line="240" w:lineRule="auto"/>
              <w:ind w:left="283"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31" w:right="0"/>
              <w:jc w:val="both"/>
              <w:rPr>
                <w:rFonts w:ascii="宋体" w:hAnsi="宋体" w:cs="宋体" w:eastAsia="宋体" w:hint="default"/>
                <w:sz w:val="21"/>
                <w:szCs w:val="21"/>
              </w:rPr>
            </w:pPr>
            <w:r>
              <w:rPr>
                <w:rFonts w:ascii="宋体" w:hAnsi="宋体" w:cs="宋体" w:eastAsia="宋体" w:hint="default"/>
                <w:sz w:val="21"/>
                <w:szCs w:val="21"/>
              </w:rPr>
              <w:t>减</w:t>
            </w:r>
          </w:p>
          <w:p>
            <w:pPr>
              <w:pStyle w:val="TableParagraph"/>
              <w:spacing w:line="273" w:lineRule="auto" w:before="36"/>
              <w:ind w:left="31" w:right="31"/>
              <w:jc w:val="both"/>
              <w:rPr>
                <w:rFonts w:ascii="宋体" w:hAnsi="宋体" w:cs="宋体" w:eastAsia="宋体" w:hint="default"/>
                <w:sz w:val="21"/>
                <w:szCs w:val="21"/>
              </w:rPr>
            </w:pPr>
            <w:r>
              <w:rPr>
                <w:rFonts w:ascii="宋体" w:hAnsi="宋体" w:cs="宋体" w:eastAsia="宋体" w:hint="default"/>
                <w:sz w:val="21"/>
                <w:szCs w:val="21"/>
              </w:rPr>
              <w:t>： 库 存 股</w:t>
            </w:r>
          </w:p>
        </w:tc>
        <w:tc>
          <w:tcPr>
            <w:tcW w:w="2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46"/>
              <w:ind w:left="31" w:right="29"/>
              <w:jc w:val="both"/>
              <w:rPr>
                <w:rFonts w:ascii="宋体" w:hAnsi="宋体" w:cs="宋体" w:eastAsia="宋体" w:hint="default"/>
                <w:sz w:val="21"/>
                <w:szCs w:val="21"/>
              </w:rPr>
            </w:pPr>
            <w:r>
              <w:rPr>
                <w:rFonts w:ascii="宋体" w:hAnsi="宋体" w:cs="宋体" w:eastAsia="宋体" w:hint="default"/>
                <w:sz w:val="21"/>
                <w:szCs w:val="21"/>
              </w:rPr>
              <w:t>其 他 综 合 收</w:t>
            </w:r>
          </w:p>
        </w:tc>
        <w:tc>
          <w:tcPr>
            <w:tcW w:w="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sz w:val="14"/>
                <w:szCs w:val="14"/>
              </w:rPr>
            </w:pPr>
          </w:p>
          <w:p>
            <w:pPr>
              <w:pStyle w:val="TableParagraph"/>
              <w:spacing w:line="273" w:lineRule="auto"/>
              <w:ind w:left="32" w:right="30"/>
              <w:jc w:val="both"/>
              <w:rPr>
                <w:rFonts w:ascii="宋体" w:hAnsi="宋体" w:cs="宋体" w:eastAsia="宋体" w:hint="default"/>
                <w:sz w:val="21"/>
                <w:szCs w:val="21"/>
              </w:rPr>
            </w:pPr>
            <w:r>
              <w:rPr>
                <w:rFonts w:ascii="宋体" w:hAnsi="宋体" w:cs="宋体" w:eastAsia="宋体" w:hint="default"/>
                <w:sz w:val="21"/>
                <w:szCs w:val="21"/>
              </w:rPr>
              <w:t>专 项 储 备</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9"/>
                <w:szCs w:val="29"/>
              </w:rPr>
            </w:pPr>
          </w:p>
          <w:p>
            <w:pPr>
              <w:pStyle w:val="TableParagraph"/>
              <w:spacing w:line="240" w:lineRule="auto"/>
              <w:ind w:left="212"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9"/>
                <w:szCs w:val="29"/>
              </w:rPr>
            </w:pPr>
          </w:p>
          <w:p>
            <w:pPr>
              <w:pStyle w:val="TableParagraph"/>
              <w:spacing w:line="240" w:lineRule="auto"/>
              <w:ind w:left="179"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283" w:type="dxa"/>
            <w:vMerge/>
            <w:tcBorders>
              <w:left w:val="single" w:sz="4" w:space="0" w:color="000000"/>
              <w:bottom w:val="single" w:sz="4" w:space="0" w:color="000000"/>
              <w:right w:val="single" w:sz="4" w:space="0" w:color="000000"/>
            </w:tcBorders>
            <w:shd w:val="clear" w:color="auto" w:fill="D2D2D2"/>
          </w:tcPr>
          <w:p>
            <w:pPr/>
          </w:p>
        </w:tc>
        <w:tc>
          <w:tcPr>
            <w:tcW w:w="1562" w:type="dxa"/>
            <w:vMerge/>
            <w:tcBorders>
              <w:left w:val="single" w:sz="4" w:space="0" w:color="000000"/>
              <w:bottom w:val="single" w:sz="4" w:space="0" w:color="000000"/>
              <w:right w:val="single" w:sz="4" w:space="0" w:color="000000"/>
            </w:tcBorders>
            <w:shd w:val="clear" w:color="auto" w:fill="D2D2D2"/>
          </w:tcPr>
          <w:p>
            <w:pPr/>
          </w:p>
        </w:tc>
      </w:tr>
    </w:tbl>
    <w:p>
      <w:pPr>
        <w:spacing w:after="0"/>
        <w:sectPr>
          <w:type w:val="continuous"/>
          <w:pgSz w:w="11910" w:h="16840"/>
          <w:pgMar w:top="1060" w:bottom="1160" w:left="460" w:right="0"/>
        </w:sectPr>
      </w:pPr>
    </w:p>
    <w:p>
      <w:pPr>
        <w:spacing w:line="240" w:lineRule="auto" w:before="0"/>
        <w:rPr>
          <w:rFonts w:ascii="Times New Roman" w:hAnsi="Times New Roman" w:cs="Times New Roman" w:eastAsia="Times New Roman" w:hint="default"/>
          <w:sz w:val="20"/>
          <w:szCs w:val="20"/>
        </w:rPr>
      </w:pPr>
      <w:r>
        <w:rPr/>
        <w:pict>
          <v:group style="position:absolute;margin-left:134.960007pt;margin-top:539.019958pt;width:72.9pt;height:28pt;mso-position-horizontal-relative:page;mso-position-vertical-relative:page;z-index:-915832" coordorigin="2699,10780" coordsize="1458,560">
            <v:group style="position:absolute;left:2699;top:10780;width:1458;height:156" coordorigin="2699,10780" coordsize="1458,156">
              <v:shape style="position:absolute;left:2699;top:10780;width:1458;height:156" coordorigin="2699,10780" coordsize="1458,156" path="m2699,10936l4157,10936,4157,10780,2699,10780,2699,10936xe" filled="true" fillcolor="#ffffff" stroked="false">
                <v:path arrowok="t"/>
                <v:fill type="solid"/>
              </v:shape>
            </v:group>
            <v:group style="position:absolute;left:2711;top:10936;width:2;height:393" coordorigin="2711,10936" coordsize="2,393">
              <v:shape style="position:absolute;left:2711;top:10936;width:2;height:393" coordorigin="2711,10936" coordsize="0,393" path="m2711,10936l2711,11329e" filled="false" stroked="true" strokeweight="1.140pt" strokecolor="#ffffff">
                <v:path arrowok="t"/>
              </v:shape>
            </v:group>
            <v:group style="position:absolute;left:2722;top:10936;width:1413;height:393" coordorigin="2722,10936" coordsize="1413,393">
              <v:shape style="position:absolute;left:2722;top:10936;width:1413;height:393" coordorigin="2722,10936" coordsize="1413,393" path="m2722,11329l4134,11329,4134,10936,2722,10936,2722,11329xe" filled="true" fillcolor="#ffffff" stroked="false">
                <v:path arrowok="t"/>
                <v:fill type="solid"/>
              </v:shape>
            </v:group>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01" w:type="dxa"/>
        <w:tblLayout w:type="fixed"/>
        <w:tblCellMar>
          <w:top w:w="0" w:type="dxa"/>
          <w:left w:w="0" w:type="dxa"/>
          <w:bottom w:w="0" w:type="dxa"/>
          <w:right w:w="0" w:type="dxa"/>
        </w:tblCellMar>
        <w:tblLook w:val="01E0"/>
      </w:tblPr>
      <w:tblGrid>
        <w:gridCol w:w="2016"/>
        <w:gridCol w:w="1479"/>
        <w:gridCol w:w="284"/>
        <w:gridCol w:w="1418"/>
        <w:gridCol w:w="284"/>
        <w:gridCol w:w="282"/>
        <w:gridCol w:w="284"/>
        <w:gridCol w:w="1276"/>
        <w:gridCol w:w="1418"/>
        <w:gridCol w:w="283"/>
        <w:gridCol w:w="1560"/>
      </w:tblGrid>
      <w:tr>
        <w:trPr>
          <w:trHeight w:val="358" w:hRule="exact"/>
        </w:trPr>
        <w:tc>
          <w:tcPr>
            <w:tcW w:w="2016" w:type="dxa"/>
            <w:vMerge w:val="restart"/>
            <w:tcBorders>
              <w:top w:val="single" w:sz="4" w:space="0" w:color="000000"/>
              <w:left w:val="single" w:sz="4" w:space="0" w:color="000000"/>
              <w:right w:val="single" w:sz="4" w:space="0" w:color="000000"/>
            </w:tcBorders>
            <w:shd w:val="clear" w:color="auto" w:fill="D2D2D2"/>
          </w:tcPr>
          <w:p>
            <w:pPr/>
          </w:p>
        </w:tc>
        <w:tc>
          <w:tcPr>
            <w:tcW w:w="1479" w:type="dxa"/>
            <w:vMerge w:val="restart"/>
            <w:tcBorders>
              <w:top w:val="single" w:sz="4" w:space="0" w:color="000000"/>
              <w:left w:val="single" w:sz="4" w:space="0" w:color="000000"/>
              <w:right w:val="single" w:sz="4" w:space="0" w:color="000000"/>
            </w:tcBorders>
            <w:shd w:val="clear" w:color="auto" w:fill="D2D2D2"/>
          </w:tcPr>
          <w:p>
            <w:pPr/>
          </w:p>
        </w:tc>
        <w:tc>
          <w:tcPr>
            <w:tcW w:w="284"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61" w:lineRule="exact"/>
              <w:ind w:left="32" w:right="0"/>
              <w:jc w:val="left"/>
              <w:rPr>
                <w:rFonts w:ascii="宋体" w:hAnsi="宋体" w:cs="宋体" w:eastAsia="宋体" w:hint="default"/>
                <w:sz w:val="21"/>
                <w:szCs w:val="21"/>
              </w:rPr>
            </w:pPr>
            <w:r>
              <w:rPr>
                <w:rFonts w:ascii="宋体" w:hAnsi="宋体" w:cs="宋体" w:eastAsia="宋体" w:hint="default"/>
                <w:sz w:val="21"/>
                <w:szCs w:val="21"/>
              </w:rPr>
              <w:t>具</w:t>
            </w:r>
          </w:p>
        </w:tc>
        <w:tc>
          <w:tcPr>
            <w:tcW w:w="1418" w:type="dxa"/>
            <w:vMerge w:val="restart"/>
            <w:tcBorders>
              <w:top w:val="single" w:sz="4" w:space="0" w:color="000000"/>
              <w:left w:val="single" w:sz="4" w:space="0" w:color="000000"/>
              <w:right w:val="single" w:sz="4" w:space="0" w:color="000000"/>
            </w:tcBorders>
            <w:shd w:val="clear" w:color="auto" w:fill="D2D2D2"/>
          </w:tcPr>
          <w:p>
            <w:pPr/>
          </w:p>
        </w:tc>
        <w:tc>
          <w:tcPr>
            <w:tcW w:w="284" w:type="dxa"/>
            <w:vMerge w:val="restart"/>
            <w:tcBorders>
              <w:top w:val="single" w:sz="4" w:space="0" w:color="000000"/>
              <w:left w:val="single" w:sz="4" w:space="0" w:color="000000"/>
              <w:right w:val="single" w:sz="4" w:space="0" w:color="000000"/>
            </w:tcBorders>
            <w:shd w:val="clear" w:color="auto" w:fill="D2D2D2"/>
          </w:tcPr>
          <w:p>
            <w:pPr/>
          </w:p>
        </w:tc>
        <w:tc>
          <w:tcPr>
            <w:tcW w:w="282"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61" w:lineRule="exact"/>
              <w:ind w:left="31" w:right="0"/>
              <w:jc w:val="left"/>
              <w:rPr>
                <w:rFonts w:ascii="宋体" w:hAnsi="宋体" w:cs="宋体" w:eastAsia="宋体" w:hint="default"/>
                <w:sz w:val="21"/>
                <w:szCs w:val="21"/>
              </w:rPr>
            </w:pPr>
            <w:r>
              <w:rPr>
                <w:rFonts w:ascii="宋体" w:hAnsi="宋体" w:cs="宋体" w:eastAsia="宋体" w:hint="default"/>
                <w:sz w:val="21"/>
                <w:szCs w:val="21"/>
              </w:rPr>
              <w:t>益</w:t>
            </w:r>
          </w:p>
        </w:tc>
        <w:tc>
          <w:tcPr>
            <w:tcW w:w="284" w:type="dxa"/>
            <w:vMerge w:val="restart"/>
            <w:tcBorders>
              <w:top w:val="single" w:sz="4" w:space="0" w:color="000000"/>
              <w:left w:val="single" w:sz="4" w:space="0" w:color="000000"/>
              <w:right w:val="single" w:sz="4" w:space="0" w:color="000000"/>
            </w:tcBorders>
            <w:shd w:val="clear" w:color="auto" w:fill="D2D2D2"/>
          </w:tcPr>
          <w:p>
            <w:pPr/>
          </w:p>
        </w:tc>
        <w:tc>
          <w:tcPr>
            <w:tcW w:w="1276" w:type="dxa"/>
            <w:vMerge w:val="restart"/>
            <w:tcBorders>
              <w:top w:val="single" w:sz="4" w:space="0" w:color="000000"/>
              <w:left w:val="single" w:sz="4" w:space="0" w:color="000000"/>
              <w:right w:val="single" w:sz="4" w:space="0" w:color="000000"/>
            </w:tcBorders>
            <w:shd w:val="clear" w:color="auto" w:fill="D2D2D2"/>
          </w:tcPr>
          <w:p>
            <w:pPr/>
          </w:p>
        </w:tc>
        <w:tc>
          <w:tcPr>
            <w:tcW w:w="1418" w:type="dxa"/>
            <w:vMerge w:val="restart"/>
            <w:tcBorders>
              <w:top w:val="single" w:sz="4" w:space="0" w:color="000000"/>
              <w:left w:val="single" w:sz="4" w:space="0" w:color="000000"/>
              <w:right w:val="single" w:sz="4" w:space="0" w:color="000000"/>
            </w:tcBorders>
            <w:shd w:val="clear" w:color="auto" w:fill="D2D2D2"/>
          </w:tcPr>
          <w:p>
            <w:pPr/>
          </w:p>
        </w:tc>
        <w:tc>
          <w:tcPr>
            <w:tcW w:w="283" w:type="dxa"/>
            <w:vMerge w:val="restart"/>
            <w:tcBorders>
              <w:top w:val="single" w:sz="4" w:space="0" w:color="000000"/>
              <w:left w:val="single" w:sz="4" w:space="0" w:color="000000"/>
              <w:right w:val="single" w:sz="4" w:space="0" w:color="000000"/>
            </w:tcBorders>
            <w:shd w:val="clear" w:color="auto" w:fill="D2D2D2"/>
          </w:tcPr>
          <w:p>
            <w:pPr/>
          </w:p>
        </w:tc>
        <w:tc>
          <w:tcPr>
            <w:tcW w:w="1560" w:type="dxa"/>
            <w:vMerge w:val="restart"/>
            <w:tcBorders>
              <w:top w:val="single" w:sz="4" w:space="0" w:color="000000"/>
              <w:left w:val="single" w:sz="4" w:space="0" w:color="000000"/>
              <w:right w:val="single" w:sz="4" w:space="0" w:color="000000"/>
            </w:tcBorders>
            <w:shd w:val="clear" w:color="auto" w:fill="D2D2D2"/>
          </w:tcPr>
          <w:p>
            <w:pPr/>
          </w:p>
        </w:tc>
      </w:tr>
      <w:tr>
        <w:trPr>
          <w:trHeight w:val="668" w:hRule="exact"/>
        </w:trPr>
        <w:tc>
          <w:tcPr>
            <w:tcW w:w="2016" w:type="dxa"/>
            <w:vMerge/>
            <w:tcBorders>
              <w:left w:val="single" w:sz="4" w:space="0" w:color="000000"/>
              <w:bottom w:val="single" w:sz="4" w:space="0" w:color="000000"/>
              <w:right w:val="single" w:sz="4" w:space="0" w:color="000000"/>
            </w:tcBorders>
            <w:shd w:val="clear" w:color="auto" w:fill="D2D2D2"/>
          </w:tcPr>
          <w:p>
            <w:pPr/>
          </w:p>
        </w:tc>
        <w:tc>
          <w:tcPr>
            <w:tcW w:w="1479" w:type="dxa"/>
            <w:vMerge/>
            <w:tcBorders>
              <w:left w:val="single" w:sz="4" w:space="0" w:color="000000"/>
              <w:bottom w:val="single" w:sz="4" w:space="0" w:color="000000"/>
              <w:right w:val="single" w:sz="4" w:space="0" w:color="000000"/>
            </w:tcBorders>
            <w:shd w:val="clear" w:color="auto" w:fill="D2D2D2"/>
          </w:tcPr>
          <w:p>
            <w:pPr/>
          </w:p>
        </w:tc>
        <w:tc>
          <w:tcPr>
            <w:tcW w:w="2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418" w:type="dxa"/>
            <w:vMerge/>
            <w:tcBorders>
              <w:left w:val="single" w:sz="4" w:space="0" w:color="000000"/>
              <w:bottom w:val="single" w:sz="4" w:space="0" w:color="000000"/>
              <w:right w:val="single" w:sz="4" w:space="0" w:color="000000"/>
            </w:tcBorders>
            <w:shd w:val="clear" w:color="auto" w:fill="D2D2D2"/>
          </w:tcPr>
          <w:p>
            <w:pPr/>
          </w:p>
        </w:tc>
        <w:tc>
          <w:tcPr>
            <w:tcW w:w="284" w:type="dxa"/>
            <w:vMerge/>
            <w:tcBorders>
              <w:left w:val="single" w:sz="4" w:space="0" w:color="000000"/>
              <w:bottom w:val="single" w:sz="4" w:space="0" w:color="000000"/>
              <w:right w:val="single" w:sz="4" w:space="0" w:color="000000"/>
            </w:tcBorders>
            <w:shd w:val="clear" w:color="auto" w:fill="D2D2D2"/>
          </w:tcPr>
          <w:p>
            <w:pPr/>
          </w:p>
        </w:tc>
        <w:tc>
          <w:tcPr>
            <w:tcW w:w="282" w:type="dxa"/>
            <w:tcBorders>
              <w:top w:val="nil" w:sz="6" w:space="0" w:color="auto"/>
              <w:left w:val="single" w:sz="4" w:space="0" w:color="000000"/>
              <w:bottom w:val="single" w:sz="4" w:space="0" w:color="000000"/>
              <w:right w:val="single" w:sz="4" w:space="0" w:color="000000"/>
            </w:tcBorders>
            <w:shd w:val="clear" w:color="auto" w:fill="D2D2D2"/>
          </w:tcPr>
          <w:p>
            <w:pPr/>
          </w:p>
        </w:tc>
        <w:tc>
          <w:tcPr>
            <w:tcW w:w="284" w:type="dxa"/>
            <w:vMerge/>
            <w:tcBorders>
              <w:left w:val="single" w:sz="4" w:space="0" w:color="000000"/>
              <w:bottom w:val="single" w:sz="4" w:space="0" w:color="000000"/>
              <w:right w:val="single" w:sz="4" w:space="0" w:color="000000"/>
            </w:tcBorders>
            <w:shd w:val="clear" w:color="auto" w:fill="D2D2D2"/>
          </w:tcPr>
          <w:p>
            <w:pPr/>
          </w:p>
        </w:tc>
        <w:tc>
          <w:tcPr>
            <w:tcW w:w="1276" w:type="dxa"/>
            <w:vMerge/>
            <w:tcBorders>
              <w:left w:val="single" w:sz="4" w:space="0" w:color="000000"/>
              <w:bottom w:val="single" w:sz="4" w:space="0" w:color="000000"/>
              <w:right w:val="single" w:sz="4" w:space="0" w:color="000000"/>
            </w:tcBorders>
            <w:shd w:val="clear" w:color="auto" w:fill="D2D2D2"/>
          </w:tcPr>
          <w:p>
            <w:pPr/>
          </w:p>
        </w:tc>
        <w:tc>
          <w:tcPr>
            <w:tcW w:w="1418" w:type="dxa"/>
            <w:vMerge/>
            <w:tcBorders>
              <w:left w:val="single" w:sz="4" w:space="0" w:color="000000"/>
              <w:bottom w:val="single" w:sz="4" w:space="0" w:color="000000"/>
              <w:right w:val="single" w:sz="4" w:space="0" w:color="000000"/>
            </w:tcBorders>
            <w:shd w:val="clear" w:color="auto" w:fill="D2D2D2"/>
          </w:tcPr>
          <w:p>
            <w:pPr/>
          </w:p>
        </w:tc>
        <w:tc>
          <w:tcPr>
            <w:tcW w:w="283" w:type="dxa"/>
            <w:vMerge/>
            <w:tcBorders>
              <w:left w:val="single" w:sz="4" w:space="0" w:color="000000"/>
              <w:bottom w:val="single" w:sz="4" w:space="0" w:color="000000"/>
              <w:right w:val="single" w:sz="4" w:space="0" w:color="000000"/>
            </w:tcBorders>
            <w:shd w:val="clear" w:color="auto" w:fill="D2D2D2"/>
          </w:tcPr>
          <w:p>
            <w:pPr/>
          </w:p>
        </w:tc>
        <w:tc>
          <w:tcPr>
            <w:tcW w:w="1560"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0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一、上年期末余额</w:t>
            </w:r>
          </w:p>
        </w:tc>
        <w:tc>
          <w:tcPr>
            <w:tcW w:w="1479"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376,656,420.00</w:t>
            </w:r>
          </w:p>
        </w:tc>
        <w:tc>
          <w:tcPr>
            <w:tcW w:w="28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635,546,386.52</w:t>
            </w:r>
          </w:p>
        </w:tc>
        <w:tc>
          <w:tcPr>
            <w:tcW w:w="284" w:type="dxa"/>
            <w:tcBorders>
              <w:top w:val="single" w:sz="4" w:space="0" w:color="000000"/>
              <w:left w:val="single" w:sz="4" w:space="0" w:color="000000"/>
              <w:bottom w:val="single" w:sz="4" w:space="0" w:color="000000"/>
              <w:right w:val="single" w:sz="4" w:space="0" w:color="000000"/>
            </w:tcBorders>
          </w:tcPr>
          <w:p>
            <w:pPr/>
          </w:p>
        </w:tc>
        <w:tc>
          <w:tcPr>
            <w:tcW w:w="282"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53,869,052.71</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385,454,292.44</w:t>
            </w:r>
          </w:p>
        </w:tc>
        <w:tc>
          <w:tcPr>
            <w:tcW w:w="283"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1,451,526,151.67</w:t>
            </w:r>
          </w:p>
        </w:tc>
      </w:tr>
      <w:tr>
        <w:trPr>
          <w:trHeight w:val="714" w:hRule="exact"/>
        </w:trPr>
        <w:tc>
          <w:tcPr>
            <w:tcW w:w="20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加：会计政策变</w:t>
            </w:r>
          </w:p>
          <w:p>
            <w:pPr>
              <w:pStyle w:val="TableParagraph"/>
              <w:spacing w:line="240" w:lineRule="auto" w:before="38"/>
              <w:ind w:left="11" w:right="0"/>
              <w:jc w:val="left"/>
              <w:rPr>
                <w:rFonts w:ascii="宋体" w:hAnsi="宋体" w:cs="宋体" w:eastAsia="宋体" w:hint="default"/>
                <w:sz w:val="21"/>
                <w:szCs w:val="21"/>
              </w:rPr>
            </w:pPr>
            <w:r>
              <w:rPr>
                <w:rFonts w:ascii="宋体" w:hAnsi="宋体" w:cs="宋体" w:eastAsia="宋体" w:hint="default"/>
                <w:sz w:val="21"/>
                <w:szCs w:val="21"/>
              </w:rPr>
              <w:t>更</w:t>
            </w:r>
          </w:p>
        </w:tc>
        <w:tc>
          <w:tcPr>
            <w:tcW w:w="1479" w:type="dxa"/>
            <w:tcBorders>
              <w:top w:val="single" w:sz="4" w:space="0" w:color="000000"/>
              <w:left w:val="single" w:sz="9" w:space="0" w:color="D2D2D2"/>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282"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0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前期差错更正</w:t>
            </w:r>
          </w:p>
        </w:tc>
        <w:tc>
          <w:tcPr>
            <w:tcW w:w="1479" w:type="dxa"/>
            <w:tcBorders>
              <w:top w:val="single" w:sz="4" w:space="0" w:color="000000"/>
              <w:left w:val="single" w:sz="9" w:space="0" w:color="D2D2D2"/>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282"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0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同一控制下企业合并</w:t>
            </w:r>
          </w:p>
        </w:tc>
        <w:tc>
          <w:tcPr>
            <w:tcW w:w="1479" w:type="dxa"/>
            <w:tcBorders>
              <w:top w:val="single" w:sz="4" w:space="0" w:color="000000"/>
              <w:left w:val="single" w:sz="9" w:space="0" w:color="D2D2D2"/>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282"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0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479" w:type="dxa"/>
            <w:tcBorders>
              <w:top w:val="single" w:sz="4" w:space="0" w:color="000000"/>
              <w:left w:val="single" w:sz="9" w:space="0" w:color="D2D2D2"/>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282"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0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二、本年期初余额</w:t>
            </w:r>
          </w:p>
        </w:tc>
        <w:tc>
          <w:tcPr>
            <w:tcW w:w="1479"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376,656,420.00</w:t>
            </w:r>
          </w:p>
        </w:tc>
        <w:tc>
          <w:tcPr>
            <w:tcW w:w="28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635,546,386.52</w:t>
            </w:r>
          </w:p>
        </w:tc>
        <w:tc>
          <w:tcPr>
            <w:tcW w:w="284" w:type="dxa"/>
            <w:tcBorders>
              <w:top w:val="single" w:sz="4" w:space="0" w:color="000000"/>
              <w:left w:val="single" w:sz="4" w:space="0" w:color="000000"/>
              <w:bottom w:val="single" w:sz="4" w:space="0" w:color="000000"/>
              <w:right w:val="single" w:sz="4" w:space="0" w:color="000000"/>
            </w:tcBorders>
          </w:tcPr>
          <w:p>
            <w:pPr/>
          </w:p>
        </w:tc>
        <w:tc>
          <w:tcPr>
            <w:tcW w:w="282"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53,869,052.71</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385,454,292.44</w:t>
            </w:r>
          </w:p>
        </w:tc>
        <w:tc>
          <w:tcPr>
            <w:tcW w:w="283"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1,451,526,151.67</w:t>
            </w:r>
          </w:p>
        </w:tc>
      </w:tr>
      <w:tr>
        <w:trPr>
          <w:trHeight w:val="1026" w:hRule="exact"/>
        </w:trPr>
        <w:tc>
          <w:tcPr>
            <w:tcW w:w="20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11" w:right="103"/>
              <w:jc w:val="both"/>
              <w:rPr>
                <w:rFonts w:ascii="宋体" w:hAnsi="宋体" w:cs="宋体" w:eastAsia="宋体" w:hint="default"/>
                <w:sz w:val="21"/>
                <w:szCs w:val="21"/>
              </w:rPr>
            </w:pPr>
            <w:r>
              <w:rPr>
                <w:rFonts w:ascii="宋体" w:hAnsi="宋体" w:cs="宋体" w:eastAsia="宋体" w:hint="default"/>
                <w:sz w:val="21"/>
                <w:szCs w:val="21"/>
              </w:rPr>
              <w:t>三、本期增减变动金 额（减少以“－”号 填列）</w:t>
            </w:r>
          </w:p>
        </w:tc>
        <w:tc>
          <w:tcPr>
            <w:tcW w:w="1479" w:type="dxa"/>
            <w:tcBorders>
              <w:top w:val="single" w:sz="4" w:space="0" w:color="000000"/>
              <w:left w:val="single" w:sz="9" w:space="0" w:color="D2D2D2"/>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2"/>
              <w:jc w:val="right"/>
              <w:rPr>
                <w:rFonts w:ascii="宋体" w:hAnsi="宋体" w:cs="宋体" w:eastAsia="宋体" w:hint="default"/>
                <w:sz w:val="18"/>
                <w:szCs w:val="18"/>
              </w:rPr>
            </w:pPr>
            <w:r>
              <w:rPr>
                <w:rFonts w:ascii="宋体"/>
                <w:sz w:val="18"/>
              </w:rPr>
              <w:t>16,972,594.79</w:t>
            </w:r>
          </w:p>
        </w:tc>
        <w:tc>
          <w:tcPr>
            <w:tcW w:w="284" w:type="dxa"/>
            <w:tcBorders>
              <w:top w:val="single" w:sz="4" w:space="0" w:color="000000"/>
              <w:left w:val="single" w:sz="4" w:space="0" w:color="000000"/>
              <w:bottom w:val="single" w:sz="4" w:space="0" w:color="000000"/>
              <w:right w:val="single" w:sz="4" w:space="0" w:color="000000"/>
            </w:tcBorders>
          </w:tcPr>
          <w:p>
            <w:pPr/>
          </w:p>
        </w:tc>
        <w:tc>
          <w:tcPr>
            <w:tcW w:w="282"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3"/>
              <w:jc w:val="right"/>
              <w:rPr>
                <w:rFonts w:ascii="宋体" w:hAnsi="宋体" w:cs="宋体" w:eastAsia="宋体" w:hint="default"/>
                <w:sz w:val="18"/>
                <w:szCs w:val="18"/>
              </w:rPr>
            </w:pPr>
            <w:r>
              <w:rPr>
                <w:rFonts w:ascii="宋体"/>
                <w:sz w:val="18"/>
              </w:rPr>
              <w:t>7,598,392.80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0"/>
              <w:jc w:val="right"/>
              <w:rPr>
                <w:rFonts w:ascii="宋体" w:hAnsi="宋体" w:cs="宋体" w:eastAsia="宋体" w:hint="default"/>
                <w:sz w:val="18"/>
                <w:szCs w:val="18"/>
              </w:rPr>
            </w:pPr>
            <w:r>
              <w:rPr>
                <w:rFonts w:ascii="宋体"/>
                <w:sz w:val="18"/>
              </w:rPr>
              <w:t>66,172,058.56</w:t>
            </w:r>
          </w:p>
        </w:tc>
        <w:tc>
          <w:tcPr>
            <w:tcW w:w="283"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3"/>
              <w:jc w:val="right"/>
              <w:rPr>
                <w:rFonts w:ascii="宋体" w:hAnsi="宋体" w:cs="宋体" w:eastAsia="宋体" w:hint="default"/>
                <w:sz w:val="18"/>
                <w:szCs w:val="18"/>
              </w:rPr>
            </w:pPr>
            <w:r>
              <w:rPr>
                <w:rFonts w:ascii="宋体"/>
                <w:sz w:val="18"/>
              </w:rPr>
              <w:t>90,743,046.15</w:t>
            </w:r>
          </w:p>
        </w:tc>
      </w:tr>
      <w:tr>
        <w:trPr>
          <w:trHeight w:val="402" w:hRule="exact"/>
        </w:trPr>
        <w:tc>
          <w:tcPr>
            <w:tcW w:w="20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（一）综合收益总额</w:t>
            </w:r>
          </w:p>
        </w:tc>
        <w:tc>
          <w:tcPr>
            <w:tcW w:w="1479" w:type="dxa"/>
            <w:tcBorders>
              <w:top w:val="single" w:sz="4" w:space="0" w:color="000000"/>
              <w:left w:val="single" w:sz="9" w:space="0" w:color="D2D2D2"/>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282"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85,070,143.95</w:t>
            </w:r>
          </w:p>
        </w:tc>
        <w:tc>
          <w:tcPr>
            <w:tcW w:w="283"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85,070,143.95</w:t>
            </w:r>
          </w:p>
        </w:tc>
      </w:tr>
      <w:tr>
        <w:trPr>
          <w:trHeight w:val="714" w:hRule="exact"/>
        </w:trPr>
        <w:tc>
          <w:tcPr>
            <w:tcW w:w="20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11" w:right="103"/>
              <w:jc w:val="left"/>
              <w:rPr>
                <w:rFonts w:ascii="宋体" w:hAnsi="宋体" w:cs="宋体" w:eastAsia="宋体" w:hint="default"/>
                <w:sz w:val="21"/>
                <w:szCs w:val="21"/>
              </w:rPr>
            </w:pPr>
            <w:r>
              <w:rPr>
                <w:rFonts w:ascii="宋体" w:hAnsi="宋体" w:cs="宋体" w:eastAsia="宋体" w:hint="default"/>
                <w:sz w:val="21"/>
                <w:szCs w:val="21"/>
              </w:rPr>
              <w:t>（二）所有者投入和 减少资本</w:t>
            </w:r>
          </w:p>
        </w:tc>
        <w:tc>
          <w:tcPr>
            <w:tcW w:w="1479" w:type="dxa"/>
            <w:tcBorders>
              <w:top w:val="single" w:sz="4" w:space="0" w:color="000000"/>
              <w:left w:val="single" w:sz="9" w:space="0" w:color="D2D2D2"/>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282"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0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．股东投入的普通股</w:t>
            </w:r>
          </w:p>
        </w:tc>
        <w:tc>
          <w:tcPr>
            <w:tcW w:w="1479" w:type="dxa"/>
            <w:tcBorders>
              <w:top w:val="single" w:sz="4" w:space="0" w:color="000000"/>
              <w:left w:val="single" w:sz="9" w:space="0" w:color="D2D2D2"/>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282"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0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11" w:right="11"/>
              <w:jc w:val="left"/>
              <w:rPr>
                <w:rFonts w:ascii="宋体" w:hAnsi="宋体" w:cs="宋体" w:eastAsia="宋体" w:hint="default"/>
                <w:sz w:val="21"/>
                <w:szCs w:val="21"/>
              </w:rPr>
            </w:pPr>
            <w:r>
              <w:rPr>
                <w:rFonts w:ascii="宋体" w:hAnsi="宋体" w:cs="宋体" w:eastAsia="宋体" w:hint="default"/>
                <w:spacing w:val="-2"/>
                <w:sz w:val="21"/>
                <w:szCs w:val="21"/>
              </w:rPr>
              <w:t>2</w:t>
            </w:r>
            <w:r>
              <w:rPr>
                <w:rFonts w:ascii="宋体" w:hAnsi="宋体" w:cs="宋体" w:eastAsia="宋体" w:hint="default"/>
                <w:spacing w:val="-2"/>
                <w:sz w:val="21"/>
                <w:szCs w:val="21"/>
              </w:rPr>
              <w:t>．其他权益工具持有</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者投入资本</w:t>
            </w:r>
          </w:p>
        </w:tc>
        <w:tc>
          <w:tcPr>
            <w:tcW w:w="1479" w:type="dxa"/>
            <w:tcBorders>
              <w:top w:val="single" w:sz="4" w:space="0" w:color="000000"/>
              <w:left w:val="single" w:sz="9" w:space="0" w:color="D2D2D2"/>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282"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0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11" w:right="11"/>
              <w:jc w:val="left"/>
              <w:rPr>
                <w:rFonts w:ascii="宋体" w:hAnsi="宋体" w:cs="宋体" w:eastAsia="宋体" w:hint="default"/>
                <w:sz w:val="21"/>
                <w:szCs w:val="21"/>
              </w:rPr>
            </w:pPr>
            <w:r>
              <w:rPr>
                <w:rFonts w:ascii="宋体" w:hAnsi="宋体" w:cs="宋体" w:eastAsia="宋体" w:hint="default"/>
                <w:spacing w:val="-2"/>
                <w:sz w:val="21"/>
                <w:szCs w:val="21"/>
              </w:rPr>
              <w:t>3</w:t>
            </w:r>
            <w:r>
              <w:rPr>
                <w:rFonts w:ascii="宋体" w:hAnsi="宋体" w:cs="宋体" w:eastAsia="宋体" w:hint="default"/>
                <w:spacing w:val="-2"/>
                <w:sz w:val="21"/>
                <w:szCs w:val="21"/>
              </w:rPr>
              <w:t>．股份支付计入所有</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者权益的金额</w:t>
            </w:r>
          </w:p>
        </w:tc>
        <w:tc>
          <w:tcPr>
            <w:tcW w:w="1479" w:type="dxa"/>
            <w:tcBorders>
              <w:top w:val="single" w:sz="4" w:space="0" w:color="000000"/>
              <w:left w:val="single" w:sz="9" w:space="0" w:color="D2D2D2"/>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282"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0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．其他</w:t>
            </w:r>
          </w:p>
        </w:tc>
        <w:tc>
          <w:tcPr>
            <w:tcW w:w="1479" w:type="dxa"/>
            <w:tcBorders>
              <w:top w:val="single" w:sz="4" w:space="0" w:color="000000"/>
              <w:left w:val="single" w:sz="9" w:space="0" w:color="D2D2D2"/>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282"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0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（三）利润分配</w:t>
            </w:r>
          </w:p>
        </w:tc>
        <w:tc>
          <w:tcPr>
            <w:tcW w:w="1479" w:type="dxa"/>
            <w:tcBorders>
              <w:top w:val="single" w:sz="4" w:space="0" w:color="000000"/>
              <w:left w:val="single" w:sz="9" w:space="0" w:color="D2D2D2"/>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282"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7,598,392.80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-18,898,085.39</w:t>
            </w:r>
          </w:p>
        </w:tc>
        <w:tc>
          <w:tcPr>
            <w:tcW w:w="283"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-11,299,692.59</w:t>
            </w:r>
          </w:p>
        </w:tc>
      </w:tr>
      <w:tr>
        <w:trPr>
          <w:trHeight w:val="402" w:hRule="exact"/>
        </w:trPr>
        <w:tc>
          <w:tcPr>
            <w:tcW w:w="20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．提取盈余公积</w:t>
            </w:r>
          </w:p>
        </w:tc>
        <w:tc>
          <w:tcPr>
            <w:tcW w:w="1479" w:type="dxa"/>
            <w:tcBorders>
              <w:top w:val="single" w:sz="4" w:space="0" w:color="000000"/>
              <w:left w:val="single" w:sz="9" w:space="0" w:color="D2D2D2"/>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282"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7,598,392.80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-7,598,392.80</w:t>
            </w:r>
          </w:p>
        </w:tc>
        <w:tc>
          <w:tcPr>
            <w:tcW w:w="283"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0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．提取一般风险准备</w:t>
            </w:r>
          </w:p>
        </w:tc>
        <w:tc>
          <w:tcPr>
            <w:tcW w:w="1479" w:type="dxa"/>
            <w:tcBorders>
              <w:top w:val="single" w:sz="4" w:space="0" w:color="000000"/>
              <w:left w:val="single" w:sz="9" w:space="0" w:color="D2D2D2"/>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282"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0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11" w:right="115"/>
              <w:jc w:val="left"/>
              <w:rPr>
                <w:rFonts w:ascii="宋体" w:hAnsi="宋体" w:cs="宋体" w:eastAsia="宋体" w:hint="default"/>
                <w:sz w:val="21"/>
                <w:szCs w:val="21"/>
              </w:rPr>
            </w:pPr>
            <w:r>
              <w:rPr>
                <w:rFonts w:ascii="宋体" w:hAnsi="宋体" w:cs="宋体" w:eastAsia="宋体" w:hint="default"/>
                <w:spacing w:val="-12"/>
                <w:sz w:val="21"/>
                <w:szCs w:val="21"/>
              </w:rPr>
              <w:t>3</w:t>
            </w:r>
            <w:r>
              <w:rPr>
                <w:rFonts w:ascii="宋体" w:hAnsi="宋体" w:cs="宋体" w:eastAsia="宋体" w:hint="default"/>
                <w:spacing w:val="-12"/>
                <w:sz w:val="21"/>
                <w:szCs w:val="21"/>
              </w:rPr>
              <w:t>．对所有者（或股东</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的分配</w:t>
            </w:r>
          </w:p>
        </w:tc>
        <w:tc>
          <w:tcPr>
            <w:tcW w:w="1479"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26"/>
              <w:ind w:left="-134" w:right="0"/>
              <w:jc w:val="left"/>
              <w:rPr>
                <w:rFonts w:ascii="宋体" w:hAnsi="宋体" w:cs="宋体" w:eastAsia="宋体" w:hint="default"/>
                <w:sz w:val="21"/>
                <w:szCs w:val="21"/>
              </w:rPr>
            </w:pPr>
            <w:r>
              <w:rPr>
                <w:rFonts w:ascii="宋体" w:hAnsi="宋体" w:cs="宋体" w:eastAsia="宋体" w:hint="default"/>
                <w:sz w:val="21"/>
                <w:szCs w:val="21"/>
              </w:rPr>
              <w:t>）</w:t>
            </w:r>
          </w:p>
        </w:tc>
        <w:tc>
          <w:tcPr>
            <w:tcW w:w="28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282"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-11,299,692.59</w:t>
            </w:r>
          </w:p>
        </w:tc>
        <w:tc>
          <w:tcPr>
            <w:tcW w:w="283"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-11,299,692.59</w:t>
            </w:r>
          </w:p>
        </w:tc>
      </w:tr>
      <w:tr>
        <w:trPr>
          <w:trHeight w:val="402" w:hRule="exact"/>
        </w:trPr>
        <w:tc>
          <w:tcPr>
            <w:tcW w:w="20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．其他</w:t>
            </w:r>
          </w:p>
        </w:tc>
        <w:tc>
          <w:tcPr>
            <w:tcW w:w="1479" w:type="dxa"/>
            <w:tcBorders>
              <w:top w:val="single" w:sz="4" w:space="0" w:color="000000"/>
              <w:left w:val="single" w:sz="9" w:space="0" w:color="D2D2D2"/>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282"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0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11" w:right="103"/>
              <w:jc w:val="left"/>
              <w:rPr>
                <w:rFonts w:ascii="宋体" w:hAnsi="宋体" w:cs="宋体" w:eastAsia="宋体" w:hint="default"/>
                <w:sz w:val="21"/>
                <w:szCs w:val="21"/>
              </w:rPr>
            </w:pPr>
            <w:r>
              <w:rPr>
                <w:rFonts w:ascii="宋体" w:hAnsi="宋体" w:cs="宋体" w:eastAsia="宋体" w:hint="default"/>
                <w:sz w:val="21"/>
                <w:szCs w:val="21"/>
              </w:rPr>
              <w:t>（四）所有者权益内 部结转</w:t>
            </w:r>
          </w:p>
        </w:tc>
        <w:tc>
          <w:tcPr>
            <w:tcW w:w="1479" w:type="dxa"/>
            <w:tcBorders>
              <w:top w:val="single" w:sz="4" w:space="0" w:color="000000"/>
              <w:left w:val="single" w:sz="9" w:space="0" w:color="D2D2D2"/>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282"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0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．资本公积转增资本</w:t>
            </w:r>
          </w:p>
          <w:p>
            <w:pPr>
              <w:pStyle w:val="TableParagraph"/>
              <w:spacing w:line="240" w:lineRule="auto" w:before="38"/>
              <w:ind w:left="11" w:right="0"/>
              <w:jc w:val="left"/>
              <w:rPr>
                <w:rFonts w:ascii="宋体" w:hAnsi="宋体" w:cs="宋体" w:eastAsia="宋体" w:hint="default"/>
                <w:sz w:val="21"/>
                <w:szCs w:val="21"/>
              </w:rPr>
            </w:pPr>
            <w:r>
              <w:rPr>
                <w:rFonts w:ascii="宋体" w:hAnsi="宋体" w:cs="宋体" w:eastAsia="宋体" w:hint="default"/>
                <w:sz w:val="21"/>
                <w:szCs w:val="21"/>
              </w:rPr>
              <w:t>（或股本）</w:t>
            </w:r>
          </w:p>
        </w:tc>
        <w:tc>
          <w:tcPr>
            <w:tcW w:w="1479" w:type="dxa"/>
            <w:tcBorders>
              <w:top w:val="single" w:sz="4" w:space="0" w:color="000000"/>
              <w:left w:val="single" w:sz="9" w:space="0" w:color="D2D2D2"/>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282"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0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．盈余公积转增资本</w:t>
            </w:r>
          </w:p>
          <w:p>
            <w:pPr>
              <w:pStyle w:val="TableParagraph"/>
              <w:spacing w:line="240" w:lineRule="auto" w:before="38"/>
              <w:ind w:left="11" w:right="0"/>
              <w:jc w:val="left"/>
              <w:rPr>
                <w:rFonts w:ascii="宋体" w:hAnsi="宋体" w:cs="宋体" w:eastAsia="宋体" w:hint="default"/>
                <w:sz w:val="21"/>
                <w:szCs w:val="21"/>
              </w:rPr>
            </w:pPr>
            <w:r>
              <w:rPr>
                <w:rFonts w:ascii="宋体" w:hAnsi="宋体" w:cs="宋体" w:eastAsia="宋体" w:hint="default"/>
                <w:sz w:val="21"/>
                <w:szCs w:val="21"/>
              </w:rPr>
              <w:t>（或股本）</w:t>
            </w:r>
          </w:p>
        </w:tc>
        <w:tc>
          <w:tcPr>
            <w:tcW w:w="1479" w:type="dxa"/>
            <w:tcBorders>
              <w:top w:val="single" w:sz="4" w:space="0" w:color="000000"/>
              <w:left w:val="single" w:sz="9" w:space="0" w:color="D2D2D2"/>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282"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0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．盈余公积弥补亏损</w:t>
            </w:r>
          </w:p>
        </w:tc>
        <w:tc>
          <w:tcPr>
            <w:tcW w:w="1479" w:type="dxa"/>
            <w:tcBorders>
              <w:top w:val="single" w:sz="4" w:space="0" w:color="000000"/>
              <w:left w:val="single" w:sz="9" w:space="0" w:color="D2D2D2"/>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282"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0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．其他</w:t>
            </w:r>
          </w:p>
        </w:tc>
        <w:tc>
          <w:tcPr>
            <w:tcW w:w="1479" w:type="dxa"/>
            <w:tcBorders>
              <w:top w:val="single" w:sz="4" w:space="0" w:color="000000"/>
              <w:left w:val="single" w:sz="9" w:space="0" w:color="D2D2D2"/>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282"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0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（五）专项储备</w:t>
            </w:r>
          </w:p>
        </w:tc>
        <w:tc>
          <w:tcPr>
            <w:tcW w:w="1479" w:type="dxa"/>
            <w:tcBorders>
              <w:top w:val="single" w:sz="4" w:space="0" w:color="000000"/>
              <w:left w:val="single" w:sz="9" w:space="0" w:color="D2D2D2"/>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282"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56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0" w:type="dxa"/>
        <w:tblLayout w:type="fixed"/>
        <w:tblCellMar>
          <w:top w:w="0" w:type="dxa"/>
          <w:left w:w="0" w:type="dxa"/>
          <w:bottom w:w="0" w:type="dxa"/>
          <w:right w:w="0" w:type="dxa"/>
        </w:tblCellMar>
        <w:tblLook w:val="01E0"/>
      </w:tblPr>
      <w:tblGrid>
        <w:gridCol w:w="2039"/>
        <w:gridCol w:w="1468"/>
        <w:gridCol w:w="284"/>
        <w:gridCol w:w="1418"/>
        <w:gridCol w:w="284"/>
        <w:gridCol w:w="282"/>
        <w:gridCol w:w="284"/>
        <w:gridCol w:w="1276"/>
        <w:gridCol w:w="1418"/>
        <w:gridCol w:w="283"/>
        <w:gridCol w:w="1560"/>
      </w:tblGrid>
      <w:tr>
        <w:trPr>
          <w:trHeight w:val="402" w:hRule="exact"/>
        </w:trPr>
        <w:tc>
          <w:tcPr>
            <w:tcW w:w="20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．本期提取</w:t>
            </w:r>
          </w:p>
        </w:tc>
        <w:tc>
          <w:tcPr>
            <w:tcW w:w="1468"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282"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0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．本期使用</w:t>
            </w:r>
          </w:p>
        </w:tc>
        <w:tc>
          <w:tcPr>
            <w:tcW w:w="1468"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282"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0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（六）其他</w:t>
            </w:r>
          </w:p>
        </w:tc>
        <w:tc>
          <w:tcPr>
            <w:tcW w:w="1468"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16,972,594.79</w:t>
            </w:r>
          </w:p>
        </w:tc>
        <w:tc>
          <w:tcPr>
            <w:tcW w:w="284" w:type="dxa"/>
            <w:tcBorders>
              <w:top w:val="single" w:sz="4" w:space="0" w:color="000000"/>
              <w:left w:val="single" w:sz="4" w:space="0" w:color="000000"/>
              <w:bottom w:val="single" w:sz="4" w:space="0" w:color="000000"/>
              <w:right w:val="single" w:sz="4" w:space="0" w:color="000000"/>
            </w:tcBorders>
          </w:tcPr>
          <w:p>
            <w:pPr/>
          </w:p>
        </w:tc>
        <w:tc>
          <w:tcPr>
            <w:tcW w:w="282"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16,972,594.79</w:t>
            </w:r>
          </w:p>
        </w:tc>
      </w:tr>
      <w:tr>
        <w:trPr>
          <w:trHeight w:val="402" w:hRule="exact"/>
        </w:trPr>
        <w:tc>
          <w:tcPr>
            <w:tcW w:w="20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四、本期期末余额</w:t>
            </w:r>
          </w:p>
        </w:tc>
        <w:tc>
          <w:tcPr>
            <w:tcW w:w="1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75" w:right="0"/>
              <w:jc w:val="left"/>
              <w:rPr>
                <w:rFonts w:ascii="宋体" w:hAnsi="宋体" w:cs="宋体" w:eastAsia="宋体" w:hint="default"/>
                <w:sz w:val="18"/>
                <w:szCs w:val="18"/>
              </w:rPr>
            </w:pPr>
            <w:r>
              <w:rPr>
                <w:rFonts w:ascii="宋体"/>
                <w:sz w:val="18"/>
              </w:rPr>
              <w:t>376,656,420.00</w:t>
            </w:r>
          </w:p>
        </w:tc>
        <w:tc>
          <w:tcPr>
            <w:tcW w:w="28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652,518,981.31</w:t>
            </w:r>
          </w:p>
        </w:tc>
        <w:tc>
          <w:tcPr>
            <w:tcW w:w="284" w:type="dxa"/>
            <w:tcBorders>
              <w:top w:val="single" w:sz="4" w:space="0" w:color="000000"/>
              <w:left w:val="single" w:sz="4" w:space="0" w:color="000000"/>
              <w:bottom w:val="single" w:sz="4" w:space="0" w:color="000000"/>
              <w:right w:val="single" w:sz="4" w:space="0" w:color="000000"/>
            </w:tcBorders>
          </w:tcPr>
          <w:p>
            <w:pPr/>
          </w:p>
        </w:tc>
        <w:tc>
          <w:tcPr>
            <w:tcW w:w="282"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71" w:right="0"/>
              <w:jc w:val="left"/>
              <w:rPr>
                <w:rFonts w:ascii="宋体" w:hAnsi="宋体" w:cs="宋体" w:eastAsia="宋体" w:hint="default"/>
                <w:sz w:val="18"/>
                <w:szCs w:val="18"/>
              </w:rPr>
            </w:pPr>
            <w:r>
              <w:rPr>
                <w:rFonts w:ascii="宋体"/>
                <w:sz w:val="18"/>
              </w:rPr>
              <w:t>61,467,445.51</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5" w:right="0"/>
              <w:jc w:val="left"/>
              <w:rPr>
                <w:rFonts w:ascii="宋体" w:hAnsi="宋体" w:cs="宋体" w:eastAsia="宋体" w:hint="default"/>
                <w:sz w:val="18"/>
                <w:szCs w:val="18"/>
              </w:rPr>
            </w:pPr>
            <w:r>
              <w:rPr>
                <w:rFonts w:ascii="宋体"/>
                <w:sz w:val="18"/>
              </w:rPr>
              <w:t>451,626,351.00</w:t>
            </w:r>
          </w:p>
        </w:tc>
        <w:tc>
          <w:tcPr>
            <w:tcW w:w="283"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1,542,269,197.82</w:t>
            </w:r>
          </w:p>
        </w:tc>
      </w:tr>
    </w:tbl>
    <w:p>
      <w:pPr>
        <w:spacing w:line="240" w:lineRule="auto" w:before="5"/>
        <w:rPr>
          <w:rFonts w:ascii="Times New Roman" w:hAnsi="Times New Roman" w:cs="Times New Roman" w:eastAsia="Times New Roman" w:hint="default"/>
          <w:sz w:val="20"/>
          <w:szCs w:val="20"/>
        </w:rPr>
      </w:pPr>
    </w:p>
    <w:p>
      <w:pPr>
        <w:pStyle w:val="Heading2"/>
        <w:spacing w:line="240" w:lineRule="auto"/>
        <w:ind w:left="1076" w:right="0"/>
        <w:jc w:val="left"/>
        <w:rPr>
          <w:b w:val="0"/>
          <w:bCs w:val="0"/>
        </w:rPr>
      </w:pPr>
      <w:bookmarkStart w:name="8、母公司所有者权益变动表" w:id="197"/>
      <w:bookmarkEnd w:id="197"/>
      <w:r>
        <w:rPr>
          <w:b w:val="0"/>
          <w:bCs w:val="0"/>
        </w:rPr>
      </w:r>
      <w:r>
        <w:rPr>
          <w:rFonts w:ascii="宋体" w:hAnsi="宋体" w:cs="宋体" w:eastAsia="宋体" w:hint="default"/>
        </w:rPr>
        <w:t>8</w:t>
      </w:r>
      <w:r>
        <w:rPr/>
        <w:t>、母公司所有者权益变动表</w:t>
      </w:r>
      <w:r>
        <w:rPr>
          <w:b w:val="0"/>
          <w:bCs w:val="0"/>
        </w:rPr>
      </w:r>
    </w:p>
    <w:p>
      <w:pPr>
        <w:spacing w:line="240" w:lineRule="auto" w:before="11"/>
        <w:rPr>
          <w:rFonts w:ascii="宋体" w:hAnsi="宋体" w:cs="宋体" w:eastAsia="宋体" w:hint="default"/>
          <w:b/>
          <w:bCs/>
          <w:sz w:val="20"/>
          <w:szCs w:val="20"/>
        </w:rPr>
      </w:pPr>
    </w:p>
    <w:p>
      <w:pPr>
        <w:spacing w:after="0" w:line="240" w:lineRule="auto"/>
        <w:rPr>
          <w:rFonts w:ascii="宋体" w:hAnsi="宋体" w:cs="宋体" w:eastAsia="宋体" w:hint="default"/>
          <w:sz w:val="20"/>
          <w:szCs w:val="20"/>
        </w:rPr>
        <w:sectPr>
          <w:pgSz w:w="11910" w:h="16840"/>
          <w:pgMar w:header="747" w:footer="979" w:top="1060" w:bottom="1160" w:left="540" w:right="0"/>
        </w:sectPr>
      </w:pPr>
    </w:p>
    <w:p>
      <w:pPr>
        <w:pStyle w:val="BodyText"/>
        <w:spacing w:line="240" w:lineRule="auto" w:before="26"/>
        <w:ind w:left="593" w:right="-19"/>
        <w:jc w:val="left"/>
      </w:pPr>
      <w:r>
        <w:rPr/>
        <w:t>本期金额</w:t>
      </w:r>
    </w:p>
    <w:p>
      <w:pPr>
        <w:spacing w:line="240" w:lineRule="auto" w:before="0"/>
        <w:rPr>
          <w:rFonts w:ascii="宋体" w:hAnsi="宋体" w:cs="宋体" w:eastAsia="宋体" w:hint="default"/>
          <w:sz w:val="20"/>
          <w:szCs w:val="20"/>
        </w:rPr>
      </w:pPr>
      <w:r>
        <w:rPr/>
        <w:br w:type="column"/>
      </w:r>
      <w:r>
        <w:rPr>
          <w:rFonts w:ascii="宋体"/>
          <w:sz w:val="20"/>
        </w:rPr>
      </w:r>
    </w:p>
    <w:p>
      <w:pPr>
        <w:spacing w:before="141"/>
        <w:ind w:left="593" w:right="0" w:firstLine="0"/>
        <w:jc w:val="left"/>
        <w:rPr>
          <w:rFonts w:ascii="宋体" w:hAnsi="宋体" w:cs="宋体" w:eastAsia="宋体" w:hint="default"/>
          <w:sz w:val="21"/>
          <w:szCs w:val="21"/>
        </w:rPr>
      </w:pPr>
      <w:r>
        <w:rPr>
          <w:rFonts w:ascii="宋体" w:hAnsi="宋体" w:cs="宋体" w:eastAsia="宋体" w:hint="default"/>
          <w:sz w:val="21"/>
          <w:szCs w:val="21"/>
        </w:rPr>
        <w:t>单位：元</w:t>
      </w:r>
    </w:p>
    <w:p>
      <w:pPr>
        <w:spacing w:after="0"/>
        <w:jc w:val="left"/>
        <w:rPr>
          <w:rFonts w:ascii="宋体" w:hAnsi="宋体" w:cs="宋体" w:eastAsia="宋体" w:hint="default"/>
          <w:sz w:val="21"/>
          <w:szCs w:val="21"/>
        </w:rPr>
        <w:sectPr>
          <w:type w:val="continuous"/>
          <w:pgSz w:w="11910" w:h="16840"/>
          <w:pgMar w:top="1060" w:bottom="1160" w:left="540" w:right="0"/>
          <w:cols w:num="2" w:equalWidth="0">
            <w:col w:w="1555" w:space="7245"/>
            <w:col w:w="2570"/>
          </w:cols>
        </w:sectPr>
      </w:pPr>
    </w:p>
    <w:p>
      <w:pPr>
        <w:spacing w:line="240" w:lineRule="auto" w:before="12"/>
        <w:rPr>
          <w:rFonts w:ascii="宋体" w:hAnsi="宋体" w:cs="宋体" w:eastAsia="宋体" w:hint="default"/>
          <w:sz w:val="6"/>
          <w:szCs w:val="6"/>
        </w:rPr>
      </w:pPr>
      <w:r>
        <w:rPr/>
        <w:pict>
          <v:group style="position:absolute;margin-left:134.960007pt;margin-top:483.549988pt;width:71pt;height:20.8pt;mso-position-horizontal-relative:page;mso-position-vertical-relative:page;z-index:-915808" coordorigin="2699,9671" coordsize="1420,416">
            <v:group style="position:absolute;left:2711;top:9682;width:2;height:393" coordorigin="2711,9682" coordsize="2,393">
              <v:shape style="position:absolute;left:2711;top:9682;width:2;height:393" coordorigin="2711,9682" coordsize="0,393" path="m2711,9682l2711,10075e" filled="false" stroked="true" strokeweight="1.140pt" strokecolor="#ffffff">
                <v:path arrowok="t"/>
              </v:shape>
            </v:group>
            <v:group style="position:absolute;left:2722;top:9682;width:1397;height:393" coordorigin="2722,9682" coordsize="1397,393">
              <v:shape style="position:absolute;left:2722;top:9682;width:1397;height:393" coordorigin="2722,9682" coordsize="1397,393" path="m2722,10075l4119,10075,4119,9682,2722,9682,2722,10075xe" filled="true" fillcolor="#ffffff" stroked="false">
                <v:path arrowok="t"/>
                <v:fill type="solid"/>
              </v:shape>
            </v:group>
            <w10:wrap type="none"/>
          </v:group>
        </w:pict>
      </w:r>
    </w:p>
    <w:tbl>
      <w:tblPr>
        <w:tblW w:w="0" w:type="auto"/>
        <w:jc w:val="left"/>
        <w:tblInd w:w="422" w:type="dxa"/>
        <w:tblLayout w:type="fixed"/>
        <w:tblCellMar>
          <w:top w:w="0" w:type="dxa"/>
          <w:left w:w="0" w:type="dxa"/>
          <w:bottom w:w="0" w:type="dxa"/>
          <w:right w:w="0" w:type="dxa"/>
        </w:tblCellMar>
        <w:tblLook w:val="01E0"/>
      </w:tblPr>
      <w:tblGrid>
        <w:gridCol w:w="1715"/>
        <w:gridCol w:w="1463"/>
        <w:gridCol w:w="283"/>
        <w:gridCol w:w="1419"/>
        <w:gridCol w:w="282"/>
        <w:gridCol w:w="284"/>
        <w:gridCol w:w="283"/>
        <w:gridCol w:w="1276"/>
        <w:gridCol w:w="1418"/>
        <w:gridCol w:w="1560"/>
      </w:tblGrid>
      <w:tr>
        <w:trPr>
          <w:trHeight w:val="397" w:hRule="exact"/>
        </w:trPr>
        <w:tc>
          <w:tcPr>
            <w:tcW w:w="1715" w:type="dxa"/>
            <w:vMerge w:val="restart"/>
            <w:tcBorders>
              <w:top w:val="single" w:sz="4" w:space="0" w:color="000000"/>
              <w:left w:val="single" w:sz="4" w:space="0" w:color="000000"/>
              <w:right w:val="single" w:sz="4" w:space="0" w:color="000000"/>
            </w:tcBorders>
            <w:shd w:val="clear" w:color="auto" w:fill="D2D2D2"/>
          </w:tcPr>
          <w:p>
            <w:pPr/>
          </w:p>
        </w:tc>
        <w:tc>
          <w:tcPr>
            <w:tcW w:w="8268"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9" w:right="0"/>
              <w:jc w:val="center"/>
              <w:rPr>
                <w:rFonts w:ascii="宋体" w:hAnsi="宋体" w:cs="宋体" w:eastAsia="宋体" w:hint="default"/>
                <w:sz w:val="21"/>
                <w:szCs w:val="21"/>
              </w:rPr>
            </w:pPr>
            <w:r>
              <w:rPr>
                <w:rFonts w:ascii="宋体" w:hAnsi="宋体" w:cs="宋体" w:eastAsia="宋体" w:hint="default"/>
                <w:sz w:val="21"/>
                <w:szCs w:val="21"/>
              </w:rPr>
              <w:t>本期</w:t>
            </w:r>
          </w:p>
        </w:tc>
      </w:tr>
      <w:tr>
        <w:trPr>
          <w:trHeight w:val="166" w:hRule="exact"/>
        </w:trPr>
        <w:tc>
          <w:tcPr>
            <w:tcW w:w="1715" w:type="dxa"/>
            <w:vMerge/>
            <w:tcBorders>
              <w:left w:val="single" w:sz="4" w:space="0" w:color="000000"/>
              <w:right w:val="single" w:sz="4" w:space="0" w:color="000000"/>
            </w:tcBorders>
            <w:shd w:val="clear" w:color="auto" w:fill="D2D2D2"/>
          </w:tcPr>
          <w:p>
            <w:pPr/>
          </w:p>
        </w:tc>
        <w:tc>
          <w:tcPr>
            <w:tcW w:w="1463" w:type="dxa"/>
            <w:vMerge w:val="restart"/>
            <w:tcBorders>
              <w:top w:val="single" w:sz="4" w:space="0" w:color="000000"/>
              <w:left w:val="single" w:sz="4" w:space="0" w:color="000000"/>
              <w:right w:val="single" w:sz="4" w:space="0" w:color="000000"/>
            </w:tcBorders>
            <w:shd w:val="clear" w:color="auto" w:fill="D2D2D2"/>
          </w:tcPr>
          <w:p>
            <w:pPr/>
          </w:p>
        </w:tc>
        <w:tc>
          <w:tcPr>
            <w:tcW w:w="283"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30"/>
              <w:ind w:left="31" w:right="30"/>
              <w:jc w:val="both"/>
              <w:rPr>
                <w:rFonts w:ascii="宋体" w:hAnsi="宋体" w:cs="宋体" w:eastAsia="宋体" w:hint="default"/>
                <w:sz w:val="21"/>
                <w:szCs w:val="21"/>
              </w:rPr>
            </w:pPr>
            <w:r>
              <w:rPr>
                <w:rFonts w:ascii="宋体" w:hAnsi="宋体" w:cs="宋体" w:eastAsia="宋体" w:hint="default"/>
                <w:sz w:val="21"/>
                <w:szCs w:val="21"/>
              </w:rPr>
              <w:t>其 他 权 益 工 具</w:t>
            </w:r>
          </w:p>
        </w:tc>
        <w:tc>
          <w:tcPr>
            <w:tcW w:w="1419" w:type="dxa"/>
            <w:vMerge w:val="restart"/>
            <w:tcBorders>
              <w:top w:val="single" w:sz="4" w:space="0" w:color="000000"/>
              <w:left w:val="single" w:sz="4" w:space="0" w:color="000000"/>
              <w:right w:val="single" w:sz="4" w:space="0" w:color="000000"/>
            </w:tcBorders>
            <w:shd w:val="clear" w:color="auto" w:fill="D2D2D2"/>
          </w:tcPr>
          <w:p>
            <w:pPr/>
          </w:p>
        </w:tc>
        <w:tc>
          <w:tcPr>
            <w:tcW w:w="282" w:type="dxa"/>
            <w:tcBorders>
              <w:top w:val="single" w:sz="4" w:space="0" w:color="000000"/>
              <w:left w:val="single" w:sz="4" w:space="0" w:color="000000"/>
              <w:bottom w:val="nil" w:sz="6" w:space="0" w:color="auto"/>
              <w:right w:val="single" w:sz="4" w:space="0" w:color="000000"/>
            </w:tcBorders>
            <w:shd w:val="clear" w:color="auto" w:fill="D2D2D2"/>
          </w:tcPr>
          <w:p>
            <w:pPr/>
          </w:p>
        </w:tc>
        <w:tc>
          <w:tcPr>
            <w:tcW w:w="284"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30"/>
              <w:ind w:left="32" w:right="30"/>
              <w:jc w:val="both"/>
              <w:rPr>
                <w:rFonts w:ascii="宋体" w:hAnsi="宋体" w:cs="宋体" w:eastAsia="宋体" w:hint="default"/>
                <w:sz w:val="21"/>
                <w:szCs w:val="21"/>
              </w:rPr>
            </w:pPr>
            <w:r>
              <w:rPr>
                <w:rFonts w:ascii="宋体" w:hAnsi="宋体" w:cs="宋体" w:eastAsia="宋体" w:hint="default"/>
                <w:sz w:val="21"/>
                <w:szCs w:val="21"/>
              </w:rPr>
              <w:t>其 他 综 合 收 益</w:t>
            </w:r>
          </w:p>
        </w:tc>
        <w:tc>
          <w:tcPr>
            <w:tcW w:w="283" w:type="dxa"/>
            <w:vMerge w:val="restart"/>
            <w:tcBorders>
              <w:top w:val="single" w:sz="4" w:space="0" w:color="000000"/>
              <w:left w:val="single" w:sz="4" w:space="0" w:color="000000"/>
              <w:right w:val="single" w:sz="4" w:space="0" w:color="000000"/>
            </w:tcBorders>
            <w:shd w:val="clear" w:color="auto" w:fill="D2D2D2"/>
          </w:tcPr>
          <w:p>
            <w:pPr/>
          </w:p>
        </w:tc>
        <w:tc>
          <w:tcPr>
            <w:tcW w:w="1276" w:type="dxa"/>
            <w:vMerge w:val="restart"/>
            <w:tcBorders>
              <w:top w:val="single" w:sz="4" w:space="0" w:color="000000"/>
              <w:left w:val="single" w:sz="4" w:space="0" w:color="000000"/>
              <w:right w:val="single" w:sz="4" w:space="0" w:color="000000"/>
            </w:tcBorders>
            <w:shd w:val="clear" w:color="auto" w:fill="D2D2D2"/>
          </w:tcPr>
          <w:p>
            <w:pPr/>
          </w:p>
        </w:tc>
        <w:tc>
          <w:tcPr>
            <w:tcW w:w="1418" w:type="dxa"/>
            <w:vMerge w:val="restart"/>
            <w:tcBorders>
              <w:top w:val="single" w:sz="4" w:space="0" w:color="000000"/>
              <w:left w:val="single" w:sz="4" w:space="0" w:color="000000"/>
              <w:right w:val="single" w:sz="4" w:space="0" w:color="000000"/>
            </w:tcBorders>
            <w:shd w:val="clear" w:color="auto" w:fill="D2D2D2"/>
          </w:tcPr>
          <w:p>
            <w:pPr/>
          </w:p>
        </w:tc>
        <w:tc>
          <w:tcPr>
            <w:tcW w:w="1560" w:type="dxa"/>
            <w:vMerge w:val="restart"/>
            <w:tcBorders>
              <w:top w:val="single" w:sz="4" w:space="0" w:color="000000"/>
              <w:left w:val="single" w:sz="4" w:space="0" w:color="000000"/>
              <w:right w:val="single" w:sz="4" w:space="0" w:color="000000"/>
            </w:tcBorders>
            <w:shd w:val="clear" w:color="auto" w:fill="D2D2D2"/>
          </w:tcPr>
          <w:p>
            <w:pPr/>
          </w:p>
        </w:tc>
      </w:tr>
      <w:tr>
        <w:trPr>
          <w:trHeight w:val="156" w:hRule="exact"/>
        </w:trPr>
        <w:tc>
          <w:tcPr>
            <w:tcW w:w="1715" w:type="dxa"/>
            <w:vMerge/>
            <w:tcBorders>
              <w:left w:val="single" w:sz="4" w:space="0" w:color="000000"/>
              <w:right w:val="single" w:sz="4" w:space="0" w:color="000000"/>
            </w:tcBorders>
            <w:shd w:val="clear" w:color="auto" w:fill="D2D2D2"/>
          </w:tcPr>
          <w:p>
            <w:pPr/>
          </w:p>
        </w:tc>
        <w:tc>
          <w:tcPr>
            <w:tcW w:w="1463" w:type="dxa"/>
            <w:vMerge/>
            <w:tcBorders>
              <w:left w:val="single" w:sz="4" w:space="0" w:color="000000"/>
              <w:right w:val="single" w:sz="4" w:space="0" w:color="000000"/>
            </w:tcBorders>
            <w:shd w:val="clear" w:color="auto" w:fill="D2D2D2"/>
          </w:tcPr>
          <w:p>
            <w:pPr/>
          </w:p>
        </w:tc>
        <w:tc>
          <w:tcPr>
            <w:tcW w:w="283" w:type="dxa"/>
            <w:vMerge/>
            <w:tcBorders>
              <w:left w:val="single" w:sz="4" w:space="0" w:color="000000"/>
              <w:right w:val="single" w:sz="4" w:space="0" w:color="000000"/>
            </w:tcBorders>
            <w:shd w:val="clear" w:color="auto" w:fill="D2D2D2"/>
          </w:tcPr>
          <w:p>
            <w:pPr/>
          </w:p>
        </w:tc>
        <w:tc>
          <w:tcPr>
            <w:tcW w:w="1419" w:type="dxa"/>
            <w:vMerge/>
            <w:tcBorders>
              <w:left w:val="single" w:sz="4" w:space="0" w:color="000000"/>
              <w:right w:val="single" w:sz="4" w:space="0" w:color="000000"/>
            </w:tcBorders>
            <w:shd w:val="clear" w:color="auto" w:fill="D2D2D2"/>
          </w:tcPr>
          <w:p>
            <w:pPr/>
          </w:p>
        </w:tc>
        <w:tc>
          <w:tcPr>
            <w:tcW w:w="28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6"/>
              <w:ind w:left="31" w:right="0"/>
              <w:jc w:val="both"/>
              <w:rPr>
                <w:rFonts w:ascii="宋体" w:hAnsi="宋体" w:cs="宋体" w:eastAsia="宋体" w:hint="default"/>
                <w:sz w:val="21"/>
                <w:szCs w:val="21"/>
              </w:rPr>
            </w:pPr>
            <w:r>
              <w:rPr>
                <w:rFonts w:ascii="宋体" w:hAnsi="宋体" w:cs="宋体" w:eastAsia="宋体" w:hint="default"/>
                <w:sz w:val="21"/>
                <w:szCs w:val="21"/>
              </w:rPr>
              <w:t>减</w:t>
            </w:r>
          </w:p>
          <w:p>
            <w:pPr>
              <w:pStyle w:val="TableParagraph"/>
              <w:spacing w:line="273" w:lineRule="auto" w:before="37"/>
              <w:ind w:left="31" w:right="29"/>
              <w:jc w:val="both"/>
              <w:rPr>
                <w:rFonts w:ascii="宋体" w:hAnsi="宋体" w:cs="宋体" w:eastAsia="宋体" w:hint="default"/>
                <w:sz w:val="21"/>
                <w:szCs w:val="21"/>
              </w:rPr>
            </w:pPr>
            <w:r>
              <w:rPr>
                <w:rFonts w:ascii="宋体" w:hAnsi="宋体" w:cs="宋体" w:eastAsia="宋体" w:hint="default"/>
                <w:sz w:val="21"/>
                <w:szCs w:val="21"/>
              </w:rPr>
              <w:t>： 库 存 股</w:t>
            </w:r>
          </w:p>
        </w:tc>
        <w:tc>
          <w:tcPr>
            <w:tcW w:w="284" w:type="dxa"/>
            <w:vMerge/>
            <w:tcBorders>
              <w:left w:val="single" w:sz="4" w:space="0" w:color="000000"/>
              <w:right w:val="single" w:sz="4" w:space="0" w:color="000000"/>
            </w:tcBorders>
            <w:shd w:val="clear" w:color="auto" w:fill="D2D2D2"/>
          </w:tcPr>
          <w:p>
            <w:pPr/>
          </w:p>
        </w:tc>
        <w:tc>
          <w:tcPr>
            <w:tcW w:w="283" w:type="dxa"/>
            <w:vMerge/>
            <w:tcBorders>
              <w:left w:val="single" w:sz="4" w:space="0" w:color="000000"/>
              <w:bottom w:val="nil" w:sz="6" w:space="0" w:color="auto"/>
              <w:right w:val="single" w:sz="4" w:space="0" w:color="000000"/>
            </w:tcBorders>
            <w:shd w:val="clear" w:color="auto" w:fill="D2D2D2"/>
          </w:tcPr>
          <w:p>
            <w:pPr/>
          </w:p>
        </w:tc>
        <w:tc>
          <w:tcPr>
            <w:tcW w:w="1276" w:type="dxa"/>
            <w:vMerge/>
            <w:tcBorders>
              <w:left w:val="single" w:sz="4" w:space="0" w:color="000000"/>
              <w:right w:val="single" w:sz="4" w:space="0" w:color="000000"/>
            </w:tcBorders>
            <w:shd w:val="clear" w:color="auto" w:fill="D2D2D2"/>
          </w:tcPr>
          <w:p>
            <w:pPr/>
          </w:p>
        </w:tc>
        <w:tc>
          <w:tcPr>
            <w:tcW w:w="1418" w:type="dxa"/>
            <w:vMerge/>
            <w:tcBorders>
              <w:left w:val="single" w:sz="4" w:space="0" w:color="000000"/>
              <w:right w:val="single" w:sz="4" w:space="0" w:color="000000"/>
            </w:tcBorders>
            <w:shd w:val="clear" w:color="auto" w:fill="D2D2D2"/>
          </w:tcPr>
          <w:p>
            <w:pPr/>
          </w:p>
        </w:tc>
        <w:tc>
          <w:tcPr>
            <w:tcW w:w="1560" w:type="dxa"/>
            <w:vMerge/>
            <w:tcBorders>
              <w:left w:val="single" w:sz="4" w:space="0" w:color="000000"/>
              <w:right w:val="single" w:sz="4" w:space="0" w:color="000000"/>
            </w:tcBorders>
            <w:shd w:val="clear" w:color="auto" w:fill="D2D2D2"/>
          </w:tcPr>
          <w:p>
            <w:pPr/>
          </w:p>
        </w:tc>
      </w:tr>
      <w:tr>
        <w:trPr>
          <w:trHeight w:val="268" w:hRule="exact"/>
        </w:trPr>
        <w:tc>
          <w:tcPr>
            <w:tcW w:w="1715" w:type="dxa"/>
            <w:vMerge/>
            <w:tcBorders>
              <w:left w:val="single" w:sz="4" w:space="0" w:color="000000"/>
              <w:bottom w:val="nil" w:sz="6" w:space="0" w:color="auto"/>
              <w:right w:val="single" w:sz="4" w:space="0" w:color="000000"/>
            </w:tcBorders>
            <w:shd w:val="clear" w:color="auto" w:fill="D2D2D2"/>
          </w:tcPr>
          <w:p>
            <w:pPr/>
          </w:p>
        </w:tc>
        <w:tc>
          <w:tcPr>
            <w:tcW w:w="1463" w:type="dxa"/>
            <w:vMerge/>
            <w:tcBorders>
              <w:left w:val="single" w:sz="4" w:space="0" w:color="000000"/>
              <w:right w:val="single" w:sz="4" w:space="0" w:color="000000"/>
            </w:tcBorders>
            <w:shd w:val="clear" w:color="auto" w:fill="D2D2D2"/>
          </w:tcPr>
          <w:p>
            <w:pPr/>
          </w:p>
        </w:tc>
        <w:tc>
          <w:tcPr>
            <w:tcW w:w="283" w:type="dxa"/>
            <w:vMerge/>
            <w:tcBorders>
              <w:left w:val="single" w:sz="4" w:space="0" w:color="000000"/>
              <w:right w:val="single" w:sz="4" w:space="0" w:color="000000"/>
            </w:tcBorders>
            <w:shd w:val="clear" w:color="auto" w:fill="D2D2D2"/>
          </w:tcPr>
          <w:p>
            <w:pPr/>
          </w:p>
        </w:tc>
        <w:tc>
          <w:tcPr>
            <w:tcW w:w="1419" w:type="dxa"/>
            <w:vMerge/>
            <w:tcBorders>
              <w:left w:val="single" w:sz="4" w:space="0" w:color="000000"/>
              <w:right w:val="single" w:sz="4" w:space="0" w:color="000000"/>
            </w:tcBorders>
            <w:shd w:val="clear" w:color="auto" w:fill="D2D2D2"/>
          </w:tcPr>
          <w:p>
            <w:pPr/>
          </w:p>
        </w:tc>
        <w:tc>
          <w:tcPr>
            <w:tcW w:w="282" w:type="dxa"/>
            <w:vMerge/>
            <w:tcBorders>
              <w:left w:val="single" w:sz="4" w:space="0" w:color="000000"/>
              <w:right w:val="single" w:sz="4" w:space="0" w:color="000000"/>
            </w:tcBorders>
            <w:shd w:val="clear" w:color="auto" w:fill="D2D2D2"/>
          </w:tcPr>
          <w:p>
            <w:pPr/>
          </w:p>
        </w:tc>
        <w:tc>
          <w:tcPr>
            <w:tcW w:w="284" w:type="dxa"/>
            <w:vMerge/>
            <w:tcBorders>
              <w:left w:val="single" w:sz="4" w:space="0" w:color="000000"/>
              <w:right w:val="single" w:sz="4" w:space="0" w:color="000000"/>
            </w:tcBorders>
            <w:shd w:val="clear" w:color="auto" w:fill="D2D2D2"/>
          </w:tcPr>
          <w:p>
            <w:pPr/>
          </w:p>
        </w:tc>
        <w:tc>
          <w:tcPr>
            <w:tcW w:w="283" w:type="dxa"/>
            <w:vMerge w:val="restart"/>
            <w:tcBorders>
              <w:top w:val="nil" w:sz="6" w:space="0" w:color="auto"/>
              <w:left w:val="single" w:sz="4" w:space="0" w:color="000000"/>
              <w:right w:val="single" w:sz="4" w:space="0" w:color="000000"/>
            </w:tcBorders>
            <w:shd w:val="clear" w:color="auto" w:fill="D2D2D2"/>
          </w:tcPr>
          <w:p>
            <w:pPr>
              <w:pStyle w:val="TableParagraph"/>
              <w:spacing w:line="273" w:lineRule="auto" w:before="26"/>
              <w:ind w:left="31" w:right="30"/>
              <w:jc w:val="both"/>
              <w:rPr>
                <w:rFonts w:ascii="宋体" w:hAnsi="宋体" w:cs="宋体" w:eastAsia="宋体" w:hint="default"/>
                <w:sz w:val="21"/>
                <w:szCs w:val="21"/>
              </w:rPr>
            </w:pPr>
            <w:r>
              <w:rPr>
                <w:rFonts w:ascii="宋体" w:hAnsi="宋体" w:cs="宋体" w:eastAsia="宋体" w:hint="default"/>
                <w:sz w:val="21"/>
                <w:szCs w:val="21"/>
              </w:rPr>
              <w:t>专 项 储 备</w:t>
            </w:r>
          </w:p>
        </w:tc>
        <w:tc>
          <w:tcPr>
            <w:tcW w:w="1276" w:type="dxa"/>
            <w:vMerge/>
            <w:tcBorders>
              <w:left w:val="single" w:sz="4" w:space="0" w:color="000000"/>
              <w:right w:val="single" w:sz="4" w:space="0" w:color="000000"/>
            </w:tcBorders>
            <w:shd w:val="clear" w:color="auto" w:fill="D2D2D2"/>
          </w:tcPr>
          <w:p>
            <w:pPr/>
          </w:p>
        </w:tc>
        <w:tc>
          <w:tcPr>
            <w:tcW w:w="1418" w:type="dxa"/>
            <w:vMerge/>
            <w:tcBorders>
              <w:left w:val="single" w:sz="4" w:space="0" w:color="000000"/>
              <w:right w:val="single" w:sz="4" w:space="0" w:color="000000"/>
            </w:tcBorders>
            <w:shd w:val="clear" w:color="auto" w:fill="D2D2D2"/>
          </w:tcPr>
          <w:p>
            <w:pPr/>
          </w:p>
        </w:tc>
        <w:tc>
          <w:tcPr>
            <w:tcW w:w="1560" w:type="dxa"/>
            <w:vMerge/>
            <w:tcBorders>
              <w:left w:val="single" w:sz="4" w:space="0" w:color="000000"/>
              <w:right w:val="single" w:sz="4" w:space="0" w:color="000000"/>
            </w:tcBorders>
            <w:shd w:val="clear" w:color="auto" w:fill="D2D2D2"/>
          </w:tcPr>
          <w:p>
            <w:pPr/>
          </w:p>
        </w:tc>
      </w:tr>
      <w:tr>
        <w:trPr>
          <w:trHeight w:val="200" w:hRule="exact"/>
        </w:trPr>
        <w:tc>
          <w:tcPr>
            <w:tcW w:w="171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463" w:type="dxa"/>
            <w:vMerge/>
            <w:tcBorders>
              <w:left w:val="single" w:sz="4" w:space="0" w:color="000000"/>
              <w:bottom w:val="nil" w:sz="6" w:space="0" w:color="auto"/>
              <w:right w:val="single" w:sz="4" w:space="0" w:color="000000"/>
            </w:tcBorders>
            <w:shd w:val="clear" w:color="auto" w:fill="D2D2D2"/>
          </w:tcPr>
          <w:p>
            <w:pPr/>
          </w:p>
        </w:tc>
        <w:tc>
          <w:tcPr>
            <w:tcW w:w="283" w:type="dxa"/>
            <w:vMerge/>
            <w:tcBorders>
              <w:left w:val="single" w:sz="4" w:space="0" w:color="000000"/>
              <w:right w:val="single" w:sz="4" w:space="0" w:color="000000"/>
            </w:tcBorders>
            <w:shd w:val="clear" w:color="auto" w:fill="D2D2D2"/>
          </w:tcPr>
          <w:p>
            <w:pPr/>
          </w:p>
        </w:tc>
        <w:tc>
          <w:tcPr>
            <w:tcW w:w="1419" w:type="dxa"/>
            <w:vMerge/>
            <w:tcBorders>
              <w:left w:val="single" w:sz="4" w:space="0" w:color="000000"/>
              <w:bottom w:val="nil" w:sz="6" w:space="0" w:color="auto"/>
              <w:right w:val="single" w:sz="4" w:space="0" w:color="000000"/>
            </w:tcBorders>
            <w:shd w:val="clear" w:color="auto" w:fill="D2D2D2"/>
          </w:tcPr>
          <w:p>
            <w:pPr/>
          </w:p>
        </w:tc>
        <w:tc>
          <w:tcPr>
            <w:tcW w:w="282" w:type="dxa"/>
            <w:vMerge/>
            <w:tcBorders>
              <w:left w:val="single" w:sz="4" w:space="0" w:color="000000"/>
              <w:right w:val="single" w:sz="4" w:space="0" w:color="000000"/>
            </w:tcBorders>
            <w:shd w:val="clear" w:color="auto" w:fill="D2D2D2"/>
          </w:tcPr>
          <w:p>
            <w:pPr/>
          </w:p>
        </w:tc>
        <w:tc>
          <w:tcPr>
            <w:tcW w:w="284" w:type="dxa"/>
            <w:vMerge/>
            <w:tcBorders>
              <w:left w:val="single" w:sz="4" w:space="0" w:color="000000"/>
              <w:right w:val="single" w:sz="4" w:space="0" w:color="000000"/>
            </w:tcBorders>
            <w:shd w:val="clear" w:color="auto" w:fill="D2D2D2"/>
          </w:tcPr>
          <w:p>
            <w:pPr/>
          </w:p>
        </w:tc>
        <w:tc>
          <w:tcPr>
            <w:tcW w:w="283" w:type="dxa"/>
            <w:vMerge/>
            <w:tcBorders>
              <w:left w:val="single" w:sz="4" w:space="0" w:color="000000"/>
              <w:right w:val="single" w:sz="4" w:space="0" w:color="000000"/>
            </w:tcBorders>
            <w:shd w:val="clear" w:color="auto" w:fill="D2D2D2"/>
          </w:tcPr>
          <w:p>
            <w:pPr/>
          </w:p>
        </w:tc>
        <w:tc>
          <w:tcPr>
            <w:tcW w:w="1276" w:type="dxa"/>
            <w:vMerge/>
            <w:tcBorders>
              <w:left w:val="single" w:sz="4" w:space="0" w:color="000000"/>
              <w:bottom w:val="nil" w:sz="6" w:space="0" w:color="auto"/>
              <w:right w:val="single" w:sz="4" w:space="0" w:color="000000"/>
            </w:tcBorders>
            <w:shd w:val="clear" w:color="auto" w:fill="D2D2D2"/>
          </w:tcPr>
          <w:p>
            <w:pPr/>
          </w:p>
        </w:tc>
        <w:tc>
          <w:tcPr>
            <w:tcW w:w="1418" w:type="dxa"/>
            <w:vMerge/>
            <w:tcBorders>
              <w:left w:val="single" w:sz="4" w:space="0" w:color="000000"/>
              <w:bottom w:val="nil" w:sz="6" w:space="0" w:color="auto"/>
              <w:right w:val="single" w:sz="4" w:space="0" w:color="000000"/>
            </w:tcBorders>
            <w:shd w:val="clear" w:color="auto" w:fill="D2D2D2"/>
          </w:tcPr>
          <w:p>
            <w:pPr/>
          </w:p>
        </w:tc>
        <w:tc>
          <w:tcPr>
            <w:tcW w:w="1560" w:type="dxa"/>
            <w:vMerge/>
            <w:tcBorders>
              <w:left w:val="single" w:sz="4" w:space="0" w:color="000000"/>
              <w:bottom w:val="nil" w:sz="6" w:space="0" w:color="auto"/>
              <w:right w:val="single" w:sz="4" w:space="0" w:color="000000"/>
            </w:tcBorders>
            <w:shd w:val="clear" w:color="auto" w:fill="D2D2D2"/>
          </w:tcPr>
          <w:p>
            <w:pPr/>
          </w:p>
        </w:tc>
      </w:tr>
      <w:tr>
        <w:trPr>
          <w:trHeight w:val="191" w:hRule="exact"/>
        </w:trPr>
        <w:tc>
          <w:tcPr>
            <w:tcW w:w="1715" w:type="dxa"/>
            <w:vMerge/>
            <w:tcBorders>
              <w:left w:val="single" w:sz="4" w:space="0" w:color="000000"/>
              <w:bottom w:val="nil" w:sz="6" w:space="0" w:color="auto"/>
              <w:right w:val="single" w:sz="4" w:space="0" w:color="000000"/>
            </w:tcBorders>
            <w:shd w:val="clear" w:color="auto" w:fill="D2D2D2"/>
          </w:tcPr>
          <w:p>
            <w:pPr/>
          </w:p>
        </w:tc>
        <w:tc>
          <w:tcPr>
            <w:tcW w:w="146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6"/>
              <w:ind w:left="9" w:right="0"/>
              <w:jc w:val="center"/>
              <w:rPr>
                <w:rFonts w:ascii="宋体" w:hAnsi="宋体" w:cs="宋体" w:eastAsia="宋体" w:hint="default"/>
                <w:sz w:val="21"/>
                <w:szCs w:val="21"/>
              </w:rPr>
            </w:pPr>
            <w:r>
              <w:rPr>
                <w:rFonts w:ascii="宋体" w:hAnsi="宋体" w:cs="宋体" w:eastAsia="宋体" w:hint="default"/>
                <w:sz w:val="21"/>
                <w:szCs w:val="21"/>
              </w:rPr>
              <w:t>股本</w:t>
            </w:r>
          </w:p>
        </w:tc>
        <w:tc>
          <w:tcPr>
            <w:tcW w:w="283" w:type="dxa"/>
            <w:vMerge/>
            <w:tcBorders>
              <w:left w:val="single" w:sz="4" w:space="0" w:color="000000"/>
              <w:right w:val="single" w:sz="4" w:space="0" w:color="000000"/>
            </w:tcBorders>
            <w:shd w:val="clear" w:color="auto" w:fill="D2D2D2"/>
          </w:tcPr>
          <w:p>
            <w:pPr/>
          </w:p>
        </w:tc>
        <w:tc>
          <w:tcPr>
            <w:tcW w:w="141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6"/>
              <w:ind w:left="283"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282" w:type="dxa"/>
            <w:vMerge/>
            <w:tcBorders>
              <w:left w:val="single" w:sz="4" w:space="0" w:color="000000"/>
              <w:right w:val="single" w:sz="4" w:space="0" w:color="000000"/>
            </w:tcBorders>
            <w:shd w:val="clear" w:color="auto" w:fill="D2D2D2"/>
          </w:tcPr>
          <w:p>
            <w:pPr/>
          </w:p>
        </w:tc>
        <w:tc>
          <w:tcPr>
            <w:tcW w:w="284" w:type="dxa"/>
            <w:vMerge/>
            <w:tcBorders>
              <w:left w:val="single" w:sz="4" w:space="0" w:color="000000"/>
              <w:right w:val="single" w:sz="4" w:space="0" w:color="000000"/>
            </w:tcBorders>
            <w:shd w:val="clear" w:color="auto" w:fill="D2D2D2"/>
          </w:tcPr>
          <w:p>
            <w:pPr/>
          </w:p>
        </w:tc>
        <w:tc>
          <w:tcPr>
            <w:tcW w:w="283" w:type="dxa"/>
            <w:vMerge/>
            <w:tcBorders>
              <w:left w:val="single" w:sz="4" w:space="0" w:color="000000"/>
              <w:right w:val="single" w:sz="4" w:space="0" w:color="000000"/>
            </w:tcBorders>
            <w:shd w:val="clear" w:color="auto" w:fill="D2D2D2"/>
          </w:tcPr>
          <w:p>
            <w:pPr/>
          </w:p>
        </w:tc>
        <w:tc>
          <w:tcPr>
            <w:tcW w:w="127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6"/>
              <w:ind w:left="212"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141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6"/>
              <w:ind w:left="177"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156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6"/>
              <w:ind w:left="39" w:right="0"/>
              <w:jc w:val="left"/>
              <w:rPr>
                <w:rFonts w:ascii="宋体" w:hAnsi="宋体" w:cs="宋体" w:eastAsia="宋体" w:hint="default"/>
                <w:sz w:val="21"/>
                <w:szCs w:val="21"/>
              </w:rPr>
            </w:pPr>
            <w:r>
              <w:rPr>
                <w:rFonts w:ascii="宋体" w:hAnsi="宋体" w:cs="宋体" w:eastAsia="宋体" w:hint="default"/>
                <w:sz w:val="21"/>
                <w:szCs w:val="21"/>
              </w:rPr>
              <w:t>所有者权益合计</w:t>
            </w:r>
          </w:p>
        </w:tc>
      </w:tr>
      <w:tr>
        <w:trPr>
          <w:trHeight w:val="202" w:hRule="exact"/>
        </w:trPr>
        <w:tc>
          <w:tcPr>
            <w:tcW w:w="1715" w:type="dxa"/>
            <w:vMerge w:val="restart"/>
            <w:tcBorders>
              <w:top w:val="nil" w:sz="6" w:space="0" w:color="auto"/>
              <w:left w:val="single" w:sz="4" w:space="0" w:color="000000"/>
              <w:right w:val="single" w:sz="4" w:space="0" w:color="000000"/>
            </w:tcBorders>
            <w:shd w:val="clear" w:color="auto" w:fill="D2D2D2"/>
          </w:tcPr>
          <w:p>
            <w:pPr/>
          </w:p>
        </w:tc>
        <w:tc>
          <w:tcPr>
            <w:tcW w:w="1463" w:type="dxa"/>
            <w:vMerge/>
            <w:tcBorders>
              <w:left w:val="single" w:sz="4" w:space="0" w:color="000000"/>
              <w:bottom w:val="nil" w:sz="6" w:space="0" w:color="auto"/>
              <w:right w:val="single" w:sz="4" w:space="0" w:color="000000"/>
            </w:tcBorders>
            <w:shd w:val="clear" w:color="auto" w:fill="D2D2D2"/>
          </w:tcPr>
          <w:p>
            <w:pPr/>
          </w:p>
        </w:tc>
        <w:tc>
          <w:tcPr>
            <w:tcW w:w="283" w:type="dxa"/>
            <w:vMerge/>
            <w:tcBorders>
              <w:left w:val="single" w:sz="4" w:space="0" w:color="000000"/>
              <w:right w:val="single" w:sz="4" w:space="0" w:color="000000"/>
            </w:tcBorders>
            <w:shd w:val="clear" w:color="auto" w:fill="D2D2D2"/>
          </w:tcPr>
          <w:p>
            <w:pPr/>
          </w:p>
        </w:tc>
        <w:tc>
          <w:tcPr>
            <w:tcW w:w="1419" w:type="dxa"/>
            <w:vMerge/>
            <w:tcBorders>
              <w:left w:val="single" w:sz="4" w:space="0" w:color="000000"/>
              <w:bottom w:val="nil" w:sz="6" w:space="0" w:color="auto"/>
              <w:right w:val="single" w:sz="4" w:space="0" w:color="000000"/>
            </w:tcBorders>
            <w:shd w:val="clear" w:color="auto" w:fill="D2D2D2"/>
          </w:tcPr>
          <w:p>
            <w:pPr/>
          </w:p>
        </w:tc>
        <w:tc>
          <w:tcPr>
            <w:tcW w:w="282" w:type="dxa"/>
            <w:vMerge/>
            <w:tcBorders>
              <w:left w:val="single" w:sz="4" w:space="0" w:color="000000"/>
              <w:right w:val="single" w:sz="4" w:space="0" w:color="000000"/>
            </w:tcBorders>
            <w:shd w:val="clear" w:color="auto" w:fill="D2D2D2"/>
          </w:tcPr>
          <w:p>
            <w:pPr/>
          </w:p>
        </w:tc>
        <w:tc>
          <w:tcPr>
            <w:tcW w:w="284" w:type="dxa"/>
            <w:vMerge/>
            <w:tcBorders>
              <w:left w:val="single" w:sz="4" w:space="0" w:color="000000"/>
              <w:right w:val="single" w:sz="4" w:space="0" w:color="000000"/>
            </w:tcBorders>
            <w:shd w:val="clear" w:color="auto" w:fill="D2D2D2"/>
          </w:tcPr>
          <w:p>
            <w:pPr/>
          </w:p>
        </w:tc>
        <w:tc>
          <w:tcPr>
            <w:tcW w:w="283" w:type="dxa"/>
            <w:vMerge/>
            <w:tcBorders>
              <w:left w:val="single" w:sz="4" w:space="0" w:color="000000"/>
              <w:right w:val="single" w:sz="4" w:space="0" w:color="000000"/>
            </w:tcBorders>
            <w:shd w:val="clear" w:color="auto" w:fill="D2D2D2"/>
          </w:tcPr>
          <w:p>
            <w:pPr/>
          </w:p>
        </w:tc>
        <w:tc>
          <w:tcPr>
            <w:tcW w:w="1276" w:type="dxa"/>
            <w:vMerge/>
            <w:tcBorders>
              <w:left w:val="single" w:sz="4" w:space="0" w:color="000000"/>
              <w:bottom w:val="nil" w:sz="6" w:space="0" w:color="auto"/>
              <w:right w:val="single" w:sz="4" w:space="0" w:color="000000"/>
            </w:tcBorders>
            <w:shd w:val="clear" w:color="auto" w:fill="D2D2D2"/>
          </w:tcPr>
          <w:p>
            <w:pPr/>
          </w:p>
        </w:tc>
        <w:tc>
          <w:tcPr>
            <w:tcW w:w="1418" w:type="dxa"/>
            <w:vMerge/>
            <w:tcBorders>
              <w:left w:val="single" w:sz="4" w:space="0" w:color="000000"/>
              <w:bottom w:val="nil" w:sz="6" w:space="0" w:color="auto"/>
              <w:right w:val="single" w:sz="4" w:space="0" w:color="000000"/>
            </w:tcBorders>
            <w:shd w:val="clear" w:color="auto" w:fill="D2D2D2"/>
          </w:tcPr>
          <w:p>
            <w:pPr/>
          </w:p>
        </w:tc>
        <w:tc>
          <w:tcPr>
            <w:tcW w:w="1560" w:type="dxa"/>
            <w:vMerge/>
            <w:tcBorders>
              <w:left w:val="single" w:sz="4" w:space="0" w:color="000000"/>
              <w:bottom w:val="nil" w:sz="6" w:space="0" w:color="auto"/>
              <w:right w:val="single" w:sz="4" w:space="0" w:color="000000"/>
            </w:tcBorders>
            <w:shd w:val="clear" w:color="auto" w:fill="D2D2D2"/>
          </w:tcPr>
          <w:p>
            <w:pPr/>
          </w:p>
        </w:tc>
      </w:tr>
      <w:tr>
        <w:trPr>
          <w:trHeight w:val="468" w:hRule="exact"/>
        </w:trPr>
        <w:tc>
          <w:tcPr>
            <w:tcW w:w="1715" w:type="dxa"/>
            <w:vMerge/>
            <w:tcBorders>
              <w:left w:val="single" w:sz="4" w:space="0" w:color="000000"/>
              <w:right w:val="single" w:sz="4" w:space="0" w:color="000000"/>
            </w:tcBorders>
            <w:shd w:val="clear" w:color="auto" w:fill="D2D2D2"/>
          </w:tcPr>
          <w:p>
            <w:pPr/>
          </w:p>
        </w:tc>
        <w:tc>
          <w:tcPr>
            <w:tcW w:w="1463" w:type="dxa"/>
            <w:vMerge w:val="restart"/>
            <w:tcBorders>
              <w:top w:val="nil" w:sz="6" w:space="0" w:color="auto"/>
              <w:left w:val="single" w:sz="4" w:space="0" w:color="000000"/>
              <w:right w:val="single" w:sz="4" w:space="0" w:color="000000"/>
            </w:tcBorders>
            <w:shd w:val="clear" w:color="auto" w:fill="D2D2D2"/>
          </w:tcPr>
          <w:p>
            <w:pPr/>
          </w:p>
        </w:tc>
        <w:tc>
          <w:tcPr>
            <w:tcW w:w="283" w:type="dxa"/>
            <w:vMerge/>
            <w:tcBorders>
              <w:left w:val="single" w:sz="4" w:space="0" w:color="000000"/>
              <w:right w:val="single" w:sz="4" w:space="0" w:color="000000"/>
            </w:tcBorders>
            <w:shd w:val="clear" w:color="auto" w:fill="D2D2D2"/>
          </w:tcPr>
          <w:p>
            <w:pPr/>
          </w:p>
        </w:tc>
        <w:tc>
          <w:tcPr>
            <w:tcW w:w="1419" w:type="dxa"/>
            <w:vMerge w:val="restart"/>
            <w:tcBorders>
              <w:top w:val="nil" w:sz="6" w:space="0" w:color="auto"/>
              <w:left w:val="single" w:sz="4" w:space="0" w:color="000000"/>
              <w:right w:val="single" w:sz="4" w:space="0" w:color="000000"/>
            </w:tcBorders>
            <w:shd w:val="clear" w:color="auto" w:fill="D2D2D2"/>
          </w:tcPr>
          <w:p>
            <w:pPr/>
          </w:p>
        </w:tc>
        <w:tc>
          <w:tcPr>
            <w:tcW w:w="282" w:type="dxa"/>
            <w:vMerge/>
            <w:tcBorders>
              <w:left w:val="single" w:sz="4" w:space="0" w:color="000000"/>
              <w:right w:val="single" w:sz="4" w:space="0" w:color="000000"/>
            </w:tcBorders>
            <w:shd w:val="clear" w:color="auto" w:fill="D2D2D2"/>
          </w:tcPr>
          <w:p>
            <w:pPr/>
          </w:p>
        </w:tc>
        <w:tc>
          <w:tcPr>
            <w:tcW w:w="284" w:type="dxa"/>
            <w:vMerge/>
            <w:tcBorders>
              <w:left w:val="single" w:sz="4" w:space="0" w:color="000000"/>
              <w:right w:val="single" w:sz="4" w:space="0" w:color="000000"/>
            </w:tcBorders>
            <w:shd w:val="clear" w:color="auto" w:fill="D2D2D2"/>
          </w:tcPr>
          <w:p>
            <w:pPr/>
          </w:p>
        </w:tc>
        <w:tc>
          <w:tcPr>
            <w:tcW w:w="283" w:type="dxa"/>
            <w:vMerge/>
            <w:tcBorders>
              <w:left w:val="single" w:sz="4" w:space="0" w:color="000000"/>
              <w:bottom w:val="nil" w:sz="6" w:space="0" w:color="auto"/>
              <w:right w:val="single" w:sz="4" w:space="0" w:color="000000"/>
            </w:tcBorders>
            <w:shd w:val="clear" w:color="auto" w:fill="D2D2D2"/>
          </w:tcPr>
          <w:p>
            <w:pPr/>
          </w:p>
        </w:tc>
        <w:tc>
          <w:tcPr>
            <w:tcW w:w="1276" w:type="dxa"/>
            <w:vMerge w:val="restart"/>
            <w:tcBorders>
              <w:top w:val="nil" w:sz="6" w:space="0" w:color="auto"/>
              <w:left w:val="single" w:sz="4" w:space="0" w:color="000000"/>
              <w:right w:val="single" w:sz="4" w:space="0" w:color="000000"/>
            </w:tcBorders>
            <w:shd w:val="clear" w:color="auto" w:fill="D2D2D2"/>
          </w:tcPr>
          <w:p>
            <w:pPr/>
          </w:p>
        </w:tc>
        <w:tc>
          <w:tcPr>
            <w:tcW w:w="1418" w:type="dxa"/>
            <w:vMerge w:val="restart"/>
            <w:tcBorders>
              <w:top w:val="nil" w:sz="6" w:space="0" w:color="auto"/>
              <w:left w:val="single" w:sz="4" w:space="0" w:color="000000"/>
              <w:right w:val="single" w:sz="4" w:space="0" w:color="000000"/>
            </w:tcBorders>
            <w:shd w:val="clear" w:color="auto" w:fill="D2D2D2"/>
          </w:tcPr>
          <w:p>
            <w:pPr/>
          </w:p>
        </w:tc>
        <w:tc>
          <w:tcPr>
            <w:tcW w:w="1560" w:type="dxa"/>
            <w:vMerge w:val="restart"/>
            <w:tcBorders>
              <w:top w:val="nil" w:sz="6" w:space="0" w:color="auto"/>
              <w:left w:val="single" w:sz="4" w:space="0" w:color="000000"/>
              <w:right w:val="single" w:sz="4" w:space="0" w:color="000000"/>
            </w:tcBorders>
            <w:shd w:val="clear" w:color="auto" w:fill="D2D2D2"/>
          </w:tcPr>
          <w:p>
            <w:pPr/>
          </w:p>
        </w:tc>
      </w:tr>
      <w:tr>
        <w:trPr>
          <w:trHeight w:val="156" w:hRule="exact"/>
        </w:trPr>
        <w:tc>
          <w:tcPr>
            <w:tcW w:w="1715" w:type="dxa"/>
            <w:vMerge/>
            <w:tcBorders>
              <w:left w:val="single" w:sz="4" w:space="0" w:color="000000"/>
              <w:right w:val="single" w:sz="4" w:space="0" w:color="000000"/>
            </w:tcBorders>
            <w:shd w:val="clear" w:color="auto" w:fill="D2D2D2"/>
          </w:tcPr>
          <w:p>
            <w:pPr/>
          </w:p>
        </w:tc>
        <w:tc>
          <w:tcPr>
            <w:tcW w:w="1463" w:type="dxa"/>
            <w:vMerge/>
            <w:tcBorders>
              <w:left w:val="single" w:sz="4" w:space="0" w:color="000000"/>
              <w:right w:val="single" w:sz="4" w:space="0" w:color="000000"/>
            </w:tcBorders>
            <w:shd w:val="clear" w:color="auto" w:fill="D2D2D2"/>
          </w:tcPr>
          <w:p>
            <w:pPr/>
          </w:p>
        </w:tc>
        <w:tc>
          <w:tcPr>
            <w:tcW w:w="283" w:type="dxa"/>
            <w:vMerge/>
            <w:tcBorders>
              <w:left w:val="single" w:sz="4" w:space="0" w:color="000000"/>
              <w:right w:val="single" w:sz="4" w:space="0" w:color="000000"/>
            </w:tcBorders>
            <w:shd w:val="clear" w:color="auto" w:fill="D2D2D2"/>
          </w:tcPr>
          <w:p>
            <w:pPr/>
          </w:p>
        </w:tc>
        <w:tc>
          <w:tcPr>
            <w:tcW w:w="1419" w:type="dxa"/>
            <w:vMerge/>
            <w:tcBorders>
              <w:left w:val="single" w:sz="4" w:space="0" w:color="000000"/>
              <w:right w:val="single" w:sz="4" w:space="0" w:color="000000"/>
            </w:tcBorders>
            <w:shd w:val="clear" w:color="auto" w:fill="D2D2D2"/>
          </w:tcPr>
          <w:p>
            <w:pPr/>
          </w:p>
        </w:tc>
        <w:tc>
          <w:tcPr>
            <w:tcW w:w="282" w:type="dxa"/>
            <w:vMerge/>
            <w:tcBorders>
              <w:left w:val="single" w:sz="4" w:space="0" w:color="000000"/>
              <w:bottom w:val="nil" w:sz="6" w:space="0" w:color="auto"/>
              <w:right w:val="single" w:sz="4" w:space="0" w:color="000000"/>
            </w:tcBorders>
            <w:shd w:val="clear" w:color="auto" w:fill="D2D2D2"/>
          </w:tcPr>
          <w:p>
            <w:pPr/>
          </w:p>
        </w:tc>
        <w:tc>
          <w:tcPr>
            <w:tcW w:w="284" w:type="dxa"/>
            <w:vMerge/>
            <w:tcBorders>
              <w:left w:val="single" w:sz="4" w:space="0" w:color="000000"/>
              <w:right w:val="single" w:sz="4" w:space="0" w:color="000000"/>
            </w:tcBorders>
            <w:shd w:val="clear" w:color="auto" w:fill="D2D2D2"/>
          </w:tcPr>
          <w:p>
            <w:pPr/>
          </w:p>
        </w:tc>
        <w:tc>
          <w:tcPr>
            <w:tcW w:w="283" w:type="dxa"/>
            <w:vMerge w:val="restart"/>
            <w:tcBorders>
              <w:top w:val="nil" w:sz="6" w:space="0" w:color="auto"/>
              <w:left w:val="single" w:sz="4" w:space="0" w:color="000000"/>
              <w:right w:val="single" w:sz="4" w:space="0" w:color="000000"/>
            </w:tcBorders>
            <w:shd w:val="clear" w:color="auto" w:fill="D2D2D2"/>
          </w:tcPr>
          <w:p>
            <w:pPr/>
          </w:p>
        </w:tc>
        <w:tc>
          <w:tcPr>
            <w:tcW w:w="1276" w:type="dxa"/>
            <w:vMerge/>
            <w:tcBorders>
              <w:left w:val="single" w:sz="4" w:space="0" w:color="000000"/>
              <w:right w:val="single" w:sz="4" w:space="0" w:color="000000"/>
            </w:tcBorders>
            <w:shd w:val="clear" w:color="auto" w:fill="D2D2D2"/>
          </w:tcPr>
          <w:p>
            <w:pPr/>
          </w:p>
        </w:tc>
        <w:tc>
          <w:tcPr>
            <w:tcW w:w="1418" w:type="dxa"/>
            <w:vMerge/>
            <w:tcBorders>
              <w:left w:val="single" w:sz="4" w:space="0" w:color="000000"/>
              <w:right w:val="single" w:sz="4" w:space="0" w:color="000000"/>
            </w:tcBorders>
            <w:shd w:val="clear" w:color="auto" w:fill="D2D2D2"/>
          </w:tcPr>
          <w:p>
            <w:pPr/>
          </w:p>
        </w:tc>
        <w:tc>
          <w:tcPr>
            <w:tcW w:w="1560" w:type="dxa"/>
            <w:vMerge/>
            <w:tcBorders>
              <w:left w:val="single" w:sz="4" w:space="0" w:color="000000"/>
              <w:right w:val="single" w:sz="4" w:space="0" w:color="000000"/>
            </w:tcBorders>
            <w:shd w:val="clear" w:color="auto" w:fill="D2D2D2"/>
          </w:tcPr>
          <w:p>
            <w:pPr/>
          </w:p>
        </w:tc>
      </w:tr>
      <w:tr>
        <w:trPr>
          <w:trHeight w:val="161" w:hRule="exact"/>
        </w:trPr>
        <w:tc>
          <w:tcPr>
            <w:tcW w:w="1715" w:type="dxa"/>
            <w:vMerge/>
            <w:tcBorders>
              <w:left w:val="single" w:sz="4" w:space="0" w:color="000000"/>
              <w:bottom w:val="single" w:sz="4" w:space="0" w:color="000000"/>
              <w:right w:val="single" w:sz="4" w:space="0" w:color="000000"/>
            </w:tcBorders>
            <w:shd w:val="clear" w:color="auto" w:fill="D2D2D2"/>
          </w:tcPr>
          <w:p>
            <w:pPr/>
          </w:p>
        </w:tc>
        <w:tc>
          <w:tcPr>
            <w:tcW w:w="1463" w:type="dxa"/>
            <w:vMerge/>
            <w:tcBorders>
              <w:left w:val="single" w:sz="4" w:space="0" w:color="000000"/>
              <w:bottom w:val="single" w:sz="4" w:space="0" w:color="000000"/>
              <w:right w:val="single" w:sz="4" w:space="0" w:color="000000"/>
            </w:tcBorders>
            <w:shd w:val="clear" w:color="auto" w:fill="D2D2D2"/>
          </w:tcPr>
          <w:p>
            <w:pPr/>
          </w:p>
        </w:tc>
        <w:tc>
          <w:tcPr>
            <w:tcW w:w="283" w:type="dxa"/>
            <w:vMerge/>
            <w:tcBorders>
              <w:left w:val="single" w:sz="4" w:space="0" w:color="000000"/>
              <w:bottom w:val="single" w:sz="4" w:space="0" w:color="000000"/>
              <w:right w:val="single" w:sz="4" w:space="0" w:color="000000"/>
            </w:tcBorders>
            <w:shd w:val="clear" w:color="auto" w:fill="D2D2D2"/>
          </w:tcPr>
          <w:p>
            <w:pPr/>
          </w:p>
        </w:tc>
        <w:tc>
          <w:tcPr>
            <w:tcW w:w="1419" w:type="dxa"/>
            <w:vMerge/>
            <w:tcBorders>
              <w:left w:val="single" w:sz="4" w:space="0" w:color="000000"/>
              <w:bottom w:val="single" w:sz="4" w:space="0" w:color="000000"/>
              <w:right w:val="single" w:sz="4" w:space="0" w:color="000000"/>
            </w:tcBorders>
            <w:shd w:val="clear" w:color="auto" w:fill="D2D2D2"/>
          </w:tcPr>
          <w:p>
            <w:pPr/>
          </w:p>
        </w:tc>
        <w:tc>
          <w:tcPr>
            <w:tcW w:w="282" w:type="dxa"/>
            <w:tcBorders>
              <w:top w:val="nil" w:sz="6" w:space="0" w:color="auto"/>
              <w:left w:val="single" w:sz="4" w:space="0" w:color="000000"/>
              <w:bottom w:val="single" w:sz="4" w:space="0" w:color="000000"/>
              <w:right w:val="single" w:sz="4" w:space="0" w:color="000000"/>
            </w:tcBorders>
            <w:shd w:val="clear" w:color="auto" w:fill="D2D2D2"/>
          </w:tcPr>
          <w:p>
            <w:pPr/>
          </w:p>
        </w:tc>
        <w:tc>
          <w:tcPr>
            <w:tcW w:w="284" w:type="dxa"/>
            <w:vMerge/>
            <w:tcBorders>
              <w:left w:val="single" w:sz="4" w:space="0" w:color="000000"/>
              <w:bottom w:val="single" w:sz="4" w:space="0" w:color="000000"/>
              <w:right w:val="single" w:sz="4" w:space="0" w:color="000000"/>
            </w:tcBorders>
            <w:shd w:val="clear" w:color="auto" w:fill="D2D2D2"/>
          </w:tcPr>
          <w:p>
            <w:pPr/>
          </w:p>
        </w:tc>
        <w:tc>
          <w:tcPr>
            <w:tcW w:w="283" w:type="dxa"/>
            <w:vMerge/>
            <w:tcBorders>
              <w:left w:val="single" w:sz="4" w:space="0" w:color="000000"/>
              <w:bottom w:val="single" w:sz="4" w:space="0" w:color="000000"/>
              <w:right w:val="single" w:sz="4" w:space="0" w:color="000000"/>
            </w:tcBorders>
            <w:shd w:val="clear" w:color="auto" w:fill="D2D2D2"/>
          </w:tcPr>
          <w:p>
            <w:pPr/>
          </w:p>
        </w:tc>
        <w:tc>
          <w:tcPr>
            <w:tcW w:w="1276" w:type="dxa"/>
            <w:vMerge/>
            <w:tcBorders>
              <w:left w:val="single" w:sz="4" w:space="0" w:color="000000"/>
              <w:bottom w:val="single" w:sz="4" w:space="0" w:color="000000"/>
              <w:right w:val="single" w:sz="4" w:space="0" w:color="000000"/>
            </w:tcBorders>
            <w:shd w:val="clear" w:color="auto" w:fill="D2D2D2"/>
          </w:tcPr>
          <w:p>
            <w:pPr/>
          </w:p>
        </w:tc>
        <w:tc>
          <w:tcPr>
            <w:tcW w:w="1418" w:type="dxa"/>
            <w:vMerge/>
            <w:tcBorders>
              <w:left w:val="single" w:sz="4" w:space="0" w:color="000000"/>
              <w:bottom w:val="single" w:sz="4" w:space="0" w:color="000000"/>
              <w:right w:val="single" w:sz="4" w:space="0" w:color="000000"/>
            </w:tcBorders>
            <w:shd w:val="clear" w:color="auto" w:fill="D2D2D2"/>
          </w:tcPr>
          <w:p>
            <w:pPr/>
          </w:p>
        </w:tc>
        <w:tc>
          <w:tcPr>
            <w:tcW w:w="1560"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7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一、上年期末余额</w:t>
            </w:r>
          </w:p>
        </w:tc>
        <w:tc>
          <w:tcPr>
            <w:tcW w:w="146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376,656,420.00</w:t>
            </w:r>
          </w:p>
        </w:tc>
        <w:tc>
          <w:tcPr>
            <w:tcW w:w="283"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749,526,453.67</w:t>
            </w:r>
          </w:p>
        </w:tc>
        <w:tc>
          <w:tcPr>
            <w:tcW w:w="282"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0" w:right="0"/>
              <w:jc w:val="center"/>
              <w:rPr>
                <w:rFonts w:ascii="宋体" w:hAnsi="宋体" w:cs="宋体" w:eastAsia="宋体" w:hint="default"/>
                <w:sz w:val="18"/>
                <w:szCs w:val="18"/>
              </w:rPr>
            </w:pPr>
            <w:r>
              <w:rPr>
                <w:rFonts w:ascii="宋体"/>
                <w:sz w:val="18"/>
              </w:rPr>
              <w:t>61,467,445.51</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284,804,311.36</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1,472,454,630.54</w:t>
            </w:r>
          </w:p>
        </w:tc>
      </w:tr>
      <w:tr>
        <w:trPr>
          <w:trHeight w:val="714" w:hRule="exact"/>
        </w:trPr>
        <w:tc>
          <w:tcPr>
            <w:tcW w:w="17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11" w:right="12" w:firstLine="420"/>
              <w:jc w:val="left"/>
              <w:rPr>
                <w:rFonts w:ascii="宋体" w:hAnsi="宋体" w:cs="宋体" w:eastAsia="宋体" w:hint="default"/>
                <w:sz w:val="21"/>
                <w:szCs w:val="21"/>
              </w:rPr>
            </w:pPr>
            <w:r>
              <w:rPr>
                <w:rFonts w:ascii="宋体" w:hAnsi="宋体" w:cs="宋体" w:eastAsia="宋体" w:hint="default"/>
                <w:sz w:val="21"/>
                <w:szCs w:val="21"/>
              </w:rPr>
              <w:t>加：会计政策 变更</w:t>
            </w:r>
          </w:p>
        </w:tc>
        <w:tc>
          <w:tcPr>
            <w:tcW w:w="1463" w:type="dxa"/>
            <w:tcBorders>
              <w:top w:val="single" w:sz="4" w:space="0" w:color="000000"/>
              <w:left w:val="single" w:sz="9" w:space="0" w:color="D2D2D2"/>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282"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327" w:right="0"/>
              <w:jc w:val="left"/>
              <w:rPr>
                <w:rFonts w:ascii="宋体" w:hAnsi="宋体" w:cs="宋体" w:eastAsia="宋体" w:hint="default"/>
                <w:sz w:val="21"/>
                <w:szCs w:val="21"/>
              </w:rPr>
            </w:pPr>
            <w:r>
              <w:rPr>
                <w:rFonts w:ascii="宋体" w:hAnsi="宋体" w:cs="宋体" w:eastAsia="宋体" w:hint="default"/>
                <w:sz w:val="21"/>
                <w:szCs w:val="21"/>
              </w:rPr>
              <w:t>前期差错更正</w:t>
            </w:r>
          </w:p>
        </w:tc>
        <w:tc>
          <w:tcPr>
            <w:tcW w:w="1463" w:type="dxa"/>
            <w:tcBorders>
              <w:top w:val="single" w:sz="4" w:space="0" w:color="000000"/>
              <w:left w:val="single" w:sz="9" w:space="0" w:color="D2D2D2"/>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282"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327"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463" w:type="dxa"/>
            <w:tcBorders>
              <w:top w:val="single" w:sz="4" w:space="0" w:color="000000"/>
              <w:left w:val="single" w:sz="9" w:space="0" w:color="D2D2D2"/>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282"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二、本年期初余额</w:t>
            </w:r>
          </w:p>
        </w:tc>
        <w:tc>
          <w:tcPr>
            <w:tcW w:w="146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376,656,420.00</w:t>
            </w:r>
          </w:p>
        </w:tc>
        <w:tc>
          <w:tcPr>
            <w:tcW w:w="283"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749,526,453.67</w:t>
            </w:r>
          </w:p>
        </w:tc>
        <w:tc>
          <w:tcPr>
            <w:tcW w:w="282"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0" w:right="0"/>
              <w:jc w:val="center"/>
              <w:rPr>
                <w:rFonts w:ascii="宋体" w:hAnsi="宋体" w:cs="宋体" w:eastAsia="宋体" w:hint="default"/>
                <w:sz w:val="18"/>
                <w:szCs w:val="18"/>
              </w:rPr>
            </w:pPr>
            <w:r>
              <w:rPr>
                <w:rFonts w:ascii="宋体"/>
                <w:sz w:val="18"/>
              </w:rPr>
              <w:t>61,467,445.51</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284,804,311.36</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1,472,454,630.54</w:t>
            </w:r>
          </w:p>
        </w:tc>
      </w:tr>
      <w:tr>
        <w:trPr>
          <w:trHeight w:val="1026" w:hRule="exact"/>
        </w:trPr>
        <w:tc>
          <w:tcPr>
            <w:tcW w:w="17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11" w:right="12"/>
              <w:jc w:val="left"/>
              <w:rPr>
                <w:rFonts w:ascii="宋体" w:hAnsi="宋体" w:cs="宋体" w:eastAsia="宋体" w:hint="default"/>
                <w:sz w:val="21"/>
                <w:szCs w:val="21"/>
              </w:rPr>
            </w:pPr>
            <w:r>
              <w:rPr>
                <w:rFonts w:ascii="宋体" w:hAnsi="宋体" w:cs="宋体" w:eastAsia="宋体" w:hint="default"/>
                <w:sz w:val="21"/>
                <w:szCs w:val="21"/>
              </w:rPr>
              <w:t>三、本期增减变动 </w:t>
            </w:r>
            <w:r>
              <w:rPr>
                <w:rFonts w:ascii="宋体" w:hAnsi="宋体" w:cs="宋体" w:eastAsia="宋体" w:hint="default"/>
                <w:spacing w:val="-13"/>
                <w:sz w:val="21"/>
                <w:szCs w:val="21"/>
              </w:rPr>
              <w:t>金额（减少以“－</w:t>
            </w:r>
            <w:r>
              <w:rPr>
                <w:rFonts w:ascii="宋体" w:hAnsi="宋体" w:cs="宋体" w:eastAsia="宋体" w:hint="default"/>
                <w:sz w:val="21"/>
                <w:szCs w:val="21"/>
              </w:rPr>
              <w:t> 号填列）</w:t>
            </w:r>
          </w:p>
        </w:tc>
        <w:tc>
          <w:tcPr>
            <w:tcW w:w="146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left="-134" w:right="0"/>
              <w:jc w:val="left"/>
              <w:rPr>
                <w:rFonts w:ascii="宋体" w:hAnsi="宋体" w:cs="宋体" w:eastAsia="宋体" w:hint="default"/>
                <w:sz w:val="21"/>
                <w:szCs w:val="21"/>
              </w:rPr>
            </w:pPr>
            <w:r>
              <w:rPr>
                <w:rFonts w:ascii="宋体" w:hAnsi="宋体" w:cs="宋体" w:eastAsia="宋体" w:hint="default"/>
                <w:sz w:val="21"/>
                <w:szCs w:val="21"/>
              </w:rPr>
              <w:t>”</w:t>
            </w:r>
          </w:p>
        </w:tc>
        <w:tc>
          <w:tcPr>
            <w:tcW w:w="283"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2"/>
              <w:jc w:val="right"/>
              <w:rPr>
                <w:rFonts w:ascii="宋体" w:hAnsi="宋体" w:cs="宋体" w:eastAsia="宋体" w:hint="default"/>
                <w:sz w:val="18"/>
                <w:szCs w:val="18"/>
              </w:rPr>
            </w:pPr>
            <w:r>
              <w:rPr>
                <w:rFonts w:ascii="宋体"/>
                <w:sz w:val="18"/>
              </w:rPr>
              <w:t>-216,161,151.63</w:t>
            </w:r>
          </w:p>
        </w:tc>
        <w:tc>
          <w:tcPr>
            <w:tcW w:w="282"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40" w:right="0"/>
              <w:jc w:val="center"/>
              <w:rPr>
                <w:rFonts w:ascii="宋体" w:hAnsi="宋体" w:cs="宋体" w:eastAsia="宋体" w:hint="default"/>
                <w:sz w:val="18"/>
                <w:szCs w:val="18"/>
              </w:rPr>
            </w:pPr>
            <w:r>
              <w:rPr>
                <w:rFonts w:ascii="宋体"/>
                <w:sz w:val="18"/>
              </w:rPr>
              <w:t>3,442,420.33</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3"/>
              <w:jc w:val="right"/>
              <w:rPr>
                <w:rFonts w:ascii="宋体" w:hAnsi="宋体" w:cs="宋体" w:eastAsia="宋体" w:hint="default"/>
                <w:sz w:val="18"/>
                <w:szCs w:val="18"/>
              </w:rPr>
            </w:pPr>
            <w:r>
              <w:rPr>
                <w:rFonts w:ascii="宋体"/>
                <w:sz w:val="18"/>
              </w:rPr>
              <w:t>27,215,218.73</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3"/>
              <w:jc w:val="right"/>
              <w:rPr>
                <w:rFonts w:ascii="宋体" w:hAnsi="宋体" w:cs="宋体" w:eastAsia="宋体" w:hint="default"/>
                <w:sz w:val="18"/>
                <w:szCs w:val="18"/>
              </w:rPr>
            </w:pPr>
            <w:r>
              <w:rPr>
                <w:rFonts w:ascii="宋体"/>
                <w:sz w:val="18"/>
              </w:rPr>
              <w:t>-185,503,512.57</w:t>
            </w:r>
          </w:p>
        </w:tc>
      </w:tr>
      <w:tr>
        <w:trPr>
          <w:trHeight w:val="714" w:hRule="exact"/>
        </w:trPr>
        <w:tc>
          <w:tcPr>
            <w:tcW w:w="17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11" w:right="12"/>
              <w:jc w:val="left"/>
              <w:rPr>
                <w:rFonts w:ascii="宋体" w:hAnsi="宋体" w:cs="宋体" w:eastAsia="宋体" w:hint="default"/>
                <w:sz w:val="21"/>
                <w:szCs w:val="21"/>
              </w:rPr>
            </w:pPr>
            <w:r>
              <w:rPr>
                <w:rFonts w:ascii="宋体" w:hAnsi="宋体" w:cs="宋体" w:eastAsia="宋体" w:hint="default"/>
                <w:sz w:val="21"/>
                <w:szCs w:val="21"/>
              </w:rPr>
              <w:t>（一）综合收益总 额</w:t>
            </w:r>
          </w:p>
        </w:tc>
        <w:tc>
          <w:tcPr>
            <w:tcW w:w="1463" w:type="dxa"/>
            <w:tcBorders>
              <w:top w:val="single" w:sz="4" w:space="0" w:color="000000"/>
              <w:left w:val="single" w:sz="9" w:space="0" w:color="D2D2D2"/>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282"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34,424,203.26</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34,424,203.26</w:t>
            </w:r>
          </w:p>
        </w:tc>
      </w:tr>
      <w:tr>
        <w:trPr>
          <w:trHeight w:val="714" w:hRule="exact"/>
        </w:trPr>
        <w:tc>
          <w:tcPr>
            <w:tcW w:w="17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11" w:right="12"/>
              <w:jc w:val="left"/>
              <w:rPr>
                <w:rFonts w:ascii="宋体" w:hAnsi="宋体" w:cs="宋体" w:eastAsia="宋体" w:hint="default"/>
                <w:sz w:val="21"/>
                <w:szCs w:val="21"/>
              </w:rPr>
            </w:pPr>
            <w:r>
              <w:rPr>
                <w:rFonts w:ascii="宋体" w:hAnsi="宋体" w:cs="宋体" w:eastAsia="宋体" w:hint="default"/>
                <w:sz w:val="21"/>
                <w:szCs w:val="21"/>
              </w:rPr>
              <w:t>（二）所有者投入 和减少资本</w:t>
            </w:r>
          </w:p>
        </w:tc>
        <w:tc>
          <w:tcPr>
            <w:tcW w:w="1463" w:type="dxa"/>
            <w:tcBorders>
              <w:top w:val="single" w:sz="4" w:space="0" w:color="000000"/>
              <w:left w:val="single" w:sz="9" w:space="0" w:color="D2D2D2"/>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282"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7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11" w:right="9"/>
              <w:jc w:val="left"/>
              <w:rPr>
                <w:rFonts w:ascii="宋体" w:hAnsi="宋体" w:cs="宋体" w:eastAsia="宋体" w:hint="default"/>
                <w:sz w:val="21"/>
                <w:szCs w:val="21"/>
              </w:rPr>
            </w:pPr>
            <w:r>
              <w:rPr>
                <w:rFonts w:ascii="宋体" w:hAnsi="宋体" w:cs="宋体" w:eastAsia="宋体" w:hint="default"/>
                <w:spacing w:val="-12"/>
                <w:sz w:val="21"/>
                <w:szCs w:val="21"/>
              </w:rPr>
              <w:t>1</w:t>
            </w:r>
            <w:r>
              <w:rPr>
                <w:rFonts w:ascii="宋体" w:hAnsi="宋体" w:cs="宋体" w:eastAsia="宋体" w:hint="default"/>
                <w:spacing w:val="-12"/>
                <w:sz w:val="21"/>
                <w:szCs w:val="21"/>
              </w:rPr>
              <w:t>．股东投入的普通</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股</w:t>
            </w:r>
          </w:p>
        </w:tc>
        <w:tc>
          <w:tcPr>
            <w:tcW w:w="1463" w:type="dxa"/>
            <w:tcBorders>
              <w:top w:val="single" w:sz="4" w:space="0" w:color="000000"/>
              <w:left w:val="single" w:sz="9" w:space="0" w:color="D2D2D2"/>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282"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7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11" w:right="9"/>
              <w:jc w:val="left"/>
              <w:rPr>
                <w:rFonts w:ascii="宋体" w:hAnsi="宋体" w:cs="宋体" w:eastAsia="宋体" w:hint="default"/>
                <w:sz w:val="21"/>
                <w:szCs w:val="21"/>
              </w:rPr>
            </w:pPr>
            <w:r>
              <w:rPr>
                <w:rFonts w:ascii="宋体" w:hAnsi="宋体" w:cs="宋体" w:eastAsia="宋体" w:hint="default"/>
                <w:spacing w:val="-12"/>
                <w:sz w:val="21"/>
                <w:szCs w:val="21"/>
              </w:rPr>
              <w:t>2</w:t>
            </w:r>
            <w:r>
              <w:rPr>
                <w:rFonts w:ascii="宋体" w:hAnsi="宋体" w:cs="宋体" w:eastAsia="宋体" w:hint="default"/>
                <w:spacing w:val="-12"/>
                <w:sz w:val="21"/>
                <w:szCs w:val="21"/>
              </w:rPr>
              <w:t>．其他权益工具持</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有者投入资本</w:t>
            </w:r>
          </w:p>
        </w:tc>
        <w:tc>
          <w:tcPr>
            <w:tcW w:w="1463" w:type="dxa"/>
            <w:tcBorders>
              <w:top w:val="single" w:sz="4" w:space="0" w:color="000000"/>
              <w:left w:val="single" w:sz="9" w:space="0" w:color="D2D2D2"/>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282"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7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11" w:right="9"/>
              <w:jc w:val="left"/>
              <w:rPr>
                <w:rFonts w:ascii="宋体" w:hAnsi="宋体" w:cs="宋体" w:eastAsia="宋体" w:hint="default"/>
                <w:sz w:val="21"/>
                <w:szCs w:val="21"/>
              </w:rPr>
            </w:pPr>
            <w:r>
              <w:rPr>
                <w:rFonts w:ascii="宋体" w:hAnsi="宋体" w:cs="宋体" w:eastAsia="宋体" w:hint="default"/>
                <w:spacing w:val="-12"/>
                <w:sz w:val="21"/>
                <w:szCs w:val="21"/>
              </w:rPr>
              <w:t>3</w:t>
            </w:r>
            <w:r>
              <w:rPr>
                <w:rFonts w:ascii="宋体" w:hAnsi="宋体" w:cs="宋体" w:eastAsia="宋体" w:hint="default"/>
                <w:spacing w:val="-12"/>
                <w:sz w:val="21"/>
                <w:szCs w:val="21"/>
              </w:rPr>
              <w:t>．股份支付计入所</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有者权益的金额</w:t>
            </w:r>
          </w:p>
        </w:tc>
        <w:tc>
          <w:tcPr>
            <w:tcW w:w="1463" w:type="dxa"/>
            <w:tcBorders>
              <w:top w:val="single" w:sz="4" w:space="0" w:color="000000"/>
              <w:left w:val="single" w:sz="9" w:space="0" w:color="D2D2D2"/>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282"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．其他</w:t>
            </w:r>
          </w:p>
        </w:tc>
        <w:tc>
          <w:tcPr>
            <w:tcW w:w="1463" w:type="dxa"/>
            <w:tcBorders>
              <w:top w:val="single" w:sz="4" w:space="0" w:color="000000"/>
              <w:left w:val="single" w:sz="9" w:space="0" w:color="D2D2D2"/>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282"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（三）利润分配</w:t>
            </w:r>
          </w:p>
        </w:tc>
        <w:tc>
          <w:tcPr>
            <w:tcW w:w="1463" w:type="dxa"/>
            <w:tcBorders>
              <w:top w:val="single" w:sz="4" w:space="0" w:color="000000"/>
              <w:left w:val="single" w:sz="9" w:space="0" w:color="D2D2D2"/>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282"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40" w:right="0"/>
              <w:jc w:val="center"/>
              <w:rPr>
                <w:rFonts w:ascii="宋体" w:hAnsi="宋体" w:cs="宋体" w:eastAsia="宋体" w:hint="default"/>
                <w:sz w:val="18"/>
                <w:szCs w:val="18"/>
              </w:rPr>
            </w:pPr>
            <w:r>
              <w:rPr>
                <w:rFonts w:ascii="宋体"/>
                <w:sz w:val="18"/>
              </w:rPr>
              <w:t>3,442,420.33</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-7,208,984.53</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-3,766,564.20</w:t>
            </w:r>
          </w:p>
        </w:tc>
      </w:tr>
      <w:tr>
        <w:trPr>
          <w:trHeight w:val="402" w:hRule="exact"/>
        </w:trPr>
        <w:tc>
          <w:tcPr>
            <w:tcW w:w="17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．提取盈余公积</w:t>
            </w:r>
          </w:p>
        </w:tc>
        <w:tc>
          <w:tcPr>
            <w:tcW w:w="1463" w:type="dxa"/>
            <w:tcBorders>
              <w:top w:val="single" w:sz="4" w:space="0" w:color="000000"/>
              <w:left w:val="single" w:sz="9" w:space="0" w:color="D2D2D2"/>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282"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40" w:right="0"/>
              <w:jc w:val="center"/>
              <w:rPr>
                <w:rFonts w:ascii="宋体" w:hAnsi="宋体" w:cs="宋体" w:eastAsia="宋体" w:hint="default"/>
                <w:sz w:val="18"/>
                <w:szCs w:val="18"/>
              </w:rPr>
            </w:pPr>
            <w:r>
              <w:rPr>
                <w:rFonts w:ascii="宋体"/>
                <w:sz w:val="18"/>
              </w:rPr>
              <w:t>3,442,420.33</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-3,442,420.33</w:t>
            </w:r>
          </w:p>
        </w:tc>
        <w:tc>
          <w:tcPr>
            <w:tcW w:w="1560"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540" w:right="0"/>
        </w:sectPr>
      </w:pPr>
    </w:p>
    <w:p>
      <w:pPr>
        <w:spacing w:line="240" w:lineRule="auto" w:before="6"/>
        <w:rPr>
          <w:rFonts w:ascii="宋体" w:hAnsi="宋体" w:cs="宋体" w:eastAsia="宋体" w:hint="default"/>
          <w:sz w:val="28"/>
          <w:szCs w:val="28"/>
        </w:rPr>
      </w:pPr>
    </w:p>
    <w:tbl>
      <w:tblPr>
        <w:tblW w:w="0" w:type="auto"/>
        <w:jc w:val="left"/>
        <w:tblInd w:w="111" w:type="dxa"/>
        <w:tblLayout w:type="fixed"/>
        <w:tblCellMar>
          <w:top w:w="0" w:type="dxa"/>
          <w:left w:w="0" w:type="dxa"/>
          <w:bottom w:w="0" w:type="dxa"/>
          <w:right w:w="0" w:type="dxa"/>
        </w:tblCellMar>
        <w:tblLook w:val="01E0"/>
      </w:tblPr>
      <w:tblGrid>
        <w:gridCol w:w="1738"/>
        <w:gridCol w:w="1452"/>
        <w:gridCol w:w="283"/>
        <w:gridCol w:w="1419"/>
        <w:gridCol w:w="282"/>
        <w:gridCol w:w="284"/>
        <w:gridCol w:w="283"/>
        <w:gridCol w:w="1276"/>
        <w:gridCol w:w="1418"/>
        <w:gridCol w:w="1560"/>
      </w:tblGrid>
      <w:tr>
        <w:trPr>
          <w:trHeight w:val="714" w:hRule="exact"/>
        </w:trPr>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22" w:right="21"/>
              <w:jc w:val="left"/>
              <w:rPr>
                <w:rFonts w:ascii="宋体" w:hAnsi="宋体" w:cs="宋体" w:eastAsia="宋体" w:hint="default"/>
                <w:sz w:val="21"/>
                <w:szCs w:val="21"/>
              </w:rPr>
            </w:pPr>
            <w:r>
              <w:rPr>
                <w:rFonts w:ascii="宋体" w:hAnsi="宋体" w:cs="宋体" w:eastAsia="宋体" w:hint="default"/>
                <w:spacing w:val="-12"/>
                <w:sz w:val="21"/>
                <w:szCs w:val="21"/>
              </w:rPr>
              <w:t>2</w:t>
            </w:r>
            <w:r>
              <w:rPr>
                <w:rFonts w:ascii="宋体" w:hAnsi="宋体" w:cs="宋体" w:eastAsia="宋体" w:hint="default"/>
                <w:spacing w:val="-12"/>
                <w:sz w:val="21"/>
                <w:szCs w:val="21"/>
              </w:rPr>
              <w:t>．对所有者（或股</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东）的分配</w:t>
            </w:r>
          </w:p>
        </w:tc>
        <w:tc>
          <w:tcPr>
            <w:tcW w:w="1452"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282"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-3,766,564.20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-3,766,564.20</w:t>
            </w:r>
          </w:p>
        </w:tc>
      </w:tr>
      <w:tr>
        <w:trPr>
          <w:trHeight w:val="402" w:hRule="exact"/>
        </w:trPr>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．其他</w:t>
            </w:r>
          </w:p>
        </w:tc>
        <w:tc>
          <w:tcPr>
            <w:tcW w:w="1452"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282"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22" w:right="23"/>
              <w:jc w:val="left"/>
              <w:rPr>
                <w:rFonts w:ascii="宋体" w:hAnsi="宋体" w:cs="宋体" w:eastAsia="宋体" w:hint="default"/>
                <w:sz w:val="21"/>
                <w:szCs w:val="21"/>
              </w:rPr>
            </w:pPr>
            <w:r>
              <w:rPr>
                <w:rFonts w:ascii="宋体" w:hAnsi="宋体" w:cs="宋体" w:eastAsia="宋体" w:hint="default"/>
                <w:sz w:val="21"/>
                <w:szCs w:val="21"/>
              </w:rPr>
              <w:t>（四）所有者权益 内部结转</w:t>
            </w:r>
          </w:p>
        </w:tc>
        <w:tc>
          <w:tcPr>
            <w:tcW w:w="1452"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282"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22" w:right="21"/>
              <w:jc w:val="left"/>
              <w:rPr>
                <w:rFonts w:ascii="宋体" w:hAnsi="宋体" w:cs="宋体" w:eastAsia="宋体" w:hint="default"/>
                <w:sz w:val="21"/>
                <w:szCs w:val="21"/>
              </w:rPr>
            </w:pPr>
            <w:r>
              <w:rPr>
                <w:rFonts w:ascii="宋体" w:hAnsi="宋体" w:cs="宋体" w:eastAsia="宋体" w:hint="default"/>
                <w:spacing w:val="-12"/>
                <w:sz w:val="21"/>
                <w:szCs w:val="21"/>
              </w:rPr>
              <w:t>1</w:t>
            </w:r>
            <w:r>
              <w:rPr>
                <w:rFonts w:ascii="宋体" w:hAnsi="宋体" w:cs="宋体" w:eastAsia="宋体" w:hint="default"/>
                <w:spacing w:val="-12"/>
                <w:sz w:val="21"/>
                <w:szCs w:val="21"/>
              </w:rPr>
              <w:t>．资本公积转增资</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本（或股本）</w:t>
            </w:r>
          </w:p>
        </w:tc>
        <w:tc>
          <w:tcPr>
            <w:tcW w:w="1452"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282"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22" w:right="21"/>
              <w:jc w:val="left"/>
              <w:rPr>
                <w:rFonts w:ascii="宋体" w:hAnsi="宋体" w:cs="宋体" w:eastAsia="宋体" w:hint="default"/>
                <w:sz w:val="21"/>
                <w:szCs w:val="21"/>
              </w:rPr>
            </w:pPr>
            <w:r>
              <w:rPr>
                <w:rFonts w:ascii="宋体" w:hAnsi="宋体" w:cs="宋体" w:eastAsia="宋体" w:hint="default"/>
                <w:spacing w:val="-12"/>
                <w:sz w:val="21"/>
                <w:szCs w:val="21"/>
              </w:rPr>
              <w:t>2</w:t>
            </w:r>
            <w:r>
              <w:rPr>
                <w:rFonts w:ascii="宋体" w:hAnsi="宋体" w:cs="宋体" w:eastAsia="宋体" w:hint="default"/>
                <w:spacing w:val="-12"/>
                <w:sz w:val="21"/>
                <w:szCs w:val="21"/>
              </w:rPr>
              <w:t>．盈余公积转增资</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本（或股本）</w:t>
            </w:r>
          </w:p>
        </w:tc>
        <w:tc>
          <w:tcPr>
            <w:tcW w:w="1452"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282"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22" w:right="21"/>
              <w:jc w:val="left"/>
              <w:rPr>
                <w:rFonts w:ascii="宋体" w:hAnsi="宋体" w:cs="宋体" w:eastAsia="宋体" w:hint="default"/>
                <w:sz w:val="21"/>
                <w:szCs w:val="21"/>
              </w:rPr>
            </w:pPr>
            <w:r>
              <w:rPr>
                <w:rFonts w:ascii="宋体" w:hAnsi="宋体" w:cs="宋体" w:eastAsia="宋体" w:hint="default"/>
                <w:spacing w:val="-12"/>
                <w:sz w:val="21"/>
                <w:szCs w:val="21"/>
              </w:rPr>
              <w:t>3</w:t>
            </w:r>
            <w:r>
              <w:rPr>
                <w:rFonts w:ascii="宋体" w:hAnsi="宋体" w:cs="宋体" w:eastAsia="宋体" w:hint="default"/>
                <w:spacing w:val="-12"/>
                <w:sz w:val="21"/>
                <w:szCs w:val="21"/>
              </w:rPr>
              <w:t>．盈余公积弥补亏</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损</w:t>
            </w:r>
          </w:p>
        </w:tc>
        <w:tc>
          <w:tcPr>
            <w:tcW w:w="1452"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282"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．其他</w:t>
            </w:r>
          </w:p>
        </w:tc>
        <w:tc>
          <w:tcPr>
            <w:tcW w:w="1452"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282"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（五）专项储备</w:t>
            </w:r>
          </w:p>
        </w:tc>
        <w:tc>
          <w:tcPr>
            <w:tcW w:w="1452"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282"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．本期提取</w:t>
            </w:r>
          </w:p>
        </w:tc>
        <w:tc>
          <w:tcPr>
            <w:tcW w:w="1452"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282"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．本期使用</w:t>
            </w:r>
          </w:p>
        </w:tc>
        <w:tc>
          <w:tcPr>
            <w:tcW w:w="1452"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282"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（六）其他</w:t>
            </w:r>
          </w:p>
        </w:tc>
        <w:tc>
          <w:tcPr>
            <w:tcW w:w="1452"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-216,161,151.63</w:t>
            </w:r>
          </w:p>
        </w:tc>
        <w:tc>
          <w:tcPr>
            <w:tcW w:w="282"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-216,161,151.63</w:t>
            </w:r>
          </w:p>
        </w:tc>
      </w:tr>
      <w:tr>
        <w:trPr>
          <w:trHeight w:val="402" w:hRule="exact"/>
        </w:trPr>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四、本期期末余额</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58" w:right="0"/>
              <w:jc w:val="left"/>
              <w:rPr>
                <w:rFonts w:ascii="宋体" w:hAnsi="宋体" w:cs="宋体" w:eastAsia="宋体" w:hint="default"/>
                <w:sz w:val="18"/>
                <w:szCs w:val="18"/>
              </w:rPr>
            </w:pPr>
            <w:r>
              <w:rPr>
                <w:rFonts w:ascii="宋体"/>
                <w:sz w:val="18"/>
              </w:rPr>
              <w:t>376,656,420.00</w:t>
            </w:r>
          </w:p>
        </w:tc>
        <w:tc>
          <w:tcPr>
            <w:tcW w:w="283"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533,365,302.04</w:t>
            </w:r>
          </w:p>
        </w:tc>
        <w:tc>
          <w:tcPr>
            <w:tcW w:w="282"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73" w:right="0"/>
              <w:jc w:val="left"/>
              <w:rPr>
                <w:rFonts w:ascii="宋体" w:hAnsi="宋体" w:cs="宋体" w:eastAsia="宋体" w:hint="default"/>
                <w:sz w:val="18"/>
                <w:szCs w:val="18"/>
              </w:rPr>
            </w:pPr>
            <w:r>
              <w:rPr>
                <w:rFonts w:ascii="宋体"/>
                <w:sz w:val="18"/>
              </w:rPr>
              <w:t>64,909,865.84</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312,019,530.09</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1,286,951,117.97</w:t>
            </w:r>
          </w:p>
        </w:tc>
      </w:tr>
    </w:tbl>
    <w:p>
      <w:pPr>
        <w:spacing w:line="240" w:lineRule="auto" w:before="2"/>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pgSz w:w="11910" w:h="16840"/>
          <w:pgMar w:header="747" w:footer="979" w:top="1060" w:bottom="1160" w:left="840" w:right="0"/>
        </w:sectPr>
      </w:pPr>
    </w:p>
    <w:p>
      <w:pPr>
        <w:pStyle w:val="BodyText"/>
        <w:spacing w:line="240" w:lineRule="auto" w:before="26"/>
        <w:ind w:left="294" w:right="-20"/>
        <w:jc w:val="left"/>
      </w:pPr>
      <w:r>
        <w:rPr/>
        <w:t>上期金额</w:t>
      </w:r>
    </w:p>
    <w:p>
      <w:pPr>
        <w:spacing w:line="240" w:lineRule="auto" w:before="0"/>
        <w:rPr>
          <w:rFonts w:ascii="宋体" w:hAnsi="宋体" w:cs="宋体" w:eastAsia="宋体" w:hint="default"/>
          <w:sz w:val="20"/>
          <w:szCs w:val="20"/>
        </w:rPr>
      </w:pPr>
      <w:r>
        <w:rPr/>
        <w:br w:type="column"/>
      </w:r>
      <w:r>
        <w:rPr>
          <w:rFonts w:ascii="宋体"/>
          <w:sz w:val="20"/>
        </w:rPr>
      </w:r>
    </w:p>
    <w:p>
      <w:pPr>
        <w:spacing w:before="163"/>
        <w:ind w:left="293" w:right="0" w:firstLine="0"/>
        <w:jc w:val="left"/>
        <w:rPr>
          <w:rFonts w:ascii="宋体" w:hAnsi="宋体" w:cs="宋体" w:eastAsia="宋体" w:hint="default"/>
          <w:sz w:val="21"/>
          <w:szCs w:val="21"/>
        </w:rPr>
      </w:pPr>
      <w:r>
        <w:rPr>
          <w:rFonts w:ascii="宋体" w:hAnsi="宋体" w:cs="宋体" w:eastAsia="宋体" w:hint="default"/>
          <w:sz w:val="21"/>
          <w:szCs w:val="21"/>
        </w:rPr>
        <w:t>单位：元</w:t>
      </w:r>
    </w:p>
    <w:p>
      <w:pPr>
        <w:spacing w:after="0"/>
        <w:jc w:val="left"/>
        <w:rPr>
          <w:rFonts w:ascii="宋体" w:hAnsi="宋体" w:cs="宋体" w:eastAsia="宋体" w:hint="default"/>
          <w:sz w:val="21"/>
          <w:szCs w:val="21"/>
        </w:rPr>
        <w:sectPr>
          <w:type w:val="continuous"/>
          <w:pgSz w:w="11910" w:h="16840"/>
          <w:pgMar w:top="1060" w:bottom="1160" w:left="840" w:right="0"/>
          <w:cols w:num="2" w:equalWidth="0">
            <w:col w:w="1255" w:space="7545"/>
            <w:col w:w="2270"/>
          </w:cols>
        </w:sectPr>
      </w:pPr>
    </w:p>
    <w:p>
      <w:pPr>
        <w:spacing w:line="240" w:lineRule="auto" w:before="13"/>
        <w:rPr>
          <w:rFonts w:ascii="宋体" w:hAnsi="宋体" w:cs="宋体" w:eastAsia="宋体" w:hint="default"/>
          <w:sz w:val="6"/>
          <w:szCs w:val="6"/>
        </w:rPr>
      </w:pPr>
    </w:p>
    <w:tbl>
      <w:tblPr>
        <w:tblW w:w="0" w:type="auto"/>
        <w:jc w:val="left"/>
        <w:tblInd w:w="158" w:type="dxa"/>
        <w:tblLayout w:type="fixed"/>
        <w:tblCellMar>
          <w:top w:w="0" w:type="dxa"/>
          <w:left w:w="0" w:type="dxa"/>
          <w:bottom w:w="0" w:type="dxa"/>
          <w:right w:w="0" w:type="dxa"/>
        </w:tblCellMar>
        <w:tblLook w:val="01E0"/>
      </w:tblPr>
      <w:tblGrid>
        <w:gridCol w:w="1560"/>
        <w:gridCol w:w="1406"/>
        <w:gridCol w:w="283"/>
        <w:gridCol w:w="1418"/>
        <w:gridCol w:w="284"/>
        <w:gridCol w:w="283"/>
        <w:gridCol w:w="283"/>
        <w:gridCol w:w="1277"/>
        <w:gridCol w:w="1416"/>
        <w:gridCol w:w="1560"/>
      </w:tblGrid>
      <w:tr>
        <w:trPr>
          <w:trHeight w:val="402" w:hRule="exact"/>
        </w:trPr>
        <w:tc>
          <w:tcPr>
            <w:tcW w:w="1560" w:type="dxa"/>
            <w:vMerge w:val="restart"/>
            <w:tcBorders>
              <w:top w:val="single" w:sz="4" w:space="0" w:color="000000"/>
              <w:left w:val="single" w:sz="4" w:space="0" w:color="000000"/>
              <w:right w:val="single" w:sz="4" w:space="0" w:color="000000"/>
            </w:tcBorders>
            <w:shd w:val="clear" w:color="auto" w:fill="D2D2D2"/>
          </w:tcPr>
          <w:p>
            <w:pPr/>
          </w:p>
        </w:tc>
        <w:tc>
          <w:tcPr>
            <w:tcW w:w="8211"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9" w:right="0"/>
              <w:jc w:val="center"/>
              <w:rPr>
                <w:rFonts w:ascii="宋体" w:hAnsi="宋体" w:cs="宋体" w:eastAsia="宋体" w:hint="default"/>
                <w:sz w:val="21"/>
                <w:szCs w:val="21"/>
              </w:rPr>
            </w:pPr>
            <w:r>
              <w:rPr>
                <w:rFonts w:ascii="宋体" w:hAnsi="宋体" w:cs="宋体" w:eastAsia="宋体" w:hint="default"/>
                <w:sz w:val="21"/>
                <w:szCs w:val="21"/>
              </w:rPr>
              <w:t>上期</w:t>
            </w:r>
          </w:p>
        </w:tc>
      </w:tr>
      <w:tr>
        <w:trPr>
          <w:trHeight w:val="161" w:hRule="exact"/>
        </w:trPr>
        <w:tc>
          <w:tcPr>
            <w:tcW w:w="1560" w:type="dxa"/>
            <w:vMerge/>
            <w:tcBorders>
              <w:left w:val="single" w:sz="4" w:space="0" w:color="000000"/>
              <w:right w:val="single" w:sz="4" w:space="0" w:color="000000"/>
            </w:tcBorders>
            <w:shd w:val="clear" w:color="auto" w:fill="D2D2D2"/>
          </w:tcPr>
          <w:p>
            <w:pPr/>
          </w:p>
        </w:tc>
        <w:tc>
          <w:tcPr>
            <w:tcW w:w="1406" w:type="dxa"/>
            <w:vMerge w:val="restart"/>
            <w:tcBorders>
              <w:top w:val="single" w:sz="4" w:space="0" w:color="000000"/>
              <w:left w:val="single" w:sz="4" w:space="0" w:color="000000"/>
              <w:right w:val="single" w:sz="4" w:space="0" w:color="000000"/>
            </w:tcBorders>
            <w:shd w:val="clear" w:color="auto" w:fill="D2D2D2"/>
          </w:tcPr>
          <w:p>
            <w:pPr/>
          </w:p>
        </w:tc>
        <w:tc>
          <w:tcPr>
            <w:tcW w:w="283"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26"/>
              <w:ind w:left="31" w:right="30"/>
              <w:jc w:val="both"/>
              <w:rPr>
                <w:rFonts w:ascii="宋体" w:hAnsi="宋体" w:cs="宋体" w:eastAsia="宋体" w:hint="default"/>
                <w:sz w:val="21"/>
                <w:szCs w:val="21"/>
              </w:rPr>
            </w:pPr>
            <w:r>
              <w:rPr>
                <w:rFonts w:ascii="宋体" w:hAnsi="宋体" w:cs="宋体" w:eastAsia="宋体" w:hint="default"/>
                <w:sz w:val="21"/>
                <w:szCs w:val="21"/>
              </w:rPr>
              <w:t>其 他 权 益 工 具</w:t>
            </w:r>
          </w:p>
        </w:tc>
        <w:tc>
          <w:tcPr>
            <w:tcW w:w="1418" w:type="dxa"/>
            <w:vMerge w:val="restart"/>
            <w:tcBorders>
              <w:top w:val="single" w:sz="4" w:space="0" w:color="000000"/>
              <w:left w:val="single" w:sz="4" w:space="0" w:color="000000"/>
              <w:right w:val="single" w:sz="4" w:space="0" w:color="000000"/>
            </w:tcBorders>
            <w:shd w:val="clear" w:color="auto" w:fill="D2D2D2"/>
          </w:tcPr>
          <w:p>
            <w:pPr/>
          </w:p>
        </w:tc>
        <w:tc>
          <w:tcPr>
            <w:tcW w:w="284" w:type="dxa"/>
            <w:tcBorders>
              <w:top w:val="single" w:sz="4" w:space="0" w:color="000000"/>
              <w:left w:val="single" w:sz="4" w:space="0" w:color="000000"/>
              <w:bottom w:val="nil" w:sz="6" w:space="0" w:color="auto"/>
              <w:right w:val="single" w:sz="4" w:space="0" w:color="000000"/>
            </w:tcBorders>
            <w:shd w:val="clear" w:color="auto" w:fill="D2D2D2"/>
          </w:tcPr>
          <w:p>
            <w:pPr/>
          </w:p>
        </w:tc>
        <w:tc>
          <w:tcPr>
            <w:tcW w:w="283"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26"/>
              <w:ind w:left="31" w:right="30"/>
              <w:jc w:val="both"/>
              <w:rPr>
                <w:rFonts w:ascii="宋体" w:hAnsi="宋体" w:cs="宋体" w:eastAsia="宋体" w:hint="default"/>
                <w:sz w:val="21"/>
                <w:szCs w:val="21"/>
              </w:rPr>
            </w:pPr>
            <w:r>
              <w:rPr>
                <w:rFonts w:ascii="宋体" w:hAnsi="宋体" w:cs="宋体" w:eastAsia="宋体" w:hint="default"/>
                <w:sz w:val="21"/>
                <w:szCs w:val="21"/>
              </w:rPr>
              <w:t>其 他 综 合 收 益</w:t>
            </w:r>
          </w:p>
        </w:tc>
        <w:tc>
          <w:tcPr>
            <w:tcW w:w="283" w:type="dxa"/>
            <w:vMerge w:val="restart"/>
            <w:tcBorders>
              <w:top w:val="single" w:sz="4" w:space="0" w:color="000000"/>
              <w:left w:val="single" w:sz="4" w:space="0" w:color="000000"/>
              <w:right w:val="single" w:sz="4" w:space="0" w:color="000000"/>
            </w:tcBorders>
            <w:shd w:val="clear" w:color="auto" w:fill="D2D2D2"/>
          </w:tcPr>
          <w:p>
            <w:pPr/>
          </w:p>
        </w:tc>
        <w:tc>
          <w:tcPr>
            <w:tcW w:w="1277" w:type="dxa"/>
            <w:vMerge w:val="restart"/>
            <w:tcBorders>
              <w:top w:val="single" w:sz="4" w:space="0" w:color="000000"/>
              <w:left w:val="single" w:sz="4" w:space="0" w:color="000000"/>
              <w:right w:val="single" w:sz="4" w:space="0" w:color="000000"/>
            </w:tcBorders>
            <w:shd w:val="clear" w:color="auto" w:fill="D2D2D2"/>
          </w:tcPr>
          <w:p>
            <w:pPr/>
          </w:p>
        </w:tc>
        <w:tc>
          <w:tcPr>
            <w:tcW w:w="1416" w:type="dxa"/>
            <w:vMerge w:val="restart"/>
            <w:tcBorders>
              <w:top w:val="single" w:sz="4" w:space="0" w:color="000000"/>
              <w:left w:val="single" w:sz="4" w:space="0" w:color="000000"/>
              <w:right w:val="single" w:sz="4" w:space="0" w:color="000000"/>
            </w:tcBorders>
            <w:shd w:val="clear" w:color="auto" w:fill="D2D2D2"/>
          </w:tcPr>
          <w:p>
            <w:pPr/>
          </w:p>
        </w:tc>
        <w:tc>
          <w:tcPr>
            <w:tcW w:w="1560" w:type="dxa"/>
            <w:vMerge w:val="restart"/>
            <w:tcBorders>
              <w:top w:val="single" w:sz="4" w:space="0" w:color="000000"/>
              <w:left w:val="single" w:sz="4" w:space="0" w:color="000000"/>
              <w:right w:val="single" w:sz="4" w:space="0" w:color="000000"/>
            </w:tcBorders>
            <w:shd w:val="clear" w:color="auto" w:fill="D2D2D2"/>
          </w:tcPr>
          <w:p>
            <w:pPr/>
          </w:p>
        </w:tc>
      </w:tr>
      <w:tr>
        <w:trPr>
          <w:trHeight w:val="156" w:hRule="exact"/>
        </w:trPr>
        <w:tc>
          <w:tcPr>
            <w:tcW w:w="1560" w:type="dxa"/>
            <w:vMerge/>
            <w:tcBorders>
              <w:left w:val="single" w:sz="4" w:space="0" w:color="000000"/>
              <w:right w:val="single" w:sz="4" w:space="0" w:color="000000"/>
            </w:tcBorders>
            <w:shd w:val="clear" w:color="auto" w:fill="D2D2D2"/>
          </w:tcPr>
          <w:p>
            <w:pPr/>
          </w:p>
        </w:tc>
        <w:tc>
          <w:tcPr>
            <w:tcW w:w="1406" w:type="dxa"/>
            <w:vMerge/>
            <w:tcBorders>
              <w:left w:val="single" w:sz="4" w:space="0" w:color="000000"/>
              <w:right w:val="single" w:sz="4" w:space="0" w:color="000000"/>
            </w:tcBorders>
            <w:shd w:val="clear" w:color="auto" w:fill="D2D2D2"/>
          </w:tcPr>
          <w:p>
            <w:pPr/>
          </w:p>
        </w:tc>
        <w:tc>
          <w:tcPr>
            <w:tcW w:w="283" w:type="dxa"/>
            <w:vMerge/>
            <w:tcBorders>
              <w:left w:val="single" w:sz="4" w:space="0" w:color="000000"/>
              <w:right w:val="single" w:sz="4" w:space="0" w:color="000000"/>
            </w:tcBorders>
            <w:shd w:val="clear" w:color="auto" w:fill="D2D2D2"/>
          </w:tcPr>
          <w:p>
            <w:pPr/>
          </w:p>
        </w:tc>
        <w:tc>
          <w:tcPr>
            <w:tcW w:w="1418" w:type="dxa"/>
            <w:vMerge/>
            <w:tcBorders>
              <w:left w:val="single" w:sz="4" w:space="0" w:color="000000"/>
              <w:right w:val="single" w:sz="4" w:space="0" w:color="000000"/>
            </w:tcBorders>
            <w:shd w:val="clear" w:color="auto" w:fill="D2D2D2"/>
          </w:tcPr>
          <w:p>
            <w:pPr/>
          </w:p>
        </w:tc>
        <w:tc>
          <w:tcPr>
            <w:tcW w:w="28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6"/>
              <w:ind w:left="31" w:right="0"/>
              <w:jc w:val="both"/>
              <w:rPr>
                <w:rFonts w:ascii="宋体" w:hAnsi="宋体" w:cs="宋体" w:eastAsia="宋体" w:hint="default"/>
                <w:sz w:val="21"/>
                <w:szCs w:val="21"/>
              </w:rPr>
            </w:pPr>
            <w:r>
              <w:rPr>
                <w:rFonts w:ascii="宋体" w:hAnsi="宋体" w:cs="宋体" w:eastAsia="宋体" w:hint="default"/>
                <w:sz w:val="21"/>
                <w:szCs w:val="21"/>
              </w:rPr>
              <w:t>减</w:t>
            </w:r>
          </w:p>
          <w:p>
            <w:pPr>
              <w:pStyle w:val="TableParagraph"/>
              <w:spacing w:line="273" w:lineRule="auto" w:before="36"/>
              <w:ind w:left="31" w:right="31"/>
              <w:jc w:val="both"/>
              <w:rPr>
                <w:rFonts w:ascii="宋体" w:hAnsi="宋体" w:cs="宋体" w:eastAsia="宋体" w:hint="default"/>
                <w:sz w:val="21"/>
                <w:szCs w:val="21"/>
              </w:rPr>
            </w:pPr>
            <w:r>
              <w:rPr>
                <w:rFonts w:ascii="宋体" w:hAnsi="宋体" w:cs="宋体" w:eastAsia="宋体" w:hint="default"/>
                <w:sz w:val="21"/>
                <w:szCs w:val="21"/>
              </w:rPr>
              <w:t>： 库 存 股</w:t>
            </w:r>
          </w:p>
        </w:tc>
        <w:tc>
          <w:tcPr>
            <w:tcW w:w="283" w:type="dxa"/>
            <w:vMerge/>
            <w:tcBorders>
              <w:left w:val="single" w:sz="4" w:space="0" w:color="000000"/>
              <w:right w:val="single" w:sz="4" w:space="0" w:color="000000"/>
            </w:tcBorders>
            <w:shd w:val="clear" w:color="auto" w:fill="D2D2D2"/>
          </w:tcPr>
          <w:p>
            <w:pPr/>
          </w:p>
        </w:tc>
        <w:tc>
          <w:tcPr>
            <w:tcW w:w="283" w:type="dxa"/>
            <w:vMerge/>
            <w:tcBorders>
              <w:left w:val="single" w:sz="4" w:space="0" w:color="000000"/>
              <w:bottom w:val="nil" w:sz="6" w:space="0" w:color="auto"/>
              <w:right w:val="single" w:sz="4" w:space="0" w:color="000000"/>
            </w:tcBorders>
            <w:shd w:val="clear" w:color="auto" w:fill="D2D2D2"/>
          </w:tcPr>
          <w:p>
            <w:pPr/>
          </w:p>
        </w:tc>
        <w:tc>
          <w:tcPr>
            <w:tcW w:w="1277" w:type="dxa"/>
            <w:vMerge/>
            <w:tcBorders>
              <w:left w:val="single" w:sz="4" w:space="0" w:color="000000"/>
              <w:right w:val="single" w:sz="4" w:space="0" w:color="000000"/>
            </w:tcBorders>
            <w:shd w:val="clear" w:color="auto" w:fill="D2D2D2"/>
          </w:tcPr>
          <w:p>
            <w:pPr/>
          </w:p>
        </w:tc>
        <w:tc>
          <w:tcPr>
            <w:tcW w:w="1416" w:type="dxa"/>
            <w:vMerge/>
            <w:tcBorders>
              <w:left w:val="single" w:sz="4" w:space="0" w:color="000000"/>
              <w:right w:val="single" w:sz="4" w:space="0" w:color="000000"/>
            </w:tcBorders>
            <w:shd w:val="clear" w:color="auto" w:fill="D2D2D2"/>
          </w:tcPr>
          <w:p>
            <w:pPr/>
          </w:p>
        </w:tc>
        <w:tc>
          <w:tcPr>
            <w:tcW w:w="1560" w:type="dxa"/>
            <w:vMerge/>
            <w:tcBorders>
              <w:left w:val="single" w:sz="4" w:space="0" w:color="000000"/>
              <w:right w:val="single" w:sz="4" w:space="0" w:color="000000"/>
            </w:tcBorders>
            <w:shd w:val="clear" w:color="auto" w:fill="D2D2D2"/>
          </w:tcPr>
          <w:p>
            <w:pPr/>
          </w:p>
        </w:tc>
      </w:tr>
      <w:tr>
        <w:trPr>
          <w:trHeight w:val="266" w:hRule="exact"/>
        </w:trPr>
        <w:tc>
          <w:tcPr>
            <w:tcW w:w="1560" w:type="dxa"/>
            <w:vMerge/>
            <w:tcBorders>
              <w:left w:val="single" w:sz="4" w:space="0" w:color="000000"/>
              <w:bottom w:val="nil" w:sz="6" w:space="0" w:color="auto"/>
              <w:right w:val="single" w:sz="4" w:space="0" w:color="000000"/>
            </w:tcBorders>
            <w:shd w:val="clear" w:color="auto" w:fill="D2D2D2"/>
          </w:tcPr>
          <w:p>
            <w:pPr/>
          </w:p>
        </w:tc>
        <w:tc>
          <w:tcPr>
            <w:tcW w:w="1406" w:type="dxa"/>
            <w:vMerge/>
            <w:tcBorders>
              <w:left w:val="single" w:sz="4" w:space="0" w:color="000000"/>
              <w:right w:val="single" w:sz="4" w:space="0" w:color="000000"/>
            </w:tcBorders>
            <w:shd w:val="clear" w:color="auto" w:fill="D2D2D2"/>
          </w:tcPr>
          <w:p>
            <w:pPr/>
          </w:p>
        </w:tc>
        <w:tc>
          <w:tcPr>
            <w:tcW w:w="283" w:type="dxa"/>
            <w:vMerge/>
            <w:tcBorders>
              <w:left w:val="single" w:sz="4" w:space="0" w:color="000000"/>
              <w:right w:val="single" w:sz="4" w:space="0" w:color="000000"/>
            </w:tcBorders>
            <w:shd w:val="clear" w:color="auto" w:fill="D2D2D2"/>
          </w:tcPr>
          <w:p>
            <w:pPr/>
          </w:p>
        </w:tc>
        <w:tc>
          <w:tcPr>
            <w:tcW w:w="1418" w:type="dxa"/>
            <w:vMerge/>
            <w:tcBorders>
              <w:left w:val="single" w:sz="4" w:space="0" w:color="000000"/>
              <w:right w:val="single" w:sz="4" w:space="0" w:color="000000"/>
            </w:tcBorders>
            <w:shd w:val="clear" w:color="auto" w:fill="D2D2D2"/>
          </w:tcPr>
          <w:p>
            <w:pPr/>
          </w:p>
        </w:tc>
        <w:tc>
          <w:tcPr>
            <w:tcW w:w="284" w:type="dxa"/>
            <w:vMerge/>
            <w:tcBorders>
              <w:left w:val="single" w:sz="4" w:space="0" w:color="000000"/>
              <w:right w:val="single" w:sz="4" w:space="0" w:color="000000"/>
            </w:tcBorders>
            <w:shd w:val="clear" w:color="auto" w:fill="D2D2D2"/>
          </w:tcPr>
          <w:p>
            <w:pPr/>
          </w:p>
        </w:tc>
        <w:tc>
          <w:tcPr>
            <w:tcW w:w="283" w:type="dxa"/>
            <w:vMerge/>
            <w:tcBorders>
              <w:left w:val="single" w:sz="4" w:space="0" w:color="000000"/>
              <w:right w:val="single" w:sz="4" w:space="0" w:color="000000"/>
            </w:tcBorders>
            <w:shd w:val="clear" w:color="auto" w:fill="D2D2D2"/>
          </w:tcPr>
          <w:p>
            <w:pPr/>
          </w:p>
        </w:tc>
        <w:tc>
          <w:tcPr>
            <w:tcW w:w="283" w:type="dxa"/>
            <w:vMerge w:val="restart"/>
            <w:tcBorders>
              <w:top w:val="nil" w:sz="6" w:space="0" w:color="auto"/>
              <w:left w:val="single" w:sz="4" w:space="0" w:color="000000"/>
              <w:right w:val="single" w:sz="4" w:space="0" w:color="000000"/>
            </w:tcBorders>
            <w:shd w:val="clear" w:color="auto" w:fill="D2D2D2"/>
          </w:tcPr>
          <w:p>
            <w:pPr>
              <w:pStyle w:val="TableParagraph"/>
              <w:spacing w:line="273" w:lineRule="auto" w:before="26"/>
              <w:ind w:left="31" w:right="30"/>
              <w:jc w:val="both"/>
              <w:rPr>
                <w:rFonts w:ascii="宋体" w:hAnsi="宋体" w:cs="宋体" w:eastAsia="宋体" w:hint="default"/>
                <w:sz w:val="21"/>
                <w:szCs w:val="21"/>
              </w:rPr>
            </w:pPr>
            <w:r>
              <w:rPr>
                <w:rFonts w:ascii="宋体" w:hAnsi="宋体" w:cs="宋体" w:eastAsia="宋体" w:hint="default"/>
                <w:sz w:val="21"/>
                <w:szCs w:val="21"/>
              </w:rPr>
              <w:t>专 项 储 备</w:t>
            </w:r>
          </w:p>
        </w:tc>
        <w:tc>
          <w:tcPr>
            <w:tcW w:w="1277" w:type="dxa"/>
            <w:vMerge/>
            <w:tcBorders>
              <w:left w:val="single" w:sz="4" w:space="0" w:color="000000"/>
              <w:right w:val="single" w:sz="4" w:space="0" w:color="000000"/>
            </w:tcBorders>
            <w:shd w:val="clear" w:color="auto" w:fill="D2D2D2"/>
          </w:tcPr>
          <w:p>
            <w:pPr/>
          </w:p>
        </w:tc>
        <w:tc>
          <w:tcPr>
            <w:tcW w:w="1416" w:type="dxa"/>
            <w:vMerge/>
            <w:tcBorders>
              <w:left w:val="single" w:sz="4" w:space="0" w:color="000000"/>
              <w:right w:val="single" w:sz="4" w:space="0" w:color="000000"/>
            </w:tcBorders>
            <w:shd w:val="clear" w:color="auto" w:fill="D2D2D2"/>
          </w:tcPr>
          <w:p>
            <w:pPr/>
          </w:p>
        </w:tc>
        <w:tc>
          <w:tcPr>
            <w:tcW w:w="1560" w:type="dxa"/>
            <w:vMerge/>
            <w:tcBorders>
              <w:left w:val="single" w:sz="4" w:space="0" w:color="000000"/>
              <w:right w:val="single" w:sz="4" w:space="0" w:color="000000"/>
            </w:tcBorders>
            <w:shd w:val="clear" w:color="auto" w:fill="D2D2D2"/>
          </w:tcPr>
          <w:p>
            <w:pPr/>
          </w:p>
        </w:tc>
      </w:tr>
      <w:tr>
        <w:trPr>
          <w:trHeight w:val="202" w:hRule="exact"/>
        </w:trPr>
        <w:tc>
          <w:tcPr>
            <w:tcW w:w="156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406" w:type="dxa"/>
            <w:vMerge/>
            <w:tcBorders>
              <w:left w:val="single" w:sz="4" w:space="0" w:color="000000"/>
              <w:bottom w:val="nil" w:sz="6" w:space="0" w:color="auto"/>
              <w:right w:val="single" w:sz="4" w:space="0" w:color="000000"/>
            </w:tcBorders>
            <w:shd w:val="clear" w:color="auto" w:fill="D2D2D2"/>
          </w:tcPr>
          <w:p>
            <w:pPr/>
          </w:p>
        </w:tc>
        <w:tc>
          <w:tcPr>
            <w:tcW w:w="283" w:type="dxa"/>
            <w:vMerge/>
            <w:tcBorders>
              <w:left w:val="single" w:sz="4" w:space="0" w:color="000000"/>
              <w:right w:val="single" w:sz="4" w:space="0" w:color="000000"/>
            </w:tcBorders>
            <w:shd w:val="clear" w:color="auto" w:fill="D2D2D2"/>
          </w:tcPr>
          <w:p>
            <w:pPr/>
          </w:p>
        </w:tc>
        <w:tc>
          <w:tcPr>
            <w:tcW w:w="1418" w:type="dxa"/>
            <w:vMerge/>
            <w:tcBorders>
              <w:left w:val="single" w:sz="4" w:space="0" w:color="000000"/>
              <w:bottom w:val="nil" w:sz="6" w:space="0" w:color="auto"/>
              <w:right w:val="single" w:sz="4" w:space="0" w:color="000000"/>
            </w:tcBorders>
            <w:shd w:val="clear" w:color="auto" w:fill="D2D2D2"/>
          </w:tcPr>
          <w:p>
            <w:pPr/>
          </w:p>
        </w:tc>
        <w:tc>
          <w:tcPr>
            <w:tcW w:w="284" w:type="dxa"/>
            <w:vMerge/>
            <w:tcBorders>
              <w:left w:val="single" w:sz="4" w:space="0" w:color="000000"/>
              <w:right w:val="single" w:sz="4" w:space="0" w:color="000000"/>
            </w:tcBorders>
            <w:shd w:val="clear" w:color="auto" w:fill="D2D2D2"/>
          </w:tcPr>
          <w:p>
            <w:pPr/>
          </w:p>
        </w:tc>
        <w:tc>
          <w:tcPr>
            <w:tcW w:w="283" w:type="dxa"/>
            <w:vMerge/>
            <w:tcBorders>
              <w:left w:val="single" w:sz="4" w:space="0" w:color="000000"/>
              <w:right w:val="single" w:sz="4" w:space="0" w:color="000000"/>
            </w:tcBorders>
            <w:shd w:val="clear" w:color="auto" w:fill="D2D2D2"/>
          </w:tcPr>
          <w:p>
            <w:pPr/>
          </w:p>
        </w:tc>
        <w:tc>
          <w:tcPr>
            <w:tcW w:w="283"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bottom w:val="nil" w:sz="6" w:space="0" w:color="auto"/>
              <w:right w:val="single" w:sz="4" w:space="0" w:color="000000"/>
            </w:tcBorders>
            <w:shd w:val="clear" w:color="auto" w:fill="D2D2D2"/>
          </w:tcPr>
          <w:p>
            <w:pPr/>
          </w:p>
        </w:tc>
        <w:tc>
          <w:tcPr>
            <w:tcW w:w="1416" w:type="dxa"/>
            <w:vMerge/>
            <w:tcBorders>
              <w:left w:val="single" w:sz="4" w:space="0" w:color="000000"/>
              <w:bottom w:val="nil" w:sz="6" w:space="0" w:color="auto"/>
              <w:right w:val="single" w:sz="4" w:space="0" w:color="000000"/>
            </w:tcBorders>
            <w:shd w:val="clear" w:color="auto" w:fill="D2D2D2"/>
          </w:tcPr>
          <w:p>
            <w:pPr/>
          </w:p>
        </w:tc>
        <w:tc>
          <w:tcPr>
            <w:tcW w:w="1560" w:type="dxa"/>
            <w:vMerge/>
            <w:tcBorders>
              <w:left w:val="single" w:sz="4" w:space="0" w:color="000000"/>
              <w:bottom w:val="nil" w:sz="6" w:space="0" w:color="auto"/>
              <w:right w:val="single" w:sz="4" w:space="0" w:color="000000"/>
            </w:tcBorders>
            <w:shd w:val="clear" w:color="auto" w:fill="D2D2D2"/>
          </w:tcPr>
          <w:p>
            <w:pPr/>
          </w:p>
        </w:tc>
      </w:tr>
      <w:tr>
        <w:trPr>
          <w:trHeight w:val="191" w:hRule="exact"/>
        </w:trPr>
        <w:tc>
          <w:tcPr>
            <w:tcW w:w="1560" w:type="dxa"/>
            <w:vMerge/>
            <w:tcBorders>
              <w:left w:val="single" w:sz="4" w:space="0" w:color="000000"/>
              <w:bottom w:val="nil" w:sz="6" w:space="0" w:color="auto"/>
              <w:right w:val="single" w:sz="4" w:space="0" w:color="000000"/>
            </w:tcBorders>
            <w:shd w:val="clear" w:color="auto" w:fill="D2D2D2"/>
          </w:tcPr>
          <w:p>
            <w:pPr/>
          </w:p>
        </w:tc>
        <w:tc>
          <w:tcPr>
            <w:tcW w:w="140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6"/>
              <w:ind w:left="9" w:right="0"/>
              <w:jc w:val="center"/>
              <w:rPr>
                <w:rFonts w:ascii="宋体" w:hAnsi="宋体" w:cs="宋体" w:eastAsia="宋体" w:hint="default"/>
                <w:sz w:val="21"/>
                <w:szCs w:val="21"/>
              </w:rPr>
            </w:pPr>
            <w:r>
              <w:rPr>
                <w:rFonts w:ascii="宋体" w:hAnsi="宋体" w:cs="宋体" w:eastAsia="宋体" w:hint="default"/>
                <w:sz w:val="21"/>
                <w:szCs w:val="21"/>
              </w:rPr>
              <w:t>股本</w:t>
            </w:r>
          </w:p>
        </w:tc>
        <w:tc>
          <w:tcPr>
            <w:tcW w:w="283" w:type="dxa"/>
            <w:vMerge/>
            <w:tcBorders>
              <w:left w:val="single" w:sz="4" w:space="0" w:color="000000"/>
              <w:right w:val="single" w:sz="4" w:space="0" w:color="000000"/>
            </w:tcBorders>
            <w:shd w:val="clear" w:color="auto" w:fill="D2D2D2"/>
          </w:tcPr>
          <w:p>
            <w:pPr/>
          </w:p>
        </w:tc>
        <w:tc>
          <w:tcPr>
            <w:tcW w:w="141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6"/>
              <w:ind w:left="283"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284" w:type="dxa"/>
            <w:vMerge/>
            <w:tcBorders>
              <w:left w:val="single" w:sz="4" w:space="0" w:color="000000"/>
              <w:right w:val="single" w:sz="4" w:space="0" w:color="000000"/>
            </w:tcBorders>
            <w:shd w:val="clear" w:color="auto" w:fill="D2D2D2"/>
          </w:tcPr>
          <w:p>
            <w:pPr/>
          </w:p>
        </w:tc>
        <w:tc>
          <w:tcPr>
            <w:tcW w:w="283" w:type="dxa"/>
            <w:vMerge/>
            <w:tcBorders>
              <w:left w:val="single" w:sz="4" w:space="0" w:color="000000"/>
              <w:right w:val="single" w:sz="4" w:space="0" w:color="000000"/>
            </w:tcBorders>
            <w:shd w:val="clear" w:color="auto" w:fill="D2D2D2"/>
          </w:tcPr>
          <w:p>
            <w:pPr/>
          </w:p>
        </w:tc>
        <w:tc>
          <w:tcPr>
            <w:tcW w:w="283" w:type="dxa"/>
            <w:vMerge/>
            <w:tcBorders>
              <w:left w:val="single" w:sz="4" w:space="0" w:color="000000"/>
              <w:right w:val="single" w:sz="4" w:space="0" w:color="000000"/>
            </w:tcBorders>
            <w:shd w:val="clear" w:color="auto" w:fill="D2D2D2"/>
          </w:tcPr>
          <w:p>
            <w:pPr/>
          </w:p>
        </w:tc>
        <w:tc>
          <w:tcPr>
            <w:tcW w:w="127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6"/>
              <w:ind w:left="212"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141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6"/>
              <w:ind w:left="177"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156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6"/>
              <w:ind w:left="39" w:right="0"/>
              <w:jc w:val="left"/>
              <w:rPr>
                <w:rFonts w:ascii="宋体" w:hAnsi="宋体" w:cs="宋体" w:eastAsia="宋体" w:hint="default"/>
                <w:sz w:val="21"/>
                <w:szCs w:val="21"/>
              </w:rPr>
            </w:pPr>
            <w:r>
              <w:rPr>
                <w:rFonts w:ascii="宋体" w:hAnsi="宋体" w:cs="宋体" w:eastAsia="宋体" w:hint="default"/>
                <w:sz w:val="21"/>
                <w:szCs w:val="21"/>
              </w:rPr>
              <w:t>所有者权益合计</w:t>
            </w:r>
          </w:p>
        </w:tc>
      </w:tr>
      <w:tr>
        <w:trPr>
          <w:trHeight w:val="200" w:hRule="exact"/>
        </w:trPr>
        <w:tc>
          <w:tcPr>
            <w:tcW w:w="1560" w:type="dxa"/>
            <w:vMerge w:val="restart"/>
            <w:tcBorders>
              <w:top w:val="nil" w:sz="6" w:space="0" w:color="auto"/>
              <w:left w:val="single" w:sz="4" w:space="0" w:color="000000"/>
              <w:right w:val="single" w:sz="4" w:space="0" w:color="000000"/>
            </w:tcBorders>
            <w:shd w:val="clear" w:color="auto" w:fill="D2D2D2"/>
          </w:tcPr>
          <w:p>
            <w:pPr/>
          </w:p>
        </w:tc>
        <w:tc>
          <w:tcPr>
            <w:tcW w:w="1406" w:type="dxa"/>
            <w:vMerge/>
            <w:tcBorders>
              <w:left w:val="single" w:sz="4" w:space="0" w:color="000000"/>
              <w:bottom w:val="nil" w:sz="6" w:space="0" w:color="auto"/>
              <w:right w:val="single" w:sz="4" w:space="0" w:color="000000"/>
            </w:tcBorders>
            <w:shd w:val="clear" w:color="auto" w:fill="D2D2D2"/>
          </w:tcPr>
          <w:p>
            <w:pPr/>
          </w:p>
        </w:tc>
        <w:tc>
          <w:tcPr>
            <w:tcW w:w="283" w:type="dxa"/>
            <w:vMerge/>
            <w:tcBorders>
              <w:left w:val="single" w:sz="4" w:space="0" w:color="000000"/>
              <w:right w:val="single" w:sz="4" w:space="0" w:color="000000"/>
            </w:tcBorders>
            <w:shd w:val="clear" w:color="auto" w:fill="D2D2D2"/>
          </w:tcPr>
          <w:p>
            <w:pPr/>
          </w:p>
        </w:tc>
        <w:tc>
          <w:tcPr>
            <w:tcW w:w="1418" w:type="dxa"/>
            <w:vMerge/>
            <w:tcBorders>
              <w:left w:val="single" w:sz="4" w:space="0" w:color="000000"/>
              <w:bottom w:val="nil" w:sz="6" w:space="0" w:color="auto"/>
              <w:right w:val="single" w:sz="4" w:space="0" w:color="000000"/>
            </w:tcBorders>
            <w:shd w:val="clear" w:color="auto" w:fill="D2D2D2"/>
          </w:tcPr>
          <w:p>
            <w:pPr/>
          </w:p>
        </w:tc>
        <w:tc>
          <w:tcPr>
            <w:tcW w:w="284" w:type="dxa"/>
            <w:vMerge/>
            <w:tcBorders>
              <w:left w:val="single" w:sz="4" w:space="0" w:color="000000"/>
              <w:right w:val="single" w:sz="4" w:space="0" w:color="000000"/>
            </w:tcBorders>
            <w:shd w:val="clear" w:color="auto" w:fill="D2D2D2"/>
          </w:tcPr>
          <w:p>
            <w:pPr/>
          </w:p>
        </w:tc>
        <w:tc>
          <w:tcPr>
            <w:tcW w:w="283" w:type="dxa"/>
            <w:vMerge/>
            <w:tcBorders>
              <w:left w:val="single" w:sz="4" w:space="0" w:color="000000"/>
              <w:right w:val="single" w:sz="4" w:space="0" w:color="000000"/>
            </w:tcBorders>
            <w:shd w:val="clear" w:color="auto" w:fill="D2D2D2"/>
          </w:tcPr>
          <w:p>
            <w:pPr/>
          </w:p>
        </w:tc>
        <w:tc>
          <w:tcPr>
            <w:tcW w:w="283"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bottom w:val="nil" w:sz="6" w:space="0" w:color="auto"/>
              <w:right w:val="single" w:sz="4" w:space="0" w:color="000000"/>
            </w:tcBorders>
            <w:shd w:val="clear" w:color="auto" w:fill="D2D2D2"/>
          </w:tcPr>
          <w:p>
            <w:pPr/>
          </w:p>
        </w:tc>
        <w:tc>
          <w:tcPr>
            <w:tcW w:w="1416" w:type="dxa"/>
            <w:vMerge/>
            <w:tcBorders>
              <w:left w:val="single" w:sz="4" w:space="0" w:color="000000"/>
              <w:bottom w:val="nil" w:sz="6" w:space="0" w:color="auto"/>
              <w:right w:val="single" w:sz="4" w:space="0" w:color="000000"/>
            </w:tcBorders>
            <w:shd w:val="clear" w:color="auto" w:fill="D2D2D2"/>
          </w:tcPr>
          <w:p>
            <w:pPr/>
          </w:p>
        </w:tc>
        <w:tc>
          <w:tcPr>
            <w:tcW w:w="1560" w:type="dxa"/>
            <w:vMerge/>
            <w:tcBorders>
              <w:left w:val="single" w:sz="4" w:space="0" w:color="000000"/>
              <w:bottom w:val="nil" w:sz="6" w:space="0" w:color="auto"/>
              <w:right w:val="single" w:sz="4" w:space="0" w:color="000000"/>
            </w:tcBorders>
            <w:shd w:val="clear" w:color="auto" w:fill="D2D2D2"/>
          </w:tcPr>
          <w:p>
            <w:pPr/>
          </w:p>
        </w:tc>
      </w:tr>
      <w:tr>
        <w:trPr>
          <w:trHeight w:val="468" w:hRule="exact"/>
        </w:trPr>
        <w:tc>
          <w:tcPr>
            <w:tcW w:w="1560" w:type="dxa"/>
            <w:vMerge/>
            <w:tcBorders>
              <w:left w:val="single" w:sz="4" w:space="0" w:color="000000"/>
              <w:right w:val="single" w:sz="4" w:space="0" w:color="000000"/>
            </w:tcBorders>
            <w:shd w:val="clear" w:color="auto" w:fill="D2D2D2"/>
          </w:tcPr>
          <w:p>
            <w:pPr/>
          </w:p>
        </w:tc>
        <w:tc>
          <w:tcPr>
            <w:tcW w:w="1406" w:type="dxa"/>
            <w:vMerge w:val="restart"/>
            <w:tcBorders>
              <w:top w:val="nil" w:sz="6" w:space="0" w:color="auto"/>
              <w:left w:val="single" w:sz="4" w:space="0" w:color="000000"/>
              <w:right w:val="single" w:sz="4" w:space="0" w:color="000000"/>
            </w:tcBorders>
            <w:shd w:val="clear" w:color="auto" w:fill="D2D2D2"/>
          </w:tcPr>
          <w:p>
            <w:pPr/>
          </w:p>
        </w:tc>
        <w:tc>
          <w:tcPr>
            <w:tcW w:w="283" w:type="dxa"/>
            <w:vMerge/>
            <w:tcBorders>
              <w:left w:val="single" w:sz="4" w:space="0" w:color="000000"/>
              <w:right w:val="single" w:sz="4" w:space="0" w:color="000000"/>
            </w:tcBorders>
            <w:shd w:val="clear" w:color="auto" w:fill="D2D2D2"/>
          </w:tcPr>
          <w:p>
            <w:pPr/>
          </w:p>
        </w:tc>
        <w:tc>
          <w:tcPr>
            <w:tcW w:w="1418" w:type="dxa"/>
            <w:vMerge w:val="restart"/>
            <w:tcBorders>
              <w:top w:val="nil" w:sz="6" w:space="0" w:color="auto"/>
              <w:left w:val="single" w:sz="4" w:space="0" w:color="000000"/>
              <w:right w:val="single" w:sz="4" w:space="0" w:color="000000"/>
            </w:tcBorders>
            <w:shd w:val="clear" w:color="auto" w:fill="D2D2D2"/>
          </w:tcPr>
          <w:p>
            <w:pPr/>
          </w:p>
        </w:tc>
        <w:tc>
          <w:tcPr>
            <w:tcW w:w="284" w:type="dxa"/>
            <w:vMerge/>
            <w:tcBorders>
              <w:left w:val="single" w:sz="4" w:space="0" w:color="000000"/>
              <w:right w:val="single" w:sz="4" w:space="0" w:color="000000"/>
            </w:tcBorders>
            <w:shd w:val="clear" w:color="auto" w:fill="D2D2D2"/>
          </w:tcPr>
          <w:p>
            <w:pPr/>
          </w:p>
        </w:tc>
        <w:tc>
          <w:tcPr>
            <w:tcW w:w="283" w:type="dxa"/>
            <w:vMerge/>
            <w:tcBorders>
              <w:left w:val="single" w:sz="4" w:space="0" w:color="000000"/>
              <w:right w:val="single" w:sz="4" w:space="0" w:color="000000"/>
            </w:tcBorders>
            <w:shd w:val="clear" w:color="auto" w:fill="D2D2D2"/>
          </w:tcPr>
          <w:p>
            <w:pPr/>
          </w:p>
        </w:tc>
        <w:tc>
          <w:tcPr>
            <w:tcW w:w="283" w:type="dxa"/>
            <w:vMerge/>
            <w:tcBorders>
              <w:left w:val="single" w:sz="4" w:space="0" w:color="000000"/>
              <w:bottom w:val="nil" w:sz="6" w:space="0" w:color="auto"/>
              <w:right w:val="single" w:sz="4" w:space="0" w:color="000000"/>
            </w:tcBorders>
            <w:shd w:val="clear" w:color="auto" w:fill="D2D2D2"/>
          </w:tcPr>
          <w:p>
            <w:pPr/>
          </w:p>
        </w:tc>
        <w:tc>
          <w:tcPr>
            <w:tcW w:w="1277" w:type="dxa"/>
            <w:vMerge w:val="restart"/>
            <w:tcBorders>
              <w:top w:val="nil" w:sz="6" w:space="0" w:color="auto"/>
              <w:left w:val="single" w:sz="4" w:space="0" w:color="000000"/>
              <w:right w:val="single" w:sz="4" w:space="0" w:color="000000"/>
            </w:tcBorders>
            <w:shd w:val="clear" w:color="auto" w:fill="D2D2D2"/>
          </w:tcPr>
          <w:p>
            <w:pPr/>
          </w:p>
        </w:tc>
        <w:tc>
          <w:tcPr>
            <w:tcW w:w="1416" w:type="dxa"/>
            <w:vMerge w:val="restart"/>
            <w:tcBorders>
              <w:top w:val="nil" w:sz="6" w:space="0" w:color="auto"/>
              <w:left w:val="single" w:sz="4" w:space="0" w:color="000000"/>
              <w:right w:val="single" w:sz="4" w:space="0" w:color="000000"/>
            </w:tcBorders>
            <w:shd w:val="clear" w:color="auto" w:fill="D2D2D2"/>
          </w:tcPr>
          <w:p>
            <w:pPr/>
          </w:p>
        </w:tc>
        <w:tc>
          <w:tcPr>
            <w:tcW w:w="1560" w:type="dxa"/>
            <w:vMerge w:val="restart"/>
            <w:tcBorders>
              <w:top w:val="nil" w:sz="6" w:space="0" w:color="auto"/>
              <w:left w:val="single" w:sz="4" w:space="0" w:color="000000"/>
              <w:right w:val="single" w:sz="4" w:space="0" w:color="000000"/>
            </w:tcBorders>
            <w:shd w:val="clear" w:color="auto" w:fill="D2D2D2"/>
          </w:tcPr>
          <w:p>
            <w:pPr/>
          </w:p>
        </w:tc>
      </w:tr>
      <w:tr>
        <w:trPr>
          <w:trHeight w:val="156" w:hRule="exact"/>
        </w:trPr>
        <w:tc>
          <w:tcPr>
            <w:tcW w:w="1560" w:type="dxa"/>
            <w:vMerge/>
            <w:tcBorders>
              <w:left w:val="single" w:sz="4" w:space="0" w:color="000000"/>
              <w:right w:val="single" w:sz="4" w:space="0" w:color="000000"/>
            </w:tcBorders>
            <w:shd w:val="clear" w:color="auto" w:fill="D2D2D2"/>
          </w:tcPr>
          <w:p>
            <w:pPr/>
          </w:p>
        </w:tc>
        <w:tc>
          <w:tcPr>
            <w:tcW w:w="1406" w:type="dxa"/>
            <w:vMerge/>
            <w:tcBorders>
              <w:left w:val="single" w:sz="4" w:space="0" w:color="000000"/>
              <w:right w:val="single" w:sz="4" w:space="0" w:color="000000"/>
            </w:tcBorders>
            <w:shd w:val="clear" w:color="auto" w:fill="D2D2D2"/>
          </w:tcPr>
          <w:p>
            <w:pPr/>
          </w:p>
        </w:tc>
        <w:tc>
          <w:tcPr>
            <w:tcW w:w="283" w:type="dxa"/>
            <w:vMerge/>
            <w:tcBorders>
              <w:left w:val="single" w:sz="4" w:space="0" w:color="000000"/>
              <w:right w:val="single" w:sz="4" w:space="0" w:color="000000"/>
            </w:tcBorders>
            <w:shd w:val="clear" w:color="auto" w:fill="D2D2D2"/>
          </w:tcPr>
          <w:p>
            <w:pPr/>
          </w:p>
        </w:tc>
        <w:tc>
          <w:tcPr>
            <w:tcW w:w="1418" w:type="dxa"/>
            <w:vMerge/>
            <w:tcBorders>
              <w:left w:val="single" w:sz="4" w:space="0" w:color="000000"/>
              <w:right w:val="single" w:sz="4" w:space="0" w:color="000000"/>
            </w:tcBorders>
            <w:shd w:val="clear" w:color="auto" w:fill="D2D2D2"/>
          </w:tcPr>
          <w:p>
            <w:pPr/>
          </w:p>
        </w:tc>
        <w:tc>
          <w:tcPr>
            <w:tcW w:w="284" w:type="dxa"/>
            <w:vMerge/>
            <w:tcBorders>
              <w:left w:val="single" w:sz="4" w:space="0" w:color="000000"/>
              <w:bottom w:val="nil" w:sz="6" w:space="0" w:color="auto"/>
              <w:right w:val="single" w:sz="4" w:space="0" w:color="000000"/>
            </w:tcBorders>
            <w:shd w:val="clear" w:color="auto" w:fill="D2D2D2"/>
          </w:tcPr>
          <w:p>
            <w:pPr/>
          </w:p>
        </w:tc>
        <w:tc>
          <w:tcPr>
            <w:tcW w:w="283" w:type="dxa"/>
            <w:vMerge/>
            <w:tcBorders>
              <w:left w:val="single" w:sz="4" w:space="0" w:color="000000"/>
              <w:right w:val="single" w:sz="4" w:space="0" w:color="000000"/>
            </w:tcBorders>
            <w:shd w:val="clear" w:color="auto" w:fill="D2D2D2"/>
          </w:tcPr>
          <w:p>
            <w:pPr/>
          </w:p>
        </w:tc>
        <w:tc>
          <w:tcPr>
            <w:tcW w:w="283" w:type="dxa"/>
            <w:vMerge w:val="restart"/>
            <w:tcBorders>
              <w:top w:val="nil" w:sz="6" w:space="0" w:color="auto"/>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shd w:val="clear" w:color="auto" w:fill="D2D2D2"/>
          </w:tcPr>
          <w:p>
            <w:pPr/>
          </w:p>
        </w:tc>
        <w:tc>
          <w:tcPr>
            <w:tcW w:w="1416" w:type="dxa"/>
            <w:vMerge/>
            <w:tcBorders>
              <w:left w:val="single" w:sz="4" w:space="0" w:color="000000"/>
              <w:right w:val="single" w:sz="4" w:space="0" w:color="000000"/>
            </w:tcBorders>
            <w:shd w:val="clear" w:color="auto" w:fill="D2D2D2"/>
          </w:tcPr>
          <w:p>
            <w:pPr/>
          </w:p>
        </w:tc>
        <w:tc>
          <w:tcPr>
            <w:tcW w:w="1560" w:type="dxa"/>
            <w:vMerge/>
            <w:tcBorders>
              <w:left w:val="single" w:sz="4" w:space="0" w:color="000000"/>
              <w:right w:val="single" w:sz="4" w:space="0" w:color="000000"/>
            </w:tcBorders>
            <w:shd w:val="clear" w:color="auto" w:fill="D2D2D2"/>
          </w:tcPr>
          <w:p>
            <w:pPr/>
          </w:p>
        </w:tc>
      </w:tr>
      <w:tr>
        <w:trPr>
          <w:trHeight w:val="161" w:hRule="exact"/>
        </w:trPr>
        <w:tc>
          <w:tcPr>
            <w:tcW w:w="1560" w:type="dxa"/>
            <w:vMerge/>
            <w:tcBorders>
              <w:left w:val="single" w:sz="4" w:space="0" w:color="000000"/>
              <w:bottom w:val="single" w:sz="4" w:space="0" w:color="000000"/>
              <w:right w:val="single" w:sz="4" w:space="0" w:color="000000"/>
            </w:tcBorders>
            <w:shd w:val="clear" w:color="auto" w:fill="D2D2D2"/>
          </w:tcPr>
          <w:p>
            <w:pPr/>
          </w:p>
        </w:tc>
        <w:tc>
          <w:tcPr>
            <w:tcW w:w="1406" w:type="dxa"/>
            <w:vMerge/>
            <w:tcBorders>
              <w:left w:val="single" w:sz="4" w:space="0" w:color="000000"/>
              <w:bottom w:val="single" w:sz="4" w:space="0" w:color="000000"/>
              <w:right w:val="single" w:sz="4" w:space="0" w:color="000000"/>
            </w:tcBorders>
            <w:shd w:val="clear" w:color="auto" w:fill="D2D2D2"/>
          </w:tcPr>
          <w:p>
            <w:pPr/>
          </w:p>
        </w:tc>
        <w:tc>
          <w:tcPr>
            <w:tcW w:w="283" w:type="dxa"/>
            <w:vMerge/>
            <w:tcBorders>
              <w:left w:val="single" w:sz="4" w:space="0" w:color="000000"/>
              <w:bottom w:val="single" w:sz="4" w:space="0" w:color="000000"/>
              <w:right w:val="single" w:sz="4" w:space="0" w:color="000000"/>
            </w:tcBorders>
            <w:shd w:val="clear" w:color="auto" w:fill="D2D2D2"/>
          </w:tcPr>
          <w:p>
            <w:pPr/>
          </w:p>
        </w:tc>
        <w:tc>
          <w:tcPr>
            <w:tcW w:w="1418" w:type="dxa"/>
            <w:vMerge/>
            <w:tcBorders>
              <w:left w:val="single" w:sz="4" w:space="0" w:color="000000"/>
              <w:bottom w:val="single" w:sz="4" w:space="0" w:color="000000"/>
              <w:right w:val="single" w:sz="4" w:space="0" w:color="000000"/>
            </w:tcBorders>
            <w:shd w:val="clear" w:color="auto" w:fill="D2D2D2"/>
          </w:tcPr>
          <w:p>
            <w:pPr/>
          </w:p>
        </w:tc>
        <w:tc>
          <w:tcPr>
            <w:tcW w:w="284" w:type="dxa"/>
            <w:tcBorders>
              <w:top w:val="nil" w:sz="6" w:space="0" w:color="auto"/>
              <w:left w:val="single" w:sz="4" w:space="0" w:color="000000"/>
              <w:bottom w:val="single" w:sz="4" w:space="0" w:color="000000"/>
              <w:right w:val="single" w:sz="4" w:space="0" w:color="000000"/>
            </w:tcBorders>
            <w:shd w:val="clear" w:color="auto" w:fill="D2D2D2"/>
          </w:tcPr>
          <w:p>
            <w:pPr/>
          </w:p>
        </w:tc>
        <w:tc>
          <w:tcPr>
            <w:tcW w:w="283" w:type="dxa"/>
            <w:vMerge/>
            <w:tcBorders>
              <w:left w:val="single" w:sz="4" w:space="0" w:color="000000"/>
              <w:bottom w:val="single" w:sz="4" w:space="0" w:color="000000"/>
              <w:right w:val="single" w:sz="4" w:space="0" w:color="000000"/>
            </w:tcBorders>
            <w:shd w:val="clear" w:color="auto" w:fill="D2D2D2"/>
          </w:tcPr>
          <w:p>
            <w:pPr/>
          </w:p>
        </w:tc>
        <w:tc>
          <w:tcPr>
            <w:tcW w:w="283" w:type="dxa"/>
            <w:vMerge/>
            <w:tcBorders>
              <w:left w:val="single" w:sz="4" w:space="0" w:color="000000"/>
              <w:bottom w:val="single" w:sz="4" w:space="0" w:color="000000"/>
              <w:right w:val="single" w:sz="4" w:space="0" w:color="000000"/>
            </w:tcBorders>
            <w:shd w:val="clear" w:color="auto" w:fill="D2D2D2"/>
          </w:tcPr>
          <w:p>
            <w:pPr/>
          </w:p>
        </w:tc>
        <w:tc>
          <w:tcPr>
            <w:tcW w:w="1277" w:type="dxa"/>
            <w:vMerge/>
            <w:tcBorders>
              <w:left w:val="single" w:sz="4" w:space="0" w:color="000000"/>
              <w:bottom w:val="single" w:sz="4" w:space="0" w:color="000000"/>
              <w:right w:val="single" w:sz="4" w:space="0" w:color="000000"/>
            </w:tcBorders>
            <w:shd w:val="clear" w:color="auto" w:fill="D2D2D2"/>
          </w:tcPr>
          <w:p>
            <w:pPr/>
          </w:p>
        </w:tc>
        <w:tc>
          <w:tcPr>
            <w:tcW w:w="1416" w:type="dxa"/>
            <w:vMerge/>
            <w:tcBorders>
              <w:left w:val="single" w:sz="4" w:space="0" w:color="000000"/>
              <w:bottom w:val="single" w:sz="4" w:space="0" w:color="000000"/>
              <w:right w:val="single" w:sz="4" w:space="0" w:color="000000"/>
            </w:tcBorders>
            <w:shd w:val="clear" w:color="auto" w:fill="D2D2D2"/>
          </w:tcPr>
          <w:p>
            <w:pPr/>
          </w:p>
        </w:tc>
        <w:tc>
          <w:tcPr>
            <w:tcW w:w="1560"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7"/>
              <w:ind w:left="11" w:right="66"/>
              <w:jc w:val="left"/>
              <w:rPr>
                <w:rFonts w:ascii="宋体" w:hAnsi="宋体" w:cs="宋体" w:eastAsia="宋体" w:hint="default"/>
                <w:sz w:val="21"/>
                <w:szCs w:val="21"/>
              </w:rPr>
            </w:pPr>
            <w:r>
              <w:rPr>
                <w:rFonts w:ascii="宋体" w:hAnsi="宋体" w:cs="宋体" w:eastAsia="宋体" w:hint="default"/>
                <w:sz w:val="21"/>
                <w:szCs w:val="21"/>
              </w:rPr>
              <w:t>一、上年期末余 额</w:t>
            </w:r>
          </w:p>
        </w:tc>
        <w:tc>
          <w:tcPr>
            <w:tcW w:w="140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376,656,420.00</w:t>
            </w:r>
          </w:p>
        </w:tc>
        <w:tc>
          <w:tcPr>
            <w:tcW w:w="283"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z w:val="18"/>
              </w:rPr>
              <w:t>732,553,858.88</w:t>
            </w:r>
          </w:p>
        </w:tc>
        <w:tc>
          <w:tcPr>
            <w:tcW w:w="284"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9" w:right="0"/>
              <w:jc w:val="center"/>
              <w:rPr>
                <w:rFonts w:ascii="宋体" w:hAnsi="宋体" w:cs="宋体" w:eastAsia="宋体" w:hint="default"/>
                <w:sz w:val="18"/>
                <w:szCs w:val="18"/>
              </w:rPr>
            </w:pPr>
            <w:r>
              <w:rPr>
                <w:rFonts w:ascii="宋体"/>
                <w:sz w:val="18"/>
              </w:rPr>
              <w:t>53,869,052.71</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227,718,468.79</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1,390,797,800.38</w:t>
            </w:r>
          </w:p>
        </w:tc>
      </w:tr>
      <w:tr>
        <w:trPr>
          <w:trHeight w:val="714"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7"/>
              <w:ind w:left="11" w:right="66"/>
              <w:jc w:val="left"/>
              <w:rPr>
                <w:rFonts w:ascii="宋体" w:hAnsi="宋体" w:cs="宋体" w:eastAsia="宋体" w:hint="default"/>
                <w:sz w:val="21"/>
                <w:szCs w:val="21"/>
              </w:rPr>
            </w:pPr>
            <w:r>
              <w:rPr>
                <w:rFonts w:ascii="宋体" w:hAnsi="宋体" w:cs="宋体" w:eastAsia="宋体" w:hint="default"/>
                <w:sz w:val="21"/>
                <w:szCs w:val="21"/>
              </w:rPr>
              <w:t>加：会计政策变 更</w:t>
            </w:r>
          </w:p>
        </w:tc>
        <w:tc>
          <w:tcPr>
            <w:tcW w:w="1406" w:type="dxa"/>
            <w:tcBorders>
              <w:top w:val="single" w:sz="4" w:space="0" w:color="000000"/>
              <w:left w:val="single" w:sz="10" w:space="0" w:color="D2D2D2"/>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11" w:right="0"/>
              <w:jc w:val="left"/>
              <w:rPr>
                <w:rFonts w:ascii="宋体" w:hAnsi="宋体" w:cs="宋体" w:eastAsia="宋体" w:hint="default"/>
                <w:sz w:val="21"/>
                <w:szCs w:val="21"/>
              </w:rPr>
            </w:pPr>
            <w:r>
              <w:rPr>
                <w:rFonts w:ascii="宋体" w:hAnsi="宋体" w:cs="宋体" w:eastAsia="宋体" w:hint="default"/>
                <w:sz w:val="21"/>
                <w:szCs w:val="21"/>
              </w:rPr>
              <w:t>前期差错更正</w:t>
            </w:r>
          </w:p>
        </w:tc>
        <w:tc>
          <w:tcPr>
            <w:tcW w:w="1406" w:type="dxa"/>
            <w:tcBorders>
              <w:top w:val="single" w:sz="4" w:space="0" w:color="000000"/>
              <w:left w:val="single" w:sz="10" w:space="0" w:color="D2D2D2"/>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11"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406" w:type="dxa"/>
            <w:tcBorders>
              <w:top w:val="single" w:sz="4" w:space="0" w:color="000000"/>
              <w:left w:val="single" w:sz="10" w:space="0" w:color="D2D2D2"/>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7"/>
              <w:ind w:left="11" w:right="66"/>
              <w:jc w:val="left"/>
              <w:rPr>
                <w:rFonts w:ascii="宋体" w:hAnsi="宋体" w:cs="宋体" w:eastAsia="宋体" w:hint="default"/>
                <w:sz w:val="21"/>
                <w:szCs w:val="21"/>
              </w:rPr>
            </w:pPr>
            <w:r>
              <w:rPr>
                <w:rFonts w:ascii="宋体" w:hAnsi="宋体" w:cs="宋体" w:eastAsia="宋体" w:hint="default"/>
                <w:sz w:val="21"/>
                <w:szCs w:val="21"/>
              </w:rPr>
              <w:t>二、本年期初余 额</w:t>
            </w:r>
          </w:p>
        </w:tc>
        <w:tc>
          <w:tcPr>
            <w:tcW w:w="140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376,656,420.00</w:t>
            </w:r>
          </w:p>
        </w:tc>
        <w:tc>
          <w:tcPr>
            <w:tcW w:w="283"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z w:val="18"/>
              </w:rPr>
              <w:t>732,553,858.88</w:t>
            </w:r>
          </w:p>
        </w:tc>
        <w:tc>
          <w:tcPr>
            <w:tcW w:w="284"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9" w:right="0"/>
              <w:jc w:val="center"/>
              <w:rPr>
                <w:rFonts w:ascii="宋体" w:hAnsi="宋体" w:cs="宋体" w:eastAsia="宋体" w:hint="default"/>
                <w:sz w:val="18"/>
                <w:szCs w:val="18"/>
              </w:rPr>
            </w:pPr>
            <w:r>
              <w:rPr>
                <w:rFonts w:ascii="宋体"/>
                <w:sz w:val="18"/>
              </w:rPr>
              <w:t>53,869,052.71</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227,718,468.79</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1,390,797,800.38</w:t>
            </w:r>
          </w:p>
        </w:tc>
      </w:tr>
      <w:tr>
        <w:trPr>
          <w:trHeight w:val="1027"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7"/>
              <w:ind w:left="11" w:right="66"/>
              <w:jc w:val="both"/>
              <w:rPr>
                <w:rFonts w:ascii="宋体" w:hAnsi="宋体" w:cs="宋体" w:eastAsia="宋体" w:hint="default"/>
                <w:sz w:val="21"/>
                <w:szCs w:val="21"/>
              </w:rPr>
            </w:pPr>
            <w:r>
              <w:rPr>
                <w:rFonts w:ascii="宋体" w:hAnsi="宋体" w:cs="宋体" w:eastAsia="宋体" w:hint="default"/>
                <w:sz w:val="21"/>
                <w:szCs w:val="21"/>
              </w:rPr>
              <w:t>三、本期增减变 动金额（减少以 “－”号填列）</w:t>
            </w:r>
          </w:p>
        </w:tc>
        <w:tc>
          <w:tcPr>
            <w:tcW w:w="1406" w:type="dxa"/>
            <w:tcBorders>
              <w:top w:val="single" w:sz="4" w:space="0" w:color="000000"/>
              <w:left w:val="single" w:sz="10" w:space="0" w:color="D2D2D2"/>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22"/>
              <w:jc w:val="right"/>
              <w:rPr>
                <w:rFonts w:ascii="宋体" w:hAnsi="宋体" w:cs="宋体" w:eastAsia="宋体" w:hint="default"/>
                <w:sz w:val="18"/>
                <w:szCs w:val="18"/>
              </w:rPr>
            </w:pPr>
            <w:r>
              <w:rPr>
                <w:rFonts w:ascii="宋体"/>
                <w:sz w:val="18"/>
              </w:rPr>
              <w:t>16,972,594.79</w:t>
            </w:r>
          </w:p>
        </w:tc>
        <w:tc>
          <w:tcPr>
            <w:tcW w:w="284"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139" w:right="0"/>
              <w:jc w:val="center"/>
              <w:rPr>
                <w:rFonts w:ascii="宋体" w:hAnsi="宋体" w:cs="宋体" w:eastAsia="宋体" w:hint="default"/>
                <w:sz w:val="18"/>
                <w:szCs w:val="18"/>
              </w:rPr>
            </w:pPr>
            <w:r>
              <w:rPr>
                <w:rFonts w:ascii="宋体"/>
                <w:sz w:val="18"/>
              </w:rPr>
              <w:t>7,598,392.80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21"/>
              <w:jc w:val="right"/>
              <w:rPr>
                <w:rFonts w:ascii="宋体" w:hAnsi="宋体" w:cs="宋体" w:eastAsia="宋体" w:hint="default"/>
                <w:sz w:val="18"/>
                <w:szCs w:val="18"/>
              </w:rPr>
            </w:pPr>
            <w:r>
              <w:rPr>
                <w:rFonts w:ascii="宋体"/>
                <w:sz w:val="18"/>
              </w:rPr>
              <w:t>57,085,842.57</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23"/>
              <w:jc w:val="right"/>
              <w:rPr>
                <w:rFonts w:ascii="宋体" w:hAnsi="宋体" w:cs="宋体" w:eastAsia="宋体" w:hint="default"/>
                <w:sz w:val="18"/>
                <w:szCs w:val="18"/>
              </w:rPr>
            </w:pPr>
            <w:r>
              <w:rPr>
                <w:rFonts w:ascii="宋体"/>
                <w:sz w:val="18"/>
              </w:rPr>
              <w:t>81,656,830.16</w:t>
            </w:r>
          </w:p>
        </w:tc>
      </w:tr>
    </w:tbl>
    <w:p>
      <w:pPr>
        <w:spacing w:after="0" w:line="240" w:lineRule="auto"/>
        <w:jc w:val="right"/>
        <w:rPr>
          <w:rFonts w:ascii="宋体" w:hAnsi="宋体" w:cs="宋体" w:eastAsia="宋体" w:hint="default"/>
          <w:sz w:val="18"/>
          <w:szCs w:val="18"/>
        </w:rPr>
        <w:sectPr>
          <w:type w:val="continuous"/>
          <w:pgSz w:w="11910" w:h="16840"/>
          <w:pgMar w:top="1060" w:bottom="1160" w:left="840" w:right="0"/>
        </w:sectPr>
      </w:pPr>
    </w:p>
    <w:p>
      <w:pPr>
        <w:spacing w:line="240" w:lineRule="auto" w:before="6"/>
        <w:rPr>
          <w:rFonts w:ascii="宋体" w:hAnsi="宋体" w:cs="宋体" w:eastAsia="宋体" w:hint="default"/>
          <w:sz w:val="28"/>
          <w:szCs w:val="28"/>
        </w:rPr>
      </w:pPr>
    </w:p>
    <w:tbl>
      <w:tblPr>
        <w:tblW w:w="0" w:type="auto"/>
        <w:jc w:val="left"/>
        <w:tblInd w:w="107" w:type="dxa"/>
        <w:tblLayout w:type="fixed"/>
        <w:tblCellMar>
          <w:top w:w="0" w:type="dxa"/>
          <w:left w:w="0" w:type="dxa"/>
          <w:bottom w:w="0" w:type="dxa"/>
          <w:right w:w="0" w:type="dxa"/>
        </w:tblCellMar>
        <w:tblLook w:val="01E0"/>
      </w:tblPr>
      <w:tblGrid>
        <w:gridCol w:w="1583"/>
        <w:gridCol w:w="1394"/>
        <w:gridCol w:w="283"/>
        <w:gridCol w:w="1418"/>
        <w:gridCol w:w="284"/>
        <w:gridCol w:w="283"/>
        <w:gridCol w:w="283"/>
        <w:gridCol w:w="1277"/>
        <w:gridCol w:w="1416"/>
        <w:gridCol w:w="1560"/>
      </w:tblGrid>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22" w:right="78"/>
              <w:jc w:val="left"/>
              <w:rPr>
                <w:rFonts w:ascii="宋体" w:hAnsi="宋体" w:cs="宋体" w:eastAsia="宋体" w:hint="default"/>
                <w:sz w:val="21"/>
                <w:szCs w:val="21"/>
              </w:rPr>
            </w:pPr>
            <w:r>
              <w:rPr>
                <w:rFonts w:ascii="宋体" w:hAnsi="宋体" w:cs="宋体" w:eastAsia="宋体" w:hint="default"/>
                <w:sz w:val="21"/>
                <w:szCs w:val="21"/>
              </w:rPr>
              <w:t>（一）综合收益 总额</w:t>
            </w:r>
          </w:p>
        </w:tc>
        <w:tc>
          <w:tcPr>
            <w:tcW w:w="1394"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75,983,927.96</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75,983,927.96</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22" w:right="78"/>
              <w:jc w:val="left"/>
              <w:rPr>
                <w:rFonts w:ascii="宋体" w:hAnsi="宋体" w:cs="宋体" w:eastAsia="宋体" w:hint="default"/>
                <w:sz w:val="21"/>
                <w:szCs w:val="21"/>
              </w:rPr>
            </w:pPr>
            <w:r>
              <w:rPr>
                <w:rFonts w:ascii="宋体" w:hAnsi="宋体" w:cs="宋体" w:eastAsia="宋体" w:hint="default"/>
                <w:sz w:val="21"/>
                <w:szCs w:val="21"/>
              </w:rPr>
              <w:t>（二）所有者投 入和减少资本</w:t>
            </w:r>
          </w:p>
        </w:tc>
        <w:tc>
          <w:tcPr>
            <w:tcW w:w="1394"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22" w:right="22"/>
              <w:jc w:val="left"/>
              <w:rPr>
                <w:rFonts w:ascii="宋体" w:hAnsi="宋体" w:cs="宋体" w:eastAsia="宋体" w:hint="default"/>
                <w:sz w:val="21"/>
                <w:szCs w:val="21"/>
              </w:rPr>
            </w:pPr>
            <w:r>
              <w:rPr>
                <w:rFonts w:ascii="宋体" w:hAnsi="宋体" w:cs="宋体" w:eastAsia="宋体" w:hint="default"/>
                <w:spacing w:val="-7"/>
                <w:sz w:val="21"/>
                <w:szCs w:val="21"/>
              </w:rPr>
              <w:t>1</w:t>
            </w:r>
            <w:r>
              <w:rPr>
                <w:rFonts w:ascii="宋体" w:hAnsi="宋体" w:cs="宋体" w:eastAsia="宋体" w:hint="default"/>
                <w:spacing w:val="-7"/>
                <w:sz w:val="21"/>
                <w:szCs w:val="21"/>
              </w:rPr>
              <w:t>．股东投入的普</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通股</w:t>
            </w:r>
          </w:p>
        </w:tc>
        <w:tc>
          <w:tcPr>
            <w:tcW w:w="1394"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22" w:right="22"/>
              <w:jc w:val="left"/>
              <w:rPr>
                <w:rFonts w:ascii="宋体" w:hAnsi="宋体" w:cs="宋体" w:eastAsia="宋体" w:hint="default"/>
                <w:sz w:val="21"/>
                <w:szCs w:val="21"/>
              </w:rPr>
            </w:pPr>
            <w:r>
              <w:rPr>
                <w:rFonts w:ascii="宋体" w:hAnsi="宋体" w:cs="宋体" w:eastAsia="宋体" w:hint="default"/>
                <w:spacing w:val="-7"/>
                <w:sz w:val="21"/>
                <w:szCs w:val="21"/>
              </w:rPr>
              <w:t>2</w:t>
            </w:r>
            <w:r>
              <w:rPr>
                <w:rFonts w:ascii="宋体" w:hAnsi="宋体" w:cs="宋体" w:eastAsia="宋体" w:hint="default"/>
                <w:spacing w:val="-7"/>
                <w:sz w:val="21"/>
                <w:szCs w:val="21"/>
              </w:rPr>
              <w:t>．其他权益工具</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持有者投入资本</w:t>
            </w:r>
          </w:p>
        </w:tc>
        <w:tc>
          <w:tcPr>
            <w:tcW w:w="1394"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22" w:right="22"/>
              <w:jc w:val="both"/>
              <w:rPr>
                <w:rFonts w:ascii="宋体" w:hAnsi="宋体" w:cs="宋体" w:eastAsia="宋体" w:hint="default"/>
                <w:sz w:val="21"/>
                <w:szCs w:val="21"/>
              </w:rPr>
            </w:pPr>
            <w:r>
              <w:rPr>
                <w:rFonts w:ascii="宋体" w:hAnsi="宋体" w:cs="宋体" w:eastAsia="宋体" w:hint="default"/>
                <w:spacing w:val="-7"/>
                <w:sz w:val="21"/>
                <w:szCs w:val="21"/>
              </w:rPr>
              <w:t>3</w:t>
            </w:r>
            <w:r>
              <w:rPr>
                <w:rFonts w:ascii="宋体" w:hAnsi="宋体" w:cs="宋体" w:eastAsia="宋体" w:hint="default"/>
                <w:spacing w:val="-7"/>
                <w:sz w:val="21"/>
                <w:szCs w:val="21"/>
              </w:rPr>
              <w:t>．股份支付计入</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所有者权益的金 额</w:t>
            </w:r>
          </w:p>
        </w:tc>
        <w:tc>
          <w:tcPr>
            <w:tcW w:w="1394"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．其他</w:t>
            </w:r>
          </w:p>
        </w:tc>
        <w:tc>
          <w:tcPr>
            <w:tcW w:w="1394"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（三）利润分配</w:t>
            </w:r>
          </w:p>
        </w:tc>
        <w:tc>
          <w:tcPr>
            <w:tcW w:w="1394"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39" w:right="0"/>
              <w:jc w:val="center"/>
              <w:rPr>
                <w:rFonts w:ascii="宋体" w:hAnsi="宋体" w:cs="宋体" w:eastAsia="宋体" w:hint="default"/>
                <w:sz w:val="18"/>
                <w:szCs w:val="18"/>
              </w:rPr>
            </w:pPr>
            <w:r>
              <w:rPr>
                <w:rFonts w:ascii="宋体"/>
                <w:sz w:val="18"/>
              </w:rPr>
              <w:t>7,598,392.80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-18,898,085.39</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-11,299,692.59</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pacing w:val="-7"/>
                <w:sz w:val="21"/>
                <w:szCs w:val="21"/>
              </w:rPr>
              <w:t>1</w:t>
            </w:r>
            <w:r>
              <w:rPr>
                <w:rFonts w:ascii="宋体" w:hAnsi="宋体" w:cs="宋体" w:eastAsia="宋体" w:hint="default"/>
                <w:spacing w:val="-7"/>
                <w:sz w:val="21"/>
                <w:szCs w:val="21"/>
              </w:rPr>
              <w:t>．提取盈余公积</w:t>
            </w:r>
          </w:p>
        </w:tc>
        <w:tc>
          <w:tcPr>
            <w:tcW w:w="1394"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39" w:right="0"/>
              <w:jc w:val="center"/>
              <w:rPr>
                <w:rFonts w:ascii="宋体" w:hAnsi="宋体" w:cs="宋体" w:eastAsia="宋体" w:hint="default"/>
                <w:sz w:val="18"/>
                <w:szCs w:val="18"/>
              </w:rPr>
            </w:pPr>
            <w:r>
              <w:rPr>
                <w:rFonts w:ascii="宋体"/>
                <w:sz w:val="18"/>
              </w:rPr>
              <w:t>7,598,392.80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-7,598,392.80</w:t>
            </w: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22" w:right="22"/>
              <w:jc w:val="left"/>
              <w:rPr>
                <w:rFonts w:ascii="宋体" w:hAnsi="宋体" w:cs="宋体" w:eastAsia="宋体" w:hint="default"/>
                <w:sz w:val="21"/>
                <w:szCs w:val="21"/>
              </w:rPr>
            </w:pPr>
            <w:r>
              <w:rPr>
                <w:rFonts w:ascii="宋体" w:hAnsi="宋体" w:cs="宋体" w:eastAsia="宋体" w:hint="default"/>
                <w:spacing w:val="-7"/>
                <w:sz w:val="21"/>
                <w:szCs w:val="21"/>
              </w:rPr>
              <w:t>2</w:t>
            </w:r>
            <w:r>
              <w:rPr>
                <w:rFonts w:ascii="宋体" w:hAnsi="宋体" w:cs="宋体" w:eastAsia="宋体" w:hint="default"/>
                <w:spacing w:val="-7"/>
                <w:sz w:val="21"/>
                <w:szCs w:val="21"/>
              </w:rPr>
              <w:t>．对所有者（或</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股东）的分配</w:t>
            </w:r>
          </w:p>
        </w:tc>
        <w:tc>
          <w:tcPr>
            <w:tcW w:w="1394"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-11,299,692.59</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-11,299,692.59</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．其他</w:t>
            </w:r>
          </w:p>
        </w:tc>
        <w:tc>
          <w:tcPr>
            <w:tcW w:w="1394"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22" w:right="78"/>
              <w:jc w:val="left"/>
              <w:rPr>
                <w:rFonts w:ascii="宋体" w:hAnsi="宋体" w:cs="宋体" w:eastAsia="宋体" w:hint="default"/>
                <w:sz w:val="21"/>
                <w:szCs w:val="21"/>
              </w:rPr>
            </w:pPr>
            <w:r>
              <w:rPr>
                <w:rFonts w:ascii="宋体" w:hAnsi="宋体" w:cs="宋体" w:eastAsia="宋体" w:hint="default"/>
                <w:sz w:val="21"/>
                <w:szCs w:val="21"/>
              </w:rPr>
              <w:t>（四）所有者权 益内部结转</w:t>
            </w:r>
          </w:p>
        </w:tc>
        <w:tc>
          <w:tcPr>
            <w:tcW w:w="1394"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22" w:right="22"/>
              <w:jc w:val="left"/>
              <w:rPr>
                <w:rFonts w:ascii="宋体" w:hAnsi="宋体" w:cs="宋体" w:eastAsia="宋体" w:hint="default"/>
                <w:sz w:val="21"/>
                <w:szCs w:val="21"/>
              </w:rPr>
            </w:pPr>
            <w:r>
              <w:rPr>
                <w:rFonts w:ascii="宋体" w:hAnsi="宋体" w:cs="宋体" w:eastAsia="宋体" w:hint="default"/>
                <w:spacing w:val="-7"/>
                <w:sz w:val="21"/>
                <w:szCs w:val="21"/>
              </w:rPr>
              <w:t>1</w:t>
            </w:r>
            <w:r>
              <w:rPr>
                <w:rFonts w:ascii="宋体" w:hAnsi="宋体" w:cs="宋体" w:eastAsia="宋体" w:hint="default"/>
                <w:spacing w:val="-7"/>
                <w:sz w:val="21"/>
                <w:szCs w:val="21"/>
              </w:rPr>
              <w:t>．资本公积转增</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资本（或股本）</w:t>
            </w:r>
          </w:p>
        </w:tc>
        <w:tc>
          <w:tcPr>
            <w:tcW w:w="1394"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22" w:right="22"/>
              <w:jc w:val="left"/>
              <w:rPr>
                <w:rFonts w:ascii="宋体" w:hAnsi="宋体" w:cs="宋体" w:eastAsia="宋体" w:hint="default"/>
                <w:sz w:val="21"/>
                <w:szCs w:val="21"/>
              </w:rPr>
            </w:pPr>
            <w:r>
              <w:rPr>
                <w:rFonts w:ascii="宋体" w:hAnsi="宋体" w:cs="宋体" w:eastAsia="宋体" w:hint="default"/>
                <w:spacing w:val="-7"/>
                <w:sz w:val="21"/>
                <w:szCs w:val="21"/>
              </w:rPr>
              <w:t>2</w:t>
            </w:r>
            <w:r>
              <w:rPr>
                <w:rFonts w:ascii="宋体" w:hAnsi="宋体" w:cs="宋体" w:eastAsia="宋体" w:hint="default"/>
                <w:spacing w:val="-7"/>
                <w:sz w:val="21"/>
                <w:szCs w:val="21"/>
              </w:rPr>
              <w:t>．盈余公积转增</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资本（或股本）</w:t>
            </w:r>
          </w:p>
        </w:tc>
        <w:tc>
          <w:tcPr>
            <w:tcW w:w="1394"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22" w:right="22"/>
              <w:jc w:val="left"/>
              <w:rPr>
                <w:rFonts w:ascii="宋体" w:hAnsi="宋体" w:cs="宋体" w:eastAsia="宋体" w:hint="default"/>
                <w:sz w:val="21"/>
                <w:szCs w:val="21"/>
              </w:rPr>
            </w:pPr>
            <w:r>
              <w:rPr>
                <w:rFonts w:ascii="宋体" w:hAnsi="宋体" w:cs="宋体" w:eastAsia="宋体" w:hint="default"/>
                <w:spacing w:val="-7"/>
                <w:sz w:val="21"/>
                <w:szCs w:val="21"/>
              </w:rPr>
              <w:t>3</w:t>
            </w:r>
            <w:r>
              <w:rPr>
                <w:rFonts w:ascii="宋体" w:hAnsi="宋体" w:cs="宋体" w:eastAsia="宋体" w:hint="default"/>
                <w:spacing w:val="-7"/>
                <w:sz w:val="21"/>
                <w:szCs w:val="21"/>
              </w:rPr>
              <w:t>．盈余公积弥补</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亏损</w:t>
            </w:r>
          </w:p>
        </w:tc>
        <w:tc>
          <w:tcPr>
            <w:tcW w:w="1394"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．其他</w:t>
            </w:r>
          </w:p>
        </w:tc>
        <w:tc>
          <w:tcPr>
            <w:tcW w:w="1394"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（五）专项储备</w:t>
            </w:r>
          </w:p>
        </w:tc>
        <w:tc>
          <w:tcPr>
            <w:tcW w:w="1394"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．本期提取</w:t>
            </w:r>
          </w:p>
        </w:tc>
        <w:tc>
          <w:tcPr>
            <w:tcW w:w="1394"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．本期使用</w:t>
            </w:r>
          </w:p>
        </w:tc>
        <w:tc>
          <w:tcPr>
            <w:tcW w:w="1394"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（六）其他</w:t>
            </w:r>
          </w:p>
        </w:tc>
        <w:tc>
          <w:tcPr>
            <w:tcW w:w="1394"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16,972,594.79</w:t>
            </w:r>
          </w:p>
        </w:tc>
        <w:tc>
          <w:tcPr>
            <w:tcW w:w="284"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16,972,594.79</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22" w:right="78"/>
              <w:jc w:val="left"/>
              <w:rPr>
                <w:rFonts w:ascii="宋体" w:hAnsi="宋体" w:cs="宋体" w:eastAsia="宋体" w:hint="default"/>
                <w:sz w:val="21"/>
                <w:szCs w:val="21"/>
              </w:rPr>
            </w:pPr>
            <w:r>
              <w:rPr>
                <w:rFonts w:ascii="宋体" w:hAnsi="宋体" w:cs="宋体" w:eastAsia="宋体" w:hint="default"/>
                <w:sz w:val="21"/>
                <w:szCs w:val="21"/>
              </w:rPr>
              <w:t>四、本期期末余 额</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sz w:val="18"/>
              </w:rPr>
              <w:t>376,656,420.00</w:t>
            </w:r>
          </w:p>
        </w:tc>
        <w:tc>
          <w:tcPr>
            <w:tcW w:w="283"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z w:val="18"/>
              </w:rPr>
              <w:t>749,526,453.67</w:t>
            </w:r>
          </w:p>
        </w:tc>
        <w:tc>
          <w:tcPr>
            <w:tcW w:w="284"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9" w:right="0"/>
              <w:jc w:val="center"/>
              <w:rPr>
                <w:rFonts w:ascii="宋体" w:hAnsi="宋体" w:cs="宋体" w:eastAsia="宋体" w:hint="default"/>
                <w:sz w:val="18"/>
                <w:szCs w:val="18"/>
              </w:rPr>
            </w:pPr>
            <w:r>
              <w:rPr>
                <w:rFonts w:ascii="宋体"/>
                <w:sz w:val="18"/>
              </w:rPr>
              <w:t>61,467,445.51</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284,804,311.36</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1,472,454,630.54</w:t>
            </w:r>
          </w:p>
        </w:tc>
      </w:tr>
    </w:tbl>
    <w:p>
      <w:pPr>
        <w:pStyle w:val="Heading2"/>
        <w:spacing w:line="240" w:lineRule="auto" w:before="81"/>
        <w:ind w:left="254" w:right="997"/>
        <w:jc w:val="left"/>
        <w:rPr>
          <w:b w:val="0"/>
          <w:bCs w:val="0"/>
        </w:rPr>
      </w:pPr>
      <w:bookmarkStart w:name="三、公司基本情况" w:id="198"/>
      <w:bookmarkEnd w:id="198"/>
      <w:r>
        <w:rPr>
          <w:b w:val="0"/>
          <w:bCs w:val="0"/>
        </w:rPr>
      </w:r>
      <w:r>
        <w:rPr/>
        <w:t>三、公司基本情况</w:t>
      </w:r>
      <w:r>
        <w:rPr>
          <w:b w:val="0"/>
          <w:bCs w:val="0"/>
        </w:rPr>
      </w:r>
    </w:p>
    <w:p>
      <w:pPr>
        <w:spacing w:line="240" w:lineRule="auto" w:before="10"/>
        <w:rPr>
          <w:rFonts w:ascii="宋体" w:hAnsi="宋体" w:cs="宋体" w:eastAsia="宋体" w:hint="default"/>
          <w:b/>
          <w:bCs/>
          <w:sz w:val="18"/>
          <w:szCs w:val="18"/>
        </w:rPr>
      </w:pPr>
    </w:p>
    <w:p>
      <w:pPr>
        <w:spacing w:line="352" w:lineRule="auto" w:before="0"/>
        <w:ind w:left="733" w:right="1153" w:firstLine="2"/>
        <w:jc w:val="left"/>
        <w:rPr>
          <w:rFonts w:ascii="宋体" w:hAnsi="宋体" w:cs="宋体" w:eastAsia="宋体" w:hint="default"/>
          <w:sz w:val="24"/>
          <w:szCs w:val="24"/>
        </w:rPr>
      </w:pPr>
      <w:r>
        <w:rPr>
          <w:rFonts w:ascii="宋体" w:hAnsi="宋体" w:cs="宋体" w:eastAsia="宋体" w:hint="default"/>
          <w:b/>
          <w:bCs/>
          <w:sz w:val="24"/>
          <w:szCs w:val="24"/>
        </w:rPr>
        <w:t>（一）公司注册地、组织形式和总部地址</w:t>
      </w:r>
      <w:r>
        <w:rPr>
          <w:rFonts w:ascii="宋体" w:hAnsi="宋体" w:cs="宋体" w:eastAsia="宋体" w:hint="default"/>
          <w:b/>
          <w:bCs/>
          <w:w w:val="99"/>
          <w:sz w:val="24"/>
          <w:szCs w:val="24"/>
        </w:rPr>
        <w:t> </w:t>
      </w:r>
      <w:r>
        <w:rPr>
          <w:rFonts w:ascii="宋体" w:hAnsi="宋体" w:cs="宋体" w:eastAsia="宋体" w:hint="default"/>
          <w:sz w:val="24"/>
          <w:szCs w:val="24"/>
        </w:rPr>
        <w:t>河南辉煌科技股份有限公司（以下简称“公司”或“本公司”）系于</w:t>
      </w:r>
      <w:r>
        <w:rPr>
          <w:rFonts w:ascii="宋体" w:hAnsi="宋体" w:cs="宋体" w:eastAsia="宋体" w:hint="default"/>
          <w:sz w:val="24"/>
          <w:szCs w:val="24"/>
        </w:rPr>
        <w:t>2001</w:t>
      </w:r>
      <w:r>
        <w:rPr>
          <w:rFonts w:ascii="宋体" w:hAnsi="宋体" w:cs="宋体" w:eastAsia="宋体" w:hint="default"/>
          <w:sz w:val="24"/>
          <w:szCs w:val="24"/>
        </w:rPr>
        <w:t>年</w:t>
      </w:r>
      <w:r>
        <w:rPr>
          <w:rFonts w:ascii="宋体" w:hAnsi="宋体" w:cs="宋体" w:eastAsia="宋体" w:hint="default"/>
          <w:sz w:val="24"/>
          <w:szCs w:val="24"/>
        </w:rPr>
        <w:t>10</w:t>
      </w:r>
      <w:r>
        <w:rPr>
          <w:rFonts w:ascii="宋体" w:hAnsi="宋体" w:cs="宋体" w:eastAsia="宋体" w:hint="default"/>
          <w:sz w:val="24"/>
          <w:szCs w:val="24"/>
        </w:rPr>
        <w:t>月经河南</w:t>
      </w:r>
    </w:p>
    <w:p>
      <w:pPr>
        <w:pStyle w:val="BodyText"/>
        <w:spacing w:line="240" w:lineRule="auto" w:before="32"/>
        <w:ind w:left="253" w:right="997"/>
        <w:jc w:val="left"/>
      </w:pPr>
      <w:r>
        <w:rPr/>
        <w:t>省人民政府豫股批字</w:t>
      </w:r>
      <w:r>
        <w:rPr>
          <w:rFonts w:ascii="宋体" w:hAnsi="宋体" w:cs="宋体" w:eastAsia="宋体" w:hint="default"/>
        </w:rPr>
        <w:t>(2001)35</w:t>
      </w:r>
      <w:r>
        <w:rPr/>
        <w:t>号文批准，由李海鹰等</w:t>
      </w:r>
      <w:r>
        <w:rPr>
          <w:rFonts w:ascii="宋体" w:hAnsi="宋体" w:cs="宋体" w:eastAsia="宋体" w:hint="default"/>
        </w:rPr>
        <w:t>9</w:t>
      </w:r>
      <w:r>
        <w:rPr/>
        <w:t>位自然人共同发起设立的股份有限公</w:t>
      </w:r>
    </w:p>
    <w:p>
      <w:pPr>
        <w:spacing w:after="0" w:line="240" w:lineRule="auto"/>
        <w:jc w:val="left"/>
        <w:sectPr>
          <w:pgSz w:w="11910" w:h="16840"/>
          <w:pgMar w:header="747" w:footer="979" w:top="1060" w:bottom="1160" w:left="880" w:right="0"/>
        </w:sectPr>
      </w:pPr>
    </w:p>
    <w:p>
      <w:pPr>
        <w:spacing w:line="240" w:lineRule="auto" w:before="0"/>
        <w:rPr>
          <w:rFonts w:ascii="宋体" w:hAnsi="宋体" w:cs="宋体" w:eastAsia="宋体" w:hint="default"/>
          <w:sz w:val="20"/>
          <w:szCs w:val="20"/>
        </w:rPr>
      </w:pPr>
    </w:p>
    <w:p>
      <w:pPr>
        <w:pStyle w:val="BodyText"/>
        <w:spacing w:line="350" w:lineRule="auto" w:before="199"/>
        <w:ind w:right="996"/>
        <w:jc w:val="left"/>
      </w:pPr>
      <w:r>
        <w:rPr>
          <w:spacing w:val="-2"/>
        </w:rPr>
        <w:t>司。公司的统一社会信用代码：</w:t>
      </w:r>
      <w:r>
        <w:rPr>
          <w:rFonts w:ascii="宋体" w:hAnsi="宋体" w:cs="宋体" w:eastAsia="宋体" w:hint="default"/>
          <w:spacing w:val="-2"/>
        </w:rPr>
        <w:t>914101007324826746</w:t>
      </w:r>
      <w:r>
        <w:rPr>
          <w:spacing w:val="-2"/>
        </w:rPr>
        <w:t>，并于</w:t>
      </w:r>
      <w:r>
        <w:rPr>
          <w:rFonts w:ascii="宋体" w:hAnsi="宋体" w:cs="宋体" w:eastAsia="宋体" w:hint="default"/>
          <w:spacing w:val="-2"/>
        </w:rPr>
        <w:t>2009</w:t>
      </w:r>
      <w:r>
        <w:rPr>
          <w:spacing w:val="-2"/>
        </w:rPr>
        <w:t>年</w:t>
      </w:r>
      <w:r>
        <w:rPr>
          <w:rFonts w:ascii="宋体" w:hAnsi="宋体" w:cs="宋体" w:eastAsia="宋体" w:hint="default"/>
          <w:spacing w:val="-2"/>
        </w:rPr>
        <w:t>9</w:t>
      </w:r>
      <w:r>
        <w:rPr>
          <w:spacing w:val="-2"/>
        </w:rPr>
        <w:t>月</w:t>
      </w:r>
      <w:r>
        <w:rPr>
          <w:rFonts w:ascii="宋体" w:hAnsi="宋体" w:cs="宋体" w:eastAsia="宋体" w:hint="default"/>
          <w:spacing w:val="-2"/>
        </w:rPr>
        <w:t>29</w:t>
      </w:r>
      <w:r>
        <w:rPr>
          <w:spacing w:val="-2"/>
        </w:rPr>
        <w:t>日在深圳证券交易所</w:t>
      </w:r>
      <w:r>
        <w:rPr>
          <w:spacing w:val="-98"/>
        </w:rPr>
        <w:t> </w:t>
      </w:r>
      <w:r>
        <w:rPr/>
        <w:t>上市。</w:t>
      </w:r>
    </w:p>
    <w:p>
      <w:pPr>
        <w:pStyle w:val="BodyText"/>
        <w:spacing w:line="352" w:lineRule="auto"/>
        <w:ind w:right="1169" w:firstLine="480"/>
        <w:jc w:val="both"/>
      </w:pPr>
      <w:r>
        <w:rPr/>
        <w:t>经过历年的派送红股、配售新股、转增股本及增发新股，截至</w:t>
      </w:r>
      <w:r>
        <w:rPr>
          <w:rFonts w:ascii="宋体" w:hAnsi="宋体" w:cs="宋体" w:eastAsia="宋体" w:hint="default"/>
        </w:rPr>
        <w:t>2017</w:t>
      </w:r>
      <w:r>
        <w:rPr/>
        <w:t>年</w:t>
      </w:r>
      <w:r>
        <w:rPr>
          <w:rFonts w:ascii="宋体" w:hAnsi="宋体" w:cs="宋体" w:eastAsia="宋体" w:hint="default"/>
        </w:rPr>
        <w:t>12</w:t>
      </w:r>
      <w:r>
        <w:rPr/>
        <w:t>月</w:t>
      </w:r>
      <w:r>
        <w:rPr>
          <w:rFonts w:ascii="宋体" w:hAnsi="宋体" w:cs="宋体" w:eastAsia="宋体" w:hint="default"/>
        </w:rPr>
        <w:t>31</w:t>
      </w:r>
      <w:r>
        <w:rPr/>
        <w:t>日，本公司 累计发行股本总数</w:t>
      </w:r>
      <w:r>
        <w:rPr>
          <w:rFonts w:ascii="宋体" w:hAnsi="宋体" w:cs="宋体" w:eastAsia="宋体" w:hint="default"/>
        </w:rPr>
        <w:t>37,665.642</w:t>
      </w:r>
      <w:r>
        <w:rPr/>
        <w:t>万股，注册资本为</w:t>
      </w:r>
      <w:r>
        <w:rPr>
          <w:rFonts w:ascii="宋体" w:hAnsi="宋体" w:cs="宋体" w:eastAsia="宋体" w:hint="default"/>
        </w:rPr>
        <w:t>37,665.642</w:t>
      </w:r>
      <w:r>
        <w:rPr/>
        <w:t>万元，注册地址：郑州市高新技 术产业开发区科学大道</w:t>
      </w:r>
      <w:r>
        <w:rPr>
          <w:rFonts w:ascii="宋体" w:hAnsi="宋体" w:cs="宋体" w:eastAsia="宋体" w:hint="default"/>
        </w:rPr>
        <w:t>74</w:t>
      </w:r>
      <w:r>
        <w:rPr/>
        <w:t>号，总部地址：郑州市高新技术产业开发区科学大道</w:t>
      </w:r>
      <w:r>
        <w:rPr>
          <w:rFonts w:ascii="宋体" w:hAnsi="宋体" w:cs="宋体" w:eastAsia="宋体" w:hint="default"/>
        </w:rPr>
        <w:t>74</w:t>
      </w:r>
      <w:r>
        <w:rPr/>
        <w:t>号，公司第 一大股东为李海鹰，持股比例为</w:t>
      </w:r>
      <w:r>
        <w:rPr>
          <w:rFonts w:ascii="宋体" w:hAnsi="宋体" w:cs="宋体" w:eastAsia="宋体" w:hint="default"/>
        </w:rPr>
        <w:t>12.61%</w:t>
      </w:r>
      <w:r>
        <w:rPr/>
        <w:t>。</w:t>
      </w:r>
    </w:p>
    <w:p>
      <w:pPr>
        <w:pStyle w:val="BodyText"/>
        <w:spacing w:line="350" w:lineRule="auto" w:before="32"/>
        <w:ind w:left="634" w:right="1152" w:firstLine="2"/>
        <w:jc w:val="left"/>
      </w:pPr>
      <w:r>
        <w:rPr>
          <w:rFonts w:ascii="宋体" w:hAnsi="宋体" w:cs="宋体" w:eastAsia="宋体" w:hint="default"/>
          <w:b/>
          <w:bCs/>
        </w:rPr>
        <w:t>（二）经营范围</w:t>
      </w:r>
      <w:r>
        <w:rPr>
          <w:rFonts w:ascii="宋体" w:hAnsi="宋体" w:cs="宋体" w:eastAsia="宋体" w:hint="default"/>
          <w:b/>
          <w:bCs/>
          <w:w w:val="99"/>
        </w:rPr>
        <w:t> </w:t>
      </w:r>
      <w:r>
        <w:rPr/>
        <w:t>公司主要经营范围：机电液一体化技术、计算机软件、电子控制技术、铁路专用设备、</w:t>
      </w:r>
    </w:p>
    <w:p>
      <w:pPr>
        <w:pStyle w:val="BodyText"/>
        <w:spacing w:line="350" w:lineRule="auto"/>
        <w:ind w:left="154" w:right="996"/>
        <w:jc w:val="left"/>
      </w:pPr>
      <w:r>
        <w:rPr>
          <w:spacing w:val="-3"/>
        </w:rPr>
        <w:t>电气设备的研发、销售并提供技术咨询、技术开发、技术转让、技术推广；计算机监控设备、</w:t>
      </w:r>
      <w:r>
        <w:rPr>
          <w:spacing w:val="-82"/>
        </w:rPr>
        <w:t> </w:t>
      </w:r>
      <w:r>
        <w:rPr>
          <w:spacing w:val="-82"/>
        </w:rPr>
      </w:r>
      <w:r>
        <w:rPr/>
        <w:t>电子产品的设计、开发、生产；通讯设备（凭有效批准证书并按其核定和范围经营）、电子 器件、仪器仪表、电子产品的销售；软件开发；信息服务；计算机系统集成：铁路电务工程 </w:t>
      </w:r>
      <w:r>
        <w:rPr>
          <w:spacing w:val="-3"/>
        </w:rPr>
        <w:t>施工（凭有效资质证核定的范围和期限经营，未获审批前，不得经营）；设计、制作、代理、</w:t>
      </w:r>
      <w:r>
        <w:rPr>
          <w:spacing w:val="-80"/>
        </w:rPr>
        <w:t> </w:t>
      </w:r>
      <w:r>
        <w:rPr>
          <w:spacing w:val="-80"/>
        </w:rPr>
      </w:r>
      <w:r>
        <w:rPr/>
        <w:t>发布国内广告业务、会议及展览展示业务。</w:t>
      </w:r>
    </w:p>
    <w:p>
      <w:pPr>
        <w:pStyle w:val="BodyText"/>
        <w:spacing w:line="352" w:lineRule="auto" w:before="35"/>
        <w:ind w:left="633" w:right="1153" w:firstLine="2"/>
        <w:jc w:val="left"/>
      </w:pPr>
      <w:r>
        <w:rPr>
          <w:rFonts w:ascii="宋体" w:hAnsi="宋体" w:cs="宋体" w:eastAsia="宋体" w:hint="default"/>
          <w:b/>
          <w:bCs/>
        </w:rPr>
        <w:t>（三）公司业务性质和主要经营活动</w:t>
      </w:r>
      <w:r>
        <w:rPr>
          <w:rFonts w:ascii="宋体" w:hAnsi="宋体" w:cs="宋体" w:eastAsia="宋体" w:hint="default"/>
          <w:b/>
          <w:bCs/>
          <w:w w:val="99"/>
        </w:rPr>
        <w:t> </w:t>
      </w:r>
      <w:r>
        <w:rPr/>
        <w:t>公司的主营业务为铁路通信信号领域产品的研制开发、生产及销售。 公司的主要产品为铁路通信信号和铁路运输调度指挥管理领域的软件和系统集成产品，</w:t>
      </w:r>
    </w:p>
    <w:p>
      <w:pPr>
        <w:pStyle w:val="BodyText"/>
        <w:spacing w:line="350" w:lineRule="auto" w:before="32"/>
        <w:ind w:right="996"/>
        <w:jc w:val="left"/>
      </w:pPr>
      <w:r>
        <w:rPr/>
        <w:t>具体为：设备监测类产品：包括信号集中监测及子系统、融雪系统、信号维护支持系统、道 岔缺口监测、道岔综合监测、电务设备动态监测分析系统等；安防类产品：包括铁路防灾安 全监控系统、铁路综合视频监控系统、城轨综合监控系统、动力环境监控等；生产指挥及运 </w:t>
      </w:r>
      <w:r>
        <w:rPr>
          <w:spacing w:val="-3"/>
        </w:rPr>
        <w:t>输调度信息化类产品：包括电务生产指挥、铁路安全生产指挥综合系统等；信号控制类产品：</w:t>
      </w:r>
      <w:r>
        <w:rPr>
          <w:spacing w:val="-81"/>
        </w:rPr>
        <w:t> </w:t>
      </w:r>
      <w:r>
        <w:rPr>
          <w:spacing w:val="-81"/>
        </w:rPr>
      </w:r>
      <w:r>
        <w:rPr/>
        <w:t>包括无线调车机车信号、计算机联锁等；电源类设备产品：包括电源屏设备及子系统；信号</w:t>
      </w:r>
      <w:r>
        <w:rPr/>
        <w:t> 设备及器材产品：包括信号设备及器材、道岔转辙机、水冲洗设备产品等。</w:t>
      </w:r>
    </w:p>
    <w:p>
      <w:pPr>
        <w:pStyle w:val="BodyText"/>
        <w:spacing w:line="352" w:lineRule="auto" w:before="35"/>
        <w:ind w:left="633" w:right="4393" w:firstLine="2"/>
        <w:jc w:val="left"/>
      </w:pPr>
      <w:r>
        <w:rPr>
          <w:rFonts w:ascii="宋体" w:hAnsi="宋体" w:cs="宋体" w:eastAsia="宋体" w:hint="default"/>
          <w:b/>
          <w:bCs/>
        </w:rPr>
        <w:t>（四）财务报表的批准报出</w:t>
      </w:r>
      <w:r>
        <w:rPr>
          <w:rFonts w:ascii="宋体" w:hAnsi="宋体" w:cs="宋体" w:eastAsia="宋体" w:hint="default"/>
          <w:b/>
          <w:bCs/>
          <w:w w:val="99"/>
        </w:rPr>
        <w:t> </w:t>
      </w:r>
      <w:r>
        <w:rPr/>
        <w:t>本财务报表业经公司董事会于</w:t>
      </w:r>
      <w:r>
        <w:rPr>
          <w:rFonts w:ascii="宋体" w:hAnsi="宋体" w:cs="宋体" w:eastAsia="宋体" w:hint="default"/>
        </w:rPr>
        <w:t>2018</w:t>
      </w:r>
      <w:r>
        <w:rPr/>
        <w:t>年</w:t>
      </w:r>
      <w:r>
        <w:rPr>
          <w:rFonts w:ascii="宋体" w:hAnsi="宋体" w:cs="宋体" w:eastAsia="宋体" w:hint="default"/>
        </w:rPr>
        <w:t>4</w:t>
      </w:r>
      <w:r>
        <w:rPr/>
        <w:t>月</w:t>
      </w:r>
      <w:r>
        <w:rPr>
          <w:rFonts w:ascii="宋体" w:hAnsi="宋体" w:cs="宋体" w:eastAsia="宋体" w:hint="default"/>
        </w:rPr>
        <w:t>23</w:t>
      </w:r>
      <w:r>
        <w:rPr/>
        <w:t>日批准报出。 本期纳入合并财务报表范围的主体共</w:t>
      </w:r>
      <w:r>
        <w:rPr>
          <w:rFonts w:ascii="宋体" w:hAnsi="宋体" w:cs="宋体" w:eastAsia="宋体" w:hint="default"/>
        </w:rPr>
        <w:t>11</w:t>
      </w:r>
      <w:r>
        <w:rPr/>
        <w:t>户，具体包括：</w:t>
      </w:r>
    </w:p>
    <w:p>
      <w:pPr>
        <w:spacing w:line="225" w:lineRule="exact" w:before="0"/>
        <w:ind w:left="0" w:right="1618" w:firstLine="0"/>
        <w:jc w:val="right"/>
        <w:rPr>
          <w:rFonts w:ascii="宋体" w:hAnsi="宋体" w:cs="宋体" w:eastAsia="宋体" w:hint="default"/>
          <w:sz w:val="21"/>
          <w:szCs w:val="21"/>
        </w:rPr>
      </w:pPr>
      <w:r>
        <w:rPr/>
        <w:pict>
          <v:shape style="position:absolute;margin-left:84.260002pt;margin-top:-2.767493pt;width:427.15pt;height:120.3pt;mso-position-horizontal-relative:page;mso-position-vertical-relative:paragraph;z-index:188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510"/>
                    <w:gridCol w:w="1260"/>
                    <w:gridCol w:w="725"/>
                    <w:gridCol w:w="1516"/>
                    <w:gridCol w:w="1517"/>
                  </w:tblGrid>
                  <w:tr>
                    <w:trPr>
                      <w:trHeight w:val="342" w:hRule="exact"/>
                    </w:trPr>
                    <w:tc>
                      <w:tcPr>
                        <w:tcW w:w="351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子公司名称</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99" w:right="0"/>
                          <w:jc w:val="left"/>
                          <w:rPr>
                            <w:rFonts w:ascii="宋体" w:hAnsi="宋体" w:cs="宋体" w:eastAsia="宋体" w:hint="default"/>
                            <w:sz w:val="21"/>
                            <w:szCs w:val="21"/>
                          </w:rPr>
                        </w:pPr>
                        <w:r>
                          <w:rPr>
                            <w:rFonts w:ascii="宋体" w:hAnsi="宋体" w:cs="宋体" w:eastAsia="宋体" w:hint="default"/>
                            <w:sz w:val="21"/>
                            <w:szCs w:val="21"/>
                          </w:rPr>
                          <w:t>子公司类型</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级次</w:t>
                        </w:r>
                      </w:p>
                    </w:tc>
                    <w:tc>
                      <w:tcPr>
                        <w:tcW w:w="1516"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持股比例（</w:t>
                        </w:r>
                        <w:r>
                          <w:rPr>
                            <w:rFonts w:ascii="宋体" w:hAnsi="宋体" w:cs="宋体" w:eastAsia="宋体" w:hint="default"/>
                            <w:sz w:val="21"/>
                            <w:szCs w:val="21"/>
                          </w:rPr>
                          <w:t>%</w:t>
                        </w:r>
                        <w:r>
                          <w:rPr>
                            <w:rFonts w:ascii="宋体" w:hAnsi="宋体" w:cs="宋体" w:eastAsia="宋体" w:hint="default"/>
                            <w:sz w:val="21"/>
                            <w:szCs w:val="21"/>
                          </w:rPr>
                          <w:t>）</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 w:right="0"/>
                          <w:jc w:val="left"/>
                          <w:rPr>
                            <w:rFonts w:ascii="宋体" w:hAnsi="宋体" w:cs="宋体" w:eastAsia="宋体" w:hint="default"/>
                            <w:sz w:val="21"/>
                            <w:szCs w:val="21"/>
                          </w:rPr>
                        </w:pPr>
                        <w:r>
                          <w:rPr>
                            <w:rFonts w:ascii="宋体" w:hAnsi="宋体" w:cs="宋体" w:eastAsia="宋体" w:hint="default"/>
                            <w:sz w:val="21"/>
                            <w:szCs w:val="21"/>
                          </w:rPr>
                          <w:t>表决权比例（</w:t>
                        </w:r>
                        <w:r>
                          <w:rPr>
                            <w:rFonts w:ascii="宋体" w:hAnsi="宋体" w:cs="宋体" w:eastAsia="宋体" w:hint="default"/>
                            <w:sz w:val="21"/>
                            <w:szCs w:val="21"/>
                          </w:rPr>
                          <w:t>%</w:t>
                        </w:r>
                      </w:p>
                    </w:tc>
                  </w:tr>
                  <w:tr>
                    <w:trPr>
                      <w:trHeight w:val="342" w:hRule="exact"/>
                    </w:trPr>
                    <w:tc>
                      <w:tcPr>
                        <w:tcW w:w="351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 w:right="0"/>
                          <w:jc w:val="left"/>
                          <w:rPr>
                            <w:rFonts w:ascii="宋体" w:hAnsi="宋体" w:cs="宋体" w:eastAsia="宋体" w:hint="default"/>
                            <w:sz w:val="21"/>
                            <w:szCs w:val="21"/>
                          </w:rPr>
                        </w:pPr>
                        <w:r>
                          <w:rPr>
                            <w:rFonts w:ascii="宋体" w:hAnsi="宋体" w:cs="宋体" w:eastAsia="宋体" w:hint="default"/>
                            <w:sz w:val="21"/>
                            <w:szCs w:val="21"/>
                          </w:rPr>
                          <w:t>河南辉煌软件有限公司</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99" w:right="0"/>
                          <w:jc w:val="left"/>
                          <w:rPr>
                            <w:rFonts w:ascii="宋体" w:hAnsi="宋体" w:cs="宋体" w:eastAsia="宋体" w:hint="default"/>
                            <w:sz w:val="21"/>
                            <w:szCs w:val="21"/>
                          </w:rPr>
                        </w:pPr>
                        <w:r>
                          <w:rPr>
                            <w:rFonts w:ascii="宋体" w:hAnsi="宋体" w:cs="宋体" w:eastAsia="宋体" w:hint="default"/>
                            <w:sz w:val="21"/>
                            <w:szCs w:val="21"/>
                          </w:rPr>
                          <w:t>全资子公司</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二级</w:t>
                        </w:r>
                      </w:p>
                    </w:tc>
                    <w:tc>
                      <w:tcPr>
                        <w:tcW w:w="1516"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0"/>
                          <w:jc w:val="center"/>
                          <w:rPr>
                            <w:rFonts w:ascii="宋体" w:hAnsi="宋体" w:cs="宋体" w:eastAsia="宋体" w:hint="default"/>
                            <w:sz w:val="21"/>
                            <w:szCs w:val="21"/>
                          </w:rPr>
                        </w:pPr>
                        <w:r>
                          <w:rPr>
                            <w:rFonts w:ascii="宋体"/>
                            <w:sz w:val="21"/>
                          </w:rPr>
                          <w:t>100.00</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37" w:right="0"/>
                          <w:jc w:val="left"/>
                          <w:rPr>
                            <w:rFonts w:ascii="宋体" w:hAnsi="宋体" w:cs="宋体" w:eastAsia="宋体" w:hint="default"/>
                            <w:sz w:val="21"/>
                            <w:szCs w:val="21"/>
                          </w:rPr>
                        </w:pPr>
                        <w:r>
                          <w:rPr>
                            <w:rFonts w:ascii="宋体"/>
                            <w:sz w:val="21"/>
                          </w:rPr>
                          <w:t>100.00</w:t>
                        </w:r>
                      </w:p>
                    </w:tc>
                  </w:tr>
                  <w:tr>
                    <w:trPr>
                      <w:trHeight w:val="342" w:hRule="exact"/>
                    </w:trPr>
                    <w:tc>
                      <w:tcPr>
                        <w:tcW w:w="351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 w:right="0"/>
                          <w:jc w:val="left"/>
                          <w:rPr>
                            <w:rFonts w:ascii="宋体" w:hAnsi="宋体" w:cs="宋体" w:eastAsia="宋体" w:hint="default"/>
                            <w:sz w:val="21"/>
                            <w:szCs w:val="21"/>
                          </w:rPr>
                        </w:pPr>
                        <w:r>
                          <w:rPr>
                            <w:rFonts w:ascii="宋体" w:hAnsi="宋体" w:cs="宋体" w:eastAsia="宋体" w:hint="default"/>
                            <w:sz w:val="21"/>
                            <w:szCs w:val="21"/>
                          </w:rPr>
                          <w:t>河南辉煌信通软件有限公司</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99" w:right="0"/>
                          <w:jc w:val="left"/>
                          <w:rPr>
                            <w:rFonts w:ascii="宋体" w:hAnsi="宋体" w:cs="宋体" w:eastAsia="宋体" w:hint="default"/>
                            <w:sz w:val="21"/>
                            <w:szCs w:val="21"/>
                          </w:rPr>
                        </w:pPr>
                        <w:r>
                          <w:rPr>
                            <w:rFonts w:ascii="宋体" w:hAnsi="宋体" w:cs="宋体" w:eastAsia="宋体" w:hint="default"/>
                            <w:sz w:val="21"/>
                            <w:szCs w:val="21"/>
                          </w:rPr>
                          <w:t>全资子公司</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二级</w:t>
                        </w:r>
                      </w:p>
                    </w:tc>
                    <w:tc>
                      <w:tcPr>
                        <w:tcW w:w="1516"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0"/>
                          <w:jc w:val="center"/>
                          <w:rPr>
                            <w:rFonts w:ascii="宋体" w:hAnsi="宋体" w:cs="宋体" w:eastAsia="宋体" w:hint="default"/>
                            <w:sz w:val="21"/>
                            <w:szCs w:val="21"/>
                          </w:rPr>
                        </w:pPr>
                        <w:r>
                          <w:rPr>
                            <w:rFonts w:ascii="宋体"/>
                            <w:sz w:val="21"/>
                          </w:rPr>
                          <w:t>100.00</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37" w:right="0"/>
                          <w:jc w:val="left"/>
                          <w:rPr>
                            <w:rFonts w:ascii="宋体" w:hAnsi="宋体" w:cs="宋体" w:eastAsia="宋体" w:hint="default"/>
                            <w:sz w:val="21"/>
                            <w:szCs w:val="21"/>
                          </w:rPr>
                        </w:pPr>
                        <w:r>
                          <w:rPr>
                            <w:rFonts w:ascii="宋体"/>
                            <w:sz w:val="21"/>
                          </w:rPr>
                          <w:t>100.00</w:t>
                        </w:r>
                      </w:p>
                    </w:tc>
                  </w:tr>
                  <w:tr>
                    <w:trPr>
                      <w:trHeight w:val="342" w:hRule="exact"/>
                    </w:trPr>
                    <w:tc>
                      <w:tcPr>
                        <w:tcW w:w="351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 w:right="0"/>
                          <w:jc w:val="left"/>
                          <w:rPr>
                            <w:rFonts w:ascii="宋体" w:hAnsi="宋体" w:cs="宋体" w:eastAsia="宋体" w:hint="default"/>
                            <w:sz w:val="21"/>
                            <w:szCs w:val="21"/>
                          </w:rPr>
                        </w:pPr>
                        <w:r>
                          <w:rPr>
                            <w:rFonts w:ascii="宋体" w:hAnsi="宋体" w:cs="宋体" w:eastAsia="宋体" w:hint="default"/>
                            <w:sz w:val="21"/>
                            <w:szCs w:val="21"/>
                          </w:rPr>
                          <w:t>北京全路信通软件科技有限公司</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99" w:right="0"/>
                          <w:jc w:val="left"/>
                          <w:rPr>
                            <w:rFonts w:ascii="宋体" w:hAnsi="宋体" w:cs="宋体" w:eastAsia="宋体" w:hint="default"/>
                            <w:sz w:val="21"/>
                            <w:szCs w:val="21"/>
                          </w:rPr>
                        </w:pPr>
                        <w:r>
                          <w:rPr>
                            <w:rFonts w:ascii="宋体" w:hAnsi="宋体" w:cs="宋体" w:eastAsia="宋体" w:hint="default"/>
                            <w:sz w:val="21"/>
                            <w:szCs w:val="21"/>
                          </w:rPr>
                          <w:t>全资子公司</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二级</w:t>
                        </w:r>
                      </w:p>
                    </w:tc>
                    <w:tc>
                      <w:tcPr>
                        <w:tcW w:w="1516"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0"/>
                          <w:jc w:val="center"/>
                          <w:rPr>
                            <w:rFonts w:ascii="宋体" w:hAnsi="宋体" w:cs="宋体" w:eastAsia="宋体" w:hint="default"/>
                            <w:sz w:val="21"/>
                            <w:szCs w:val="21"/>
                          </w:rPr>
                        </w:pPr>
                        <w:r>
                          <w:rPr>
                            <w:rFonts w:ascii="宋体"/>
                            <w:sz w:val="21"/>
                          </w:rPr>
                          <w:t>100.00</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37" w:right="0"/>
                          <w:jc w:val="left"/>
                          <w:rPr>
                            <w:rFonts w:ascii="宋体" w:hAnsi="宋体" w:cs="宋体" w:eastAsia="宋体" w:hint="default"/>
                            <w:sz w:val="21"/>
                            <w:szCs w:val="21"/>
                          </w:rPr>
                        </w:pPr>
                        <w:r>
                          <w:rPr>
                            <w:rFonts w:ascii="宋体"/>
                            <w:sz w:val="21"/>
                          </w:rPr>
                          <w:t>100.00</w:t>
                        </w:r>
                      </w:p>
                    </w:tc>
                  </w:tr>
                  <w:tr>
                    <w:trPr>
                      <w:trHeight w:val="342" w:hRule="exact"/>
                    </w:trPr>
                    <w:tc>
                      <w:tcPr>
                        <w:tcW w:w="351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 w:right="0"/>
                          <w:jc w:val="left"/>
                          <w:rPr>
                            <w:rFonts w:ascii="宋体" w:hAnsi="宋体" w:cs="宋体" w:eastAsia="宋体" w:hint="default"/>
                            <w:sz w:val="21"/>
                            <w:szCs w:val="21"/>
                          </w:rPr>
                        </w:pPr>
                        <w:r>
                          <w:rPr>
                            <w:rFonts w:ascii="宋体" w:hAnsi="宋体" w:cs="宋体" w:eastAsia="宋体" w:hint="default"/>
                            <w:sz w:val="21"/>
                            <w:szCs w:val="21"/>
                          </w:rPr>
                          <w:t>河南辉煌城轨科技有限公司</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99" w:right="0"/>
                          <w:jc w:val="left"/>
                          <w:rPr>
                            <w:rFonts w:ascii="宋体" w:hAnsi="宋体" w:cs="宋体" w:eastAsia="宋体" w:hint="default"/>
                            <w:sz w:val="21"/>
                            <w:szCs w:val="21"/>
                          </w:rPr>
                        </w:pPr>
                        <w:r>
                          <w:rPr>
                            <w:rFonts w:ascii="宋体" w:hAnsi="宋体" w:cs="宋体" w:eastAsia="宋体" w:hint="default"/>
                            <w:sz w:val="21"/>
                            <w:szCs w:val="21"/>
                          </w:rPr>
                          <w:t>全资子公司</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二级</w:t>
                        </w:r>
                      </w:p>
                    </w:tc>
                    <w:tc>
                      <w:tcPr>
                        <w:tcW w:w="1516"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0"/>
                          <w:jc w:val="center"/>
                          <w:rPr>
                            <w:rFonts w:ascii="宋体" w:hAnsi="宋体" w:cs="宋体" w:eastAsia="宋体" w:hint="default"/>
                            <w:sz w:val="21"/>
                            <w:szCs w:val="21"/>
                          </w:rPr>
                        </w:pPr>
                        <w:r>
                          <w:rPr>
                            <w:rFonts w:ascii="宋体"/>
                            <w:sz w:val="21"/>
                          </w:rPr>
                          <w:t>100.00</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37" w:right="0"/>
                          <w:jc w:val="left"/>
                          <w:rPr>
                            <w:rFonts w:ascii="宋体" w:hAnsi="宋体" w:cs="宋体" w:eastAsia="宋体" w:hint="default"/>
                            <w:sz w:val="21"/>
                            <w:szCs w:val="21"/>
                          </w:rPr>
                        </w:pPr>
                        <w:r>
                          <w:rPr>
                            <w:rFonts w:ascii="宋体"/>
                            <w:sz w:val="21"/>
                          </w:rPr>
                          <w:t>100.00</w:t>
                        </w:r>
                      </w:p>
                    </w:tc>
                  </w:tr>
                  <w:tr>
                    <w:trPr>
                      <w:trHeight w:val="342" w:hRule="exact"/>
                    </w:trPr>
                    <w:tc>
                      <w:tcPr>
                        <w:tcW w:w="351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 w:right="0"/>
                          <w:jc w:val="left"/>
                          <w:rPr>
                            <w:rFonts w:ascii="宋体" w:hAnsi="宋体" w:cs="宋体" w:eastAsia="宋体" w:hint="default"/>
                            <w:sz w:val="21"/>
                            <w:szCs w:val="21"/>
                          </w:rPr>
                        </w:pPr>
                        <w:r>
                          <w:rPr>
                            <w:rFonts w:ascii="宋体" w:hAnsi="宋体" w:cs="宋体" w:eastAsia="宋体" w:hint="default"/>
                            <w:sz w:val="21"/>
                            <w:szCs w:val="21"/>
                          </w:rPr>
                          <w:t>北京国铁路阳技术有限公司</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99" w:right="0"/>
                          <w:jc w:val="left"/>
                          <w:rPr>
                            <w:rFonts w:ascii="宋体" w:hAnsi="宋体" w:cs="宋体" w:eastAsia="宋体" w:hint="default"/>
                            <w:sz w:val="21"/>
                            <w:szCs w:val="21"/>
                          </w:rPr>
                        </w:pPr>
                        <w:r>
                          <w:rPr>
                            <w:rFonts w:ascii="宋体" w:hAnsi="宋体" w:cs="宋体" w:eastAsia="宋体" w:hint="default"/>
                            <w:sz w:val="21"/>
                            <w:szCs w:val="21"/>
                          </w:rPr>
                          <w:t>全资子公司</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二级</w:t>
                        </w:r>
                      </w:p>
                    </w:tc>
                    <w:tc>
                      <w:tcPr>
                        <w:tcW w:w="1516"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0"/>
                          <w:jc w:val="center"/>
                          <w:rPr>
                            <w:rFonts w:ascii="宋体" w:hAnsi="宋体" w:cs="宋体" w:eastAsia="宋体" w:hint="default"/>
                            <w:sz w:val="21"/>
                            <w:szCs w:val="21"/>
                          </w:rPr>
                        </w:pPr>
                        <w:r>
                          <w:rPr>
                            <w:rFonts w:ascii="宋体"/>
                            <w:sz w:val="21"/>
                          </w:rPr>
                          <w:t>100.00</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37" w:right="0"/>
                          <w:jc w:val="left"/>
                          <w:rPr>
                            <w:rFonts w:ascii="宋体" w:hAnsi="宋体" w:cs="宋体" w:eastAsia="宋体" w:hint="default"/>
                            <w:sz w:val="21"/>
                            <w:szCs w:val="21"/>
                          </w:rPr>
                        </w:pPr>
                        <w:r>
                          <w:rPr>
                            <w:rFonts w:ascii="宋体"/>
                            <w:sz w:val="21"/>
                          </w:rPr>
                          <w:t>100.00</w:t>
                        </w:r>
                      </w:p>
                    </w:tc>
                  </w:tr>
                  <w:tr>
                    <w:trPr>
                      <w:trHeight w:val="343" w:hRule="exact"/>
                    </w:trPr>
                    <w:tc>
                      <w:tcPr>
                        <w:tcW w:w="351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 w:right="0"/>
                          <w:jc w:val="left"/>
                          <w:rPr>
                            <w:rFonts w:ascii="宋体" w:hAnsi="宋体" w:cs="宋体" w:eastAsia="宋体" w:hint="default"/>
                            <w:sz w:val="21"/>
                            <w:szCs w:val="21"/>
                          </w:rPr>
                        </w:pPr>
                        <w:r>
                          <w:rPr>
                            <w:rFonts w:ascii="宋体" w:hAnsi="宋体" w:cs="宋体" w:eastAsia="宋体" w:hint="default"/>
                            <w:sz w:val="21"/>
                            <w:szCs w:val="21"/>
                          </w:rPr>
                          <w:t>天津信通铁路电气技术有限公司</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99" w:right="0"/>
                          <w:jc w:val="left"/>
                          <w:rPr>
                            <w:rFonts w:ascii="宋体" w:hAnsi="宋体" w:cs="宋体" w:eastAsia="宋体" w:hint="default"/>
                            <w:sz w:val="21"/>
                            <w:szCs w:val="21"/>
                          </w:rPr>
                        </w:pPr>
                        <w:r>
                          <w:rPr>
                            <w:rFonts w:ascii="宋体" w:hAnsi="宋体" w:cs="宋体" w:eastAsia="宋体" w:hint="default"/>
                            <w:sz w:val="21"/>
                            <w:szCs w:val="21"/>
                          </w:rPr>
                          <w:t>全资子公司</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三级</w:t>
                        </w:r>
                      </w:p>
                    </w:tc>
                    <w:tc>
                      <w:tcPr>
                        <w:tcW w:w="1516"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0"/>
                          <w:jc w:val="center"/>
                          <w:rPr>
                            <w:rFonts w:ascii="宋体" w:hAnsi="宋体" w:cs="宋体" w:eastAsia="宋体" w:hint="default"/>
                            <w:sz w:val="21"/>
                            <w:szCs w:val="21"/>
                          </w:rPr>
                        </w:pPr>
                        <w:r>
                          <w:rPr>
                            <w:rFonts w:ascii="宋体"/>
                            <w:sz w:val="21"/>
                          </w:rPr>
                          <w:t>100.00</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37" w:right="0"/>
                          <w:jc w:val="left"/>
                          <w:rPr>
                            <w:rFonts w:ascii="宋体" w:hAnsi="宋体" w:cs="宋体" w:eastAsia="宋体" w:hint="default"/>
                            <w:sz w:val="21"/>
                            <w:szCs w:val="21"/>
                          </w:rPr>
                        </w:pPr>
                        <w:r>
                          <w:rPr>
                            <w:rFonts w:ascii="宋体"/>
                            <w:sz w:val="21"/>
                          </w:rPr>
                          <w:t>100.00</w:t>
                        </w:r>
                      </w:p>
                    </w:tc>
                  </w:tr>
                </w:tbl>
                <w:p>
                  <w:pPr/>
                </w:p>
              </w:txbxContent>
            </v:textbox>
            <w10:wrap type="none"/>
          </v:shape>
        </w:pict>
      </w:r>
      <w:r>
        <w:rPr>
          <w:rFonts w:ascii="宋体" w:hAnsi="宋体" w:cs="宋体" w:eastAsia="宋体" w:hint="default"/>
          <w:sz w:val="21"/>
          <w:szCs w:val="21"/>
        </w:rPr>
        <w:t>）</w:t>
      </w:r>
    </w:p>
    <w:p>
      <w:pPr>
        <w:spacing w:after="0" w:line="225" w:lineRule="exact"/>
        <w:jc w:val="right"/>
        <w:rPr>
          <w:rFonts w:ascii="宋体" w:hAnsi="宋体" w:cs="宋体" w:eastAsia="宋体" w:hint="default"/>
          <w:sz w:val="21"/>
          <w:szCs w:val="21"/>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705" w:type="dxa"/>
        <w:tblLayout w:type="fixed"/>
        <w:tblCellMar>
          <w:top w:w="0" w:type="dxa"/>
          <w:left w:w="0" w:type="dxa"/>
          <w:bottom w:w="0" w:type="dxa"/>
          <w:right w:w="0" w:type="dxa"/>
        </w:tblCellMar>
        <w:tblLook w:val="01E0"/>
      </w:tblPr>
      <w:tblGrid>
        <w:gridCol w:w="3510"/>
        <w:gridCol w:w="1260"/>
        <w:gridCol w:w="725"/>
        <w:gridCol w:w="1516"/>
        <w:gridCol w:w="1517"/>
      </w:tblGrid>
      <w:tr>
        <w:trPr>
          <w:trHeight w:val="342" w:hRule="exact"/>
        </w:trPr>
        <w:tc>
          <w:tcPr>
            <w:tcW w:w="351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 w:right="0"/>
              <w:jc w:val="left"/>
              <w:rPr>
                <w:rFonts w:ascii="宋体" w:hAnsi="宋体" w:cs="宋体" w:eastAsia="宋体" w:hint="default"/>
                <w:sz w:val="21"/>
                <w:szCs w:val="21"/>
              </w:rPr>
            </w:pPr>
            <w:r>
              <w:rPr>
                <w:rFonts w:ascii="宋体" w:hAnsi="宋体" w:cs="宋体" w:eastAsia="宋体" w:hint="default"/>
                <w:sz w:val="21"/>
                <w:szCs w:val="21"/>
              </w:rPr>
              <w:t>北京国铁路阳软件有限公司</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99" w:right="0"/>
              <w:jc w:val="left"/>
              <w:rPr>
                <w:rFonts w:ascii="宋体" w:hAnsi="宋体" w:cs="宋体" w:eastAsia="宋体" w:hint="default"/>
                <w:sz w:val="21"/>
                <w:szCs w:val="21"/>
              </w:rPr>
            </w:pPr>
            <w:r>
              <w:rPr>
                <w:rFonts w:ascii="宋体" w:hAnsi="宋体" w:cs="宋体" w:eastAsia="宋体" w:hint="default"/>
                <w:sz w:val="21"/>
                <w:szCs w:val="21"/>
              </w:rPr>
              <w:t>全资子公司</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三级</w:t>
            </w:r>
          </w:p>
        </w:tc>
        <w:tc>
          <w:tcPr>
            <w:tcW w:w="1516"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436"/>
              <w:jc w:val="right"/>
              <w:rPr>
                <w:rFonts w:ascii="宋体" w:hAnsi="宋体" w:cs="宋体" w:eastAsia="宋体" w:hint="default"/>
                <w:sz w:val="21"/>
                <w:szCs w:val="21"/>
              </w:rPr>
            </w:pPr>
            <w:r>
              <w:rPr>
                <w:rFonts w:ascii="宋体"/>
                <w:sz w:val="21"/>
              </w:rPr>
              <w:t>100.00</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37" w:right="0"/>
              <w:jc w:val="left"/>
              <w:rPr>
                <w:rFonts w:ascii="宋体" w:hAnsi="宋体" w:cs="宋体" w:eastAsia="宋体" w:hint="default"/>
                <w:sz w:val="21"/>
                <w:szCs w:val="21"/>
              </w:rPr>
            </w:pPr>
            <w:r>
              <w:rPr>
                <w:rFonts w:ascii="宋体"/>
                <w:sz w:val="21"/>
              </w:rPr>
              <w:t>100.00</w:t>
            </w:r>
          </w:p>
        </w:tc>
      </w:tr>
      <w:tr>
        <w:trPr>
          <w:trHeight w:val="342" w:hRule="exact"/>
        </w:trPr>
        <w:tc>
          <w:tcPr>
            <w:tcW w:w="351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 w:right="0"/>
              <w:jc w:val="left"/>
              <w:rPr>
                <w:rFonts w:ascii="宋体" w:hAnsi="宋体" w:cs="宋体" w:eastAsia="宋体" w:hint="default"/>
                <w:sz w:val="21"/>
                <w:szCs w:val="21"/>
              </w:rPr>
            </w:pPr>
            <w:r>
              <w:rPr>
                <w:rFonts w:ascii="宋体" w:hAnsi="宋体" w:cs="宋体" w:eastAsia="宋体" w:hint="default"/>
                <w:sz w:val="21"/>
                <w:szCs w:val="21"/>
              </w:rPr>
              <w:t>天津辉煌路阳科技有限公司</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99" w:right="0"/>
              <w:jc w:val="left"/>
              <w:rPr>
                <w:rFonts w:ascii="宋体" w:hAnsi="宋体" w:cs="宋体" w:eastAsia="宋体" w:hint="default"/>
                <w:sz w:val="21"/>
                <w:szCs w:val="21"/>
              </w:rPr>
            </w:pPr>
            <w:r>
              <w:rPr>
                <w:rFonts w:ascii="宋体" w:hAnsi="宋体" w:cs="宋体" w:eastAsia="宋体" w:hint="default"/>
                <w:sz w:val="21"/>
                <w:szCs w:val="21"/>
              </w:rPr>
              <w:t>全资子公司</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三级</w:t>
            </w:r>
          </w:p>
        </w:tc>
        <w:tc>
          <w:tcPr>
            <w:tcW w:w="1516"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436"/>
              <w:jc w:val="right"/>
              <w:rPr>
                <w:rFonts w:ascii="宋体" w:hAnsi="宋体" w:cs="宋体" w:eastAsia="宋体" w:hint="default"/>
                <w:sz w:val="21"/>
                <w:szCs w:val="21"/>
              </w:rPr>
            </w:pPr>
            <w:r>
              <w:rPr>
                <w:rFonts w:ascii="宋体"/>
                <w:sz w:val="21"/>
              </w:rPr>
              <w:t>100.00</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37" w:right="0"/>
              <w:jc w:val="left"/>
              <w:rPr>
                <w:rFonts w:ascii="宋体" w:hAnsi="宋体" w:cs="宋体" w:eastAsia="宋体" w:hint="default"/>
                <w:sz w:val="21"/>
                <w:szCs w:val="21"/>
              </w:rPr>
            </w:pPr>
            <w:r>
              <w:rPr>
                <w:rFonts w:ascii="宋体"/>
                <w:sz w:val="21"/>
              </w:rPr>
              <w:t>100.00</w:t>
            </w:r>
          </w:p>
        </w:tc>
      </w:tr>
      <w:tr>
        <w:trPr>
          <w:trHeight w:val="342" w:hRule="exact"/>
        </w:trPr>
        <w:tc>
          <w:tcPr>
            <w:tcW w:w="351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 w:right="0"/>
              <w:jc w:val="left"/>
              <w:rPr>
                <w:rFonts w:ascii="宋体" w:hAnsi="宋体" w:cs="宋体" w:eastAsia="宋体" w:hint="default"/>
                <w:sz w:val="21"/>
                <w:szCs w:val="21"/>
              </w:rPr>
            </w:pPr>
            <w:r>
              <w:rPr>
                <w:rFonts w:ascii="宋体" w:hAnsi="宋体" w:cs="宋体" w:eastAsia="宋体" w:hint="default"/>
                <w:sz w:val="21"/>
                <w:szCs w:val="21"/>
              </w:rPr>
              <w:t>天津智信源科技有限公司（注）</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99" w:right="0"/>
              <w:jc w:val="left"/>
              <w:rPr>
                <w:rFonts w:ascii="宋体" w:hAnsi="宋体" w:cs="宋体" w:eastAsia="宋体" w:hint="default"/>
                <w:sz w:val="21"/>
                <w:szCs w:val="21"/>
              </w:rPr>
            </w:pPr>
            <w:r>
              <w:rPr>
                <w:rFonts w:ascii="宋体" w:hAnsi="宋体" w:cs="宋体" w:eastAsia="宋体" w:hint="default"/>
                <w:sz w:val="21"/>
                <w:szCs w:val="21"/>
              </w:rPr>
              <w:t>全资子公司</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三级</w:t>
            </w:r>
          </w:p>
        </w:tc>
        <w:tc>
          <w:tcPr>
            <w:tcW w:w="1516"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436"/>
              <w:jc w:val="right"/>
              <w:rPr>
                <w:rFonts w:ascii="宋体" w:hAnsi="宋体" w:cs="宋体" w:eastAsia="宋体" w:hint="default"/>
                <w:sz w:val="21"/>
                <w:szCs w:val="21"/>
              </w:rPr>
            </w:pPr>
            <w:r>
              <w:rPr>
                <w:rFonts w:ascii="宋体"/>
                <w:sz w:val="21"/>
              </w:rPr>
              <w:t>100.00</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37" w:right="0"/>
              <w:jc w:val="left"/>
              <w:rPr>
                <w:rFonts w:ascii="宋体" w:hAnsi="宋体" w:cs="宋体" w:eastAsia="宋体" w:hint="default"/>
                <w:sz w:val="21"/>
                <w:szCs w:val="21"/>
              </w:rPr>
            </w:pPr>
            <w:r>
              <w:rPr>
                <w:rFonts w:ascii="宋体"/>
                <w:sz w:val="21"/>
              </w:rPr>
              <w:t>100.00</w:t>
            </w:r>
          </w:p>
        </w:tc>
      </w:tr>
      <w:tr>
        <w:trPr>
          <w:trHeight w:val="342" w:hRule="exact"/>
        </w:trPr>
        <w:tc>
          <w:tcPr>
            <w:tcW w:w="351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 w:right="0"/>
              <w:jc w:val="left"/>
              <w:rPr>
                <w:rFonts w:ascii="宋体" w:hAnsi="宋体" w:cs="宋体" w:eastAsia="宋体" w:hint="default"/>
                <w:sz w:val="21"/>
                <w:szCs w:val="21"/>
              </w:rPr>
            </w:pPr>
            <w:r>
              <w:rPr>
                <w:rFonts w:ascii="宋体" w:hAnsi="宋体" w:cs="宋体" w:eastAsia="宋体" w:hint="default"/>
                <w:sz w:val="21"/>
                <w:szCs w:val="21"/>
              </w:rPr>
              <w:t>成都西南交大驱动技术有限责任公司</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99" w:right="0"/>
              <w:jc w:val="left"/>
              <w:rPr>
                <w:rFonts w:ascii="宋体" w:hAnsi="宋体" w:cs="宋体" w:eastAsia="宋体" w:hint="default"/>
                <w:sz w:val="21"/>
                <w:szCs w:val="21"/>
              </w:rPr>
            </w:pPr>
            <w:r>
              <w:rPr>
                <w:rFonts w:ascii="宋体" w:hAnsi="宋体" w:cs="宋体" w:eastAsia="宋体" w:hint="default"/>
                <w:sz w:val="21"/>
                <w:szCs w:val="21"/>
              </w:rPr>
              <w:t>控股子公司</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二级</w:t>
            </w:r>
          </w:p>
        </w:tc>
        <w:tc>
          <w:tcPr>
            <w:tcW w:w="1516"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488"/>
              <w:jc w:val="right"/>
              <w:rPr>
                <w:rFonts w:ascii="宋体" w:hAnsi="宋体" w:cs="宋体" w:eastAsia="宋体" w:hint="default"/>
                <w:sz w:val="21"/>
                <w:szCs w:val="21"/>
              </w:rPr>
            </w:pPr>
            <w:r>
              <w:rPr>
                <w:rFonts w:ascii="宋体"/>
                <w:sz w:val="21"/>
              </w:rPr>
              <w:t>51.00</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90" w:right="0"/>
              <w:jc w:val="left"/>
              <w:rPr>
                <w:rFonts w:ascii="宋体" w:hAnsi="宋体" w:cs="宋体" w:eastAsia="宋体" w:hint="default"/>
                <w:sz w:val="21"/>
                <w:szCs w:val="21"/>
              </w:rPr>
            </w:pPr>
            <w:r>
              <w:rPr>
                <w:rFonts w:ascii="宋体"/>
                <w:sz w:val="21"/>
              </w:rPr>
              <w:t>51.00</w:t>
            </w:r>
          </w:p>
        </w:tc>
      </w:tr>
      <w:tr>
        <w:trPr>
          <w:trHeight w:val="342" w:hRule="exact"/>
        </w:trPr>
        <w:tc>
          <w:tcPr>
            <w:tcW w:w="351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 w:right="0"/>
              <w:jc w:val="left"/>
              <w:rPr>
                <w:rFonts w:ascii="宋体" w:hAnsi="宋体" w:cs="宋体" w:eastAsia="宋体" w:hint="default"/>
                <w:sz w:val="21"/>
                <w:szCs w:val="21"/>
              </w:rPr>
            </w:pPr>
            <w:r>
              <w:rPr>
                <w:rFonts w:ascii="宋体" w:hAnsi="宋体" w:cs="宋体" w:eastAsia="宋体" w:hint="default"/>
                <w:sz w:val="21"/>
                <w:szCs w:val="21"/>
              </w:rPr>
              <w:t>成都新一驱动科技有限责任公司</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99" w:right="0"/>
              <w:jc w:val="left"/>
              <w:rPr>
                <w:rFonts w:ascii="宋体" w:hAnsi="宋体" w:cs="宋体" w:eastAsia="宋体" w:hint="default"/>
                <w:sz w:val="21"/>
                <w:szCs w:val="21"/>
              </w:rPr>
            </w:pPr>
            <w:r>
              <w:rPr>
                <w:rFonts w:ascii="宋体" w:hAnsi="宋体" w:cs="宋体" w:eastAsia="宋体" w:hint="default"/>
                <w:sz w:val="21"/>
                <w:szCs w:val="21"/>
              </w:rPr>
              <w:t>控股子公司</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三级</w:t>
            </w:r>
          </w:p>
        </w:tc>
        <w:tc>
          <w:tcPr>
            <w:tcW w:w="1516"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488"/>
              <w:jc w:val="right"/>
              <w:rPr>
                <w:rFonts w:ascii="宋体" w:hAnsi="宋体" w:cs="宋体" w:eastAsia="宋体" w:hint="default"/>
                <w:sz w:val="21"/>
                <w:szCs w:val="21"/>
              </w:rPr>
            </w:pPr>
            <w:r>
              <w:rPr>
                <w:rFonts w:ascii="宋体"/>
                <w:sz w:val="21"/>
              </w:rPr>
              <w:t>51.00</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90" w:right="0"/>
              <w:jc w:val="left"/>
              <w:rPr>
                <w:rFonts w:ascii="宋体" w:hAnsi="宋体" w:cs="宋体" w:eastAsia="宋体" w:hint="default"/>
                <w:sz w:val="21"/>
                <w:szCs w:val="21"/>
              </w:rPr>
            </w:pPr>
            <w:r>
              <w:rPr>
                <w:rFonts w:ascii="宋体"/>
                <w:sz w:val="21"/>
              </w:rPr>
              <w:t>51.00</w:t>
            </w:r>
          </w:p>
        </w:tc>
      </w:tr>
    </w:tbl>
    <w:p>
      <w:pPr>
        <w:spacing w:line="240" w:lineRule="auto" w:before="10"/>
        <w:rPr>
          <w:rFonts w:ascii="宋体" w:hAnsi="宋体" w:cs="宋体" w:eastAsia="宋体" w:hint="default"/>
          <w:sz w:val="4"/>
          <w:szCs w:val="4"/>
        </w:rPr>
      </w:pPr>
    </w:p>
    <w:p>
      <w:pPr>
        <w:pStyle w:val="BodyText"/>
        <w:spacing w:line="352" w:lineRule="auto" w:before="26"/>
        <w:ind w:right="1125" w:firstLine="480"/>
        <w:jc w:val="left"/>
      </w:pPr>
      <w:r>
        <w:rPr>
          <w:spacing w:val="-2"/>
        </w:rPr>
        <w:t>注：天津智信源科技有限公司于</w:t>
      </w:r>
      <w:r>
        <w:rPr>
          <w:rFonts w:ascii="宋体" w:hAnsi="宋体" w:cs="宋体" w:eastAsia="宋体" w:hint="default"/>
          <w:spacing w:val="-2"/>
        </w:rPr>
        <w:t>2016</w:t>
      </w:r>
      <w:r>
        <w:rPr>
          <w:spacing w:val="-2"/>
        </w:rPr>
        <w:t>年</w:t>
      </w:r>
      <w:r>
        <w:rPr>
          <w:rFonts w:ascii="宋体" w:hAnsi="宋体" w:cs="宋体" w:eastAsia="宋体" w:hint="default"/>
          <w:spacing w:val="-2"/>
        </w:rPr>
        <w:t>9</w:t>
      </w:r>
      <w:r>
        <w:rPr>
          <w:spacing w:val="-2"/>
        </w:rPr>
        <w:t>月</w:t>
      </w:r>
      <w:r>
        <w:rPr>
          <w:rFonts w:ascii="宋体" w:hAnsi="宋体" w:cs="宋体" w:eastAsia="宋体" w:hint="default"/>
          <w:spacing w:val="-2"/>
        </w:rPr>
        <w:t>21</w:t>
      </w:r>
      <w:r>
        <w:rPr>
          <w:spacing w:val="-2"/>
        </w:rPr>
        <w:t>日成立，截止到</w:t>
      </w:r>
      <w:r>
        <w:rPr>
          <w:rFonts w:ascii="宋体" w:hAnsi="宋体" w:cs="宋体" w:eastAsia="宋体" w:hint="default"/>
          <w:spacing w:val="-2"/>
        </w:rPr>
        <w:t>2017</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日尚未开展经</w:t>
      </w:r>
      <w:r>
        <w:rPr/>
        <w:t> 营。</w:t>
      </w:r>
    </w:p>
    <w:p>
      <w:pPr>
        <w:pStyle w:val="BodyText"/>
        <w:spacing w:line="240" w:lineRule="auto" w:before="32"/>
        <w:ind w:left="634" w:right="996"/>
        <w:jc w:val="left"/>
      </w:pPr>
      <w:r>
        <w:rPr>
          <w:rFonts w:ascii="宋体" w:hAnsi="宋体" w:cs="宋体" w:eastAsia="宋体" w:hint="default"/>
        </w:rPr>
        <w:t>1.</w:t>
      </w:r>
      <w:r>
        <w:rPr/>
        <w:t>本期新纳入合并范围的子公司</w:t>
      </w:r>
    </w:p>
    <w:p>
      <w:pPr>
        <w:spacing w:line="240" w:lineRule="auto" w:before="5"/>
        <w:rPr>
          <w:rFonts w:ascii="宋体" w:hAnsi="宋体" w:cs="宋体" w:eastAsia="宋体" w:hint="default"/>
          <w:sz w:val="4"/>
          <w:szCs w:val="4"/>
        </w:rPr>
      </w:pPr>
    </w:p>
    <w:tbl>
      <w:tblPr>
        <w:tblW w:w="0" w:type="auto"/>
        <w:jc w:val="left"/>
        <w:tblInd w:w="705" w:type="dxa"/>
        <w:tblLayout w:type="fixed"/>
        <w:tblCellMar>
          <w:top w:w="0" w:type="dxa"/>
          <w:left w:w="0" w:type="dxa"/>
          <w:bottom w:w="0" w:type="dxa"/>
          <w:right w:w="0" w:type="dxa"/>
        </w:tblCellMar>
        <w:tblLook w:val="01E0"/>
      </w:tblPr>
      <w:tblGrid>
        <w:gridCol w:w="4407"/>
        <w:gridCol w:w="4121"/>
      </w:tblGrid>
      <w:tr>
        <w:trPr>
          <w:trHeight w:val="342" w:hRule="exact"/>
        </w:trPr>
        <w:tc>
          <w:tcPr>
            <w:tcW w:w="4407"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名称</w:t>
            </w:r>
          </w:p>
        </w:tc>
        <w:tc>
          <w:tcPr>
            <w:tcW w:w="4121"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变更原因</w:t>
            </w:r>
          </w:p>
        </w:tc>
      </w:tr>
      <w:tr>
        <w:trPr>
          <w:trHeight w:val="342" w:hRule="exact"/>
        </w:trPr>
        <w:tc>
          <w:tcPr>
            <w:tcW w:w="4407"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 w:right="0"/>
              <w:jc w:val="left"/>
              <w:rPr>
                <w:rFonts w:ascii="宋体" w:hAnsi="宋体" w:cs="宋体" w:eastAsia="宋体" w:hint="default"/>
                <w:sz w:val="21"/>
                <w:szCs w:val="21"/>
              </w:rPr>
            </w:pPr>
            <w:r>
              <w:rPr>
                <w:rFonts w:ascii="宋体" w:hAnsi="宋体" w:cs="宋体" w:eastAsia="宋体" w:hint="default"/>
                <w:sz w:val="21"/>
                <w:szCs w:val="21"/>
              </w:rPr>
              <w:t>成都西南交大驱动技术有限责任公司</w:t>
            </w:r>
          </w:p>
        </w:tc>
        <w:tc>
          <w:tcPr>
            <w:tcW w:w="4121"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投资购买</w:t>
            </w:r>
          </w:p>
        </w:tc>
      </w:tr>
      <w:tr>
        <w:trPr>
          <w:trHeight w:val="343" w:hRule="exact"/>
        </w:trPr>
        <w:tc>
          <w:tcPr>
            <w:tcW w:w="4407"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 w:right="0"/>
              <w:jc w:val="left"/>
              <w:rPr>
                <w:rFonts w:ascii="宋体" w:hAnsi="宋体" w:cs="宋体" w:eastAsia="宋体" w:hint="default"/>
                <w:sz w:val="21"/>
                <w:szCs w:val="21"/>
              </w:rPr>
            </w:pPr>
            <w:r>
              <w:rPr>
                <w:rFonts w:ascii="宋体" w:hAnsi="宋体" w:cs="宋体" w:eastAsia="宋体" w:hint="default"/>
                <w:sz w:val="21"/>
                <w:szCs w:val="21"/>
              </w:rPr>
              <w:t>成都新一驱动科技有限责任公司</w:t>
            </w:r>
          </w:p>
        </w:tc>
        <w:tc>
          <w:tcPr>
            <w:tcW w:w="4121"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投资购买</w:t>
            </w:r>
          </w:p>
        </w:tc>
      </w:tr>
    </w:tbl>
    <w:p>
      <w:pPr>
        <w:spacing w:line="240" w:lineRule="auto" w:before="10"/>
        <w:rPr>
          <w:rFonts w:ascii="宋体" w:hAnsi="宋体" w:cs="宋体" w:eastAsia="宋体" w:hint="default"/>
          <w:sz w:val="4"/>
          <w:szCs w:val="4"/>
        </w:rPr>
      </w:pPr>
    </w:p>
    <w:p>
      <w:pPr>
        <w:pStyle w:val="BodyText"/>
        <w:spacing w:line="350" w:lineRule="auto" w:before="26"/>
        <w:ind w:right="1153" w:firstLine="480"/>
        <w:jc w:val="left"/>
      </w:pPr>
      <w:r>
        <w:rPr>
          <w:rFonts w:ascii="宋体" w:hAnsi="宋体" w:cs="宋体" w:eastAsia="宋体" w:hint="default"/>
        </w:rPr>
        <w:t>2.</w:t>
      </w:r>
      <w:r>
        <w:rPr/>
        <w:t>本期无不再纳入合并范围的子公司、特殊目的主体、通过委托经营或出租等方式丧失 控制权的经营实体。</w:t>
      </w:r>
    </w:p>
    <w:p>
      <w:pPr>
        <w:spacing w:line="487" w:lineRule="auto" w:before="35"/>
        <w:ind w:left="153" w:right="3313" w:firstLine="480"/>
        <w:jc w:val="left"/>
        <w:rPr>
          <w:rFonts w:ascii="宋体" w:hAnsi="宋体" w:cs="宋体" w:eastAsia="宋体" w:hint="default"/>
          <w:sz w:val="24"/>
          <w:szCs w:val="24"/>
        </w:rPr>
      </w:pPr>
      <w:r>
        <w:rPr>
          <w:rFonts w:ascii="宋体" w:hAnsi="宋体" w:cs="宋体" w:eastAsia="宋体" w:hint="default"/>
          <w:sz w:val="24"/>
          <w:szCs w:val="24"/>
        </w:rPr>
        <w:t>合并范围变更主体的具体信息详见“附注七、合并范围的变更”。 </w:t>
      </w:r>
      <w:bookmarkStart w:name="四、财务报表的编制基础" w:id="199"/>
      <w:bookmarkEnd w:id="199"/>
      <w:r>
        <w:rPr>
          <w:rFonts w:ascii="宋体" w:hAnsi="宋体" w:cs="宋体" w:eastAsia="宋体" w:hint="default"/>
          <w:sz w:val="24"/>
          <w:szCs w:val="24"/>
        </w:rPr>
      </w:r>
      <w:r>
        <w:rPr>
          <w:rFonts w:ascii="宋体" w:hAnsi="宋体" w:cs="宋体" w:eastAsia="宋体" w:hint="default"/>
          <w:b/>
          <w:bCs/>
          <w:sz w:val="24"/>
          <w:szCs w:val="24"/>
        </w:rPr>
        <w:t>四、财务报表的编制基础</w:t>
      </w:r>
      <w:r>
        <w:rPr>
          <w:rFonts w:ascii="宋体" w:hAnsi="宋体" w:cs="宋体" w:eastAsia="宋体" w:hint="default"/>
          <w:sz w:val="24"/>
          <w:szCs w:val="24"/>
        </w:rPr>
      </w:r>
    </w:p>
    <w:p>
      <w:pPr>
        <w:pStyle w:val="BodyText"/>
        <w:spacing w:line="350" w:lineRule="auto" w:before="176"/>
        <w:ind w:left="633" w:right="1153" w:firstLine="2"/>
        <w:jc w:val="left"/>
      </w:pPr>
      <w:bookmarkStart w:name="1、编制基础" w:id="200"/>
      <w:bookmarkEnd w:id="200"/>
      <w:r>
        <w:rPr/>
      </w:r>
      <w:r>
        <w:rPr>
          <w:rFonts w:ascii="宋体" w:hAnsi="宋体" w:cs="宋体" w:eastAsia="宋体" w:hint="default"/>
          <w:b/>
          <w:bCs/>
        </w:rPr>
        <w:t>1</w:t>
      </w:r>
      <w:r>
        <w:rPr>
          <w:rFonts w:ascii="宋体" w:hAnsi="宋体" w:cs="宋体" w:eastAsia="宋体" w:hint="default"/>
          <w:b/>
          <w:bCs/>
        </w:rPr>
        <w:t>、编制基础</w:t>
      </w:r>
      <w:r>
        <w:rPr>
          <w:rFonts w:ascii="宋体" w:hAnsi="宋体" w:cs="宋体" w:eastAsia="宋体" w:hint="default"/>
          <w:b/>
          <w:bCs/>
          <w:w w:val="99"/>
        </w:rPr>
        <w:t> </w:t>
      </w:r>
      <w:r>
        <w:rPr/>
        <w:t>本公司根据实际发生的交易和事项，按照财政部颁布的《企业会计准则——基本准则》</w:t>
      </w:r>
    </w:p>
    <w:p>
      <w:pPr>
        <w:pStyle w:val="BodyText"/>
        <w:spacing w:line="350" w:lineRule="auto" w:before="35"/>
        <w:ind w:right="1001"/>
        <w:jc w:val="left"/>
      </w:pPr>
      <w:r>
        <w:rPr/>
        <w:t>和具体企业会计准则、企业会计准则应用指南、企业会计准则解释及其他相关规定（以下合 称“企业会计准则”）进行确认和计量，在此基础上，结合中国证券监督管理委员会《公开 </w:t>
      </w:r>
      <w:r>
        <w:rPr>
          <w:spacing w:val="-2"/>
        </w:rPr>
        <w:t>发行证券的公司信息披露编报规则第</w:t>
      </w:r>
      <w:r>
        <w:rPr>
          <w:rFonts w:ascii="宋体" w:hAnsi="宋体" w:cs="宋体" w:eastAsia="宋体" w:hint="default"/>
          <w:spacing w:val="-2"/>
        </w:rPr>
        <w:t>15</w:t>
      </w:r>
      <w:r>
        <w:rPr>
          <w:spacing w:val="-2"/>
        </w:rPr>
        <w:t>号——财务报告的一般规定》（</w:t>
      </w:r>
      <w:r>
        <w:rPr>
          <w:rFonts w:ascii="宋体" w:hAnsi="宋体" w:cs="宋体" w:eastAsia="宋体" w:hint="default"/>
          <w:spacing w:val="-2"/>
        </w:rPr>
        <w:t>2014</w:t>
      </w:r>
      <w:r>
        <w:rPr>
          <w:spacing w:val="-2"/>
        </w:rPr>
        <w:t>年修订）的规定，</w:t>
      </w:r>
      <w:r>
        <w:rPr>
          <w:spacing w:val="-116"/>
        </w:rPr>
        <w:t> </w:t>
      </w:r>
      <w:r>
        <w:rPr>
          <w:spacing w:val="-116"/>
        </w:rPr>
      </w:r>
      <w:r>
        <w:rPr/>
        <w:t>编制财务报表。</w:t>
      </w:r>
    </w:p>
    <w:p>
      <w:pPr>
        <w:pStyle w:val="BodyText"/>
        <w:spacing w:line="350" w:lineRule="auto"/>
        <w:ind w:left="633" w:right="1153" w:firstLine="2"/>
        <w:jc w:val="left"/>
      </w:pPr>
      <w:bookmarkStart w:name="2、持续经营" w:id="201"/>
      <w:bookmarkEnd w:id="201"/>
      <w:r>
        <w:rPr/>
      </w:r>
      <w:r>
        <w:rPr>
          <w:rFonts w:ascii="宋体" w:hAnsi="宋体" w:cs="宋体" w:eastAsia="宋体" w:hint="default"/>
          <w:b/>
          <w:bCs/>
        </w:rPr>
        <w:t>2</w:t>
      </w:r>
      <w:r>
        <w:rPr>
          <w:rFonts w:ascii="宋体" w:hAnsi="宋体" w:cs="宋体" w:eastAsia="宋体" w:hint="default"/>
          <w:b/>
          <w:bCs/>
        </w:rPr>
        <w:t>、持续经营</w:t>
      </w:r>
      <w:r>
        <w:rPr>
          <w:rFonts w:ascii="宋体" w:hAnsi="宋体" w:cs="宋体" w:eastAsia="宋体" w:hint="default"/>
          <w:b/>
          <w:bCs/>
          <w:w w:val="99"/>
        </w:rPr>
        <w:t> </w:t>
      </w:r>
      <w:r>
        <w:rPr/>
        <w:t>本公司对报告期末起</w:t>
      </w:r>
      <w:r>
        <w:rPr>
          <w:rFonts w:ascii="宋体" w:hAnsi="宋体" w:cs="宋体" w:eastAsia="宋体" w:hint="default"/>
        </w:rPr>
        <w:t>12</w:t>
      </w:r>
      <w:r>
        <w:rPr/>
        <w:t>个月的持续经营能力进行了评价，未发现对持续经营能力产生重</w:t>
      </w:r>
    </w:p>
    <w:p>
      <w:pPr>
        <w:spacing w:line="487" w:lineRule="auto" w:before="35"/>
        <w:ind w:left="153" w:right="2833" w:firstLine="0"/>
        <w:jc w:val="left"/>
        <w:rPr>
          <w:rFonts w:ascii="宋体" w:hAnsi="宋体" w:cs="宋体" w:eastAsia="宋体" w:hint="default"/>
          <w:sz w:val="24"/>
          <w:szCs w:val="24"/>
        </w:rPr>
      </w:pPr>
      <w:r>
        <w:rPr>
          <w:rFonts w:ascii="宋体" w:hAnsi="宋体" w:cs="宋体" w:eastAsia="宋体" w:hint="default"/>
          <w:sz w:val="24"/>
          <w:szCs w:val="24"/>
        </w:rPr>
        <w:t>大怀疑的事项或情况。因此，本财务报表系在持续经营假设的基础上编制。 </w:t>
      </w:r>
      <w:bookmarkStart w:name="五、重要会计政策及会计估计" w:id="202"/>
      <w:bookmarkEnd w:id="202"/>
      <w:r>
        <w:rPr>
          <w:rFonts w:ascii="宋体" w:hAnsi="宋体" w:cs="宋体" w:eastAsia="宋体" w:hint="default"/>
          <w:sz w:val="24"/>
          <w:szCs w:val="24"/>
        </w:rPr>
      </w:r>
      <w:r>
        <w:rPr>
          <w:rFonts w:ascii="宋体" w:hAnsi="宋体" w:cs="宋体" w:eastAsia="宋体" w:hint="default"/>
          <w:b/>
          <w:bCs/>
          <w:sz w:val="24"/>
          <w:szCs w:val="24"/>
        </w:rPr>
        <w:t>五、重要会计政策及会计估计</w:t>
      </w:r>
      <w:r>
        <w:rPr>
          <w:rFonts w:ascii="宋体" w:hAnsi="宋体" w:cs="宋体" w:eastAsia="宋体" w:hint="default"/>
          <w:sz w:val="24"/>
          <w:szCs w:val="24"/>
        </w:rPr>
      </w:r>
    </w:p>
    <w:p>
      <w:pPr>
        <w:pStyle w:val="BodyText"/>
        <w:spacing w:line="350" w:lineRule="auto" w:before="176"/>
        <w:ind w:left="634" w:right="6192"/>
        <w:jc w:val="left"/>
      </w:pPr>
      <w:r>
        <w:rPr/>
        <w:t>公司是否需要遵守特殊行业的披露要求 否</w:t>
      </w:r>
    </w:p>
    <w:p>
      <w:pPr>
        <w:pStyle w:val="BodyText"/>
        <w:spacing w:line="352" w:lineRule="auto" w:before="35"/>
        <w:ind w:left="634" w:right="6912"/>
        <w:jc w:val="left"/>
      </w:pPr>
      <w:r>
        <w:rPr/>
        <w:t>具体会计政策和会计估计提示： 无</w:t>
      </w:r>
    </w:p>
    <w:p>
      <w:pPr>
        <w:spacing w:after="0" w:line="352" w:lineRule="auto"/>
        <w:jc w:val="left"/>
        <w:sectPr>
          <w:footerReference w:type="default" r:id="rId17"/>
          <w:pgSz w:w="11910" w:h="16840"/>
          <w:pgMar w:footer="979" w:header="747" w:top="1060" w:bottom="1160" w:left="980" w:right="0"/>
        </w:sectPr>
      </w:pPr>
    </w:p>
    <w:p>
      <w:pPr>
        <w:spacing w:line="240" w:lineRule="auto" w:before="0"/>
        <w:rPr>
          <w:rFonts w:ascii="宋体" w:hAnsi="宋体" w:cs="宋体" w:eastAsia="宋体" w:hint="default"/>
          <w:sz w:val="20"/>
          <w:szCs w:val="20"/>
        </w:rPr>
      </w:pPr>
    </w:p>
    <w:p>
      <w:pPr>
        <w:spacing w:line="350" w:lineRule="auto" w:before="199"/>
        <w:ind w:left="633" w:right="1153" w:firstLine="2"/>
        <w:jc w:val="left"/>
        <w:rPr>
          <w:rFonts w:ascii="宋体" w:hAnsi="宋体" w:cs="宋体" w:eastAsia="宋体" w:hint="default"/>
          <w:sz w:val="24"/>
          <w:szCs w:val="24"/>
        </w:rPr>
      </w:pPr>
      <w:bookmarkStart w:name="1、遵循企业会计准则的声明" w:id="203"/>
      <w:bookmarkEnd w:id="203"/>
      <w:r>
        <w:rPr/>
      </w:r>
      <w:r>
        <w:rPr>
          <w:rFonts w:ascii="宋体" w:hAnsi="宋体" w:cs="宋体" w:eastAsia="宋体" w:hint="default"/>
          <w:b/>
          <w:bCs/>
          <w:sz w:val="24"/>
          <w:szCs w:val="24"/>
        </w:rPr>
        <w:t>1</w:t>
      </w:r>
      <w:r>
        <w:rPr>
          <w:rFonts w:ascii="宋体" w:hAnsi="宋体" w:cs="宋体" w:eastAsia="宋体" w:hint="default"/>
          <w:b/>
          <w:bCs/>
          <w:sz w:val="24"/>
          <w:szCs w:val="24"/>
        </w:rPr>
        <w:t>、遵循企业会计准则的声明</w:t>
      </w:r>
      <w:r>
        <w:rPr>
          <w:rFonts w:ascii="宋体" w:hAnsi="宋体" w:cs="宋体" w:eastAsia="宋体" w:hint="default"/>
          <w:b/>
          <w:bCs/>
          <w:w w:val="99"/>
          <w:sz w:val="24"/>
          <w:szCs w:val="24"/>
        </w:rPr>
        <w:t> </w:t>
      </w:r>
      <w:r>
        <w:rPr>
          <w:rFonts w:ascii="宋体" w:hAnsi="宋体" w:cs="宋体" w:eastAsia="宋体" w:hint="default"/>
          <w:sz w:val="24"/>
          <w:szCs w:val="24"/>
        </w:rPr>
        <w:t>本公司所编制的财务报表符合企业会计准则的要求，真实、完整地反映了报告期公司的</w:t>
      </w:r>
    </w:p>
    <w:p>
      <w:pPr>
        <w:spacing w:line="352" w:lineRule="auto" w:before="36"/>
        <w:ind w:left="633" w:right="5473" w:hanging="480"/>
        <w:jc w:val="left"/>
        <w:rPr>
          <w:rFonts w:ascii="宋体" w:hAnsi="宋体" w:cs="宋体" w:eastAsia="宋体" w:hint="default"/>
          <w:sz w:val="24"/>
          <w:szCs w:val="24"/>
        </w:rPr>
      </w:pPr>
      <w:r>
        <w:rPr>
          <w:rFonts w:ascii="宋体" w:hAnsi="宋体" w:cs="宋体" w:eastAsia="宋体" w:hint="default"/>
          <w:sz w:val="24"/>
          <w:szCs w:val="24"/>
        </w:rPr>
        <w:t>财务状况、经营成果、现金流量等有关信息。 </w:t>
      </w:r>
      <w:bookmarkStart w:name="2、会计期间" w:id="204"/>
      <w:bookmarkEnd w:id="204"/>
      <w:r>
        <w:rPr>
          <w:rFonts w:ascii="宋体" w:hAnsi="宋体" w:cs="宋体" w:eastAsia="宋体" w:hint="default"/>
          <w:sz w:val="24"/>
          <w:szCs w:val="24"/>
        </w:rPr>
      </w:r>
      <w:r>
        <w:rPr>
          <w:rFonts w:ascii="宋体" w:hAnsi="宋体" w:cs="宋体" w:eastAsia="宋体" w:hint="default"/>
          <w:b/>
          <w:bCs/>
          <w:sz w:val="24"/>
          <w:szCs w:val="24"/>
        </w:rPr>
        <w:t>2</w:t>
      </w:r>
      <w:r>
        <w:rPr>
          <w:rFonts w:ascii="宋体" w:hAnsi="宋体" w:cs="宋体" w:eastAsia="宋体" w:hint="default"/>
          <w:b/>
          <w:bCs/>
          <w:sz w:val="24"/>
          <w:szCs w:val="24"/>
        </w:rPr>
        <w:t>、会计期间</w:t>
      </w:r>
      <w:r>
        <w:rPr>
          <w:rFonts w:ascii="宋体" w:hAnsi="宋体" w:cs="宋体" w:eastAsia="宋体" w:hint="default"/>
          <w:b/>
          <w:bCs/>
          <w:w w:val="99"/>
          <w:sz w:val="24"/>
          <w:szCs w:val="24"/>
        </w:rPr>
        <w:t> </w:t>
      </w:r>
      <w:r>
        <w:rPr>
          <w:rFonts w:ascii="宋体" w:hAnsi="宋体" w:cs="宋体" w:eastAsia="宋体" w:hint="default"/>
          <w:sz w:val="24"/>
          <w:szCs w:val="24"/>
        </w:rPr>
        <w:t>自公历</w:t>
      </w:r>
      <w:r>
        <w:rPr>
          <w:rFonts w:ascii="宋体" w:hAnsi="宋体" w:cs="宋体" w:eastAsia="宋体" w:hint="default"/>
          <w:sz w:val="24"/>
          <w:szCs w:val="24"/>
        </w:rPr>
        <w:t>1</w:t>
      </w:r>
      <w:r>
        <w:rPr>
          <w:rFonts w:ascii="宋体" w:hAnsi="宋体" w:cs="宋体" w:eastAsia="宋体" w:hint="default"/>
          <w:sz w:val="24"/>
          <w:szCs w:val="24"/>
        </w:rPr>
        <w:t>月</w:t>
      </w:r>
      <w:r>
        <w:rPr>
          <w:rFonts w:ascii="宋体" w:hAnsi="宋体" w:cs="宋体" w:eastAsia="宋体" w:hint="default"/>
          <w:sz w:val="24"/>
          <w:szCs w:val="24"/>
        </w:rPr>
        <w:t>1</w:t>
      </w:r>
      <w:r>
        <w:rPr>
          <w:rFonts w:ascii="宋体" w:hAnsi="宋体" w:cs="宋体" w:eastAsia="宋体" w:hint="default"/>
          <w:sz w:val="24"/>
          <w:szCs w:val="24"/>
        </w:rPr>
        <w:t>日至</w:t>
      </w:r>
      <w:r>
        <w:rPr>
          <w:rFonts w:ascii="宋体" w:hAnsi="宋体" w:cs="宋体" w:eastAsia="宋体" w:hint="default"/>
          <w:sz w:val="24"/>
          <w:szCs w:val="24"/>
        </w:rPr>
        <w:t>12</w:t>
      </w:r>
      <w:r>
        <w:rPr>
          <w:rFonts w:ascii="宋体" w:hAnsi="宋体" w:cs="宋体" w:eastAsia="宋体" w:hint="default"/>
          <w:sz w:val="24"/>
          <w:szCs w:val="24"/>
        </w:rPr>
        <w:t>月</w:t>
      </w:r>
      <w:r>
        <w:rPr>
          <w:rFonts w:ascii="宋体" w:hAnsi="宋体" w:cs="宋体" w:eastAsia="宋体" w:hint="default"/>
          <w:sz w:val="24"/>
          <w:szCs w:val="24"/>
        </w:rPr>
        <w:t>31</w:t>
      </w:r>
      <w:r>
        <w:rPr>
          <w:rFonts w:ascii="宋体" w:hAnsi="宋体" w:cs="宋体" w:eastAsia="宋体" w:hint="default"/>
          <w:sz w:val="24"/>
          <w:szCs w:val="24"/>
        </w:rPr>
        <w:t>日止为一个会计年度。 </w:t>
      </w:r>
      <w:bookmarkStart w:name="3、营业周期" w:id="205"/>
      <w:bookmarkEnd w:id="205"/>
      <w:r>
        <w:rPr>
          <w:rFonts w:ascii="宋体" w:hAnsi="宋体" w:cs="宋体" w:eastAsia="宋体" w:hint="default"/>
          <w:sz w:val="24"/>
          <w:szCs w:val="24"/>
        </w:rPr>
      </w:r>
      <w:r>
        <w:rPr>
          <w:rFonts w:ascii="宋体" w:hAnsi="宋体" w:cs="宋体" w:eastAsia="宋体" w:hint="default"/>
          <w:b/>
          <w:bCs/>
          <w:sz w:val="24"/>
          <w:szCs w:val="24"/>
        </w:rPr>
        <w:t>3</w:t>
      </w:r>
      <w:r>
        <w:rPr>
          <w:rFonts w:ascii="宋体" w:hAnsi="宋体" w:cs="宋体" w:eastAsia="宋体" w:hint="default"/>
          <w:b/>
          <w:bCs/>
          <w:sz w:val="24"/>
          <w:szCs w:val="24"/>
        </w:rPr>
        <w:t>、营业周期</w:t>
      </w:r>
      <w:r>
        <w:rPr>
          <w:rFonts w:ascii="宋体" w:hAnsi="宋体" w:cs="宋体" w:eastAsia="宋体" w:hint="default"/>
          <w:sz w:val="24"/>
          <w:szCs w:val="24"/>
        </w:rPr>
      </w:r>
    </w:p>
    <w:p>
      <w:pPr>
        <w:spacing w:line="350" w:lineRule="auto" w:before="32"/>
        <w:ind w:left="636" w:right="8703" w:hanging="3"/>
        <w:jc w:val="left"/>
        <w:rPr>
          <w:rFonts w:ascii="宋体" w:hAnsi="宋体" w:cs="宋体" w:eastAsia="宋体" w:hint="default"/>
          <w:sz w:val="24"/>
          <w:szCs w:val="24"/>
        </w:rPr>
      </w:pPr>
      <w:r>
        <w:rPr>
          <w:rFonts w:ascii="宋体" w:hAnsi="宋体" w:cs="宋体" w:eastAsia="宋体" w:hint="default"/>
          <w:sz w:val="24"/>
          <w:szCs w:val="24"/>
        </w:rPr>
        <w:t>无 </w:t>
      </w:r>
      <w:bookmarkStart w:name="4、记账本位币" w:id="206"/>
      <w:bookmarkEnd w:id="206"/>
      <w:r>
        <w:rPr>
          <w:rFonts w:ascii="宋体" w:hAnsi="宋体" w:cs="宋体" w:eastAsia="宋体" w:hint="default"/>
          <w:sz w:val="24"/>
          <w:szCs w:val="24"/>
        </w:rPr>
      </w:r>
      <w:r>
        <w:rPr>
          <w:rFonts w:ascii="宋体" w:hAnsi="宋体" w:cs="宋体" w:eastAsia="宋体" w:hint="default"/>
          <w:b/>
          <w:bCs/>
          <w:sz w:val="24"/>
          <w:szCs w:val="24"/>
        </w:rPr>
        <w:t>4</w:t>
      </w:r>
      <w:r>
        <w:rPr>
          <w:rFonts w:ascii="宋体" w:hAnsi="宋体" w:cs="宋体" w:eastAsia="宋体" w:hint="default"/>
          <w:b/>
          <w:bCs/>
          <w:sz w:val="24"/>
          <w:szCs w:val="24"/>
        </w:rPr>
        <w:t>、记账本位币</w:t>
      </w:r>
      <w:r>
        <w:rPr>
          <w:rFonts w:ascii="宋体" w:hAnsi="宋体" w:cs="宋体" w:eastAsia="宋体" w:hint="default"/>
          <w:sz w:val="24"/>
          <w:szCs w:val="24"/>
        </w:rPr>
      </w:r>
    </w:p>
    <w:p>
      <w:pPr>
        <w:spacing w:line="350" w:lineRule="auto" w:before="36"/>
        <w:ind w:left="636" w:right="3433" w:hanging="3"/>
        <w:jc w:val="left"/>
        <w:rPr>
          <w:rFonts w:ascii="宋体" w:hAnsi="宋体" w:cs="宋体" w:eastAsia="宋体" w:hint="default"/>
          <w:sz w:val="24"/>
          <w:szCs w:val="24"/>
        </w:rPr>
      </w:pPr>
      <w:r>
        <w:rPr>
          <w:rFonts w:ascii="宋体" w:hAnsi="宋体" w:cs="宋体" w:eastAsia="宋体" w:hint="default"/>
          <w:sz w:val="24"/>
          <w:szCs w:val="24"/>
        </w:rPr>
        <w:t>采用人民币为记账本位币。 </w:t>
      </w:r>
      <w:bookmarkStart w:name="5、同一控制下和非同一控制下企业合并的会计处理方法" w:id="207"/>
      <w:bookmarkEnd w:id="207"/>
      <w:r>
        <w:rPr>
          <w:rFonts w:ascii="宋体" w:hAnsi="宋体" w:cs="宋体" w:eastAsia="宋体" w:hint="default"/>
          <w:sz w:val="24"/>
          <w:szCs w:val="24"/>
        </w:rPr>
      </w:r>
      <w:r>
        <w:rPr>
          <w:rFonts w:ascii="宋体" w:hAnsi="宋体" w:cs="宋体" w:eastAsia="宋体" w:hint="default"/>
          <w:b/>
          <w:bCs/>
          <w:w w:val="95"/>
          <w:sz w:val="24"/>
          <w:szCs w:val="24"/>
        </w:rPr>
        <w:t>5</w:t>
      </w:r>
      <w:r>
        <w:rPr>
          <w:rFonts w:ascii="宋体" w:hAnsi="宋体" w:cs="宋体" w:eastAsia="宋体" w:hint="default"/>
          <w:b/>
          <w:bCs/>
          <w:w w:val="95"/>
          <w:sz w:val="24"/>
          <w:szCs w:val="24"/>
        </w:rPr>
        <w:t>、同一控制下和非同一控制下企业合并的会计处理方法</w:t>
      </w:r>
      <w:r>
        <w:rPr>
          <w:rFonts w:ascii="宋体" w:hAnsi="宋体" w:cs="宋体" w:eastAsia="宋体" w:hint="default"/>
          <w:sz w:val="24"/>
          <w:szCs w:val="24"/>
        </w:rPr>
      </w:r>
    </w:p>
    <w:p>
      <w:pPr>
        <w:pStyle w:val="BodyText"/>
        <w:spacing w:line="352" w:lineRule="auto" w:before="35"/>
        <w:ind w:right="996" w:firstLine="480"/>
        <w:jc w:val="left"/>
      </w:pPr>
      <w:r>
        <w:rPr>
          <w:spacing w:val="-3"/>
        </w:rPr>
        <w:t>（</w:t>
      </w:r>
      <w:r>
        <w:rPr>
          <w:rFonts w:ascii="宋体" w:hAnsi="宋体" w:cs="宋体" w:eastAsia="宋体" w:hint="default"/>
          <w:spacing w:val="-3"/>
        </w:rPr>
        <w:t>1</w:t>
      </w:r>
      <w:r>
        <w:rPr>
          <w:spacing w:val="-3"/>
        </w:rPr>
        <w:t>）分步实现企业合并过程中的各项交易的条款、条件以及经济影响符合以下一种或多</w:t>
      </w:r>
      <w:r>
        <w:rPr/>
        <w:t> 种情况，将多次交易事项作为一揽子交易进行会计处理</w:t>
      </w:r>
    </w:p>
    <w:p>
      <w:pPr>
        <w:pStyle w:val="BodyText"/>
        <w:spacing w:line="240" w:lineRule="auto" w:before="32"/>
        <w:ind w:left="633" w:right="996"/>
        <w:jc w:val="left"/>
      </w:pPr>
      <w:r>
        <w:rPr/>
        <w:t>①这些交易是同时或者在考虑了彼此影响的情况下订立的；</w:t>
      </w:r>
    </w:p>
    <w:p>
      <w:pPr>
        <w:pStyle w:val="BodyText"/>
        <w:spacing w:line="240" w:lineRule="auto" w:before="145"/>
        <w:ind w:left="633" w:right="996"/>
        <w:jc w:val="left"/>
      </w:pPr>
      <w:r>
        <w:rPr/>
        <w:t>②这些交易整体才能达成一项完整的商业结果；</w:t>
      </w:r>
    </w:p>
    <w:p>
      <w:pPr>
        <w:pStyle w:val="BodyText"/>
        <w:spacing w:line="240" w:lineRule="auto" w:before="146"/>
        <w:ind w:left="634" w:right="996"/>
        <w:jc w:val="left"/>
      </w:pPr>
      <w:r>
        <w:rPr/>
        <w:t>③一项交易的发生取决于其他至少一项交易的发生；</w:t>
      </w:r>
    </w:p>
    <w:p>
      <w:pPr>
        <w:pStyle w:val="BodyText"/>
        <w:spacing w:line="240" w:lineRule="auto" w:before="146"/>
        <w:ind w:left="633" w:right="996"/>
        <w:jc w:val="left"/>
      </w:pPr>
      <w:r>
        <w:rPr/>
        <w:t>④一项交易单独看是不经济的，但是和其他交易一并考虑时是经济的。</w:t>
      </w:r>
    </w:p>
    <w:p>
      <w:pPr>
        <w:pStyle w:val="BodyText"/>
        <w:spacing w:line="352" w:lineRule="auto" w:before="145"/>
        <w:ind w:left="633" w:right="1153" w:firstLine="120"/>
        <w:jc w:val="left"/>
      </w:pPr>
      <w:r>
        <w:rPr/>
        <w:t>（</w:t>
      </w:r>
      <w:r>
        <w:rPr>
          <w:rFonts w:ascii="宋体" w:hAnsi="宋体" w:cs="宋体" w:eastAsia="宋体" w:hint="default"/>
        </w:rPr>
        <w:t>2</w:t>
      </w:r>
      <w:r>
        <w:rPr/>
        <w:t>）同一控制下的企业合并 本公司在企业合并中取得的资产和负债，按照合并日在被合并方资产、负债（包括最终</w:t>
      </w:r>
    </w:p>
    <w:p>
      <w:pPr>
        <w:pStyle w:val="BodyText"/>
        <w:spacing w:line="352" w:lineRule="auto" w:before="32"/>
        <w:ind w:right="1170"/>
        <w:jc w:val="both"/>
      </w:pPr>
      <w:r>
        <w:rPr/>
        <w:t>控制方收购被合并方而形成的商誉）在最终控制方合并财务报表中的账面价值计量。在合并 中取得的净资产账面价值与支付的合并对价账面价值（或发行股份面值总额）的差额，调整 资本公积中的股本溢价，资本公积中的股本溢价不足冲减的，调整留存收益。</w:t>
      </w:r>
    </w:p>
    <w:p>
      <w:pPr>
        <w:pStyle w:val="BodyText"/>
        <w:spacing w:line="350" w:lineRule="auto" w:before="32"/>
        <w:ind w:right="996" w:firstLine="480"/>
        <w:jc w:val="left"/>
      </w:pPr>
      <w:r>
        <w:rPr/>
        <w:t>如果存在或有对价并需要确认预计负债或资产，该预计负债或资产金额与后续或有对价 </w:t>
      </w:r>
      <w:r>
        <w:rPr>
          <w:spacing w:val="-3"/>
        </w:rPr>
        <w:t>结算金额的差额，调整资本公积（资本溢价或股本溢价），资本公积不足的，调整留存收益。</w:t>
      </w:r>
    </w:p>
    <w:p>
      <w:pPr>
        <w:pStyle w:val="BodyText"/>
        <w:spacing w:line="350" w:lineRule="auto"/>
        <w:ind w:left="154" w:right="994" w:firstLine="480"/>
        <w:jc w:val="left"/>
      </w:pPr>
      <w:r>
        <w:rPr/>
        <w:t>对于通过多次交易最终实现企业合并的，属于一揽子交易的，将各项交易作为一项取得 控制权的交易进行会计处理；不属于一揽子交易的，在取得控制权日，长期股权投资初始投 资成本，与达到合并前的长期股权投资账面价值加上合并日进一步取得股份新支付对价的账 面价值之和的差额，调整资本公积；资本公积不足冲减的，调整留存收益。对于合并日之前 </w:t>
      </w:r>
      <w:r>
        <w:rPr>
          <w:spacing w:val="-2"/>
        </w:rPr>
        <w:t>持有的股权投资，因采用权益法核算或金融工具确认和计量准则核算而确认的其他综合收益，</w:t>
      </w:r>
      <w:r>
        <w:rPr/>
        <w:t> 暂不进行会计处理，直至处置该项投资时采用与被投资单位直接处置相关资产或负债相同的 基础进行会计处理；因采用权益法核算而确认的被投资单位净资产中除净损益、其他综合收</w:t>
      </w:r>
    </w:p>
    <w:p>
      <w:pPr>
        <w:spacing w:after="0" w:line="350" w:lineRule="auto"/>
        <w:jc w:val="left"/>
        <w:sectPr>
          <w:footerReference w:type="default" r:id="rId18"/>
          <w:pgSz w:w="11910" w:h="16840"/>
          <w:pgMar w:footer="979" w:header="747" w:top="1060" w:bottom="1160" w:left="980" w:right="0"/>
          <w:pgNumType w:start="101"/>
        </w:sectPr>
      </w:pPr>
    </w:p>
    <w:p>
      <w:pPr>
        <w:spacing w:line="240" w:lineRule="auto" w:before="0"/>
        <w:rPr>
          <w:rFonts w:ascii="宋体" w:hAnsi="宋体" w:cs="宋体" w:eastAsia="宋体" w:hint="default"/>
          <w:sz w:val="20"/>
          <w:szCs w:val="20"/>
        </w:rPr>
      </w:pPr>
    </w:p>
    <w:p>
      <w:pPr>
        <w:pStyle w:val="BodyText"/>
        <w:spacing w:line="350" w:lineRule="auto" w:before="199"/>
        <w:ind w:right="1153"/>
        <w:jc w:val="left"/>
      </w:pPr>
      <w:r>
        <w:rPr/>
        <w:t>益和利润分配以外的所有者权益其他变动，暂不进行会计处理，直至处置该项投资时转入当 期损益。</w:t>
      </w:r>
    </w:p>
    <w:p>
      <w:pPr>
        <w:pStyle w:val="BodyText"/>
        <w:spacing w:line="350" w:lineRule="auto"/>
        <w:ind w:left="634" w:right="1152" w:firstLine="120"/>
        <w:jc w:val="left"/>
      </w:pPr>
      <w:r>
        <w:rPr/>
        <w:t>（</w:t>
      </w:r>
      <w:r>
        <w:rPr>
          <w:rFonts w:ascii="宋体" w:hAnsi="宋体" w:cs="宋体" w:eastAsia="宋体" w:hint="default"/>
        </w:rPr>
        <w:t>3</w:t>
      </w:r>
      <w:r>
        <w:rPr/>
        <w:t>）非同一控制下的企业合并 购买日是指本公司实际取得对被购买方控制权的日期，即被购买方的净资产或生产经营</w:t>
      </w:r>
    </w:p>
    <w:p>
      <w:pPr>
        <w:pStyle w:val="BodyText"/>
        <w:spacing w:line="352" w:lineRule="auto" w:before="35"/>
        <w:ind w:left="154" w:right="1152"/>
        <w:jc w:val="left"/>
      </w:pPr>
      <w:r>
        <w:rPr/>
        <w:t>决策的控制权转移给本公司的日期。同时满足下列条件时，本公司一般认为实现了控制权的 转移：</w:t>
      </w:r>
    </w:p>
    <w:p>
      <w:pPr>
        <w:pStyle w:val="BodyText"/>
        <w:spacing w:line="240" w:lineRule="auto" w:before="32"/>
        <w:ind w:left="634" w:right="996"/>
        <w:jc w:val="left"/>
      </w:pPr>
      <w:r>
        <w:rPr/>
        <w:t>①企业合并合同或协议已获本公司内部权力机构通过。</w:t>
      </w:r>
    </w:p>
    <w:p>
      <w:pPr>
        <w:pStyle w:val="BodyText"/>
        <w:spacing w:line="240" w:lineRule="auto" w:before="145"/>
        <w:ind w:left="634" w:right="996"/>
        <w:jc w:val="left"/>
      </w:pPr>
      <w:r>
        <w:rPr/>
        <w:t>②企业合并事项需要经过国家有关主管部门审批的，已获得批准。</w:t>
      </w:r>
    </w:p>
    <w:p>
      <w:pPr>
        <w:pStyle w:val="BodyText"/>
        <w:spacing w:line="240" w:lineRule="auto" w:before="146"/>
        <w:ind w:left="634" w:right="996"/>
        <w:jc w:val="left"/>
      </w:pPr>
      <w:r>
        <w:rPr/>
        <w:t>③已办理了必要的财产权转移手续。</w:t>
      </w:r>
    </w:p>
    <w:p>
      <w:pPr>
        <w:pStyle w:val="BodyText"/>
        <w:spacing w:line="240" w:lineRule="auto" w:before="145"/>
        <w:ind w:left="634" w:right="996"/>
        <w:jc w:val="left"/>
      </w:pPr>
      <w:r>
        <w:rPr/>
        <w:t>④本公司已支付了合并价款的大部分，并且有能力、有计划支付剩余款项。</w:t>
      </w:r>
    </w:p>
    <w:p>
      <w:pPr>
        <w:pStyle w:val="BodyText"/>
        <w:spacing w:line="352" w:lineRule="auto" w:before="145"/>
        <w:ind w:right="1153" w:firstLine="480"/>
        <w:jc w:val="left"/>
      </w:pPr>
      <w:r>
        <w:rPr/>
        <w:t>⑤本公司实际上已经控制了被购买方的财务和经营政策，并享有相应的利益、承担相应 的风险。</w:t>
      </w:r>
    </w:p>
    <w:p>
      <w:pPr>
        <w:pStyle w:val="BodyText"/>
        <w:spacing w:line="350" w:lineRule="auto" w:before="32"/>
        <w:ind w:left="154" w:right="996" w:firstLine="480"/>
        <w:jc w:val="left"/>
      </w:pPr>
      <w:r>
        <w:rPr>
          <w:spacing w:val="-3"/>
        </w:rPr>
        <w:t>本公司在购买日对作为企业合并对价付出的资产、发生或承担的负债按照公允价值计量，</w:t>
      </w:r>
      <w:r>
        <w:rPr/>
        <w:t> 公允价值与其账面价值的差额，计入当期损益。</w:t>
      </w:r>
    </w:p>
    <w:p>
      <w:pPr>
        <w:pStyle w:val="BodyText"/>
        <w:spacing w:line="350" w:lineRule="auto"/>
        <w:ind w:left="154" w:right="994" w:firstLine="480"/>
        <w:jc w:val="left"/>
      </w:pPr>
      <w:r>
        <w:rPr/>
        <w:t>本公司对合并成本大于合并中取得的被购买方可辨认净资产公允价值份额的差额，确认 </w:t>
      </w:r>
      <w:r>
        <w:rPr>
          <w:spacing w:val="-2"/>
        </w:rPr>
        <w:t>为商誉；合并成本小于合并中取得的被购买方可辨认净资产公允价值份额的差额，经复核后，</w:t>
      </w:r>
      <w:r>
        <w:rPr/>
        <w:t> 计入当期损益。</w:t>
      </w:r>
    </w:p>
    <w:p>
      <w:pPr>
        <w:pStyle w:val="BodyText"/>
        <w:spacing w:line="350" w:lineRule="auto"/>
        <w:ind w:left="154" w:right="1169" w:firstLine="480"/>
        <w:jc w:val="both"/>
      </w:pPr>
      <w:r>
        <w:rPr/>
        <w:t>通过多次交换交易分步实现的非同一控制下企业合并，属于一揽子交易的，将各项交易 作为一项取得控制权的交易进行会计处理；不属于一揽子交易的，合并日之前持有的股权投 资采用权益法核算的，以购买日之前所持被购买方的股权投资的账面价值与购买日新增投资 成本之和，作为该项投资的初始投资成本；购买日之前持有的股权投资因采用权益法核算而 确认的其他综合收益，在处置该项投资时采用与被投资单位直接处置相关资产或负债相同的 基础进行会计处理。合并日之前持有的股权投资采用金融工具确认和计量准则核算的，以该 股权投资在合并日的公允价值加上新增投资成本之和，作为合并日的初始投资成本。原持有 股权的公允价值与账面价值之间的差额以及原计入其他综合收益的累计公允价值变动应全部 转入合并日当期的投资收益。</w:t>
      </w:r>
    </w:p>
    <w:p>
      <w:pPr>
        <w:pStyle w:val="BodyText"/>
        <w:spacing w:line="350" w:lineRule="auto"/>
        <w:ind w:left="633" w:right="1153" w:firstLine="120"/>
        <w:jc w:val="left"/>
      </w:pPr>
      <w:r>
        <w:rPr/>
        <w:t>（</w:t>
      </w:r>
      <w:r>
        <w:rPr>
          <w:rFonts w:ascii="宋体" w:hAnsi="宋体" w:cs="宋体" w:eastAsia="宋体" w:hint="default"/>
        </w:rPr>
        <w:t>4</w:t>
      </w:r>
      <w:r>
        <w:rPr/>
        <w:t>）为合并发生的相关费用 为企业合并发生的审计、法律服务、评估咨询等中介费用以及其他直接相关费用，于发</w:t>
      </w:r>
    </w:p>
    <w:p>
      <w:pPr>
        <w:pStyle w:val="BodyText"/>
        <w:spacing w:line="352" w:lineRule="auto" w:before="35"/>
        <w:ind w:right="1153"/>
        <w:jc w:val="left"/>
      </w:pPr>
      <w:r>
        <w:rPr/>
        <w:t>生时计入当期损益；为企业合并而发行权益性证券的交易费用，可直接归属于权益性交易的 从权益中扣减。</w:t>
      </w:r>
    </w:p>
    <w:p>
      <w:pPr>
        <w:spacing w:after="0" w:line="352"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Heading2"/>
        <w:spacing w:line="240" w:lineRule="auto" w:before="199"/>
        <w:ind w:right="996"/>
        <w:jc w:val="left"/>
        <w:rPr>
          <w:b w:val="0"/>
          <w:bCs w:val="0"/>
        </w:rPr>
      </w:pPr>
      <w:bookmarkStart w:name="6、合并财务报表的编制方法" w:id="208"/>
      <w:bookmarkEnd w:id="208"/>
      <w:r>
        <w:rPr>
          <w:b w:val="0"/>
          <w:bCs w:val="0"/>
        </w:rPr>
      </w:r>
      <w:r>
        <w:rPr>
          <w:rFonts w:ascii="宋体" w:hAnsi="宋体" w:cs="宋体" w:eastAsia="宋体" w:hint="default"/>
        </w:rPr>
        <w:t>6</w:t>
      </w:r>
      <w:r>
        <w:rPr/>
        <w:t>、合并财务报表的编制方法</w:t>
      </w:r>
      <w:r>
        <w:rPr>
          <w:b w:val="0"/>
          <w:bCs w:val="0"/>
        </w:rPr>
      </w:r>
    </w:p>
    <w:p>
      <w:pPr>
        <w:pStyle w:val="BodyText"/>
        <w:spacing w:line="352" w:lineRule="auto" w:before="145"/>
        <w:ind w:left="633" w:right="1153" w:firstLine="2"/>
        <w:jc w:val="left"/>
      </w:pPr>
      <w:r>
        <w:rPr>
          <w:rFonts w:ascii="宋体" w:hAnsi="宋体" w:cs="宋体" w:eastAsia="宋体" w:hint="default"/>
          <w:b/>
          <w:bCs/>
        </w:rPr>
        <w:t>（</w:t>
      </w:r>
      <w:r>
        <w:rPr>
          <w:rFonts w:ascii="宋体" w:hAnsi="宋体" w:cs="宋体" w:eastAsia="宋体" w:hint="default"/>
          <w:b/>
          <w:bCs/>
        </w:rPr>
        <w:t>1</w:t>
      </w:r>
      <w:r>
        <w:rPr>
          <w:rFonts w:ascii="宋体" w:hAnsi="宋体" w:cs="宋体" w:eastAsia="宋体" w:hint="default"/>
          <w:b/>
          <w:bCs/>
        </w:rPr>
        <w:t>）合并范围</w:t>
      </w:r>
      <w:r>
        <w:rPr>
          <w:rFonts w:ascii="宋体" w:hAnsi="宋体" w:cs="宋体" w:eastAsia="宋体" w:hint="default"/>
          <w:b/>
          <w:bCs/>
          <w:w w:val="99"/>
        </w:rPr>
        <w:t> </w:t>
      </w:r>
      <w:r>
        <w:rPr/>
        <w:t>本公司合并财务报表的合并范围以控制为基础确定，所有子公司（包括本公司所控制的</w:t>
      </w:r>
    </w:p>
    <w:p>
      <w:pPr>
        <w:pStyle w:val="BodyText"/>
        <w:spacing w:line="240" w:lineRule="auto" w:before="33"/>
        <w:ind w:right="0"/>
        <w:jc w:val="both"/>
      </w:pPr>
      <w:r>
        <w:rPr/>
        <w:t>单独主体）均纳入合并财务报表。</w:t>
      </w:r>
    </w:p>
    <w:p>
      <w:pPr>
        <w:pStyle w:val="BodyText"/>
        <w:spacing w:line="352" w:lineRule="auto" w:before="145"/>
        <w:ind w:left="633" w:right="1153" w:firstLine="2"/>
        <w:jc w:val="left"/>
      </w:pPr>
      <w:r>
        <w:rPr>
          <w:rFonts w:ascii="宋体" w:hAnsi="宋体" w:cs="宋体" w:eastAsia="宋体" w:hint="default"/>
          <w:b/>
          <w:bCs/>
        </w:rPr>
        <w:t>（</w:t>
      </w:r>
      <w:r>
        <w:rPr>
          <w:rFonts w:ascii="宋体" w:hAnsi="宋体" w:cs="宋体" w:eastAsia="宋体" w:hint="default"/>
          <w:b/>
          <w:bCs/>
        </w:rPr>
        <w:t>2</w:t>
      </w:r>
      <w:r>
        <w:rPr>
          <w:rFonts w:ascii="宋体" w:hAnsi="宋体" w:cs="宋体" w:eastAsia="宋体" w:hint="default"/>
          <w:b/>
          <w:bCs/>
        </w:rPr>
        <w:t>）合并程序</w:t>
      </w:r>
      <w:r>
        <w:rPr>
          <w:rFonts w:ascii="宋体" w:hAnsi="宋体" w:cs="宋体" w:eastAsia="宋体" w:hint="default"/>
          <w:b/>
          <w:bCs/>
          <w:w w:val="99"/>
        </w:rPr>
        <w:t> </w:t>
      </w:r>
      <w:r>
        <w:rPr/>
        <w:t>本公司以自身和各子公司的财务报表为基础，根据其他有关资料，编制合并财务报表。</w:t>
      </w:r>
    </w:p>
    <w:p>
      <w:pPr>
        <w:pStyle w:val="BodyText"/>
        <w:spacing w:line="352" w:lineRule="auto" w:before="32"/>
        <w:ind w:right="1170"/>
        <w:jc w:val="both"/>
      </w:pPr>
      <w:r>
        <w:rPr/>
        <w:t>本公司编制合并财务报表，将整个企业集团视为一个会计主体，依据相关企业会计准则的确 认、计量和列报要求，按照统一的会计政策，反映本企业集团整体财务状况、经营成果和现 金流量。</w:t>
      </w:r>
    </w:p>
    <w:p>
      <w:pPr>
        <w:pStyle w:val="BodyText"/>
        <w:spacing w:line="352" w:lineRule="auto" w:before="32"/>
        <w:ind w:right="1169" w:firstLine="480"/>
        <w:jc w:val="both"/>
      </w:pPr>
      <w:r>
        <w:rPr/>
        <w:t>所有纳入合并财务报表合并范围的子公司所采用的会计政策、会计期间与本公司一致， 如子公司采用的会计政策、会计期间与本公司不一致的，在编制合并财务报表时，按本公司 的会计政策、会计期间进行必要的调整。</w:t>
      </w:r>
    </w:p>
    <w:p>
      <w:pPr>
        <w:pStyle w:val="BodyText"/>
        <w:spacing w:line="352" w:lineRule="auto" w:before="32"/>
        <w:ind w:right="1170" w:firstLine="480"/>
        <w:jc w:val="both"/>
      </w:pPr>
      <w:r>
        <w:rPr/>
        <w:t>合并财务报表时抵销本公司与各子公司、各子公司相互之间发生的内部交易对合并资产 负债表、合并利润表、合并现金流量表、合并股东权益变动表的影响。如果站在企业集团合 并财务报表角度与以本公司或子公司为会计主体对同一交易的认定不同时，从企业集团的角 度对该交易予以调整。</w:t>
      </w:r>
    </w:p>
    <w:p>
      <w:pPr>
        <w:pStyle w:val="BodyText"/>
        <w:spacing w:line="350" w:lineRule="auto" w:before="32"/>
        <w:ind w:right="1169" w:firstLine="480"/>
        <w:jc w:val="both"/>
      </w:pPr>
      <w:r>
        <w:rPr/>
        <w:t>子公司所有者权益、当期净损益和当期综合收益中属于少数股东的份额分别在合并资产 负债表中所有者权益项目下、合并利润表中净利润项目下和综合收益总额项目下单独列示。 子公司少数股东分担的当期亏损超过了少数股东在该子公司期初所有者权益中所享有份额而 形成的余额，冲减少数股东权益。</w:t>
      </w:r>
    </w:p>
    <w:p>
      <w:pPr>
        <w:pStyle w:val="BodyText"/>
        <w:spacing w:line="350" w:lineRule="auto"/>
        <w:ind w:right="1170" w:firstLine="480"/>
        <w:jc w:val="both"/>
      </w:pPr>
      <w:r>
        <w:rPr/>
        <w:t>对于同一控制下企业合并取得的子公司，以其资产、负债（包括最终控制方收购该子公 司而形成的商誉）在最终控制方财务报表中的账面价值为基础对其财务报表进行调整。</w:t>
      </w:r>
    </w:p>
    <w:p>
      <w:pPr>
        <w:pStyle w:val="BodyText"/>
        <w:spacing w:line="352" w:lineRule="auto" w:before="35"/>
        <w:ind w:right="1170" w:firstLine="480"/>
        <w:jc w:val="both"/>
      </w:pPr>
      <w:r>
        <w:rPr/>
        <w:t>对于非同一控制下企业合并取得的子公司，以购买日可辨认净资产公允价值为基础对其 财务报表进行调整</w:t>
      </w:r>
    </w:p>
    <w:p>
      <w:pPr>
        <w:pStyle w:val="BodyText"/>
        <w:spacing w:line="350" w:lineRule="auto" w:before="32"/>
        <w:ind w:left="634" w:right="1152"/>
        <w:jc w:val="left"/>
      </w:pPr>
      <w:r>
        <w:rPr/>
        <w:t>①增加子公司或业务 在报告期内，若因同一控制下企业合并增加子公司或业务的，则调整合并资产负债表的</w:t>
      </w:r>
    </w:p>
    <w:p>
      <w:pPr>
        <w:pStyle w:val="BodyText"/>
        <w:spacing w:line="350" w:lineRule="auto"/>
        <w:ind w:left="154" w:right="1170"/>
        <w:jc w:val="both"/>
      </w:pPr>
      <w:r>
        <w:rPr/>
        <w:t>期初数；将子公司或业务合并当期期初至报告期末的收入、费用、利润纳入合并利润表；将 子公司或业务合并当期期初至报告期末的现金流量纳入合并现金流量表，同时对比较报表的 相关项目进行调整，视同合并后的报告主体自最终控制方开始控制时点起一直存在。</w:t>
      </w:r>
    </w:p>
    <w:p>
      <w:pPr>
        <w:pStyle w:val="BodyText"/>
        <w:spacing w:line="240" w:lineRule="auto"/>
        <w:ind w:left="633" w:right="996"/>
        <w:jc w:val="left"/>
      </w:pPr>
      <w:r>
        <w:rPr/>
        <w:t>因追加投资等原因能够对同一控制下的被投资方实施控制的，视同参与合并的各方在最</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352" w:lineRule="auto" w:before="199"/>
        <w:ind w:right="1169"/>
        <w:jc w:val="both"/>
      </w:pPr>
      <w:r>
        <w:rPr/>
        <w:t>终控制方开始控制时即以目前的状态存在进行调整。在取得被合并方控制权之前持有的股权 投资，在取得原股权之日与合并方和被合并方同处于同一控制之日孰晚日起至合并日之间已 确认有关损益、其他综合收益以及其他净资产变动，分别冲减比较报表期间的期初留存收益 或当期损益。</w:t>
      </w:r>
    </w:p>
    <w:p>
      <w:pPr>
        <w:pStyle w:val="BodyText"/>
        <w:spacing w:line="352" w:lineRule="auto" w:before="32"/>
        <w:ind w:right="1170" w:firstLine="480"/>
        <w:jc w:val="both"/>
      </w:pPr>
      <w:r>
        <w:rPr/>
        <w:t>在报告期内，若因非同一控制下企业合并增加子公司或业务的，则不调整合并资产负债 表期初数；将该子公司或业务自购买日至报告期末的收入、费用、利润纳入合并利润表；该 子公司或业务自购买日至报告期末的现金流量纳入合并现金流量表。</w:t>
      </w:r>
    </w:p>
    <w:p>
      <w:pPr>
        <w:pStyle w:val="BodyText"/>
        <w:spacing w:line="350" w:lineRule="auto" w:before="32"/>
        <w:ind w:right="1169" w:firstLine="480"/>
        <w:jc w:val="both"/>
      </w:pPr>
      <w:r>
        <w:rPr/>
        <w:t>因追加投资等原因能够对非同一控制下的被投资方实施控制的，对于购买日之前持有的 被购买方的股权，本公司按照该股权在购买日的公允价值进行重新计量，公允价值与其账面 价值的差额计入当期投资收益。购买日之前持有的被购买方的股权涉及权益法核算下的其他 综合收益以及除净损益、其他综合收益和利润分配之外的其他所有者权益变动的，与其相关 的其他综合收益、其他所有者权益变动转为购买日所属当期投资收益，由于被投资方重新计 量设定受益计划净负债或净资产变动而产生的其他综合收益除外。</w:t>
      </w:r>
    </w:p>
    <w:p>
      <w:pPr>
        <w:pStyle w:val="BodyText"/>
        <w:spacing w:line="352" w:lineRule="auto" w:before="35"/>
        <w:ind w:left="634" w:right="8112"/>
        <w:jc w:val="left"/>
      </w:pPr>
      <w:r>
        <w:rPr/>
        <w:t>②处置子公司或业务 </w:t>
      </w:r>
      <w:r>
        <w:rPr>
          <w:rFonts w:ascii="宋体" w:hAnsi="宋体" w:cs="宋体" w:eastAsia="宋体" w:hint="default"/>
        </w:rPr>
        <w:t>1</w:t>
      </w:r>
      <w:r>
        <w:rPr/>
        <w:t>）一般处理方法</w:t>
      </w:r>
    </w:p>
    <w:p>
      <w:pPr>
        <w:pStyle w:val="BodyText"/>
        <w:spacing w:line="350" w:lineRule="auto" w:before="33"/>
        <w:ind w:left="154" w:right="996" w:firstLine="480"/>
        <w:jc w:val="left"/>
      </w:pPr>
      <w:r>
        <w:rPr>
          <w:spacing w:val="-3"/>
        </w:rPr>
        <w:t>在报告期内，本公司处置子公司或业务，则该子公司或业务期初至处置日的收入、费用、</w:t>
      </w:r>
      <w:r>
        <w:rPr/>
        <w:t> 利润纳入合并利润表；该子公司或业务期初至处置日的现金流量纳入合并现金流量表。</w:t>
      </w:r>
    </w:p>
    <w:p>
      <w:pPr>
        <w:pStyle w:val="BodyText"/>
        <w:spacing w:line="350" w:lineRule="auto"/>
        <w:ind w:right="1169" w:firstLine="480"/>
        <w:jc w:val="both"/>
      </w:pPr>
      <w:r>
        <w:rPr/>
        <w:t>因处置部分股权投资或其他原因丧失了对被投资方控制权时，对于处置后的剩余股权投 资，本公司按照其在丧失控制权日的公允价值进行重新计量。处置股权取得的对价与剩余股 权公允价值之和，减去按原持股比例计算应享有原有子公司自购买日或合并日开始持续计算 的净资产的份额与商誉之和的差额，计入丧失控制权当期的投资收益。与原有子公司股权投 资相关的其他综合收益或除净损益、其他综合收益及利润分配之外的其他所有者权益变动， 在丧失控制权时转为当期投资收益，由于被投资方重新计量设定受益计划净负债或净资产变 动而产生的其他综合收益除外。</w:t>
      </w:r>
    </w:p>
    <w:p>
      <w:pPr>
        <w:pStyle w:val="BodyText"/>
        <w:spacing w:line="350" w:lineRule="auto" w:before="35"/>
        <w:ind w:left="634" w:right="1152"/>
        <w:jc w:val="left"/>
      </w:pPr>
      <w:r>
        <w:rPr>
          <w:rFonts w:ascii="宋体" w:hAnsi="宋体" w:cs="宋体" w:eastAsia="宋体" w:hint="default"/>
        </w:rPr>
        <w:t>2</w:t>
      </w:r>
      <w:r>
        <w:rPr/>
        <w:t>）分步处置子公司 通过多次交易分步处置对子公司股权投资直至丧失控制权的，处置对子公司股权投资的</w:t>
      </w:r>
    </w:p>
    <w:p>
      <w:pPr>
        <w:pStyle w:val="BodyText"/>
        <w:spacing w:line="350" w:lineRule="auto"/>
        <w:ind w:left="154" w:right="1170"/>
        <w:jc w:val="both"/>
      </w:pPr>
      <w:r>
        <w:rPr/>
        <w:t>各项交易的条款、条件以及经济影响符合以下一种或多种情况，通常表明应将多次交易事项 作为一揽子交易进行会计处理：</w:t>
      </w:r>
    </w:p>
    <w:p>
      <w:pPr>
        <w:pStyle w:val="BodyText"/>
        <w:spacing w:line="352" w:lineRule="auto" w:before="35"/>
        <w:ind w:left="633" w:right="4033"/>
        <w:jc w:val="left"/>
      </w:pPr>
      <w:r>
        <w:rPr>
          <w:rFonts w:ascii="宋体" w:hAnsi="宋体" w:cs="宋体" w:eastAsia="宋体" w:hint="default"/>
        </w:rPr>
        <w:t>A.</w:t>
      </w:r>
      <w:r>
        <w:rPr/>
        <w:t>这些交易是同时或者在考虑了彼此影响的情况下订立的； </w:t>
      </w:r>
      <w:r>
        <w:rPr>
          <w:rFonts w:ascii="宋体" w:hAnsi="宋体" w:cs="宋体" w:eastAsia="宋体" w:hint="default"/>
        </w:rPr>
        <w:t>B.</w:t>
      </w:r>
      <w:r>
        <w:rPr/>
        <w:t>这些交易整体才能达成一项完整的商业结果；</w:t>
      </w:r>
    </w:p>
    <w:p>
      <w:pPr>
        <w:spacing w:after="0" w:line="352"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352" w:lineRule="auto" w:before="199"/>
        <w:ind w:left="633" w:right="1153"/>
        <w:jc w:val="left"/>
      </w:pPr>
      <w:r>
        <w:rPr>
          <w:rFonts w:ascii="宋体" w:hAnsi="宋体" w:cs="宋体" w:eastAsia="宋体" w:hint="default"/>
        </w:rPr>
        <w:t>C.</w:t>
      </w:r>
      <w:r>
        <w:rPr/>
        <w:t>一项交易的发生取决于其他至少一项交易的发生； </w:t>
      </w:r>
      <w:r>
        <w:rPr>
          <w:rFonts w:ascii="宋体" w:hAnsi="宋体" w:cs="宋体" w:eastAsia="宋体" w:hint="default"/>
        </w:rPr>
        <w:t>D.</w:t>
      </w:r>
      <w:r>
        <w:rPr/>
        <w:t>一项交易单独看是不经济的，但是和其他交易一并考虑时是经济的。 处置对子公司股权投资直至丧失控制权的各项交易属于一揽子交易的，本公司将各项交</w:t>
      </w:r>
    </w:p>
    <w:p>
      <w:pPr>
        <w:pStyle w:val="BodyText"/>
        <w:spacing w:line="352" w:lineRule="auto" w:before="33"/>
        <w:ind w:right="1169"/>
        <w:jc w:val="both"/>
      </w:pPr>
      <w:r>
        <w:rPr/>
        <w:t>易作为一项处置子公司并丧失控制权的交易进行会计处理；但是，在丧失控制权之前每一次 处置价款与处置投资对应的享有该子公司净资产份额的差额，在合并财务报表中确认为其他 综合收益，在丧失控制权时一并转入丧失控制权当期的损益。</w:t>
      </w:r>
    </w:p>
    <w:p>
      <w:pPr>
        <w:pStyle w:val="BodyText"/>
        <w:spacing w:line="352" w:lineRule="auto" w:before="32"/>
        <w:ind w:right="1170" w:firstLine="480"/>
        <w:jc w:val="both"/>
      </w:pPr>
      <w:r>
        <w:rPr/>
        <w:t>处置对子公司股权投资直至丧失控制权的各项交易不属于一揽子交易的，在丧失控制权 之前，按不丧失控制权的情况下部分处置对子公司的股权投资的相关政策进行会计处理；在 丧失控制权时，按处置子公司一般处理方法进行会计处理。</w:t>
      </w:r>
    </w:p>
    <w:p>
      <w:pPr>
        <w:pStyle w:val="BodyText"/>
        <w:spacing w:line="350" w:lineRule="auto" w:before="32"/>
        <w:ind w:left="634" w:right="1152"/>
        <w:jc w:val="left"/>
      </w:pPr>
      <w:r>
        <w:rPr/>
        <w:t>③购买子公司少数股权 本公司因购买少数股权新取得的长期股权投资与按照新增持股比例计算应享有子公司自</w:t>
      </w:r>
    </w:p>
    <w:p>
      <w:pPr>
        <w:pStyle w:val="BodyText"/>
        <w:spacing w:line="350" w:lineRule="auto"/>
        <w:ind w:left="154" w:right="1169"/>
        <w:jc w:val="both"/>
      </w:pPr>
      <w:r>
        <w:rPr/>
        <w:t>购买日（或合并日）开始持续计算的净资产份额之间的差额，调整合并资产负债表中的资本 公积中的股本溢价，资本公积中的股本溢价不足冲减的，调整留存收益。</w:t>
      </w:r>
    </w:p>
    <w:p>
      <w:pPr>
        <w:pStyle w:val="BodyText"/>
        <w:spacing w:line="352" w:lineRule="auto" w:before="35"/>
        <w:ind w:left="633" w:right="1153"/>
        <w:jc w:val="left"/>
      </w:pPr>
      <w:r>
        <w:rPr/>
        <w:t>④不丧失控制权的情况下部分处置对子公司的股权投资 在不丧失控制权的情况下因部分处置对子公司的长期股权投资而取得的处置价款与处置</w:t>
      </w:r>
    </w:p>
    <w:p>
      <w:pPr>
        <w:pStyle w:val="BodyText"/>
        <w:spacing w:line="352" w:lineRule="auto" w:before="33"/>
        <w:ind w:right="1170"/>
        <w:jc w:val="both"/>
      </w:pPr>
      <w:r>
        <w:rPr/>
        <w:t>长期股权投资相对应享有子公司自购买日或合并日开始持续计算的净资产份额之间的差额， 调整合并资产负债表中的资本公积中的股本溢价，资本公积中的股本溢价不足冲减的，调整 留存收益。</w:t>
      </w:r>
    </w:p>
    <w:p>
      <w:pPr>
        <w:pStyle w:val="Heading2"/>
        <w:spacing w:line="240" w:lineRule="auto" w:before="32"/>
        <w:ind w:right="996"/>
        <w:jc w:val="left"/>
        <w:rPr>
          <w:b w:val="0"/>
          <w:bCs w:val="0"/>
        </w:rPr>
      </w:pPr>
      <w:bookmarkStart w:name="7、合营安排分类及共同经营会计处理方法" w:id="209"/>
      <w:bookmarkEnd w:id="209"/>
      <w:r>
        <w:rPr>
          <w:b w:val="0"/>
          <w:bCs w:val="0"/>
        </w:rPr>
      </w:r>
      <w:r>
        <w:rPr>
          <w:rFonts w:ascii="宋体" w:hAnsi="宋体" w:cs="宋体" w:eastAsia="宋体" w:hint="default"/>
        </w:rPr>
        <w:t>7</w:t>
      </w:r>
      <w:r>
        <w:rPr/>
        <w:t>、合营安排分类及共同经营会计处理方法</w:t>
      </w:r>
      <w:r>
        <w:rPr>
          <w:b w:val="0"/>
          <w:bCs w:val="0"/>
        </w:rPr>
      </w:r>
    </w:p>
    <w:p>
      <w:pPr>
        <w:pStyle w:val="BodyText"/>
        <w:spacing w:line="352" w:lineRule="auto" w:before="145"/>
        <w:ind w:left="634" w:right="1152"/>
        <w:jc w:val="left"/>
      </w:pPr>
      <w:r>
        <w:rPr/>
        <w:t>（</w:t>
      </w:r>
      <w:r>
        <w:rPr>
          <w:rFonts w:ascii="宋体" w:hAnsi="宋体" w:cs="宋体" w:eastAsia="宋体" w:hint="default"/>
        </w:rPr>
        <w:t>1</w:t>
      </w:r>
      <w:r>
        <w:rPr/>
        <w:t>）合营安排的分类 本公司根据合营安排的结构、法律形式以及合营安排中约定的条款、其他相关事实和情</w:t>
      </w:r>
    </w:p>
    <w:p>
      <w:pPr>
        <w:pStyle w:val="BodyText"/>
        <w:spacing w:line="350" w:lineRule="auto" w:before="32"/>
        <w:ind w:left="634" w:right="1152" w:hanging="480"/>
        <w:jc w:val="left"/>
      </w:pPr>
      <w:r>
        <w:rPr/>
        <w:t>况等因素，将合营安排分为共同经营和合营企业。 未通过单独主体达成的合营安排，划分为共同经营；通过单独主体达成的合营安排，通</w:t>
      </w:r>
    </w:p>
    <w:p>
      <w:pPr>
        <w:pStyle w:val="BodyText"/>
        <w:spacing w:line="350" w:lineRule="auto"/>
        <w:ind w:left="154" w:right="1170"/>
        <w:jc w:val="both"/>
      </w:pPr>
      <w:r>
        <w:rPr/>
        <w:t>常划分为合营企业；但有确凿证据表明满足下列任一条件并且符合相关法律法规规定的合营 安排划分为共同经营：</w:t>
      </w:r>
    </w:p>
    <w:p>
      <w:pPr>
        <w:pStyle w:val="BodyText"/>
        <w:spacing w:line="352" w:lineRule="auto" w:before="35"/>
        <w:ind w:left="154" w:right="1169" w:firstLine="480"/>
        <w:jc w:val="both"/>
      </w:pPr>
      <w:r>
        <w:rPr/>
        <w:t>①合营安排的法律形式表明，合营方对该安排中的相关资产和负债分别享有权利和承担 义务。</w:t>
      </w:r>
    </w:p>
    <w:p>
      <w:pPr>
        <w:pStyle w:val="BodyText"/>
        <w:spacing w:line="350" w:lineRule="auto" w:before="33"/>
        <w:ind w:left="154" w:right="1169" w:firstLine="480"/>
        <w:jc w:val="both"/>
      </w:pPr>
      <w:r>
        <w:rPr/>
        <w:t>②合营安排的合同条款约定，合营方对该安排中的相关资产和负债分别享有权利和承担 义务。</w:t>
      </w:r>
    </w:p>
    <w:p>
      <w:pPr>
        <w:pStyle w:val="BodyText"/>
        <w:spacing w:line="240" w:lineRule="auto"/>
        <w:ind w:left="634" w:right="996"/>
        <w:jc w:val="left"/>
      </w:pPr>
      <w:r>
        <w:rPr/>
        <w:t>③其他相关事实和情况表明，合营方对该安排中的相关资产和负债分别享有权利和承担</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350" w:lineRule="auto" w:before="199"/>
        <w:ind w:right="1170"/>
        <w:jc w:val="both"/>
      </w:pPr>
      <w:r>
        <w:rPr/>
        <w:t>义务，如合营方享有与合营安排相关的几乎所有产出，并且该安排中负债的清偿持续依赖于 合营方的支持。</w:t>
      </w:r>
    </w:p>
    <w:p>
      <w:pPr>
        <w:pStyle w:val="BodyText"/>
        <w:spacing w:line="350" w:lineRule="auto"/>
        <w:ind w:left="633" w:right="1153"/>
        <w:jc w:val="left"/>
      </w:pPr>
      <w:r>
        <w:rPr/>
        <w:t>（</w:t>
      </w:r>
      <w:r>
        <w:rPr>
          <w:rFonts w:ascii="宋体" w:hAnsi="宋体" w:cs="宋体" w:eastAsia="宋体" w:hint="default"/>
        </w:rPr>
        <w:t>2</w:t>
      </w:r>
      <w:r>
        <w:rPr/>
        <w:t>）共同经营会计处理方法 本公司确认共同经营中利益份额中与本公司相关的下列项目，并按照相关企业会计准则</w:t>
      </w:r>
    </w:p>
    <w:p>
      <w:pPr>
        <w:pStyle w:val="BodyText"/>
        <w:spacing w:line="240" w:lineRule="auto" w:before="35"/>
        <w:ind w:right="0"/>
        <w:jc w:val="both"/>
      </w:pPr>
      <w:r>
        <w:rPr/>
        <w:t>的规定进行会计处理：</w:t>
      </w:r>
    </w:p>
    <w:p>
      <w:pPr>
        <w:pStyle w:val="BodyText"/>
        <w:spacing w:line="240" w:lineRule="auto" w:before="146"/>
        <w:ind w:left="633" w:right="996"/>
        <w:jc w:val="left"/>
      </w:pPr>
      <w:r>
        <w:rPr/>
        <w:t>①确认单独所持有的资产，以及按其份额确认共同持有的资产；</w:t>
      </w:r>
    </w:p>
    <w:p>
      <w:pPr>
        <w:pStyle w:val="BodyText"/>
        <w:spacing w:line="240" w:lineRule="auto" w:before="145"/>
        <w:ind w:left="633" w:right="996"/>
        <w:jc w:val="left"/>
      </w:pPr>
      <w:r>
        <w:rPr/>
        <w:t>②确认单独所承担的负债，以及按其份额确认共同承担的负债；</w:t>
      </w:r>
    </w:p>
    <w:p>
      <w:pPr>
        <w:pStyle w:val="BodyText"/>
        <w:spacing w:line="240" w:lineRule="auto" w:before="145"/>
        <w:ind w:left="633" w:right="996"/>
        <w:jc w:val="left"/>
      </w:pPr>
      <w:r>
        <w:rPr/>
        <w:t>③确认出售其享有的共同经营产出份额所产生的收入；</w:t>
      </w:r>
    </w:p>
    <w:p>
      <w:pPr>
        <w:pStyle w:val="BodyText"/>
        <w:spacing w:line="240" w:lineRule="auto" w:before="146"/>
        <w:ind w:left="633" w:right="996"/>
        <w:jc w:val="left"/>
      </w:pPr>
      <w:r>
        <w:rPr/>
        <w:t>④按其份额确认共同经营因出售产出所产生的收入；</w:t>
      </w:r>
    </w:p>
    <w:p>
      <w:pPr>
        <w:pStyle w:val="BodyText"/>
        <w:spacing w:line="350" w:lineRule="auto" w:before="145"/>
        <w:ind w:left="633" w:right="1153"/>
        <w:jc w:val="left"/>
      </w:pPr>
      <w:r>
        <w:rPr/>
        <w:t>⑤确认单独所发生的费用，以及按其份额确认共同经营发生的费用。 本公司向共同经营投出或出售资产等（该资产构成业务的除外），在该资产等由共同经</w:t>
      </w:r>
    </w:p>
    <w:p>
      <w:pPr>
        <w:pStyle w:val="BodyText"/>
        <w:spacing w:line="350" w:lineRule="auto"/>
        <w:ind w:right="1132"/>
        <w:jc w:val="both"/>
      </w:pPr>
      <w:r>
        <w:rPr/>
        <w:t>营出售给第三方之前，仅确认因该交易产生的损益中归属于共同经营其他参与方的部分。投 </w:t>
      </w:r>
      <w:r>
        <w:rPr>
          <w:spacing w:val="-3"/>
        </w:rPr>
        <w:t>出或出售的资产发生符合《企业会计准则第</w:t>
      </w:r>
      <w:r>
        <w:rPr>
          <w:rFonts w:ascii="宋体" w:hAnsi="宋体" w:cs="宋体" w:eastAsia="宋体" w:hint="default"/>
          <w:spacing w:val="-3"/>
        </w:rPr>
        <w:t>8</w:t>
      </w:r>
      <w:r>
        <w:rPr>
          <w:spacing w:val="-3"/>
        </w:rPr>
        <w:t>号——资产减值》等规定的资产减值损失的，本</w:t>
      </w:r>
      <w:r>
        <w:rPr>
          <w:spacing w:val="-81"/>
        </w:rPr>
        <w:t> </w:t>
      </w:r>
      <w:r>
        <w:rPr>
          <w:spacing w:val="-81"/>
        </w:rPr>
      </w:r>
      <w:r>
        <w:rPr/>
        <w:t>公司全额确认该损失。</w:t>
      </w:r>
    </w:p>
    <w:p>
      <w:pPr>
        <w:pStyle w:val="BodyText"/>
        <w:spacing w:line="352" w:lineRule="auto"/>
        <w:ind w:left="154" w:right="1132" w:firstLine="480"/>
        <w:jc w:val="both"/>
      </w:pPr>
      <w:r>
        <w:rPr/>
        <w:t>本公司自共同经营购买资产等（该资产构成业务的除外），在将该资产等出售给第三方 之前，仅确认因该交易产生的损益中归属于共同经营其他参与方的部分。购入的资产发生符 </w:t>
      </w:r>
      <w:r>
        <w:rPr>
          <w:spacing w:val="-3"/>
        </w:rPr>
        <w:t>合《企业会计准则第</w:t>
      </w:r>
      <w:r>
        <w:rPr>
          <w:rFonts w:ascii="宋体" w:hAnsi="宋体" w:cs="宋体" w:eastAsia="宋体" w:hint="default"/>
          <w:spacing w:val="-3"/>
        </w:rPr>
        <w:t>8</w:t>
      </w:r>
      <w:r>
        <w:rPr>
          <w:spacing w:val="-3"/>
        </w:rPr>
        <w:t>号——资产减值》等规定的资产减值损失的，本公司按承担的份额确认</w:t>
      </w:r>
      <w:r>
        <w:rPr>
          <w:spacing w:val="-81"/>
        </w:rPr>
        <w:t> </w:t>
      </w:r>
      <w:r>
        <w:rPr>
          <w:spacing w:val="-81"/>
        </w:rPr>
      </w:r>
      <w:r>
        <w:rPr/>
        <w:t>该部分损失。</w:t>
      </w:r>
    </w:p>
    <w:p>
      <w:pPr>
        <w:pStyle w:val="BodyText"/>
        <w:spacing w:line="352" w:lineRule="auto" w:before="32"/>
        <w:ind w:left="154" w:right="1170" w:firstLine="480"/>
        <w:jc w:val="both"/>
      </w:pPr>
      <w:r>
        <w:rPr/>
        <w:t>本公司对共同经营不享有共同控制，如果本公司享有该共同经营相关资产且承担该共同 经营相关负债的，仍按上述原则进行会计处理，否则，应当按照相关企业会计准则的规定进 行会计处理。</w:t>
      </w:r>
    </w:p>
    <w:p>
      <w:pPr>
        <w:spacing w:line="350" w:lineRule="auto" w:before="32"/>
        <w:ind w:left="634" w:right="1152" w:firstLine="2"/>
        <w:jc w:val="left"/>
        <w:rPr>
          <w:rFonts w:ascii="宋体" w:hAnsi="宋体" w:cs="宋体" w:eastAsia="宋体" w:hint="default"/>
          <w:sz w:val="24"/>
          <w:szCs w:val="24"/>
        </w:rPr>
      </w:pPr>
      <w:bookmarkStart w:name="8、现金及现金等价物的确定标准" w:id="210"/>
      <w:bookmarkEnd w:id="210"/>
      <w:r>
        <w:rPr/>
      </w:r>
      <w:r>
        <w:rPr>
          <w:rFonts w:ascii="宋体" w:hAnsi="宋体" w:cs="宋体" w:eastAsia="宋体" w:hint="default"/>
          <w:b/>
          <w:bCs/>
          <w:sz w:val="24"/>
          <w:szCs w:val="24"/>
        </w:rPr>
        <w:t>8</w:t>
      </w:r>
      <w:r>
        <w:rPr>
          <w:rFonts w:ascii="宋体" w:hAnsi="宋体" w:cs="宋体" w:eastAsia="宋体" w:hint="default"/>
          <w:b/>
          <w:bCs/>
          <w:sz w:val="24"/>
          <w:szCs w:val="24"/>
        </w:rPr>
        <w:t>、现金及现金等价物的确定标准</w:t>
      </w:r>
      <w:r>
        <w:rPr>
          <w:rFonts w:ascii="宋体" w:hAnsi="宋体" w:cs="宋体" w:eastAsia="宋体" w:hint="default"/>
          <w:b/>
          <w:bCs/>
          <w:w w:val="99"/>
          <w:sz w:val="24"/>
          <w:szCs w:val="24"/>
        </w:rPr>
        <w:t> </w:t>
      </w:r>
      <w:r>
        <w:rPr>
          <w:rFonts w:ascii="宋体" w:hAnsi="宋体" w:cs="宋体" w:eastAsia="宋体" w:hint="default"/>
          <w:sz w:val="24"/>
          <w:szCs w:val="24"/>
        </w:rPr>
        <w:t>在编制现金流量表时，将本公司库存现金以及可以随时用于支付的存款确认为现金。将</w:t>
      </w:r>
    </w:p>
    <w:p>
      <w:pPr>
        <w:pStyle w:val="BodyText"/>
        <w:spacing w:line="350" w:lineRule="auto"/>
        <w:ind w:left="154" w:right="996"/>
        <w:jc w:val="left"/>
      </w:pPr>
      <w:r>
        <w:rPr>
          <w:spacing w:val="-3"/>
        </w:rPr>
        <w:t>同时具备期限短（一般从购买日起三个月内到期）、流动性强、易于转换为已知金额的现金、</w:t>
      </w:r>
      <w:r>
        <w:rPr>
          <w:spacing w:val="-81"/>
        </w:rPr>
        <w:t> </w:t>
      </w:r>
      <w:r>
        <w:rPr>
          <w:spacing w:val="-81"/>
        </w:rPr>
      </w:r>
      <w:r>
        <w:rPr/>
        <w:t>价值变动风险很小四个条件的投资，确定为现金等价物。</w:t>
      </w:r>
    </w:p>
    <w:p>
      <w:pPr>
        <w:pStyle w:val="Heading2"/>
        <w:spacing w:line="352" w:lineRule="auto" w:before="35"/>
        <w:ind w:left="634" w:right="7208" w:firstLine="2"/>
        <w:jc w:val="left"/>
        <w:rPr>
          <w:rFonts w:ascii="宋体" w:hAnsi="宋体" w:cs="宋体" w:eastAsia="宋体" w:hint="default"/>
          <w:b w:val="0"/>
          <w:bCs w:val="0"/>
        </w:rPr>
      </w:pPr>
      <w:bookmarkStart w:name="9、外币业务和外币报表折算" w:id="211"/>
      <w:bookmarkEnd w:id="211"/>
      <w:r>
        <w:rPr>
          <w:b w:val="0"/>
          <w:bCs w:val="0"/>
        </w:rPr>
      </w:r>
      <w:r>
        <w:rPr>
          <w:rFonts w:ascii="宋体" w:hAnsi="宋体" w:cs="宋体" w:eastAsia="宋体" w:hint="default"/>
          <w:w w:val="95"/>
        </w:rPr>
        <w:t>9</w:t>
      </w:r>
      <w:r>
        <w:rPr>
          <w:w w:val="95"/>
        </w:rPr>
        <w:t>、外币业务和外币报表折算</w:t>
      </w:r>
      <w:r>
        <w:rPr>
          <w:spacing w:val="22"/>
          <w:w w:val="95"/>
        </w:rPr>
        <w:t> </w:t>
      </w:r>
      <w:r>
        <w:rPr>
          <w:rFonts w:ascii="宋体" w:hAnsi="宋体" w:cs="宋体" w:eastAsia="宋体" w:hint="default"/>
          <w:b w:val="0"/>
          <w:bCs w:val="0"/>
        </w:rPr>
        <w:t>无</w:t>
      </w:r>
    </w:p>
    <w:p>
      <w:pPr>
        <w:spacing w:line="350" w:lineRule="auto" w:before="33"/>
        <w:ind w:left="634" w:right="5232" w:firstLine="2"/>
        <w:jc w:val="left"/>
        <w:rPr>
          <w:rFonts w:ascii="宋体" w:hAnsi="宋体" w:cs="宋体" w:eastAsia="宋体" w:hint="default"/>
          <w:sz w:val="24"/>
          <w:szCs w:val="24"/>
        </w:rPr>
      </w:pPr>
      <w:bookmarkStart w:name="10、金融工具" w:id="212"/>
      <w:bookmarkEnd w:id="212"/>
      <w:r>
        <w:rPr/>
      </w:r>
      <w:r>
        <w:rPr>
          <w:rFonts w:ascii="宋体" w:hAnsi="宋体" w:cs="宋体" w:eastAsia="宋体" w:hint="default"/>
          <w:b/>
          <w:bCs/>
          <w:sz w:val="24"/>
          <w:szCs w:val="24"/>
        </w:rPr>
        <w:t>10</w:t>
      </w:r>
      <w:r>
        <w:rPr>
          <w:rFonts w:ascii="宋体" w:hAnsi="宋体" w:cs="宋体" w:eastAsia="宋体" w:hint="default"/>
          <w:b/>
          <w:bCs/>
          <w:sz w:val="24"/>
          <w:szCs w:val="24"/>
        </w:rPr>
        <w:t>、金融工具</w:t>
      </w:r>
      <w:r>
        <w:rPr>
          <w:rFonts w:ascii="宋体" w:hAnsi="宋体" w:cs="宋体" w:eastAsia="宋体" w:hint="default"/>
          <w:b/>
          <w:bCs/>
          <w:w w:val="99"/>
          <w:sz w:val="24"/>
          <w:szCs w:val="24"/>
        </w:rPr>
        <w:t> </w:t>
      </w:r>
      <w:r>
        <w:rPr>
          <w:rFonts w:ascii="宋体" w:hAnsi="宋体" w:cs="宋体" w:eastAsia="宋体" w:hint="default"/>
          <w:sz w:val="24"/>
          <w:szCs w:val="24"/>
        </w:rPr>
        <w:t>金融工具包括金融资产、金融负债和权益工具。</w:t>
      </w:r>
    </w:p>
    <w:p>
      <w:pPr>
        <w:pStyle w:val="Heading2"/>
        <w:spacing w:line="240" w:lineRule="auto" w:before="36"/>
        <w:ind w:right="996"/>
        <w:jc w:val="left"/>
        <w:rPr>
          <w:b w:val="0"/>
          <w:bCs w:val="0"/>
        </w:rPr>
      </w:pPr>
      <w:r>
        <w:rPr/>
        <w:t>（</w:t>
      </w:r>
      <w:r>
        <w:rPr>
          <w:rFonts w:ascii="宋体" w:hAnsi="宋体" w:cs="宋体" w:eastAsia="宋体" w:hint="default"/>
        </w:rPr>
        <w:t>1</w:t>
      </w:r>
      <w:r>
        <w:rPr/>
        <w:t>）金融工具的分类</w:t>
      </w:r>
      <w:r>
        <w:rPr>
          <w:b w:val="0"/>
          <w:bCs w:val="0"/>
        </w:rPr>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b/>
          <w:bCs/>
          <w:sz w:val="20"/>
          <w:szCs w:val="20"/>
        </w:rPr>
      </w:pPr>
    </w:p>
    <w:p>
      <w:pPr>
        <w:pStyle w:val="BodyText"/>
        <w:spacing w:line="352" w:lineRule="auto" w:before="199"/>
        <w:ind w:right="1170" w:firstLine="480"/>
        <w:jc w:val="both"/>
      </w:pPr>
      <w:r>
        <w:rPr/>
        <w:t>本公司根据所发行金融工具的合同条款及其所反映的经济实质而非仅以法律形式，结合 取得持有金融资产和承担金融负债的目的，在初始确认时将金融资产和金融负债分为不同类 别：以公允价值计量且其变动计入当期损益的金融资产（或金融负债）；持有至到期投资； 应收款项；可供出售金融资产；其他金融负债等。</w:t>
      </w:r>
    </w:p>
    <w:p>
      <w:pPr>
        <w:pStyle w:val="Heading2"/>
        <w:spacing w:line="240" w:lineRule="auto" w:before="32"/>
        <w:ind w:right="996"/>
        <w:jc w:val="left"/>
        <w:rPr>
          <w:b w:val="0"/>
          <w:bCs w:val="0"/>
        </w:rPr>
      </w:pPr>
      <w:r>
        <w:rPr/>
        <w:t>（</w:t>
      </w:r>
      <w:r>
        <w:rPr>
          <w:rFonts w:ascii="宋体" w:hAnsi="宋体" w:cs="宋体" w:eastAsia="宋体" w:hint="default"/>
        </w:rPr>
        <w:t>2</w:t>
      </w:r>
      <w:r>
        <w:rPr/>
        <w:t>）金融工具的确认依据和计量方法</w:t>
      </w:r>
      <w:r>
        <w:rPr>
          <w:b w:val="0"/>
          <w:bCs w:val="0"/>
        </w:rPr>
      </w:r>
    </w:p>
    <w:p>
      <w:pPr>
        <w:pStyle w:val="BodyText"/>
        <w:spacing w:line="350" w:lineRule="auto" w:before="146"/>
        <w:ind w:left="634" w:right="1152"/>
        <w:jc w:val="left"/>
      </w:pPr>
      <w:r>
        <w:rPr/>
        <w:t>①以公允价值计量且其变动计入当期损益的金融资产（金融负债） 以公允价值计量且其变动计入当期损益的金融资产或金融负债，包括交易性金融资产或</w:t>
      </w:r>
    </w:p>
    <w:p>
      <w:pPr>
        <w:pStyle w:val="BodyText"/>
        <w:spacing w:line="352" w:lineRule="auto" w:before="35"/>
        <w:ind w:left="633" w:right="1633" w:hanging="480"/>
        <w:jc w:val="left"/>
      </w:pPr>
      <w:r>
        <w:rPr/>
        <w:t>金融负债和直接指定为以公允价值计量且其变动计入当期损益的金融资产或金融负债。 交易性金融资产或金融负债是指满足下列条件之一的金融资产或金融负债： </w:t>
      </w:r>
      <w:r>
        <w:rPr>
          <w:rFonts w:ascii="宋体" w:hAnsi="宋体" w:cs="宋体" w:eastAsia="宋体" w:hint="default"/>
        </w:rPr>
        <w:t>1</w:t>
      </w:r>
      <w:r>
        <w:rPr/>
        <w:t>）取得该金融资产或金融负债的目的是为了在短期内出售、回购或赎回；</w:t>
      </w:r>
    </w:p>
    <w:p>
      <w:pPr>
        <w:pStyle w:val="BodyText"/>
        <w:spacing w:line="352" w:lineRule="auto" w:before="32"/>
        <w:ind w:right="1131" w:firstLine="480"/>
        <w:jc w:val="both"/>
      </w:pPr>
      <w:r>
        <w:rPr>
          <w:rFonts w:ascii="宋体" w:hAnsi="宋体" w:cs="宋体" w:eastAsia="宋体" w:hint="default"/>
          <w:spacing w:val="-3"/>
        </w:rPr>
        <w:t>2</w:t>
      </w:r>
      <w:r>
        <w:rPr>
          <w:spacing w:val="-3"/>
        </w:rPr>
        <w:t>）属于进行集中管理的可辨认金融工具组合的一部分，且有客观证据表明本公司近期采</w:t>
      </w:r>
      <w:r>
        <w:rPr/>
        <w:t> 用短期获利方式对该组合进行管理；</w:t>
      </w:r>
    </w:p>
    <w:p>
      <w:pPr>
        <w:pStyle w:val="BodyText"/>
        <w:spacing w:line="352" w:lineRule="auto" w:before="32"/>
        <w:ind w:right="1132" w:firstLine="480"/>
        <w:jc w:val="both"/>
      </w:pPr>
      <w:r>
        <w:rPr>
          <w:rFonts w:ascii="宋体" w:hAnsi="宋体" w:cs="宋体" w:eastAsia="宋体" w:hint="default"/>
          <w:spacing w:val="-3"/>
        </w:rPr>
        <w:t>3</w:t>
      </w:r>
      <w:r>
        <w:rPr>
          <w:spacing w:val="-3"/>
        </w:rPr>
        <w:t>）属于衍生金融工具，但是被指定为有效套期工具的衍生工具、属于财务担保合同的衍</w:t>
      </w:r>
      <w:r>
        <w:rPr/>
        <w:t> 生工具、与在活跃市场中没有报价且其公允价值不能可靠计量的权益工具投资挂钩并须通过 交付该权益工具结算的衍生工具除外。</w:t>
      </w:r>
    </w:p>
    <w:p>
      <w:pPr>
        <w:pStyle w:val="BodyText"/>
        <w:spacing w:line="350" w:lineRule="auto" w:before="33"/>
        <w:ind w:left="154" w:right="1170" w:firstLine="480"/>
        <w:jc w:val="both"/>
      </w:pPr>
      <w:r>
        <w:rPr/>
        <w:t>只有符合以下条件之一，金融资产或金融负债才可在初始计量时指定为以公允价值计量 且其变动计入损益的金融资产或金融负债：</w:t>
      </w:r>
    </w:p>
    <w:p>
      <w:pPr>
        <w:pStyle w:val="BodyText"/>
        <w:spacing w:line="350" w:lineRule="auto"/>
        <w:ind w:left="154" w:right="1131" w:firstLine="480"/>
        <w:jc w:val="both"/>
      </w:pPr>
      <w:r>
        <w:rPr>
          <w:rFonts w:ascii="宋体" w:hAnsi="宋体" w:cs="宋体" w:eastAsia="宋体" w:hint="default"/>
          <w:spacing w:val="-3"/>
        </w:rPr>
        <w:t>1</w:t>
      </w:r>
      <w:r>
        <w:rPr>
          <w:spacing w:val="-3"/>
        </w:rPr>
        <w:t>）该项指定可以消除或明显减少由于金融资产或金融负债的计量基础不同所导致的相关</w:t>
      </w:r>
      <w:r>
        <w:rPr/>
        <w:t> 利得或损失在确认或计量方面不一致的情况；</w:t>
      </w:r>
    </w:p>
    <w:p>
      <w:pPr>
        <w:pStyle w:val="BodyText"/>
        <w:spacing w:line="352" w:lineRule="auto" w:before="35"/>
        <w:ind w:right="1131" w:firstLine="480"/>
        <w:jc w:val="both"/>
      </w:pPr>
      <w:r>
        <w:rPr>
          <w:rFonts w:ascii="宋体" w:hAnsi="宋体" w:cs="宋体" w:eastAsia="宋体" w:hint="default"/>
          <w:spacing w:val="-3"/>
        </w:rPr>
        <w:t>2</w:t>
      </w:r>
      <w:r>
        <w:rPr>
          <w:spacing w:val="-3"/>
        </w:rPr>
        <w:t>）风险管理或投资策略的正式书面文件已载明，该金融资产组合、该金融负债组合、或</w:t>
      </w:r>
      <w:r>
        <w:rPr/>
        <w:t> 该金融资产和金融负债组合，以公允价值为基础进行管理、评价并向关键管理人员报告；</w:t>
      </w:r>
    </w:p>
    <w:p>
      <w:pPr>
        <w:pStyle w:val="BodyText"/>
        <w:spacing w:line="350" w:lineRule="auto" w:before="32"/>
        <w:ind w:right="1131" w:firstLine="480"/>
        <w:jc w:val="both"/>
      </w:pPr>
      <w:r>
        <w:rPr>
          <w:rFonts w:ascii="宋体" w:hAnsi="宋体" w:cs="宋体" w:eastAsia="宋体" w:hint="default"/>
          <w:spacing w:val="-3"/>
        </w:rPr>
        <w:t>3</w:t>
      </w:r>
      <w:r>
        <w:rPr>
          <w:spacing w:val="-3"/>
        </w:rPr>
        <w:t>）包含一项或多项嵌入衍生工具的混合工具，除非嵌入衍生工具对混合工具的现金流量</w:t>
      </w:r>
      <w:r>
        <w:rPr/>
        <w:t> 没有重大改变，或所嵌入的衍生工具明显不应当从相关混合工具中分拆；</w:t>
      </w:r>
    </w:p>
    <w:p>
      <w:pPr>
        <w:pStyle w:val="BodyText"/>
        <w:spacing w:line="350" w:lineRule="auto"/>
        <w:ind w:right="1131" w:firstLine="480"/>
        <w:jc w:val="both"/>
      </w:pPr>
      <w:r>
        <w:rPr>
          <w:rFonts w:ascii="宋体" w:hAnsi="宋体" w:cs="宋体" w:eastAsia="宋体" w:hint="default"/>
          <w:spacing w:val="-3"/>
        </w:rPr>
        <w:t>4</w:t>
      </w:r>
      <w:r>
        <w:rPr>
          <w:spacing w:val="-3"/>
        </w:rPr>
        <w:t>）包含需要分拆但无法在取得时或后续的资产负债表日对其进行单独计量的嵌入衍生工</w:t>
      </w:r>
      <w:r>
        <w:rPr/>
        <w:t> 具的混合工具。</w:t>
      </w:r>
    </w:p>
    <w:p>
      <w:pPr>
        <w:pStyle w:val="BodyText"/>
        <w:spacing w:line="352" w:lineRule="auto" w:before="35"/>
        <w:ind w:right="1169" w:firstLine="480"/>
        <w:jc w:val="both"/>
      </w:pPr>
      <w:r>
        <w:rPr/>
        <w:t>本公司对以公允价值计量且其变动计入当期损益的金融资产或金融负债，在取得时以公 允价值（扣除已宣告但尚未发放的现金股利或已到付息期但尚未领取的债券利息）作为初始 确认金额，相关的交易费用计入当期损益。持有期间将取得的利息或现金股利确认为投资收 益，期末将公允价值变动计入当期损益。处置时，其公允价值与初始入账金额之间的差额确 认为投资收益，同时调整公允价值变动损益。</w:t>
      </w:r>
    </w:p>
    <w:p>
      <w:pPr>
        <w:spacing w:after="0" w:line="352" w:lineRule="auto"/>
        <w:jc w:val="both"/>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352" w:lineRule="auto" w:before="199"/>
        <w:ind w:left="633" w:right="1153"/>
        <w:jc w:val="left"/>
      </w:pPr>
      <w:r>
        <w:rPr/>
        <w:t>②应收款项 应收款项是指在活跃市场中没有报价、回收金额固定或可确定的非衍生金融资产。 本公司对外销售商品或提供劳务形成的应收债权，以及公司持有的其他企业的债权（不</w:t>
      </w:r>
    </w:p>
    <w:p>
      <w:pPr>
        <w:pStyle w:val="BodyText"/>
        <w:spacing w:line="350" w:lineRule="auto" w:before="33"/>
        <w:ind w:right="1170"/>
        <w:jc w:val="both"/>
      </w:pPr>
      <w:r>
        <w:rPr/>
        <w:t>包括在活跃市场上有报价的债务工具），包括应收账款、其他应收款等，以向购货方应收的 合同或协议价款作为初始确认金额；具有融资性质的，按其现值进行初始确认。</w:t>
      </w:r>
    </w:p>
    <w:p>
      <w:pPr>
        <w:pStyle w:val="BodyText"/>
        <w:spacing w:line="240" w:lineRule="auto"/>
        <w:ind w:left="633" w:right="996"/>
        <w:jc w:val="left"/>
      </w:pPr>
      <w:r>
        <w:rPr/>
        <w:t>收回或处置时，将取得的价款与该应收款项账面价值之间的差额计入当期损益。</w:t>
      </w:r>
    </w:p>
    <w:p>
      <w:pPr>
        <w:pStyle w:val="BodyText"/>
        <w:spacing w:line="350" w:lineRule="auto" w:before="145"/>
        <w:ind w:left="634" w:right="1152"/>
        <w:jc w:val="left"/>
      </w:pPr>
      <w:r>
        <w:rPr/>
        <w:t>③持有至到期投资 持有至到期投资是指到期日固定、回收金额固定或可确定，且本公司有明确意图和能力</w:t>
      </w:r>
    </w:p>
    <w:p>
      <w:pPr>
        <w:pStyle w:val="BodyText"/>
        <w:spacing w:line="350" w:lineRule="auto"/>
        <w:ind w:left="634" w:right="1152" w:hanging="480"/>
        <w:jc w:val="left"/>
      </w:pPr>
      <w:r>
        <w:rPr/>
        <w:t>持有至到期的非衍生性金融资产。 本公司对持有至到期投资，在取得时按公允价值（扣除已到付息期但尚未领取的债券利</w:t>
      </w:r>
    </w:p>
    <w:p>
      <w:pPr>
        <w:pStyle w:val="BodyText"/>
        <w:spacing w:line="352" w:lineRule="auto" w:before="35"/>
        <w:ind w:left="154" w:right="1169"/>
        <w:jc w:val="both"/>
      </w:pPr>
      <w:r>
        <w:rPr/>
        <w:t>息）和相关交易费用之和作为初始确认金额。持有期间按照摊余成本和实际利率计算确认利 息收入，计入投资收益。实际利率在取得时确定，在该预期存续期间或适用的更短期间内保 持不变。处置时，将所取得价款与该投资账面价值之间的差额计入投资收益。</w:t>
      </w:r>
    </w:p>
    <w:p>
      <w:pPr>
        <w:pStyle w:val="BodyText"/>
        <w:spacing w:line="352" w:lineRule="auto" w:before="32"/>
        <w:ind w:right="1170" w:firstLine="480"/>
        <w:jc w:val="both"/>
      </w:pPr>
      <w:r>
        <w:rPr/>
        <w:t>如果持有至到期投资处置或重分类为其他类金融资产的金额，相对于本公司全部持有至 到期投资在出售或重分类前的总额较大，在处置或重分类后应立即将其剩余的持有至到期投 资重分类为可供出售金融资产；重分类日，该投资的账面价值与其公允价值之间的差额计入 其他综合收益，在该可供出售金融资产发生减值或终止确认时转出，计入当期损益。但是， 遇到下列情况可以除外：</w:t>
      </w:r>
    </w:p>
    <w:p>
      <w:pPr>
        <w:pStyle w:val="BodyText"/>
        <w:spacing w:line="350" w:lineRule="auto" w:before="32"/>
        <w:ind w:left="154" w:right="1130" w:firstLine="480"/>
        <w:jc w:val="both"/>
      </w:pPr>
      <w:r>
        <w:rPr>
          <w:rFonts w:ascii="宋体" w:hAnsi="宋体" w:cs="宋体" w:eastAsia="宋体" w:hint="default"/>
          <w:spacing w:val="-3"/>
        </w:rPr>
        <w:t>1</w:t>
      </w:r>
      <w:r>
        <w:rPr>
          <w:spacing w:val="-3"/>
        </w:rPr>
        <w:t>）出售日或重分类日距离该项投资到期日或赎回日较近</w:t>
      </w:r>
      <w:r>
        <w:rPr>
          <w:rFonts w:ascii="宋体" w:hAnsi="宋体" w:cs="宋体" w:eastAsia="宋体" w:hint="default"/>
          <w:spacing w:val="-3"/>
        </w:rPr>
        <w:t>(</w:t>
      </w:r>
      <w:r>
        <w:rPr>
          <w:spacing w:val="-3"/>
        </w:rPr>
        <w:t>如到期前三个月内</w:t>
      </w:r>
      <w:r>
        <w:rPr>
          <w:rFonts w:ascii="宋体" w:hAnsi="宋体" w:cs="宋体" w:eastAsia="宋体" w:hint="default"/>
          <w:spacing w:val="-3"/>
        </w:rPr>
        <w:t>)</w:t>
      </w:r>
      <w:r>
        <w:rPr>
          <w:spacing w:val="-3"/>
        </w:rPr>
        <w:t>，且市场利</w:t>
      </w:r>
      <w:r>
        <w:rPr/>
        <w:t> 率变化对该项投资的公允价值没有显著影响。</w:t>
      </w:r>
    </w:p>
    <w:p>
      <w:pPr>
        <w:pStyle w:val="BodyText"/>
        <w:spacing w:line="240" w:lineRule="auto"/>
        <w:ind w:left="634" w:right="996"/>
        <w:jc w:val="left"/>
      </w:pPr>
      <w:r>
        <w:rPr>
          <w:rFonts w:ascii="宋体" w:hAnsi="宋体" w:cs="宋体" w:eastAsia="宋体" w:hint="default"/>
        </w:rPr>
        <w:t>2</w:t>
      </w:r>
      <w:r>
        <w:rPr/>
        <w:t>）根据合同约定的偿付方式，企业已收回几乎所有初始本金。</w:t>
      </w:r>
    </w:p>
    <w:p>
      <w:pPr>
        <w:pStyle w:val="BodyText"/>
        <w:spacing w:line="350" w:lineRule="auto" w:before="145"/>
        <w:ind w:left="154" w:right="1131" w:firstLine="480"/>
        <w:jc w:val="both"/>
      </w:pPr>
      <w:r>
        <w:rPr>
          <w:rFonts w:ascii="宋体" w:hAnsi="宋体" w:cs="宋体" w:eastAsia="宋体" w:hint="default"/>
          <w:spacing w:val="-3"/>
        </w:rPr>
        <w:t>3</w:t>
      </w:r>
      <w:r>
        <w:rPr>
          <w:spacing w:val="-3"/>
        </w:rPr>
        <w:t>）出售或重分类是由于企业无法控制、预期不会重复发生且难以合理预计的独立事件所</w:t>
      </w:r>
      <w:r>
        <w:rPr/>
        <w:t> 引起。</w:t>
      </w:r>
    </w:p>
    <w:p>
      <w:pPr>
        <w:pStyle w:val="BodyText"/>
        <w:spacing w:line="350" w:lineRule="auto"/>
        <w:ind w:left="634" w:right="1152"/>
        <w:jc w:val="left"/>
      </w:pPr>
      <w:r>
        <w:rPr/>
        <w:t>④可供出售金融资产 可供出售金融资产，是指初始确认时即指定为可供出售的非衍生金融资产，以及除其他</w:t>
      </w:r>
    </w:p>
    <w:p>
      <w:pPr>
        <w:pStyle w:val="BodyText"/>
        <w:spacing w:line="352" w:lineRule="auto" w:before="35"/>
        <w:ind w:left="634" w:right="1152" w:hanging="480"/>
        <w:jc w:val="left"/>
      </w:pPr>
      <w:r>
        <w:rPr/>
        <w:t>金融资产类别以外的金融资产。 本公司对可供出售金融资产，在取得时按公允价值（扣除已宣告但尚未发放的现金股利</w:t>
      </w:r>
    </w:p>
    <w:p>
      <w:pPr>
        <w:pStyle w:val="BodyText"/>
        <w:spacing w:line="352" w:lineRule="auto" w:before="33"/>
        <w:ind w:left="154" w:right="1169"/>
        <w:jc w:val="both"/>
      </w:pPr>
      <w:r>
        <w:rPr/>
        <w:t>或已到付息期但尚未领取的债券利息）和相关交易费用之和作为初始确认金额。持有期间将 取得的利息或现金股利确认为投资收益。可供出售金融资产的公允价值变动形成的利得或损 失，除减值损失和外币货币性金融资产形成的汇兑差额外，直接计入其他综合收益。处置可</w:t>
      </w:r>
    </w:p>
    <w:p>
      <w:pPr>
        <w:spacing w:after="0" w:line="352" w:lineRule="auto"/>
        <w:jc w:val="both"/>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350" w:lineRule="auto" w:before="199"/>
        <w:ind w:right="995"/>
        <w:jc w:val="left"/>
      </w:pPr>
      <w:r>
        <w:rPr>
          <w:spacing w:val="-3"/>
        </w:rPr>
        <w:t>供出售金融资产时，将取得的价款与该金融资产账面价值之间的差额，计入投资损益；同时，</w:t>
      </w:r>
      <w:r>
        <w:rPr>
          <w:spacing w:val="-81"/>
        </w:rPr>
        <w:t> </w:t>
      </w:r>
      <w:r>
        <w:rPr>
          <w:spacing w:val="-81"/>
        </w:rPr>
      </w:r>
      <w:r>
        <w:rPr>
          <w:spacing w:val="-2"/>
        </w:rPr>
        <w:t>将原直接计入其他综合收益的公允价值变动累计额对应处置部分的金额转出，计入投资损益。</w:t>
      </w:r>
    </w:p>
    <w:p>
      <w:pPr>
        <w:pStyle w:val="BodyText"/>
        <w:spacing w:line="350" w:lineRule="auto"/>
        <w:ind w:right="1153" w:firstLine="480"/>
        <w:jc w:val="left"/>
      </w:pPr>
      <w:r>
        <w:rPr/>
        <w:t>本公司对在活跃市场中没有报价且其公允价值不能可靠计量的权益工具投资，以及与该 权益工具挂钩并须通过交付该权益工具结算的衍生金融资产，按照成本计量。</w:t>
      </w:r>
    </w:p>
    <w:p>
      <w:pPr>
        <w:pStyle w:val="BodyText"/>
        <w:spacing w:line="352" w:lineRule="auto" w:before="35"/>
        <w:ind w:left="634" w:right="1392"/>
        <w:jc w:val="left"/>
      </w:pPr>
      <w:r>
        <w:rPr/>
        <w:t>⑤其他金融负债 按其公允价值和相关交易费用之和作为初始确认金额。采用摊余成本进行后续计量。</w:t>
      </w:r>
    </w:p>
    <w:p>
      <w:pPr>
        <w:spacing w:line="350" w:lineRule="auto" w:before="32"/>
        <w:ind w:left="633" w:right="1153" w:firstLine="2"/>
        <w:jc w:val="left"/>
        <w:rPr>
          <w:rFonts w:ascii="宋体" w:hAnsi="宋体" w:cs="宋体" w:eastAsia="宋体" w:hint="default"/>
          <w:sz w:val="24"/>
          <w:szCs w:val="24"/>
        </w:rPr>
      </w:pPr>
      <w:r>
        <w:rPr>
          <w:rFonts w:ascii="宋体" w:hAnsi="宋体" w:cs="宋体" w:eastAsia="宋体" w:hint="default"/>
          <w:b/>
          <w:bCs/>
          <w:sz w:val="24"/>
          <w:szCs w:val="24"/>
        </w:rPr>
        <w:t>（</w:t>
      </w:r>
      <w:r>
        <w:rPr>
          <w:rFonts w:ascii="宋体" w:hAnsi="宋体" w:cs="宋体" w:eastAsia="宋体" w:hint="default"/>
          <w:b/>
          <w:bCs/>
          <w:sz w:val="24"/>
          <w:szCs w:val="24"/>
        </w:rPr>
        <w:t>3</w:t>
      </w:r>
      <w:r>
        <w:rPr>
          <w:rFonts w:ascii="宋体" w:hAnsi="宋体" w:cs="宋体" w:eastAsia="宋体" w:hint="default"/>
          <w:b/>
          <w:bCs/>
          <w:sz w:val="24"/>
          <w:szCs w:val="24"/>
        </w:rPr>
        <w:t>）金融资产转移的确认依据和计量方法</w:t>
      </w:r>
      <w:r>
        <w:rPr>
          <w:rFonts w:ascii="宋体" w:hAnsi="宋体" w:cs="宋体" w:eastAsia="宋体" w:hint="default"/>
          <w:b/>
          <w:bCs/>
          <w:w w:val="99"/>
          <w:sz w:val="24"/>
          <w:szCs w:val="24"/>
        </w:rPr>
        <w:t> </w:t>
      </w:r>
      <w:r>
        <w:rPr>
          <w:rFonts w:ascii="宋体" w:hAnsi="宋体" w:cs="宋体" w:eastAsia="宋体" w:hint="default"/>
          <w:sz w:val="24"/>
          <w:szCs w:val="24"/>
        </w:rPr>
        <w:t>公司发生金融资产转移时，如已将金融资产所有权上几乎所有的风险和报酬转移给转入</w:t>
      </w:r>
    </w:p>
    <w:p>
      <w:pPr>
        <w:pStyle w:val="BodyText"/>
        <w:spacing w:line="350" w:lineRule="auto"/>
        <w:ind w:right="1153"/>
        <w:jc w:val="left"/>
      </w:pPr>
      <w:r>
        <w:rPr/>
        <w:t>方，则终止确认该金融资产；如保留了金融资产所有权上几乎所有的风险和报酬的，则不终 止确认该金融资产。</w:t>
      </w:r>
    </w:p>
    <w:p>
      <w:pPr>
        <w:pStyle w:val="BodyText"/>
        <w:spacing w:line="352" w:lineRule="auto" w:before="35"/>
        <w:ind w:right="996" w:firstLine="480"/>
        <w:jc w:val="left"/>
      </w:pPr>
      <w:r>
        <w:rPr>
          <w:spacing w:val="-3"/>
        </w:rPr>
        <w:t>在判断金融资产转移是否满足上述金融资产终止确认条件时，采用实质重于形式的原则。</w:t>
      </w:r>
      <w:r>
        <w:rPr/>
        <w:t> 公司将金融资产转移区分为金融资产整体转移和部分转移。金融资产整体转移满足终止确认 条件的，将下列两项金额的差额计入当期损益：</w:t>
      </w:r>
    </w:p>
    <w:p>
      <w:pPr>
        <w:pStyle w:val="BodyText"/>
        <w:spacing w:line="240" w:lineRule="auto" w:before="32"/>
        <w:ind w:left="633" w:right="996"/>
        <w:jc w:val="left"/>
      </w:pPr>
      <w:r>
        <w:rPr/>
        <w:t>①所转移金融资产的账面价值；</w:t>
      </w:r>
    </w:p>
    <w:p>
      <w:pPr>
        <w:pStyle w:val="BodyText"/>
        <w:spacing w:line="350" w:lineRule="auto" w:before="146"/>
        <w:ind w:left="154" w:right="1152" w:firstLine="480"/>
        <w:jc w:val="left"/>
      </w:pPr>
      <w:r>
        <w:rPr/>
        <w:t>②因转移而收到的对价，与原直接计入所有者权益的公允价值变动累计额（涉及转移的 金融资产为可供出售金融资产的情形）之和。</w:t>
      </w:r>
    </w:p>
    <w:p>
      <w:pPr>
        <w:pStyle w:val="BodyText"/>
        <w:spacing w:line="352" w:lineRule="auto" w:before="35"/>
        <w:ind w:left="154" w:right="1170" w:firstLine="480"/>
        <w:jc w:val="both"/>
      </w:pPr>
      <w:r>
        <w:rPr/>
        <w:t>金融资产部分转移满足终止确认条件的，将所转移金融资产整体的账面价值，在终止确 认部分和未终止确认部分之间，按照各自的相对公允价值进行分摊，并将下列两项金额的差 额计入当期损益：</w:t>
      </w:r>
    </w:p>
    <w:p>
      <w:pPr>
        <w:pStyle w:val="BodyText"/>
        <w:spacing w:line="240" w:lineRule="auto" w:before="32"/>
        <w:ind w:left="634" w:right="996"/>
        <w:jc w:val="left"/>
      </w:pPr>
      <w:r>
        <w:rPr/>
        <w:t>①终止确认部分的账面价值；</w:t>
      </w:r>
    </w:p>
    <w:p>
      <w:pPr>
        <w:pStyle w:val="BodyText"/>
        <w:spacing w:line="350" w:lineRule="auto" w:before="146"/>
        <w:ind w:right="1153" w:firstLine="480"/>
        <w:jc w:val="left"/>
      </w:pPr>
      <w:r>
        <w:rPr/>
        <w:t>②终止确认部分的对价，与原直接计入所有者权益的公允价值变动累计额中对应终止确 认部分的金额（涉及转移的金融资产为可供出售金融资产的情形）之和。</w:t>
      </w:r>
    </w:p>
    <w:p>
      <w:pPr>
        <w:pStyle w:val="BodyText"/>
        <w:spacing w:line="352" w:lineRule="auto" w:before="35"/>
        <w:ind w:right="1153" w:firstLine="480"/>
        <w:jc w:val="left"/>
      </w:pPr>
      <w:r>
        <w:rPr/>
        <w:t>金融资产转移不满足终止确认条件的，继续确认该金融资产，所收到的对价确认为一项 金融负债。</w:t>
      </w:r>
    </w:p>
    <w:p>
      <w:pPr>
        <w:spacing w:line="350" w:lineRule="auto" w:before="32"/>
        <w:ind w:left="633" w:right="1153" w:firstLine="2"/>
        <w:jc w:val="left"/>
        <w:rPr>
          <w:rFonts w:ascii="宋体" w:hAnsi="宋体" w:cs="宋体" w:eastAsia="宋体" w:hint="default"/>
          <w:sz w:val="24"/>
          <w:szCs w:val="24"/>
        </w:rPr>
      </w:pPr>
      <w:r>
        <w:rPr>
          <w:rFonts w:ascii="宋体" w:hAnsi="宋体" w:cs="宋体" w:eastAsia="宋体" w:hint="default"/>
          <w:b/>
          <w:bCs/>
          <w:sz w:val="24"/>
          <w:szCs w:val="24"/>
        </w:rPr>
        <w:t>（</w:t>
      </w:r>
      <w:r>
        <w:rPr>
          <w:rFonts w:ascii="宋体" w:hAnsi="宋体" w:cs="宋体" w:eastAsia="宋体" w:hint="default"/>
          <w:b/>
          <w:bCs/>
          <w:sz w:val="24"/>
          <w:szCs w:val="24"/>
        </w:rPr>
        <w:t>4</w:t>
      </w:r>
      <w:r>
        <w:rPr>
          <w:rFonts w:ascii="宋体" w:hAnsi="宋体" w:cs="宋体" w:eastAsia="宋体" w:hint="default"/>
          <w:b/>
          <w:bCs/>
          <w:sz w:val="24"/>
          <w:szCs w:val="24"/>
        </w:rPr>
        <w:t>）金融负债终止确认条件</w:t>
      </w:r>
      <w:r>
        <w:rPr>
          <w:rFonts w:ascii="宋体" w:hAnsi="宋体" w:cs="宋体" w:eastAsia="宋体" w:hint="default"/>
          <w:b/>
          <w:bCs/>
          <w:w w:val="99"/>
          <w:sz w:val="24"/>
          <w:szCs w:val="24"/>
        </w:rPr>
        <w:t> </w:t>
      </w:r>
      <w:r>
        <w:rPr>
          <w:rFonts w:ascii="宋体" w:hAnsi="宋体" w:cs="宋体" w:eastAsia="宋体" w:hint="default"/>
          <w:sz w:val="24"/>
          <w:szCs w:val="24"/>
        </w:rPr>
        <w:t>金融负债的现时义务全部或部分已经解除的，则终止确认该金融负债或其一部分；本公</w:t>
      </w:r>
    </w:p>
    <w:p>
      <w:pPr>
        <w:pStyle w:val="BodyText"/>
        <w:spacing w:line="350" w:lineRule="auto"/>
        <w:ind w:right="1153"/>
        <w:jc w:val="left"/>
      </w:pPr>
      <w:r>
        <w:rPr/>
        <w:t>司若与债权人签定协议，以承担新金融负债方式替换现存金融负债，且新金融负债与现存金 融负债的合同条款实质上不同的，则终止确认现存金融负债，并同时确认新金融负债。</w:t>
      </w:r>
    </w:p>
    <w:p>
      <w:pPr>
        <w:pStyle w:val="BodyText"/>
        <w:spacing w:line="352" w:lineRule="auto" w:before="35"/>
        <w:ind w:right="1153" w:firstLine="480"/>
        <w:jc w:val="left"/>
      </w:pPr>
      <w:r>
        <w:rPr/>
        <w:t>对现存金融负债全部或部分合同条款作出实质性修改的，则终止确认现存金融负债或其 一部分，同时将修改条款后的金融负债确认为一项新金融负债。</w:t>
      </w:r>
    </w:p>
    <w:p>
      <w:pPr>
        <w:spacing w:after="0" w:line="352"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350" w:lineRule="auto" w:before="199"/>
        <w:ind w:right="1170" w:firstLine="480"/>
        <w:jc w:val="both"/>
      </w:pPr>
      <w:r>
        <w:rPr/>
        <w:t>金融负债全部或部分终止确认时，终止确认的金融负债账面价值与支付对价（包括转出 的非现金资产或承担的新金融负债）之间的差额，计入当期损益。</w:t>
      </w:r>
    </w:p>
    <w:p>
      <w:pPr>
        <w:pStyle w:val="BodyText"/>
        <w:spacing w:line="350" w:lineRule="auto"/>
        <w:ind w:right="1170" w:firstLine="480"/>
        <w:jc w:val="both"/>
      </w:pPr>
      <w:r>
        <w:rPr/>
        <w:t>本公司若回购部分金融负债的，在回购日按照继续确认部分与终止确认部分的相对公允 价值，将该金融负债整体的账面价值进行分配。分配给终止确认部分的账面价值与支付的对 价（包括转出的非现金资产或承担的新金融负债）之间的差额，计入当期损益。</w:t>
      </w:r>
    </w:p>
    <w:p>
      <w:pPr>
        <w:spacing w:line="350" w:lineRule="auto" w:before="36"/>
        <w:ind w:left="633" w:right="1153" w:firstLine="2"/>
        <w:jc w:val="left"/>
        <w:rPr>
          <w:rFonts w:ascii="宋体" w:hAnsi="宋体" w:cs="宋体" w:eastAsia="宋体" w:hint="default"/>
          <w:sz w:val="24"/>
          <w:szCs w:val="24"/>
        </w:rPr>
      </w:pPr>
      <w:r>
        <w:rPr>
          <w:rFonts w:ascii="宋体" w:hAnsi="宋体" w:cs="宋体" w:eastAsia="宋体" w:hint="default"/>
          <w:b/>
          <w:bCs/>
          <w:sz w:val="24"/>
          <w:szCs w:val="24"/>
        </w:rPr>
        <w:t>（</w:t>
      </w:r>
      <w:r>
        <w:rPr>
          <w:rFonts w:ascii="宋体" w:hAnsi="宋体" w:cs="宋体" w:eastAsia="宋体" w:hint="default"/>
          <w:b/>
          <w:bCs/>
          <w:sz w:val="24"/>
          <w:szCs w:val="24"/>
        </w:rPr>
        <w:t>5</w:t>
      </w:r>
      <w:r>
        <w:rPr>
          <w:rFonts w:ascii="宋体" w:hAnsi="宋体" w:cs="宋体" w:eastAsia="宋体" w:hint="default"/>
          <w:b/>
          <w:bCs/>
          <w:sz w:val="24"/>
          <w:szCs w:val="24"/>
        </w:rPr>
        <w:t>）金融资产和金融负债公允价值的确定方法</w:t>
      </w:r>
      <w:r>
        <w:rPr>
          <w:rFonts w:ascii="宋体" w:hAnsi="宋体" w:cs="宋体" w:eastAsia="宋体" w:hint="default"/>
          <w:b/>
          <w:bCs/>
          <w:w w:val="99"/>
          <w:sz w:val="24"/>
          <w:szCs w:val="24"/>
        </w:rPr>
        <w:t> </w:t>
      </w:r>
      <w:r>
        <w:rPr>
          <w:rFonts w:ascii="宋体" w:hAnsi="宋体" w:cs="宋体" w:eastAsia="宋体" w:hint="default"/>
          <w:sz w:val="24"/>
          <w:szCs w:val="24"/>
        </w:rPr>
        <w:t>存在活跃市场的金融资产或金融负债，以活跃市场的报价确定其公允价值；活跃市场的</w:t>
      </w:r>
    </w:p>
    <w:p>
      <w:pPr>
        <w:pStyle w:val="BodyText"/>
        <w:spacing w:line="352" w:lineRule="auto" w:before="35"/>
        <w:ind w:left="154" w:right="1152"/>
        <w:jc w:val="left"/>
      </w:pPr>
      <w:r>
        <w:rPr/>
        <w:t>报价包括易于且可定期从交易所、交易商、经纪人、行业集团、定价机构或监管机构等获得 相关资产或负债的报价，且能代表在公平交易基础上实际并经常发生的市场交易。</w:t>
      </w:r>
    </w:p>
    <w:p>
      <w:pPr>
        <w:pStyle w:val="BodyText"/>
        <w:spacing w:line="350" w:lineRule="auto" w:before="32"/>
        <w:ind w:right="1170" w:firstLine="480"/>
        <w:jc w:val="both"/>
      </w:pPr>
      <w:r>
        <w:rPr/>
        <w:t>初始取得或衍生的金融资产或承担的金融负债，以市场交易价格作为确定其公允价值的 基础。</w:t>
      </w:r>
    </w:p>
    <w:p>
      <w:pPr>
        <w:pStyle w:val="BodyText"/>
        <w:spacing w:line="350" w:lineRule="auto"/>
        <w:ind w:left="154" w:right="1169" w:firstLine="480"/>
        <w:jc w:val="both"/>
      </w:pPr>
      <w:r>
        <w:rPr/>
        <w:t>不存在活跃市场的金融资产或金融负债，采用估值技术确定其公允价值。在估值时，本 公司采用在当前情况下适用并且有足够可利用数据和其他信息支持的估值技术，选择与市场 参与者在相关资产或负债的交易中所考虑的资产或负债特征相一致的输入值，并尽可能优先 使用相关可观察输入值。在相关可观察输入值无法取得或取得不切实可行的情况下，使用不 可观察输入值。</w:t>
      </w:r>
    </w:p>
    <w:p>
      <w:pPr>
        <w:spacing w:line="352" w:lineRule="auto" w:before="35"/>
        <w:ind w:left="633" w:right="1153" w:firstLine="2"/>
        <w:jc w:val="left"/>
        <w:rPr>
          <w:rFonts w:ascii="宋体" w:hAnsi="宋体" w:cs="宋体" w:eastAsia="宋体" w:hint="default"/>
          <w:sz w:val="24"/>
          <w:szCs w:val="24"/>
        </w:rPr>
      </w:pPr>
      <w:r>
        <w:rPr>
          <w:rFonts w:ascii="宋体" w:hAnsi="宋体" w:cs="宋体" w:eastAsia="宋体" w:hint="default"/>
          <w:b/>
          <w:bCs/>
          <w:sz w:val="24"/>
          <w:szCs w:val="24"/>
        </w:rPr>
        <w:t>（</w:t>
      </w:r>
      <w:r>
        <w:rPr>
          <w:rFonts w:ascii="宋体" w:hAnsi="宋体" w:cs="宋体" w:eastAsia="宋体" w:hint="default"/>
          <w:b/>
          <w:bCs/>
          <w:sz w:val="24"/>
          <w:szCs w:val="24"/>
        </w:rPr>
        <w:t>6</w:t>
      </w:r>
      <w:r>
        <w:rPr>
          <w:rFonts w:ascii="宋体" w:hAnsi="宋体" w:cs="宋体" w:eastAsia="宋体" w:hint="default"/>
          <w:b/>
          <w:bCs/>
          <w:sz w:val="24"/>
          <w:szCs w:val="24"/>
        </w:rPr>
        <w:t>）金融资产（不含应收款项）减值准备计提</w:t>
      </w:r>
      <w:r>
        <w:rPr>
          <w:rFonts w:ascii="宋体" w:hAnsi="宋体" w:cs="宋体" w:eastAsia="宋体" w:hint="default"/>
          <w:b/>
          <w:bCs/>
          <w:w w:val="99"/>
          <w:sz w:val="24"/>
          <w:szCs w:val="24"/>
        </w:rPr>
        <w:t> </w:t>
      </w:r>
      <w:r>
        <w:rPr>
          <w:rFonts w:ascii="宋体" w:hAnsi="宋体" w:cs="宋体" w:eastAsia="宋体" w:hint="default"/>
          <w:sz w:val="24"/>
          <w:szCs w:val="24"/>
        </w:rPr>
        <w:t>资产负债表日对以公允价值计量且其变动计入当期损益的金融资产以外的金融资产的账</w:t>
      </w:r>
    </w:p>
    <w:p>
      <w:pPr>
        <w:pStyle w:val="BodyText"/>
        <w:spacing w:line="350" w:lineRule="auto" w:before="32"/>
        <w:ind w:left="633" w:right="2593" w:hanging="480"/>
        <w:jc w:val="left"/>
      </w:pPr>
      <w:r>
        <w:rPr/>
        <w:t>面价值进行检查，如有客观证据表明该金融资产发生减值的，计提减值准备。 金融资产发生减值的客观证据，包括但不限于：</w:t>
      </w:r>
    </w:p>
    <w:p>
      <w:pPr>
        <w:pStyle w:val="BodyText"/>
        <w:spacing w:line="240" w:lineRule="auto"/>
        <w:ind w:left="634" w:right="996"/>
        <w:jc w:val="left"/>
      </w:pPr>
      <w:r>
        <w:rPr/>
        <w:t>①发行方或债务人发生严重财务困难；</w:t>
      </w:r>
    </w:p>
    <w:p>
      <w:pPr>
        <w:pStyle w:val="BodyText"/>
        <w:spacing w:line="240" w:lineRule="auto" w:before="145"/>
        <w:ind w:left="634" w:right="996"/>
        <w:jc w:val="left"/>
      </w:pPr>
      <w:r>
        <w:rPr/>
        <w:t>②债务人违反了合同条款，如偿付利息或本金发生违约或逾期等；</w:t>
      </w:r>
    </w:p>
    <w:p>
      <w:pPr>
        <w:pStyle w:val="BodyText"/>
        <w:spacing w:line="240" w:lineRule="auto" w:before="145"/>
        <w:ind w:left="633" w:right="996"/>
        <w:jc w:val="left"/>
      </w:pPr>
      <w:r>
        <w:rPr/>
        <w:t>③债权人出于经济或法律等方面因素的考虑，对发生财务困难的债务人作出让步；</w:t>
      </w:r>
    </w:p>
    <w:p>
      <w:pPr>
        <w:pStyle w:val="BodyText"/>
        <w:spacing w:line="240" w:lineRule="auto" w:before="146"/>
        <w:ind w:left="633" w:right="996"/>
        <w:jc w:val="left"/>
      </w:pPr>
      <w:r>
        <w:rPr/>
        <w:t>④债务人很可能倒闭或进行其他财务重组；</w:t>
      </w:r>
    </w:p>
    <w:p>
      <w:pPr>
        <w:pStyle w:val="BodyText"/>
        <w:spacing w:line="240" w:lineRule="auto" w:before="145"/>
        <w:ind w:left="634" w:right="996"/>
        <w:jc w:val="left"/>
      </w:pPr>
      <w:r>
        <w:rPr/>
        <w:t>⑤因发行方发生重大财务困难，该金融资产无法在活跃市场继续交易；</w:t>
      </w:r>
    </w:p>
    <w:p>
      <w:pPr>
        <w:pStyle w:val="BodyText"/>
        <w:spacing w:line="352" w:lineRule="auto" w:before="145"/>
        <w:ind w:right="1169" w:firstLine="480"/>
        <w:jc w:val="both"/>
      </w:pPr>
      <w:r>
        <w:rPr/>
        <w:t>⑥无法辨认一组金融资产中的某项资产的现金流量是否已经减少，但根据公开的数据对 其进行总体评价后发现，该组金融资产自初始确认以来的预计未来现金流量确已减少且可计 量，如该组金融资产的债务人支付能力逐步恶化，或债务人所在国家或地区失业率提高、担 保物在其所在地区的价格明显下降、所处行业不景气等；</w:t>
      </w:r>
    </w:p>
    <w:p>
      <w:pPr>
        <w:pStyle w:val="BodyText"/>
        <w:spacing w:line="240" w:lineRule="auto" w:before="34"/>
        <w:ind w:left="633" w:right="996"/>
        <w:jc w:val="left"/>
      </w:pPr>
      <w:r>
        <w:rPr/>
        <w:t>⑦权益工具发行方经营所处的技术、市场、经济或法律环境等发生重大不利变化，使权</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240" w:lineRule="auto" w:before="199"/>
        <w:ind w:right="0"/>
        <w:jc w:val="both"/>
      </w:pPr>
      <w:r>
        <w:rPr/>
        <w:t>益工具投资人可能无法收回投资成本；</w:t>
      </w:r>
    </w:p>
    <w:p>
      <w:pPr>
        <w:pStyle w:val="BodyText"/>
        <w:spacing w:line="352" w:lineRule="auto" w:before="145"/>
        <w:ind w:left="633" w:right="4513"/>
        <w:jc w:val="left"/>
      </w:pPr>
      <w:r>
        <w:rPr/>
        <w:t>⑧权益工具投资的公允价值发生严重或非暂时性下跌； 金融资产的具体减值方法如下：</w:t>
      </w:r>
    </w:p>
    <w:p>
      <w:pPr>
        <w:pStyle w:val="BodyText"/>
        <w:spacing w:line="350" w:lineRule="auto" w:before="33"/>
        <w:ind w:left="633" w:right="1153"/>
        <w:jc w:val="left"/>
      </w:pPr>
      <w:r>
        <w:rPr/>
        <w:t>①可供出售金融资产减值准备 本公司于资产负债表日对各项可供出售权益工具投资单独进行检查，若该权益工具投资</w:t>
      </w:r>
    </w:p>
    <w:p>
      <w:pPr>
        <w:pStyle w:val="BodyText"/>
        <w:spacing w:line="350" w:lineRule="auto"/>
        <w:ind w:right="1131"/>
        <w:jc w:val="both"/>
      </w:pPr>
      <w:r>
        <w:rPr>
          <w:spacing w:val="-5"/>
        </w:rPr>
        <w:t>于资产负债表日的公允价值低于其成本超过</w:t>
      </w:r>
      <w:r>
        <w:rPr>
          <w:rFonts w:ascii="宋体" w:hAnsi="宋体" w:cs="宋体" w:eastAsia="宋体" w:hint="default"/>
          <w:spacing w:val="-5"/>
        </w:rPr>
        <w:t>50%</w:t>
      </w:r>
      <w:r>
        <w:rPr>
          <w:spacing w:val="-5"/>
        </w:rPr>
        <w:t>（含</w:t>
      </w:r>
      <w:r>
        <w:rPr>
          <w:rFonts w:ascii="宋体" w:hAnsi="宋体" w:cs="宋体" w:eastAsia="宋体" w:hint="default"/>
          <w:spacing w:val="-5"/>
        </w:rPr>
        <w:t>50%</w:t>
      </w:r>
      <w:r>
        <w:rPr>
          <w:spacing w:val="-5"/>
        </w:rPr>
        <w:t>）或低于其成本持续时间超过一年（含</w:t>
      </w:r>
      <w:r>
        <w:rPr>
          <w:spacing w:val="-104"/>
        </w:rPr>
        <w:t> </w:t>
      </w:r>
      <w:r>
        <w:rPr>
          <w:spacing w:val="-104"/>
        </w:rPr>
      </w:r>
      <w:r>
        <w:rPr/>
        <w:t>一年）的，则表明其发生减值；若该权益工具投资于资产负债表日的公允价值低于其成本超 </w:t>
      </w:r>
      <w:r>
        <w:rPr>
          <w:spacing w:val="-2"/>
        </w:rPr>
        <w:t>过</w:t>
      </w:r>
      <w:r>
        <w:rPr>
          <w:rFonts w:ascii="宋体" w:hAnsi="宋体" w:cs="宋体" w:eastAsia="宋体" w:hint="default"/>
          <w:spacing w:val="-2"/>
        </w:rPr>
        <w:t>20%</w:t>
      </w:r>
      <w:r>
        <w:rPr>
          <w:spacing w:val="-2"/>
        </w:rPr>
        <w:t>（含</w:t>
      </w:r>
      <w:r>
        <w:rPr>
          <w:rFonts w:ascii="宋体" w:hAnsi="宋体" w:cs="宋体" w:eastAsia="宋体" w:hint="default"/>
          <w:spacing w:val="-2"/>
        </w:rPr>
        <w:t>20%</w:t>
      </w:r>
      <w:r>
        <w:rPr>
          <w:spacing w:val="-2"/>
        </w:rPr>
        <w:t>）但尚未达到</w:t>
      </w:r>
      <w:r>
        <w:rPr>
          <w:rFonts w:ascii="宋体" w:hAnsi="宋体" w:cs="宋体" w:eastAsia="宋体" w:hint="default"/>
          <w:spacing w:val="-2"/>
        </w:rPr>
        <w:t>50%</w:t>
      </w:r>
      <w:r>
        <w:rPr>
          <w:spacing w:val="-2"/>
        </w:rPr>
        <w:t>的，本公司会综合考虑其他相关因素诸如价格波动率等，判断</w:t>
      </w:r>
      <w:r>
        <w:rPr>
          <w:spacing w:val="-113"/>
        </w:rPr>
        <w:t> </w:t>
      </w:r>
      <w:r>
        <w:rPr>
          <w:spacing w:val="-113"/>
        </w:rPr>
      </w:r>
      <w:r>
        <w:rPr/>
        <w:t>该权益工具投资是否发生减值。</w:t>
      </w:r>
    </w:p>
    <w:p>
      <w:pPr>
        <w:pStyle w:val="BodyText"/>
        <w:spacing w:line="350" w:lineRule="auto" w:before="35"/>
        <w:ind w:left="154" w:right="1152" w:firstLine="480"/>
        <w:jc w:val="left"/>
      </w:pPr>
      <w:r>
        <w:rPr/>
        <w:t>上段所述成本按照可供出售权益工具投资的初始取得成本扣除已收回本金和已摊销金 额、原已计入损益的减值损失确定；不存在活跃市场的可供出售权益工具投资的公允价值， 按照类似金融资产当时市场收益率对未来现金流量折现确定的现值确定；在活跃市场有报价 的可供出售权益工具投资的公允价值根据证券交易所期末收盘价确定，除非该项可供出售权 益工具投资存在限售期。对于存在限售期的可供出售权益工具投资，按照证券交易所期末收 盘价扣除市场参与者因承担指定期间内无法在公开市场上出售该权益工具的风险而要求获得 的补偿金额后确定。</w:t>
      </w:r>
    </w:p>
    <w:p>
      <w:pPr>
        <w:pStyle w:val="BodyText"/>
        <w:spacing w:line="350" w:lineRule="auto" w:before="35"/>
        <w:ind w:left="154" w:right="1170" w:firstLine="480"/>
        <w:jc w:val="both"/>
      </w:pPr>
      <w:r>
        <w:rPr/>
        <w:t>可供出售金融资产发生减值时，即使该金融资产没有终止确认，本公司将原直接计入其 他综合收益的因公允价值下降形成的累计损失从其他综合收益转出，计入当期损益。该转出 的累计损失，等于可供出售金融资产的初始取得成本扣除已收回本金和已摊余金额、当前公 允价值和原已计入损益的减值损失后的余额。</w:t>
      </w:r>
    </w:p>
    <w:p>
      <w:pPr>
        <w:pStyle w:val="BodyText"/>
        <w:spacing w:line="350" w:lineRule="auto"/>
        <w:ind w:left="154" w:right="1169" w:firstLine="480"/>
        <w:jc w:val="both"/>
      </w:pPr>
      <w:r>
        <w:rPr/>
        <w:t>对于已确认减值损失的可供出售债务工具，在随后的会计期间公允价值已上升且客观上 与确认原减值损失后发生的事项有关的，原确认的减值损失予以转回计入当期损益；对于可 供出售权益工具投资发生的减值损失，在该权益工具价值回升时通过权益转回；但在活跃市 场中没有报价且其公允价值不能可靠计量的权益工具投资，或与该权益工具挂钩并须通过交 付该权益工具结算的衍生金融资产发生的减值损失，不得转回。</w:t>
      </w:r>
    </w:p>
    <w:p>
      <w:pPr>
        <w:pStyle w:val="BodyText"/>
        <w:spacing w:line="352" w:lineRule="auto" w:before="35"/>
        <w:ind w:left="633" w:right="1153"/>
        <w:jc w:val="left"/>
      </w:pPr>
      <w:r>
        <w:rPr/>
        <w:t>②持有至到期投资减值准备 对于持有至到期投资，有客观证据表明其发生了减值的，根据其账面价值与预计未来现</w:t>
      </w:r>
    </w:p>
    <w:p>
      <w:pPr>
        <w:pStyle w:val="BodyText"/>
        <w:spacing w:line="352" w:lineRule="auto" w:before="33"/>
        <w:ind w:right="1169"/>
        <w:jc w:val="both"/>
      </w:pPr>
      <w:r>
        <w:rPr/>
        <w:t>金流量现值之间差额计算确认减值损失；计提后如有证据表明其价值已恢复，原确认的减值 损失可予以转回，记入当期损益，但该转回的账面价值不超过假定不计提减值准备情况下该 金融资产在转回日的摊余成本。</w:t>
      </w:r>
    </w:p>
    <w:p>
      <w:pPr>
        <w:spacing w:after="0" w:line="352" w:lineRule="auto"/>
        <w:jc w:val="both"/>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350" w:lineRule="auto" w:before="199"/>
        <w:ind w:left="633" w:right="1153" w:firstLine="2"/>
        <w:jc w:val="left"/>
        <w:rPr>
          <w:rFonts w:ascii="宋体" w:hAnsi="宋体" w:cs="宋体" w:eastAsia="宋体" w:hint="default"/>
          <w:sz w:val="24"/>
          <w:szCs w:val="24"/>
        </w:rPr>
      </w:pPr>
      <w:r>
        <w:rPr>
          <w:rFonts w:ascii="宋体" w:hAnsi="宋体" w:cs="宋体" w:eastAsia="宋体" w:hint="default"/>
          <w:b/>
          <w:bCs/>
          <w:sz w:val="24"/>
          <w:szCs w:val="24"/>
        </w:rPr>
        <w:t>（</w:t>
      </w:r>
      <w:r>
        <w:rPr>
          <w:rFonts w:ascii="宋体" w:hAnsi="宋体" w:cs="宋体" w:eastAsia="宋体" w:hint="default"/>
          <w:b/>
          <w:bCs/>
          <w:sz w:val="24"/>
          <w:szCs w:val="24"/>
        </w:rPr>
        <w:t>7</w:t>
      </w:r>
      <w:r>
        <w:rPr>
          <w:rFonts w:ascii="宋体" w:hAnsi="宋体" w:cs="宋体" w:eastAsia="宋体" w:hint="default"/>
          <w:b/>
          <w:bCs/>
          <w:sz w:val="24"/>
          <w:szCs w:val="24"/>
        </w:rPr>
        <w:t>）金融资产及金融负债的抵销</w:t>
      </w:r>
      <w:r>
        <w:rPr>
          <w:rFonts w:ascii="宋体" w:hAnsi="宋体" w:cs="宋体" w:eastAsia="宋体" w:hint="default"/>
          <w:b/>
          <w:bCs/>
          <w:w w:val="99"/>
          <w:sz w:val="24"/>
          <w:szCs w:val="24"/>
        </w:rPr>
        <w:t> </w:t>
      </w:r>
      <w:r>
        <w:rPr>
          <w:rFonts w:ascii="宋体" w:hAnsi="宋体" w:cs="宋体" w:eastAsia="宋体" w:hint="default"/>
          <w:sz w:val="24"/>
          <w:szCs w:val="24"/>
        </w:rPr>
        <w:t>金融资产和金融负债在资产负债表内分别列示，没有相互抵销。但是，同时满足下列条</w:t>
      </w:r>
    </w:p>
    <w:p>
      <w:pPr>
        <w:pStyle w:val="BodyText"/>
        <w:spacing w:line="240" w:lineRule="auto"/>
        <w:ind w:right="996"/>
        <w:jc w:val="left"/>
      </w:pPr>
      <w:r>
        <w:rPr/>
        <w:t>件的，以相互抵销后的净额在资产负债表内列示：</w:t>
      </w:r>
    </w:p>
    <w:p>
      <w:pPr>
        <w:pStyle w:val="BodyText"/>
        <w:spacing w:line="240" w:lineRule="auto" w:before="146"/>
        <w:ind w:left="633" w:right="996"/>
        <w:jc w:val="left"/>
      </w:pPr>
      <w:r>
        <w:rPr/>
        <w:t>①本公司具有抵销已确认金额的法定权利，且该种法定权利是当前可执行的；</w:t>
      </w:r>
    </w:p>
    <w:p>
      <w:pPr>
        <w:pStyle w:val="BodyText"/>
        <w:spacing w:line="487" w:lineRule="auto" w:before="145"/>
        <w:ind w:right="2833" w:firstLine="480"/>
        <w:jc w:val="left"/>
        <w:rPr>
          <w:rFonts w:ascii="宋体" w:hAnsi="宋体" w:cs="宋体" w:eastAsia="宋体" w:hint="default"/>
        </w:rPr>
      </w:pPr>
      <w:r>
        <w:rPr/>
        <w:t>②本公司计划以净额结算，或同时变现该金融资产和清偿该金融负债。 </w:t>
      </w:r>
      <w:bookmarkStart w:name="11、应收款项" w:id="213"/>
      <w:bookmarkEnd w:id="213"/>
      <w:r>
        <w:rPr/>
      </w:r>
      <w:r>
        <w:rPr>
          <w:rFonts w:ascii="宋体" w:hAnsi="宋体" w:cs="宋体" w:eastAsia="宋体" w:hint="default"/>
          <w:b/>
          <w:bCs/>
        </w:rPr>
        <w:t>11</w:t>
      </w:r>
      <w:r>
        <w:rPr>
          <w:rFonts w:ascii="宋体" w:hAnsi="宋体" w:cs="宋体" w:eastAsia="宋体" w:hint="default"/>
          <w:b/>
          <w:bCs/>
        </w:rPr>
        <w:t>、应收款项</w:t>
      </w:r>
      <w:r>
        <w:rPr>
          <w:rFonts w:ascii="宋体" w:hAnsi="宋体" w:cs="宋体" w:eastAsia="宋体" w:hint="default"/>
        </w:rPr>
      </w:r>
    </w:p>
    <w:p>
      <w:pPr>
        <w:pStyle w:val="Heading2"/>
        <w:spacing w:line="240" w:lineRule="auto" w:before="176"/>
        <w:ind w:right="996"/>
        <w:jc w:val="left"/>
        <w:rPr>
          <w:b w:val="0"/>
          <w:bCs w:val="0"/>
        </w:rPr>
      </w:pPr>
      <w:r>
        <w:rPr/>
        <w:t>（</w:t>
      </w:r>
      <w:r>
        <w:rPr>
          <w:rFonts w:ascii="宋体" w:hAnsi="宋体" w:cs="宋体" w:eastAsia="宋体" w:hint="default"/>
        </w:rPr>
        <w:t>1</w:t>
      </w:r>
      <w:r>
        <w:rPr/>
        <w:t>）单项金额重大并单独计提坏账准备的应收款项</w:t>
      </w:r>
      <w:r>
        <w:rPr>
          <w:b w:val="0"/>
          <w:bCs w:val="0"/>
        </w:rPr>
      </w:r>
    </w:p>
    <w:p>
      <w:pPr>
        <w:spacing w:line="240" w:lineRule="auto" w:before="4"/>
        <w:rPr>
          <w:rFonts w:ascii="宋体" w:hAnsi="宋体" w:cs="宋体" w:eastAsia="宋体" w:hint="default"/>
          <w:b/>
          <w:bCs/>
          <w:sz w:val="16"/>
          <w:szCs w:val="16"/>
        </w:rPr>
      </w:pPr>
    </w:p>
    <w:tbl>
      <w:tblPr>
        <w:tblW w:w="0" w:type="auto"/>
        <w:jc w:val="left"/>
        <w:tblInd w:w="149" w:type="dxa"/>
        <w:tblLayout w:type="fixed"/>
        <w:tblCellMar>
          <w:top w:w="0" w:type="dxa"/>
          <w:left w:w="0" w:type="dxa"/>
          <w:bottom w:w="0" w:type="dxa"/>
          <w:right w:w="0" w:type="dxa"/>
        </w:tblCellMar>
        <w:tblLook w:val="01E0"/>
      </w:tblPr>
      <w:tblGrid>
        <w:gridCol w:w="2553"/>
        <w:gridCol w:w="7016"/>
      </w:tblGrid>
      <w:tr>
        <w:trPr>
          <w:trHeight w:val="714" w:hRule="exact"/>
        </w:trPr>
        <w:tc>
          <w:tcPr>
            <w:tcW w:w="2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22" w:right="208"/>
              <w:jc w:val="left"/>
              <w:rPr>
                <w:rFonts w:ascii="宋体" w:hAnsi="宋体" w:cs="宋体" w:eastAsia="宋体" w:hint="default"/>
                <w:sz w:val="21"/>
                <w:szCs w:val="21"/>
              </w:rPr>
            </w:pPr>
            <w:r>
              <w:rPr>
                <w:rFonts w:ascii="宋体" w:hAnsi="宋体" w:cs="宋体" w:eastAsia="宋体" w:hint="default"/>
                <w:sz w:val="21"/>
                <w:szCs w:val="21"/>
              </w:rPr>
              <w:t>单项金额重大的判断依据 或金额标准</w:t>
            </w:r>
          </w:p>
        </w:tc>
        <w:tc>
          <w:tcPr>
            <w:tcW w:w="701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2" w:right="19"/>
              <w:jc w:val="left"/>
              <w:rPr>
                <w:rFonts w:ascii="宋体" w:hAnsi="宋体" w:cs="宋体" w:eastAsia="宋体" w:hint="default"/>
                <w:sz w:val="21"/>
                <w:szCs w:val="21"/>
              </w:rPr>
            </w:pPr>
            <w:r>
              <w:rPr>
                <w:rFonts w:ascii="宋体" w:hAnsi="宋体" w:cs="宋体" w:eastAsia="宋体" w:hint="default"/>
                <w:sz w:val="21"/>
                <w:szCs w:val="21"/>
              </w:rPr>
              <w:t>本公司将单项金额超过</w:t>
            </w:r>
            <w:r>
              <w:rPr>
                <w:rFonts w:ascii="宋体" w:hAnsi="宋体" w:cs="宋体" w:eastAsia="宋体" w:hint="default"/>
                <w:spacing w:val="-72"/>
                <w:sz w:val="21"/>
                <w:szCs w:val="21"/>
              </w:rPr>
              <w:t> </w:t>
            </w:r>
            <w:r>
              <w:rPr>
                <w:rFonts w:ascii="宋体" w:hAnsi="宋体" w:cs="宋体" w:eastAsia="宋体" w:hint="default"/>
                <w:sz w:val="21"/>
                <w:szCs w:val="21"/>
              </w:rPr>
              <w:t>100.00</w:t>
            </w:r>
            <w:r>
              <w:rPr>
                <w:rFonts w:ascii="宋体" w:hAnsi="宋体" w:cs="宋体" w:eastAsia="宋体" w:hint="default"/>
                <w:spacing w:val="-72"/>
                <w:sz w:val="21"/>
                <w:szCs w:val="21"/>
              </w:rPr>
              <w:t> </w:t>
            </w:r>
            <w:r>
              <w:rPr>
                <w:rFonts w:ascii="宋体" w:hAnsi="宋体" w:cs="宋体" w:eastAsia="宋体" w:hint="default"/>
                <w:sz w:val="21"/>
                <w:szCs w:val="21"/>
              </w:rPr>
              <w:t>万元的应收账款和单项金额超过</w:t>
            </w:r>
            <w:r>
              <w:rPr>
                <w:rFonts w:ascii="宋体" w:hAnsi="宋体" w:cs="宋体" w:eastAsia="宋体" w:hint="default"/>
                <w:spacing w:val="-72"/>
                <w:sz w:val="21"/>
                <w:szCs w:val="21"/>
              </w:rPr>
              <w:t> </w:t>
            </w:r>
            <w:r>
              <w:rPr>
                <w:rFonts w:ascii="宋体" w:hAnsi="宋体" w:cs="宋体" w:eastAsia="宋体" w:hint="default"/>
                <w:sz w:val="21"/>
                <w:szCs w:val="21"/>
              </w:rPr>
              <w:t>50.00</w:t>
            </w:r>
            <w:r>
              <w:rPr>
                <w:rFonts w:ascii="宋体" w:hAnsi="宋体" w:cs="宋体" w:eastAsia="宋体" w:hint="default"/>
                <w:spacing w:val="-72"/>
                <w:sz w:val="21"/>
                <w:szCs w:val="21"/>
              </w:rPr>
              <w:t> </w:t>
            </w:r>
            <w:r>
              <w:rPr>
                <w:rFonts w:ascii="宋体" w:hAnsi="宋体" w:cs="宋体" w:eastAsia="宋体" w:hint="default"/>
                <w:sz w:val="21"/>
                <w:szCs w:val="21"/>
              </w:rPr>
              <w:t>万元的 其他应收款确定为单项金额重大的应收款项。</w:t>
            </w:r>
          </w:p>
        </w:tc>
      </w:tr>
      <w:tr>
        <w:trPr>
          <w:trHeight w:val="1026" w:hRule="exact"/>
        </w:trPr>
        <w:tc>
          <w:tcPr>
            <w:tcW w:w="2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73" w:lineRule="auto"/>
              <w:ind w:left="22" w:right="208"/>
              <w:jc w:val="left"/>
              <w:rPr>
                <w:rFonts w:ascii="宋体" w:hAnsi="宋体" w:cs="宋体" w:eastAsia="宋体" w:hint="default"/>
                <w:sz w:val="21"/>
                <w:szCs w:val="21"/>
              </w:rPr>
            </w:pPr>
            <w:r>
              <w:rPr>
                <w:rFonts w:ascii="宋体" w:hAnsi="宋体" w:cs="宋体" w:eastAsia="宋体" w:hint="default"/>
                <w:sz w:val="21"/>
                <w:szCs w:val="21"/>
              </w:rPr>
              <w:t>单项金额重大并单项计提 坏账准备的计提方法</w:t>
            </w:r>
          </w:p>
        </w:tc>
        <w:tc>
          <w:tcPr>
            <w:tcW w:w="701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2" w:right="51"/>
              <w:jc w:val="both"/>
              <w:rPr>
                <w:rFonts w:ascii="宋体" w:hAnsi="宋体" w:cs="宋体" w:eastAsia="宋体" w:hint="default"/>
                <w:sz w:val="21"/>
                <w:szCs w:val="21"/>
              </w:rPr>
            </w:pPr>
            <w:r>
              <w:rPr>
                <w:rFonts w:ascii="宋体" w:hAnsi="宋体" w:cs="宋体" w:eastAsia="宋体" w:hint="default"/>
                <w:sz w:val="21"/>
                <w:szCs w:val="21"/>
              </w:rPr>
              <w:t>单独进行减值测试，按预计未来现金流量现值低于其账面价值的差额计提坏 账准备，计入当期损益。单独测试未发生减值的应收款项，将其归入相应组 合计提坏账准备。</w:t>
            </w:r>
          </w:p>
        </w:tc>
      </w:tr>
    </w:tbl>
    <w:p>
      <w:pPr>
        <w:spacing w:line="240" w:lineRule="auto" w:before="10"/>
        <w:rPr>
          <w:rFonts w:ascii="宋体" w:hAnsi="宋体" w:cs="宋体" w:eastAsia="宋体" w:hint="default"/>
          <w:b/>
          <w:bCs/>
          <w:sz w:val="4"/>
          <w:szCs w:val="4"/>
        </w:rPr>
      </w:pPr>
    </w:p>
    <w:p>
      <w:pPr>
        <w:pStyle w:val="Heading2"/>
        <w:spacing w:line="240" w:lineRule="auto"/>
        <w:ind w:right="996"/>
        <w:jc w:val="left"/>
        <w:rPr>
          <w:b w:val="0"/>
          <w:bCs w:val="0"/>
        </w:rPr>
      </w:pPr>
      <w:r>
        <w:rPr/>
        <w:t>（</w:t>
      </w:r>
      <w:r>
        <w:rPr>
          <w:rFonts w:ascii="宋体" w:hAnsi="宋体" w:cs="宋体" w:eastAsia="宋体" w:hint="default"/>
        </w:rPr>
        <w:t>2</w:t>
      </w:r>
      <w:r>
        <w:rPr/>
        <w:t>）按信用风险特征组合计提坏账准备的应收款项</w:t>
      </w:r>
      <w:r>
        <w:rPr>
          <w:b w:val="0"/>
          <w:bCs w:val="0"/>
        </w:rPr>
      </w:r>
    </w:p>
    <w:p>
      <w:pPr>
        <w:spacing w:line="240" w:lineRule="auto" w:before="5"/>
        <w:rPr>
          <w:rFonts w:ascii="宋体" w:hAnsi="宋体" w:cs="宋体" w:eastAsia="宋体" w:hint="default"/>
          <w:b/>
          <w:bCs/>
          <w:sz w:val="16"/>
          <w:szCs w:val="16"/>
        </w:rPr>
      </w:pPr>
    </w:p>
    <w:tbl>
      <w:tblPr>
        <w:tblW w:w="0" w:type="auto"/>
        <w:jc w:val="left"/>
        <w:tblInd w:w="149" w:type="dxa"/>
        <w:tblLayout w:type="fixed"/>
        <w:tblCellMar>
          <w:top w:w="0" w:type="dxa"/>
          <w:left w:w="0" w:type="dxa"/>
          <w:bottom w:w="0" w:type="dxa"/>
          <w:right w:w="0" w:type="dxa"/>
        </w:tblCellMar>
        <w:tblLook w:val="01E0"/>
      </w:tblPr>
      <w:tblGrid>
        <w:gridCol w:w="4963"/>
        <w:gridCol w:w="4606"/>
      </w:tblGrid>
      <w:tr>
        <w:trPr>
          <w:trHeight w:val="402" w:hRule="exact"/>
        </w:trPr>
        <w:tc>
          <w:tcPr>
            <w:tcW w:w="49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组合名称</w:t>
            </w:r>
          </w:p>
        </w:tc>
        <w:tc>
          <w:tcPr>
            <w:tcW w:w="46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457" w:right="0"/>
              <w:jc w:val="left"/>
              <w:rPr>
                <w:rFonts w:ascii="宋体" w:hAnsi="宋体" w:cs="宋体" w:eastAsia="宋体" w:hint="default"/>
                <w:sz w:val="21"/>
                <w:szCs w:val="21"/>
              </w:rPr>
            </w:pPr>
            <w:r>
              <w:rPr>
                <w:rFonts w:ascii="宋体" w:hAnsi="宋体" w:cs="宋体" w:eastAsia="宋体" w:hint="default"/>
                <w:sz w:val="21"/>
                <w:szCs w:val="21"/>
              </w:rPr>
              <w:t>坏账准备计提方法</w:t>
            </w:r>
          </w:p>
        </w:tc>
      </w:tr>
      <w:tr>
        <w:trPr>
          <w:trHeight w:val="402" w:hRule="exact"/>
        </w:trPr>
        <w:tc>
          <w:tcPr>
            <w:tcW w:w="4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纳入合并范围的关联方组合</w:t>
            </w:r>
          </w:p>
        </w:tc>
        <w:tc>
          <w:tcPr>
            <w:tcW w:w="460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代扣个人社保、履约保证金组合</w:t>
            </w:r>
          </w:p>
        </w:tc>
        <w:tc>
          <w:tcPr>
            <w:tcW w:w="460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账龄分析法组合</w:t>
            </w:r>
          </w:p>
        </w:tc>
        <w:tc>
          <w:tcPr>
            <w:tcW w:w="4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账龄分析法</w:t>
            </w:r>
          </w:p>
        </w:tc>
      </w:tr>
    </w:tbl>
    <w:p>
      <w:pPr>
        <w:spacing w:line="240" w:lineRule="auto" w:before="10"/>
        <w:rPr>
          <w:rFonts w:ascii="宋体" w:hAnsi="宋体" w:cs="宋体" w:eastAsia="宋体" w:hint="default"/>
          <w:b/>
          <w:bCs/>
          <w:sz w:val="4"/>
          <w:szCs w:val="4"/>
        </w:rPr>
      </w:pPr>
    </w:p>
    <w:p>
      <w:pPr>
        <w:pStyle w:val="BodyText"/>
        <w:spacing w:line="240" w:lineRule="auto" w:before="26"/>
        <w:ind w:left="634" w:right="996"/>
        <w:jc w:val="left"/>
      </w:pPr>
      <w:r>
        <w:rPr/>
        <w:t>组合中，采用账龄分析法计提坏账准备的：</w:t>
      </w:r>
    </w:p>
    <w:p>
      <w:pPr>
        <w:pStyle w:val="BodyText"/>
        <w:spacing w:line="240" w:lineRule="auto" w:before="145"/>
        <w:ind w:left="634" w:right="996"/>
        <w:jc w:val="left"/>
      </w:pPr>
      <w:r>
        <w:rPr/>
        <w:t>√ 适用 □ 不适用</w:t>
      </w:r>
    </w:p>
    <w:p>
      <w:pPr>
        <w:spacing w:line="240" w:lineRule="auto" w:before="6"/>
        <w:rPr>
          <w:rFonts w:ascii="宋体" w:hAnsi="宋体" w:cs="宋体" w:eastAsia="宋体" w:hint="default"/>
          <w:sz w:val="4"/>
          <w:szCs w:val="4"/>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 w:right="1"/>
              <w:jc w:val="center"/>
              <w:rPr>
                <w:rFonts w:ascii="宋体" w:hAnsi="宋体" w:cs="宋体" w:eastAsia="宋体" w:hint="default"/>
                <w:sz w:val="21"/>
                <w:szCs w:val="21"/>
              </w:rPr>
            </w:pPr>
            <w:r>
              <w:rPr>
                <w:rFonts w:ascii="宋体" w:hAnsi="宋体" w:cs="宋体" w:eastAsia="宋体" w:hint="default"/>
                <w:sz w:val="21"/>
                <w:szCs w:val="21"/>
              </w:rPr>
              <w:t>账龄</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2" w:right="0"/>
              <w:jc w:val="center"/>
              <w:rPr>
                <w:rFonts w:ascii="宋体" w:hAnsi="宋体" w:cs="宋体" w:eastAsia="宋体" w:hint="default"/>
                <w:sz w:val="21"/>
                <w:szCs w:val="21"/>
              </w:rPr>
            </w:pPr>
            <w:r>
              <w:rPr>
                <w:rFonts w:ascii="宋体" w:hAnsi="宋体" w:cs="宋体" w:eastAsia="宋体" w:hint="default"/>
                <w:sz w:val="21"/>
                <w:szCs w:val="21"/>
              </w:rPr>
              <w:t>应收账款计提比例</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其他应收款计提比例</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年以内（含</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sz w:val="21"/>
              </w:rPr>
              <w:t>5.00%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sz w:val="21"/>
              </w:rPr>
              <w:t>5.00%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sz w:val="21"/>
              </w:rPr>
              <w:t>10.00%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sz w:val="21"/>
              </w:rPr>
              <w:t>10.00%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sz w:val="21"/>
              </w:rPr>
              <w:t>30.00%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sz w:val="21"/>
              </w:rPr>
              <w:t>30.00%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w:t>
            </w: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sz w:val="21"/>
              </w:rPr>
              <w:t>60.00%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sz w:val="21"/>
              </w:rPr>
              <w:t>60.00%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w:t>
            </w: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sz w:val="21"/>
              </w:rPr>
              <w:t>80.00%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sz w:val="21"/>
              </w:rPr>
              <w:t>80.00%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left="1" w:right="0"/>
              <w:jc w:val="center"/>
              <w:rPr>
                <w:rFonts w:ascii="宋体" w:hAnsi="宋体" w:cs="宋体" w:eastAsia="宋体" w:hint="default"/>
                <w:sz w:val="21"/>
                <w:szCs w:val="21"/>
              </w:rPr>
            </w:pPr>
            <w:r>
              <w:rPr>
                <w:rFonts w:ascii="宋体"/>
                <w:sz w:val="21"/>
              </w:rPr>
              <w:t>100.00%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 w:right="0"/>
              <w:jc w:val="center"/>
              <w:rPr>
                <w:rFonts w:ascii="宋体" w:hAnsi="宋体" w:cs="宋体" w:eastAsia="宋体" w:hint="default"/>
                <w:sz w:val="21"/>
                <w:szCs w:val="21"/>
              </w:rPr>
            </w:pPr>
            <w:r>
              <w:rPr>
                <w:rFonts w:ascii="宋体"/>
                <w:sz w:val="21"/>
              </w:rPr>
              <w:t>100.00%</w:t>
            </w:r>
          </w:p>
        </w:tc>
      </w:tr>
    </w:tbl>
    <w:p>
      <w:pPr>
        <w:spacing w:line="240" w:lineRule="auto" w:before="10"/>
        <w:rPr>
          <w:rFonts w:ascii="宋体" w:hAnsi="宋体" w:cs="宋体" w:eastAsia="宋体" w:hint="default"/>
          <w:sz w:val="4"/>
          <w:szCs w:val="4"/>
        </w:rPr>
      </w:pPr>
    </w:p>
    <w:p>
      <w:pPr>
        <w:pStyle w:val="BodyText"/>
        <w:spacing w:line="240" w:lineRule="auto" w:before="26"/>
        <w:ind w:left="634" w:right="996"/>
        <w:jc w:val="left"/>
      </w:pPr>
      <w:r>
        <w:rPr/>
        <w:t>组合中，采用余额百分比法计提坏账准备的：</w:t>
      </w:r>
    </w:p>
    <w:p>
      <w:pPr>
        <w:pStyle w:val="BodyText"/>
        <w:spacing w:line="352" w:lineRule="auto" w:before="145"/>
        <w:ind w:left="634" w:right="5952"/>
        <w:jc w:val="left"/>
      </w:pPr>
      <w:r>
        <w:rPr/>
        <w:t>□ 适用 √ 不适用 组合中，采用其他方法计提坏账准备的：</w:t>
      </w:r>
    </w:p>
    <w:p>
      <w:pPr>
        <w:pStyle w:val="BodyText"/>
        <w:spacing w:line="240" w:lineRule="auto" w:before="32"/>
        <w:ind w:left="634" w:right="996"/>
        <w:jc w:val="left"/>
      </w:pPr>
      <w:r>
        <w:rPr/>
        <w:t>□ 适用 √ 不适用</w:t>
      </w:r>
    </w:p>
    <w:p>
      <w:pPr>
        <w:pStyle w:val="Heading2"/>
        <w:spacing w:line="240" w:lineRule="auto" w:before="145"/>
        <w:ind w:right="996"/>
        <w:jc w:val="left"/>
        <w:rPr>
          <w:b w:val="0"/>
          <w:bCs w:val="0"/>
        </w:rPr>
      </w:pPr>
      <w:r>
        <w:rPr/>
        <w:t>（</w:t>
      </w:r>
      <w:r>
        <w:rPr>
          <w:rFonts w:ascii="宋体" w:hAnsi="宋体" w:cs="宋体" w:eastAsia="宋体" w:hint="default"/>
        </w:rPr>
        <w:t>3</w:t>
      </w:r>
      <w:r>
        <w:rPr/>
        <w:t>）单项金额不重大但单独计提坏账准备的应收款项</w:t>
      </w:r>
      <w:r>
        <w:rPr>
          <w:b w:val="0"/>
          <w:bCs w:val="0"/>
        </w:rPr>
      </w:r>
    </w:p>
    <w:p>
      <w:pPr>
        <w:spacing w:after="0" w:line="240" w:lineRule="auto"/>
        <w:jc w:val="left"/>
        <w:sectPr>
          <w:pgSz w:w="11910" w:h="16840"/>
          <w:pgMar w:header="747"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2694"/>
        <w:gridCol w:w="6874"/>
      </w:tblGrid>
      <w:tr>
        <w:trPr>
          <w:trHeight w:val="402" w:hRule="exact"/>
        </w:trPr>
        <w:tc>
          <w:tcPr>
            <w:tcW w:w="2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单项计提坏账准备的理由</w:t>
            </w:r>
          </w:p>
        </w:tc>
        <w:tc>
          <w:tcPr>
            <w:tcW w:w="6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存在客观证据表明本公司将无法按应收款项的原有条款收回款项。</w:t>
            </w: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坏账准备的计提方法</w:t>
            </w:r>
          </w:p>
        </w:tc>
        <w:tc>
          <w:tcPr>
            <w:tcW w:w="6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根据应收款项的预计未来现金流量现值低于其账面价值的差额进行计提。</w:t>
            </w:r>
          </w:p>
        </w:tc>
      </w:tr>
    </w:tbl>
    <w:p>
      <w:pPr>
        <w:spacing w:line="240" w:lineRule="auto" w:before="2"/>
        <w:rPr>
          <w:rFonts w:ascii="宋体" w:hAnsi="宋体" w:cs="宋体" w:eastAsia="宋体" w:hint="default"/>
          <w:b/>
          <w:bCs/>
          <w:sz w:val="18"/>
          <w:szCs w:val="18"/>
        </w:rPr>
      </w:pPr>
    </w:p>
    <w:p>
      <w:pPr>
        <w:pStyle w:val="Heading2"/>
        <w:spacing w:line="240" w:lineRule="auto"/>
        <w:ind w:left="154" w:right="0"/>
        <w:jc w:val="both"/>
        <w:rPr>
          <w:b w:val="0"/>
          <w:bCs w:val="0"/>
        </w:rPr>
      </w:pPr>
      <w:bookmarkStart w:name="12、存货" w:id="214"/>
      <w:bookmarkEnd w:id="214"/>
      <w:r>
        <w:rPr>
          <w:b w:val="0"/>
          <w:bCs w:val="0"/>
        </w:rPr>
      </w:r>
      <w:r>
        <w:rPr>
          <w:rFonts w:ascii="宋体" w:hAnsi="宋体" w:cs="宋体" w:eastAsia="宋体" w:hint="default"/>
        </w:rPr>
        <w:t>12</w:t>
      </w:r>
      <w:r>
        <w:rPr/>
        <w:t>、存货</w:t>
      </w:r>
      <w:r>
        <w:rPr>
          <w:b w:val="0"/>
          <w:bCs w:val="0"/>
        </w:rPr>
      </w:r>
    </w:p>
    <w:p>
      <w:pPr>
        <w:spacing w:line="240" w:lineRule="auto" w:before="6"/>
        <w:rPr>
          <w:rFonts w:ascii="宋体" w:hAnsi="宋体" w:cs="宋体" w:eastAsia="宋体" w:hint="default"/>
          <w:b/>
          <w:bCs/>
          <w:sz w:val="32"/>
          <w:szCs w:val="32"/>
        </w:rPr>
      </w:pPr>
    </w:p>
    <w:p>
      <w:pPr>
        <w:pStyle w:val="BodyText"/>
        <w:spacing w:line="352" w:lineRule="auto" w:before="0"/>
        <w:ind w:left="634" w:right="6192"/>
        <w:jc w:val="left"/>
      </w:pPr>
      <w:r>
        <w:rPr/>
        <w:t>公司是否需要遵守特殊行业的披露要求 否</w:t>
      </w:r>
    </w:p>
    <w:p>
      <w:pPr>
        <w:pStyle w:val="BodyText"/>
        <w:spacing w:line="350" w:lineRule="auto" w:before="32"/>
        <w:ind w:left="633" w:right="996" w:firstLine="2"/>
        <w:jc w:val="left"/>
      </w:pPr>
      <w:r>
        <w:rPr>
          <w:rFonts w:ascii="宋体" w:hAnsi="宋体" w:cs="宋体" w:eastAsia="宋体" w:hint="default"/>
          <w:b/>
          <w:bCs/>
        </w:rPr>
        <w:t>（</w:t>
      </w:r>
      <w:r>
        <w:rPr>
          <w:rFonts w:ascii="宋体" w:hAnsi="宋体" w:cs="宋体" w:eastAsia="宋体" w:hint="default"/>
          <w:b/>
          <w:bCs/>
        </w:rPr>
        <w:t>1</w:t>
      </w:r>
      <w:r>
        <w:rPr>
          <w:rFonts w:ascii="宋体" w:hAnsi="宋体" w:cs="宋体" w:eastAsia="宋体" w:hint="default"/>
          <w:b/>
          <w:bCs/>
        </w:rPr>
        <w:t>）存货的分类</w:t>
      </w:r>
      <w:r>
        <w:rPr>
          <w:rFonts w:ascii="宋体" w:hAnsi="宋体" w:cs="宋体" w:eastAsia="宋体" w:hint="default"/>
          <w:b/>
          <w:bCs/>
          <w:w w:val="99"/>
        </w:rPr>
        <w:t> </w:t>
      </w:r>
      <w:r>
        <w:rPr>
          <w:spacing w:val="-3"/>
        </w:rPr>
        <w:t>存货是指本公司在日常活动中持有以备出售的产成品或商品、处在生产过程中的在产品、</w:t>
      </w:r>
    </w:p>
    <w:p>
      <w:pPr>
        <w:pStyle w:val="BodyText"/>
        <w:spacing w:line="350" w:lineRule="auto"/>
        <w:ind w:right="1170"/>
        <w:jc w:val="both"/>
      </w:pPr>
      <w:r>
        <w:rPr/>
        <w:t>在生产过程或提供劳务过程中耗用的材料和物料等。主要包括原材料、自制半成品、委托加 工物资、在产品、库存商品等。</w:t>
      </w:r>
    </w:p>
    <w:p>
      <w:pPr>
        <w:spacing w:line="352" w:lineRule="auto" w:before="35"/>
        <w:ind w:left="633" w:right="1153" w:firstLine="2"/>
        <w:jc w:val="left"/>
        <w:rPr>
          <w:rFonts w:ascii="宋体" w:hAnsi="宋体" w:cs="宋体" w:eastAsia="宋体" w:hint="default"/>
          <w:sz w:val="24"/>
          <w:szCs w:val="24"/>
        </w:rPr>
      </w:pPr>
      <w:r>
        <w:rPr>
          <w:rFonts w:ascii="宋体" w:hAnsi="宋体" w:cs="宋体" w:eastAsia="宋体" w:hint="default"/>
          <w:b/>
          <w:bCs/>
          <w:sz w:val="24"/>
          <w:szCs w:val="24"/>
        </w:rPr>
        <w:t>（</w:t>
      </w:r>
      <w:r>
        <w:rPr>
          <w:rFonts w:ascii="宋体" w:hAnsi="宋体" w:cs="宋体" w:eastAsia="宋体" w:hint="default"/>
          <w:b/>
          <w:bCs/>
          <w:sz w:val="24"/>
          <w:szCs w:val="24"/>
        </w:rPr>
        <w:t>2</w:t>
      </w:r>
      <w:r>
        <w:rPr>
          <w:rFonts w:ascii="宋体" w:hAnsi="宋体" w:cs="宋体" w:eastAsia="宋体" w:hint="default"/>
          <w:b/>
          <w:bCs/>
          <w:sz w:val="24"/>
          <w:szCs w:val="24"/>
        </w:rPr>
        <w:t>）存货的计价方法</w:t>
      </w:r>
      <w:r>
        <w:rPr>
          <w:rFonts w:ascii="宋体" w:hAnsi="宋体" w:cs="宋体" w:eastAsia="宋体" w:hint="default"/>
          <w:b/>
          <w:bCs/>
          <w:w w:val="99"/>
          <w:sz w:val="24"/>
          <w:szCs w:val="24"/>
        </w:rPr>
        <w:t> </w:t>
      </w:r>
      <w:r>
        <w:rPr>
          <w:rFonts w:ascii="宋体" w:hAnsi="宋体" w:cs="宋体" w:eastAsia="宋体" w:hint="default"/>
          <w:sz w:val="24"/>
          <w:szCs w:val="24"/>
        </w:rPr>
        <w:t>存货在取得时，按成本进行初始计量，包括采购成本、加工成本和其他成本。存货发出</w:t>
      </w:r>
    </w:p>
    <w:p>
      <w:pPr>
        <w:pStyle w:val="BodyText"/>
        <w:spacing w:line="240" w:lineRule="auto" w:before="32"/>
        <w:ind w:right="0"/>
        <w:jc w:val="both"/>
      </w:pPr>
      <w:r>
        <w:rPr/>
        <w:t>时按移动加权平均法计价。</w:t>
      </w:r>
    </w:p>
    <w:p>
      <w:pPr>
        <w:spacing w:line="352" w:lineRule="auto" w:before="145"/>
        <w:ind w:left="633" w:right="996" w:firstLine="2"/>
        <w:jc w:val="left"/>
        <w:rPr>
          <w:rFonts w:ascii="宋体" w:hAnsi="宋体" w:cs="宋体" w:eastAsia="宋体" w:hint="default"/>
          <w:sz w:val="24"/>
          <w:szCs w:val="24"/>
        </w:rPr>
      </w:pPr>
      <w:r>
        <w:rPr>
          <w:rFonts w:ascii="宋体" w:hAnsi="宋体" w:cs="宋体" w:eastAsia="宋体" w:hint="default"/>
          <w:b/>
          <w:bCs/>
          <w:sz w:val="24"/>
          <w:szCs w:val="24"/>
        </w:rPr>
        <w:t>（</w:t>
      </w:r>
      <w:r>
        <w:rPr>
          <w:rFonts w:ascii="宋体" w:hAnsi="宋体" w:cs="宋体" w:eastAsia="宋体" w:hint="default"/>
          <w:b/>
          <w:bCs/>
          <w:sz w:val="24"/>
          <w:szCs w:val="24"/>
        </w:rPr>
        <w:t>3</w:t>
      </w:r>
      <w:r>
        <w:rPr>
          <w:rFonts w:ascii="宋体" w:hAnsi="宋体" w:cs="宋体" w:eastAsia="宋体" w:hint="default"/>
          <w:b/>
          <w:bCs/>
          <w:sz w:val="24"/>
          <w:szCs w:val="24"/>
        </w:rPr>
        <w:t>）存货可变现净值的确定依据及存货跌价准备的计提方法</w:t>
      </w:r>
      <w:r>
        <w:rPr>
          <w:rFonts w:ascii="宋体" w:hAnsi="宋体" w:cs="宋体" w:eastAsia="宋体" w:hint="default"/>
          <w:b/>
          <w:bCs/>
          <w:w w:val="99"/>
          <w:sz w:val="24"/>
          <w:szCs w:val="24"/>
        </w:rPr>
        <w:t> </w:t>
      </w:r>
      <w:r>
        <w:rPr>
          <w:rFonts w:ascii="宋体" w:hAnsi="宋体" w:cs="宋体" w:eastAsia="宋体" w:hint="default"/>
          <w:spacing w:val="-3"/>
          <w:sz w:val="24"/>
          <w:szCs w:val="24"/>
        </w:rPr>
        <w:t>期末对存货进行全面清查后，按存货的成本与可变现净值孰低提取或调整存货跌价准备。</w:t>
      </w:r>
    </w:p>
    <w:p>
      <w:pPr>
        <w:pStyle w:val="BodyText"/>
        <w:spacing w:line="350" w:lineRule="auto" w:before="33"/>
        <w:ind w:right="1169"/>
        <w:jc w:val="both"/>
      </w:pPr>
      <w:r>
        <w:rPr/>
        <w:t>产成品、库存商品和用于出售的材料等直接用于出售的商品存货，在正常生产经营过程中， 以该存货的估计售价减去估计的销售费用和相关税费后的金额，确定其可变现净值；需要经 过加工的材料存货，在正常生产经营过程中，以所生产的产成品的估计售价减去至完工时估 计将要发生的成本、估计的销售费用和相关税费后的金额，确定其可变现净值；为执行销售 合同或者劳务合同而持有的存货，其可变现净值以合同价格为基础计算，若持有存货的数量 多于销售合同订购数量的，超出部分的存货的可变现净值以一般销售价格为基础计算。</w:t>
      </w:r>
    </w:p>
    <w:p>
      <w:pPr>
        <w:pStyle w:val="BodyText"/>
        <w:spacing w:line="352" w:lineRule="auto" w:before="35"/>
        <w:ind w:right="1170" w:firstLine="480"/>
        <w:jc w:val="both"/>
      </w:pPr>
      <w:r>
        <w:rPr/>
        <w:t>期末按照单个存货项目计提存货跌价准备；但对于数量繁多、单价较低的存货，按照存 货类别计提存货跌价准备；与在同一地区生产和销售的产品系列相关、具有相同或类似最终 用途或目的，且难以与其他项目分开计量的存货，则合并计提存货跌价准备。</w:t>
      </w:r>
    </w:p>
    <w:p>
      <w:pPr>
        <w:pStyle w:val="BodyText"/>
        <w:spacing w:line="350" w:lineRule="auto" w:before="32"/>
        <w:ind w:right="1170" w:firstLine="480"/>
        <w:jc w:val="both"/>
      </w:pPr>
      <w:r>
        <w:rPr/>
        <w:t>以前减记存货价值的影响因素已经消失的，减记的金额予以恢复，并在原已计提的存货 跌价准备金额内转回，转回的金额计入当期损益。</w:t>
      </w:r>
    </w:p>
    <w:p>
      <w:pPr>
        <w:spacing w:line="350" w:lineRule="auto" w:before="36"/>
        <w:ind w:left="634" w:right="7981" w:firstLine="2"/>
        <w:jc w:val="left"/>
        <w:rPr>
          <w:rFonts w:ascii="宋体" w:hAnsi="宋体" w:cs="宋体" w:eastAsia="宋体" w:hint="default"/>
          <w:sz w:val="24"/>
          <w:szCs w:val="24"/>
        </w:rPr>
      </w:pPr>
      <w:r>
        <w:rPr>
          <w:rFonts w:ascii="宋体" w:hAnsi="宋体" w:cs="宋体" w:eastAsia="宋体" w:hint="default"/>
          <w:b/>
          <w:bCs/>
          <w:sz w:val="24"/>
          <w:szCs w:val="24"/>
        </w:rPr>
        <w:t>（</w:t>
      </w:r>
      <w:r>
        <w:rPr>
          <w:rFonts w:ascii="宋体" w:hAnsi="宋体" w:cs="宋体" w:eastAsia="宋体" w:hint="default"/>
          <w:b/>
          <w:bCs/>
          <w:sz w:val="24"/>
          <w:szCs w:val="24"/>
        </w:rPr>
        <w:t>4</w:t>
      </w:r>
      <w:r>
        <w:rPr>
          <w:rFonts w:ascii="宋体" w:hAnsi="宋体" w:cs="宋体" w:eastAsia="宋体" w:hint="default"/>
          <w:b/>
          <w:bCs/>
          <w:sz w:val="24"/>
          <w:szCs w:val="24"/>
        </w:rPr>
        <w:t>）存货的盘存制度</w:t>
      </w:r>
      <w:r>
        <w:rPr>
          <w:rFonts w:ascii="宋体" w:hAnsi="宋体" w:cs="宋体" w:eastAsia="宋体" w:hint="default"/>
          <w:b/>
          <w:bCs/>
          <w:w w:val="99"/>
          <w:sz w:val="24"/>
          <w:szCs w:val="24"/>
        </w:rPr>
        <w:t> </w:t>
      </w:r>
      <w:r>
        <w:rPr>
          <w:rFonts w:ascii="宋体" w:hAnsi="宋体" w:cs="宋体" w:eastAsia="宋体" w:hint="default"/>
          <w:sz w:val="24"/>
          <w:szCs w:val="24"/>
        </w:rPr>
        <w:t>采用永续盘存制。</w:t>
      </w:r>
    </w:p>
    <w:p>
      <w:pPr>
        <w:pStyle w:val="Heading2"/>
        <w:spacing w:line="240" w:lineRule="auto" w:before="35"/>
        <w:ind w:right="996"/>
        <w:jc w:val="left"/>
        <w:rPr>
          <w:b w:val="0"/>
          <w:bCs w:val="0"/>
        </w:rPr>
      </w:pPr>
      <w:r>
        <w:rPr/>
        <w:t>（</w:t>
      </w:r>
      <w:r>
        <w:rPr>
          <w:rFonts w:ascii="宋体" w:hAnsi="宋体" w:cs="宋体" w:eastAsia="宋体" w:hint="default"/>
        </w:rPr>
        <w:t>5</w:t>
      </w:r>
      <w:r>
        <w:rPr/>
        <w:t>）低值易耗品和包装物的摊销方法</w:t>
      </w:r>
      <w:r>
        <w:rPr>
          <w:b w:val="0"/>
          <w:bCs w:val="0"/>
        </w:rPr>
      </w:r>
    </w:p>
    <w:p>
      <w:pPr>
        <w:pStyle w:val="BodyText"/>
        <w:spacing w:line="240" w:lineRule="auto" w:before="146"/>
        <w:ind w:left="634" w:right="996"/>
        <w:jc w:val="left"/>
      </w:pPr>
      <w:r>
        <w:rPr/>
        <w:t>（</w:t>
      </w:r>
      <w:r>
        <w:rPr>
          <w:rFonts w:ascii="宋体" w:hAnsi="宋体" w:cs="宋体" w:eastAsia="宋体" w:hint="default"/>
        </w:rPr>
        <w:t>1</w:t>
      </w:r>
      <w:r>
        <w:rPr/>
        <w:t>）低值易耗品采用一次转销法；</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240" w:lineRule="auto" w:before="199"/>
        <w:ind w:left="633" w:right="996"/>
        <w:jc w:val="left"/>
      </w:pPr>
      <w:r>
        <w:rPr/>
        <w:t>（</w:t>
      </w:r>
      <w:r>
        <w:rPr>
          <w:rFonts w:ascii="宋体" w:hAnsi="宋体" w:cs="宋体" w:eastAsia="宋体" w:hint="default"/>
        </w:rPr>
        <w:t>2</w:t>
      </w:r>
      <w:r>
        <w:rPr/>
        <w:t>）包装物采用一次转销法；</w:t>
      </w:r>
    </w:p>
    <w:p>
      <w:pPr>
        <w:spacing w:line="487" w:lineRule="auto" w:before="145"/>
        <w:ind w:left="154" w:right="6312" w:firstLine="480"/>
        <w:jc w:val="lef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3</w:t>
      </w:r>
      <w:r>
        <w:rPr>
          <w:rFonts w:ascii="宋体" w:hAnsi="宋体" w:cs="宋体" w:eastAsia="宋体" w:hint="default"/>
          <w:sz w:val="24"/>
          <w:szCs w:val="24"/>
        </w:rPr>
        <w:t>）其他周转材料采用一次转销法。 </w:t>
      </w:r>
      <w:bookmarkStart w:name="13、持有待售资产" w:id="215"/>
      <w:bookmarkEnd w:id="215"/>
      <w:r>
        <w:rPr>
          <w:rFonts w:ascii="宋体" w:hAnsi="宋体" w:cs="宋体" w:eastAsia="宋体" w:hint="default"/>
          <w:sz w:val="24"/>
          <w:szCs w:val="24"/>
        </w:rPr>
      </w:r>
      <w:r>
        <w:rPr>
          <w:rFonts w:ascii="宋体" w:hAnsi="宋体" w:cs="宋体" w:eastAsia="宋体" w:hint="default"/>
          <w:b/>
          <w:bCs/>
          <w:sz w:val="24"/>
          <w:szCs w:val="24"/>
        </w:rPr>
        <w:t>13</w:t>
      </w:r>
      <w:r>
        <w:rPr>
          <w:rFonts w:ascii="宋体" w:hAnsi="宋体" w:cs="宋体" w:eastAsia="宋体" w:hint="default"/>
          <w:b/>
          <w:bCs/>
          <w:sz w:val="24"/>
          <w:szCs w:val="24"/>
        </w:rPr>
        <w:t>、持有待售资产</w:t>
      </w:r>
      <w:r>
        <w:rPr>
          <w:rFonts w:ascii="宋体" w:hAnsi="宋体" w:cs="宋体" w:eastAsia="宋体" w:hint="default"/>
          <w:sz w:val="24"/>
          <w:szCs w:val="24"/>
        </w:rPr>
      </w:r>
    </w:p>
    <w:p>
      <w:pPr>
        <w:spacing w:line="350" w:lineRule="auto" w:before="176"/>
        <w:ind w:left="633" w:right="2833" w:firstLine="2"/>
        <w:jc w:val="left"/>
        <w:rPr>
          <w:rFonts w:ascii="宋体" w:hAnsi="宋体" w:cs="宋体" w:eastAsia="宋体" w:hint="default"/>
          <w:sz w:val="24"/>
          <w:szCs w:val="24"/>
        </w:rPr>
      </w:pPr>
      <w:r>
        <w:rPr>
          <w:rFonts w:ascii="宋体" w:hAnsi="宋体" w:cs="宋体" w:eastAsia="宋体" w:hint="default"/>
          <w:b/>
          <w:bCs/>
          <w:sz w:val="24"/>
          <w:szCs w:val="24"/>
        </w:rPr>
        <w:t>（</w:t>
      </w:r>
      <w:r>
        <w:rPr>
          <w:rFonts w:ascii="宋体" w:hAnsi="宋体" w:cs="宋体" w:eastAsia="宋体" w:hint="default"/>
          <w:b/>
          <w:bCs/>
          <w:sz w:val="24"/>
          <w:szCs w:val="24"/>
        </w:rPr>
        <w:t>1</w:t>
      </w:r>
      <w:r>
        <w:rPr>
          <w:rFonts w:ascii="宋体" w:hAnsi="宋体" w:cs="宋体" w:eastAsia="宋体" w:hint="default"/>
          <w:b/>
          <w:bCs/>
          <w:sz w:val="24"/>
          <w:szCs w:val="24"/>
        </w:rPr>
        <w:t>）划分为持有待售确认标准</w:t>
      </w:r>
      <w:r>
        <w:rPr>
          <w:rFonts w:ascii="宋体" w:hAnsi="宋体" w:cs="宋体" w:eastAsia="宋体" w:hint="default"/>
          <w:b/>
          <w:bCs/>
          <w:w w:val="99"/>
          <w:sz w:val="24"/>
          <w:szCs w:val="24"/>
        </w:rPr>
        <w:t> </w:t>
      </w:r>
      <w:r>
        <w:rPr>
          <w:rFonts w:ascii="宋体" w:hAnsi="宋体" w:cs="宋体" w:eastAsia="宋体" w:hint="default"/>
          <w:sz w:val="24"/>
          <w:szCs w:val="24"/>
        </w:rPr>
        <w:t>将同时满足下列条件的非流动资产或处置组确认为持有待售组成部分：</w:t>
      </w:r>
    </w:p>
    <w:p>
      <w:pPr>
        <w:pStyle w:val="BodyText"/>
        <w:spacing w:line="240" w:lineRule="auto" w:before="35"/>
        <w:ind w:left="633" w:right="996"/>
        <w:jc w:val="left"/>
      </w:pPr>
      <w:r>
        <w:rPr/>
        <w:t>①根据类似交易中出售此类资产或处置组的惯例，在当前状况下即可立即出售；</w:t>
      </w:r>
    </w:p>
    <w:p>
      <w:pPr>
        <w:pStyle w:val="BodyText"/>
        <w:spacing w:line="350" w:lineRule="auto" w:before="146"/>
        <w:ind w:right="996" w:firstLine="480"/>
        <w:jc w:val="left"/>
      </w:pPr>
      <w:r>
        <w:rPr>
          <w:spacing w:val="-9"/>
        </w:rPr>
        <w:t>②出售极可能发生，即已经就一项出售计划作出决议，并已获得监管部门批准（如适用），</w:t>
      </w:r>
      <w:r>
        <w:rPr/>
        <w:t> 且获得确定的购买承诺，预计出售将在一年内完成。</w:t>
      </w:r>
    </w:p>
    <w:p>
      <w:pPr>
        <w:pStyle w:val="BodyText"/>
        <w:spacing w:line="352" w:lineRule="auto" w:before="35"/>
        <w:ind w:left="154" w:right="1170" w:firstLine="480"/>
        <w:jc w:val="both"/>
      </w:pPr>
      <w:r>
        <w:rPr/>
        <w:t>确定的购买承诺，是指与其他方签订的具有法律约束力的购买协议，该协议包含交易价 格、时间和足够严厉的违约惩罚等重要条款，使协议出现重大调整或者撤销的可能性极小。</w:t>
      </w:r>
    </w:p>
    <w:p>
      <w:pPr>
        <w:spacing w:line="350" w:lineRule="auto" w:before="32"/>
        <w:ind w:left="633" w:right="1153" w:firstLine="2"/>
        <w:jc w:val="left"/>
        <w:rPr>
          <w:rFonts w:ascii="宋体" w:hAnsi="宋体" w:cs="宋体" w:eastAsia="宋体" w:hint="default"/>
          <w:sz w:val="24"/>
          <w:szCs w:val="24"/>
        </w:rPr>
      </w:pPr>
      <w:r>
        <w:rPr>
          <w:rFonts w:ascii="宋体" w:hAnsi="宋体" w:cs="宋体" w:eastAsia="宋体" w:hint="default"/>
          <w:b/>
          <w:bCs/>
          <w:sz w:val="24"/>
          <w:szCs w:val="24"/>
        </w:rPr>
        <w:t>（</w:t>
      </w:r>
      <w:r>
        <w:rPr>
          <w:rFonts w:ascii="宋体" w:hAnsi="宋体" w:cs="宋体" w:eastAsia="宋体" w:hint="default"/>
          <w:b/>
          <w:bCs/>
          <w:sz w:val="24"/>
          <w:szCs w:val="24"/>
        </w:rPr>
        <w:t>2</w:t>
      </w:r>
      <w:r>
        <w:rPr>
          <w:rFonts w:ascii="宋体" w:hAnsi="宋体" w:cs="宋体" w:eastAsia="宋体" w:hint="default"/>
          <w:b/>
          <w:bCs/>
          <w:sz w:val="24"/>
          <w:szCs w:val="24"/>
        </w:rPr>
        <w:t>）持有待售核算方法</w:t>
      </w:r>
      <w:r>
        <w:rPr>
          <w:rFonts w:ascii="宋体" w:hAnsi="宋体" w:cs="宋体" w:eastAsia="宋体" w:hint="default"/>
          <w:b/>
          <w:bCs/>
          <w:w w:val="99"/>
          <w:sz w:val="24"/>
          <w:szCs w:val="24"/>
        </w:rPr>
        <w:t> </w:t>
      </w:r>
      <w:r>
        <w:rPr>
          <w:rFonts w:ascii="宋体" w:hAnsi="宋体" w:cs="宋体" w:eastAsia="宋体" w:hint="default"/>
          <w:sz w:val="24"/>
          <w:szCs w:val="24"/>
        </w:rPr>
        <w:t>对于持有待售的非流动资产或处置组不计提折旧或摊销，其账面价值高于公允价值减去</w:t>
      </w:r>
    </w:p>
    <w:p>
      <w:pPr>
        <w:pStyle w:val="BodyText"/>
        <w:spacing w:line="350" w:lineRule="auto"/>
        <w:ind w:right="1153"/>
        <w:jc w:val="left"/>
      </w:pPr>
      <w:r>
        <w:rPr/>
        <w:t>出售费用后的净额的，应当将账面价值减记至公允价值减去出售费用后的净额，减记的金额 确认为资产减值损失，计入当期损益，同时计提持有待售资产减值准备。</w:t>
      </w:r>
    </w:p>
    <w:p>
      <w:pPr>
        <w:pStyle w:val="BodyText"/>
        <w:spacing w:line="352" w:lineRule="auto" w:before="35"/>
        <w:ind w:right="1169" w:firstLine="480"/>
        <w:jc w:val="both"/>
      </w:pPr>
      <w:r>
        <w:rPr/>
        <w:t>对于取得日划分为持有待售类别的非流动资产或处置组，在初始计量时比较假定其不划 分为持有待售类别情况下的初始计量金额和公允价值减去出售费用后的净额，以两者孰低计 量。</w:t>
      </w:r>
    </w:p>
    <w:p>
      <w:pPr>
        <w:pStyle w:val="BodyText"/>
        <w:spacing w:line="350" w:lineRule="auto" w:before="32"/>
        <w:ind w:left="154" w:right="1170" w:firstLine="480"/>
        <w:jc w:val="both"/>
      </w:pPr>
      <w:r>
        <w:rPr/>
        <w:t>上述原则适用于所有非流动资产，但不包括采用公允价值模式进行后续计量的投资性房 地产、采用公允价值减去出售费用后的净额计量的生物资产、职工薪酬形成的资产、递延所 得税资产、由金融工具相关会计准则规范的金融资产、由保险合同相关会计准则规范的保险 合同所产生的权利。</w:t>
      </w:r>
    </w:p>
    <w:p>
      <w:pPr>
        <w:pStyle w:val="Heading2"/>
        <w:spacing w:line="240" w:lineRule="auto" w:before="211"/>
        <w:ind w:left="154" w:right="996"/>
        <w:jc w:val="left"/>
        <w:rPr>
          <w:b w:val="0"/>
          <w:bCs w:val="0"/>
        </w:rPr>
      </w:pPr>
      <w:bookmarkStart w:name="14、长期股权投资" w:id="216"/>
      <w:bookmarkEnd w:id="216"/>
      <w:r>
        <w:rPr>
          <w:b w:val="0"/>
          <w:bCs w:val="0"/>
        </w:rPr>
      </w:r>
      <w:r>
        <w:rPr>
          <w:rFonts w:ascii="宋体" w:hAnsi="宋体" w:cs="宋体" w:eastAsia="宋体" w:hint="default"/>
        </w:rPr>
        <w:t>14</w:t>
      </w:r>
      <w:r>
        <w:rPr/>
        <w:t>、长期股权投资</w:t>
      </w:r>
      <w:r>
        <w:rPr>
          <w:b w:val="0"/>
          <w:bCs w:val="0"/>
        </w:rPr>
      </w:r>
    </w:p>
    <w:p>
      <w:pPr>
        <w:spacing w:line="240" w:lineRule="auto" w:before="5"/>
        <w:rPr>
          <w:rFonts w:ascii="宋体" w:hAnsi="宋体" w:cs="宋体" w:eastAsia="宋体" w:hint="default"/>
          <w:b/>
          <w:bCs/>
          <w:sz w:val="32"/>
          <w:szCs w:val="32"/>
        </w:rPr>
      </w:pPr>
    </w:p>
    <w:p>
      <w:pPr>
        <w:pStyle w:val="Heading2"/>
        <w:spacing w:line="240" w:lineRule="auto" w:before="0"/>
        <w:ind w:right="996"/>
        <w:jc w:val="left"/>
        <w:rPr>
          <w:b w:val="0"/>
          <w:bCs w:val="0"/>
        </w:rPr>
      </w:pPr>
      <w:r>
        <w:rPr/>
        <w:t>（</w:t>
      </w:r>
      <w:r>
        <w:rPr>
          <w:rFonts w:ascii="宋体" w:hAnsi="宋体" w:cs="宋体" w:eastAsia="宋体" w:hint="default"/>
        </w:rPr>
        <w:t>1</w:t>
      </w:r>
      <w:r>
        <w:rPr/>
        <w:t>）初始投资成本的确定</w:t>
      </w:r>
      <w:r>
        <w:rPr>
          <w:b w:val="0"/>
          <w:bCs w:val="0"/>
        </w:rPr>
      </w:r>
    </w:p>
    <w:p>
      <w:pPr>
        <w:pStyle w:val="BodyText"/>
        <w:spacing w:line="350" w:lineRule="auto" w:before="145"/>
        <w:ind w:right="1169" w:firstLine="480"/>
        <w:jc w:val="both"/>
      </w:pPr>
      <w:r>
        <w:rPr/>
        <w:t>①企业合并形成的长期股权投资，具体会计政策详见本附注四、（四）同一控制下和非 同一控制下企业合并的会计处理方法</w:t>
      </w:r>
    </w:p>
    <w:p>
      <w:pPr>
        <w:pStyle w:val="BodyText"/>
        <w:spacing w:line="350" w:lineRule="auto"/>
        <w:ind w:left="633" w:right="1153"/>
        <w:jc w:val="left"/>
      </w:pPr>
      <w:r>
        <w:rPr/>
        <w:t>②其他方式取得的长期股权投资 以支付现金方式取得的长期股权投资，按照实际支付的购买价款作为初始投资成本。初</w:t>
      </w:r>
    </w:p>
    <w:p>
      <w:pPr>
        <w:pStyle w:val="BodyText"/>
        <w:spacing w:line="240" w:lineRule="auto" w:before="35"/>
        <w:ind w:right="996"/>
        <w:jc w:val="left"/>
      </w:pPr>
      <w:r>
        <w:rPr/>
        <w:t>始投资成本包括与取得长期股权投资直接相关的费用、税金及其他必要支出。</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352" w:lineRule="auto" w:before="199"/>
        <w:ind w:right="1170" w:firstLine="480"/>
        <w:jc w:val="both"/>
      </w:pPr>
      <w:r>
        <w:rPr/>
        <w:t>以发行权益性证券取得的长期股权投资，按照发行权益性证券的公允价值作为初始投资 成本；发行或取得自身权益工具时发生的交易费用，可直接归属于权益性交易的从权益中扣 减。</w:t>
      </w:r>
    </w:p>
    <w:p>
      <w:pPr>
        <w:pStyle w:val="BodyText"/>
        <w:spacing w:line="350" w:lineRule="auto" w:before="33"/>
        <w:ind w:left="154" w:right="1169" w:firstLine="480"/>
        <w:jc w:val="both"/>
      </w:pPr>
      <w:r>
        <w:rPr/>
        <w:t>在非货币性资产交换具备商业实质和换入资产或换出资产的公允价值能够可靠计量的前 提下，非货币性资产交换换入的长期股权投资以换出资产的公允价值为基础确定其初始投资 成本，除非有确凿证据表明换入资产的公允价值更加可靠；不满足上述前提的非货币性资产 交换，以换出资产的账面价值和应支付的相关税费作为换入长期股权投资的初始投资成本。</w:t>
      </w:r>
    </w:p>
    <w:p>
      <w:pPr>
        <w:pStyle w:val="BodyText"/>
        <w:spacing w:line="240" w:lineRule="auto" w:before="35"/>
        <w:ind w:left="633" w:right="996"/>
        <w:jc w:val="left"/>
      </w:pPr>
      <w:r>
        <w:rPr/>
        <w:t>通过债务重组取得的长期股权投资，其初始投资成本按照公允价值为基础确定。</w:t>
      </w:r>
    </w:p>
    <w:p>
      <w:pPr>
        <w:pStyle w:val="Heading2"/>
        <w:spacing w:line="240" w:lineRule="auto" w:before="146"/>
        <w:ind w:right="996"/>
        <w:jc w:val="left"/>
        <w:rPr>
          <w:b w:val="0"/>
          <w:bCs w:val="0"/>
        </w:rPr>
      </w:pPr>
      <w:r>
        <w:rPr/>
        <w:t>（</w:t>
      </w:r>
      <w:r>
        <w:rPr>
          <w:rFonts w:ascii="宋体" w:hAnsi="宋体" w:cs="宋体" w:eastAsia="宋体" w:hint="default"/>
        </w:rPr>
        <w:t>2</w:t>
      </w:r>
      <w:r>
        <w:rPr/>
        <w:t>）后续计量及损益确认</w:t>
      </w:r>
      <w:r>
        <w:rPr>
          <w:b w:val="0"/>
          <w:bCs w:val="0"/>
        </w:rPr>
      </w:r>
    </w:p>
    <w:p>
      <w:pPr>
        <w:pStyle w:val="BodyText"/>
        <w:spacing w:line="350" w:lineRule="auto" w:before="145"/>
        <w:ind w:left="633" w:right="1153"/>
        <w:jc w:val="left"/>
      </w:pPr>
      <w:r>
        <w:rPr/>
        <w:t>①成本法 本公司能够对被投资单位实施控制的长期股权投资采用成本法核算，并按照初始投资成</w:t>
      </w:r>
    </w:p>
    <w:p>
      <w:pPr>
        <w:pStyle w:val="BodyText"/>
        <w:spacing w:line="350" w:lineRule="auto"/>
        <w:ind w:left="634" w:right="1152" w:hanging="480"/>
        <w:jc w:val="left"/>
      </w:pPr>
      <w:r>
        <w:rPr/>
        <w:t>本计价，追加或收回投资调整长期股权投资的成本。 除取得投资时实际支付的价款或对价中包含的已宣告但尚未发放的现金股利或利润外，</w:t>
      </w:r>
    </w:p>
    <w:p>
      <w:pPr>
        <w:pStyle w:val="BodyText"/>
        <w:spacing w:line="240" w:lineRule="auto" w:before="35"/>
        <w:ind w:left="154" w:right="996"/>
        <w:jc w:val="left"/>
      </w:pPr>
      <w:r>
        <w:rPr/>
        <w:t>本公司按照享有被投资单位宣告分派的现金股利或利润确认为当期投资收益。</w:t>
      </w:r>
    </w:p>
    <w:p>
      <w:pPr>
        <w:pStyle w:val="BodyText"/>
        <w:spacing w:line="350" w:lineRule="auto" w:before="146"/>
        <w:ind w:left="633" w:right="1153"/>
        <w:jc w:val="left"/>
      </w:pPr>
      <w:r>
        <w:rPr/>
        <w:t>②权益法 本公司对联营企业和合营企业的长期股权投资采用权益法核算；对于其中一部分通过风</w:t>
      </w:r>
    </w:p>
    <w:p>
      <w:pPr>
        <w:pStyle w:val="BodyText"/>
        <w:spacing w:line="352" w:lineRule="auto" w:before="35"/>
        <w:ind w:right="1153"/>
        <w:jc w:val="left"/>
      </w:pPr>
      <w:r>
        <w:rPr/>
        <w:t>险投资机构、共同基金、信托公司或包括投连险基金在内的类似主体间接持有的联营企业的 权益性投资，采用公允价值计量且其变动计入损益。</w:t>
      </w:r>
    </w:p>
    <w:p>
      <w:pPr>
        <w:pStyle w:val="BodyText"/>
        <w:spacing w:line="352" w:lineRule="auto" w:before="32"/>
        <w:ind w:left="154" w:right="1170" w:firstLine="480"/>
        <w:jc w:val="both"/>
      </w:pPr>
      <w:r>
        <w:rPr/>
        <w:t>长期股权投资的初始投资成本大于投资时应享有被投资单位可辨认净资产公允价值份额 的差额，不调整长期股权投资的初始投资成本；初始投资成本小于投资时应享有被投资单位 可辨认净资产公允价值份额的差额，计入当期损益。</w:t>
      </w:r>
    </w:p>
    <w:p>
      <w:pPr>
        <w:pStyle w:val="BodyText"/>
        <w:spacing w:line="350" w:lineRule="auto" w:before="32"/>
        <w:ind w:left="154" w:right="1170" w:firstLine="480"/>
        <w:jc w:val="both"/>
      </w:pPr>
      <w:r>
        <w:rPr/>
        <w:t>本公司取得长期股权投资后，按照应享有或应分担的被投资单位实现的净损益和其他综 合收益的份额，分别确认投资收益和其他综合收益，同时调整长期股权投资的账面价值；并 按照被投资单位宣告分派的利润或现金股利计算应享有的部分，相应减少长期股权投资的账 面价值；对于被投资单位除净损益、其他综合收益和利润分配以外所有者权益的其他变动， 调整长期股权投资的账面价值并计入所有者权益。</w:t>
      </w:r>
    </w:p>
    <w:p>
      <w:pPr>
        <w:pStyle w:val="BodyText"/>
        <w:spacing w:line="352" w:lineRule="auto"/>
        <w:ind w:left="154" w:right="1152" w:firstLine="480"/>
        <w:jc w:val="left"/>
      </w:pPr>
      <w:r>
        <w:rPr/>
        <w:t>本公司在确认应享有被投资单位净损益的份额时，以取得投资时被投资单位各项可辨认 资产等的公允价值为基础，对被投资单位的净利润进行调整后确认。本公司与联营企业、合 营企业之间发生的未实现内部交易损益按照应享有的比例计算归属于本公司的部分予以抵 销，在此基础上确认投资损益。</w:t>
      </w:r>
    </w:p>
    <w:p>
      <w:pPr>
        <w:spacing w:after="0" w:line="352"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350" w:lineRule="auto" w:before="199"/>
        <w:ind w:right="1170" w:firstLine="480"/>
        <w:jc w:val="both"/>
      </w:pPr>
      <w:r>
        <w:rPr/>
        <w:t>本公司确认应分担被投资单位发生的亏损时，按照以下顺序进行处理：首先，冲减长期 股权投资的账面价值。其次，长期股权投资的账面价值不足以冲减的，以其他实质上构成对 被投资单位净投资的长期权益账面价值为限继续确认投资损失，冲减长期应收项目等的账面 价值。最后，经过上述处理，按照投资合同或协议约定企业仍承担额外义务的，按预计承担 的义务确认预计负债，计入当期投资损失。</w:t>
      </w:r>
    </w:p>
    <w:p>
      <w:pPr>
        <w:pStyle w:val="BodyText"/>
        <w:spacing w:line="350" w:lineRule="auto"/>
        <w:ind w:right="1170" w:firstLine="480"/>
        <w:jc w:val="both"/>
      </w:pPr>
      <w:r>
        <w:rPr/>
        <w:t>被投资单位以后期间实现盈利的，公司在扣除未确认的亏损分担额后，按与上述相反的 顺序处理，减记已确认预计负债的账面余额、恢复其他实质上构成对被投资单位净投资的长 期权益及长期股权投资的账面价值后，恢复确认投资收益。</w:t>
      </w:r>
    </w:p>
    <w:p>
      <w:pPr>
        <w:pStyle w:val="Heading2"/>
        <w:spacing w:line="240" w:lineRule="auto" w:before="36"/>
        <w:ind w:right="996"/>
        <w:jc w:val="left"/>
        <w:rPr>
          <w:b w:val="0"/>
          <w:bCs w:val="0"/>
        </w:rPr>
      </w:pPr>
      <w:r>
        <w:rPr/>
        <w:t>（</w:t>
      </w:r>
      <w:r>
        <w:rPr>
          <w:rFonts w:ascii="宋体" w:hAnsi="宋体" w:cs="宋体" w:eastAsia="宋体" w:hint="default"/>
        </w:rPr>
        <w:t>3</w:t>
      </w:r>
      <w:r>
        <w:rPr/>
        <w:t>）长期股权投资核算方法的转换</w:t>
      </w:r>
      <w:r>
        <w:rPr>
          <w:b w:val="0"/>
          <w:bCs w:val="0"/>
        </w:rPr>
      </w:r>
    </w:p>
    <w:p>
      <w:pPr>
        <w:pStyle w:val="BodyText"/>
        <w:spacing w:line="350" w:lineRule="auto" w:before="145"/>
        <w:ind w:left="633" w:right="1153"/>
        <w:jc w:val="left"/>
      </w:pPr>
      <w:r>
        <w:rPr/>
        <w:t>①公允价值计量转权益法核算 本公司原持有的对被投资单位不具有控制、共同控制或重大影响的按金融工具确认和计</w:t>
      </w:r>
    </w:p>
    <w:p>
      <w:pPr>
        <w:pStyle w:val="BodyText"/>
        <w:spacing w:line="350" w:lineRule="auto"/>
        <w:ind w:right="995"/>
        <w:jc w:val="left"/>
      </w:pPr>
      <w:r>
        <w:rPr/>
        <w:t>量准则进行会计处理的权益性投资，因追加投资等原因能够对被投资单位施加重大影响或实 施共同控制但不构成控制的，按照《企业会计准则第</w:t>
      </w:r>
      <w:r>
        <w:rPr>
          <w:rFonts w:ascii="宋体" w:hAnsi="宋体" w:cs="宋体" w:eastAsia="宋体" w:hint="default"/>
        </w:rPr>
        <w:t>22</w:t>
      </w:r>
      <w:r>
        <w:rPr/>
        <w:t>号——金融工具确认和计量》确定的 </w:t>
      </w:r>
      <w:r>
        <w:rPr>
          <w:spacing w:val="-2"/>
        </w:rPr>
        <w:t>原持有的股权投资的公允价值加上新增投资成本之和，作为改按权益法核算的初始投资成本。</w:t>
      </w:r>
    </w:p>
    <w:p>
      <w:pPr>
        <w:pStyle w:val="BodyText"/>
        <w:spacing w:line="350" w:lineRule="auto"/>
        <w:ind w:left="154" w:right="1170" w:firstLine="480"/>
        <w:jc w:val="both"/>
      </w:pPr>
      <w:r>
        <w:rPr/>
        <w:t>原持有的股权投资分类为可供出售金融资产的，其公允价值与账面价值之间的差额，以 及原计入其他综合收益的累计公允价值变动转入改按权益法核算的当期损益。</w:t>
      </w:r>
    </w:p>
    <w:p>
      <w:pPr>
        <w:pStyle w:val="BodyText"/>
        <w:spacing w:line="352" w:lineRule="auto" w:before="35"/>
        <w:ind w:left="154" w:right="1170" w:firstLine="480"/>
        <w:jc w:val="both"/>
      </w:pPr>
      <w:r>
        <w:rPr/>
        <w:t>按权益法核算的初始投资成本小于按照追加投资后全新的持股比例计算确定的应享有被 投资单位在追加投资日可辨认净资产公允价值份额之间的差额，调整长期股权投资的账面价 值，并计入当期营业外收入。</w:t>
      </w:r>
    </w:p>
    <w:p>
      <w:pPr>
        <w:pStyle w:val="BodyText"/>
        <w:spacing w:line="352" w:lineRule="auto" w:before="32"/>
        <w:ind w:left="634" w:right="1152"/>
        <w:jc w:val="left"/>
      </w:pPr>
      <w:r>
        <w:rPr/>
        <w:t>②公允价值计量或权益法核算转成本法核算 本公司原持有的对被投资单位不具有控制、共同控制或重大影响的按金融工具确认和计</w:t>
      </w:r>
    </w:p>
    <w:p>
      <w:pPr>
        <w:pStyle w:val="BodyText"/>
        <w:spacing w:line="350" w:lineRule="auto" w:before="32"/>
        <w:ind w:left="0" w:right="1170"/>
        <w:jc w:val="right"/>
      </w:pPr>
      <w:r>
        <w:rPr/>
        <w:t>量准则进行会计处理的权益性投资，或原持有对联营企业、合营企业的长期股权投资，因追 加投资等原因能够对非同一控制下的被投资单位实施控制的，在编制个别财务报表时，按照 原持有的股权投资账面价值加上新增投资成本之和，作为改按成本法核算的初始投资成本。 购买日之前持有的股权投资因采用权益法核算而确认的其他综合收益，在处置该项投资</w:t>
      </w:r>
    </w:p>
    <w:p>
      <w:pPr>
        <w:pStyle w:val="BodyText"/>
        <w:spacing w:line="352" w:lineRule="auto" w:before="35"/>
        <w:ind w:left="633" w:right="1153" w:hanging="480"/>
        <w:jc w:val="left"/>
      </w:pPr>
      <w:r>
        <w:rPr/>
        <w:t>时采用与被投资单位直接处置相关资产或负债相同的基础进行会计处理。 购买日之前持有的股权投资按照《企业会计准则第</w:t>
      </w:r>
      <w:r>
        <w:rPr>
          <w:rFonts w:ascii="宋体" w:hAnsi="宋体" w:cs="宋体" w:eastAsia="宋体" w:hint="default"/>
        </w:rPr>
        <w:t>22</w:t>
      </w:r>
      <w:r>
        <w:rPr/>
        <w:t>号——金融工具确认和计量》的有</w:t>
      </w:r>
    </w:p>
    <w:p>
      <w:pPr>
        <w:pStyle w:val="BodyText"/>
        <w:spacing w:line="350" w:lineRule="auto" w:before="33"/>
        <w:ind w:right="1153"/>
        <w:jc w:val="left"/>
      </w:pPr>
      <w:r>
        <w:rPr/>
        <w:t>关规定进行会计处理的，原计入其他综合收益的累计公允价值变动在改按成本法核算时转入 当期损益。</w:t>
      </w:r>
    </w:p>
    <w:p>
      <w:pPr>
        <w:pStyle w:val="BodyText"/>
        <w:spacing w:line="240" w:lineRule="auto"/>
        <w:ind w:left="633" w:right="996"/>
        <w:jc w:val="left"/>
      </w:pPr>
      <w:r>
        <w:rPr/>
        <w:t>③权益法核算转公允价值计量</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352" w:lineRule="auto" w:before="199"/>
        <w:ind w:right="1169" w:firstLine="480"/>
        <w:jc w:val="both"/>
      </w:pPr>
      <w:r>
        <w:rPr/>
        <w:t>本公司因处置部分股权投资等原因丧失了对被投资单位的共同控制或重大影响的，处置 后的剩余股权改按《企业会计准则第</w:t>
      </w:r>
      <w:r>
        <w:rPr>
          <w:rFonts w:ascii="宋体" w:hAnsi="宋体" w:cs="宋体" w:eastAsia="宋体" w:hint="default"/>
        </w:rPr>
        <w:t>22</w:t>
      </w:r>
      <w:r>
        <w:rPr/>
        <w:t>号——金融工具确认和计量》核算，其在丧失共同控 制或重大影响之日的公允价值与账面价值之间的差额计入当期损益。</w:t>
      </w:r>
    </w:p>
    <w:p>
      <w:pPr>
        <w:pStyle w:val="BodyText"/>
        <w:spacing w:line="350" w:lineRule="auto" w:before="33"/>
        <w:ind w:right="1170" w:firstLine="480"/>
        <w:jc w:val="both"/>
      </w:pPr>
      <w:r>
        <w:rPr/>
        <w:t>原股权投资因采用权益法核算而确认的其他综合收益，在终止采用权益法核算时采用与 被投资单位直接处置相关资产或负债相同的基础进行会计处理。</w:t>
      </w:r>
    </w:p>
    <w:p>
      <w:pPr>
        <w:pStyle w:val="BodyText"/>
        <w:spacing w:line="350" w:lineRule="auto"/>
        <w:ind w:left="634" w:right="1152"/>
        <w:jc w:val="left"/>
      </w:pPr>
      <w:r>
        <w:rPr/>
        <w:t>④成本法转权益法 本公司因处置部分权益性投资等原因丧失了对被投资单位的控制的，在编制个别财务报</w:t>
      </w:r>
    </w:p>
    <w:p>
      <w:pPr>
        <w:pStyle w:val="BodyText"/>
        <w:spacing w:line="352" w:lineRule="auto" w:before="35"/>
        <w:ind w:left="154" w:right="1170"/>
        <w:jc w:val="both"/>
      </w:pPr>
      <w:r>
        <w:rPr/>
        <w:t>表时，处置后的剩余股权能够对被投资单位实施共同控制或施加重大影响的，改按权益法核 算，并对该剩余股权视同自取得时即采用权益法核算进行调整。</w:t>
      </w:r>
    </w:p>
    <w:p>
      <w:pPr>
        <w:pStyle w:val="BodyText"/>
        <w:spacing w:line="350" w:lineRule="auto" w:before="32"/>
        <w:ind w:left="633" w:right="1153"/>
        <w:jc w:val="left"/>
      </w:pPr>
      <w:r>
        <w:rPr/>
        <w:t>⑤成本法转公允价值计量 本公司因处置部分权益性投资等原因丧失了对被投资单位的控制的，在编制个别财务报</w:t>
      </w:r>
    </w:p>
    <w:p>
      <w:pPr>
        <w:pStyle w:val="BodyText"/>
        <w:spacing w:line="350" w:lineRule="auto"/>
        <w:ind w:right="1171"/>
        <w:jc w:val="both"/>
      </w:pPr>
      <w:r>
        <w:rPr/>
        <w:t>表时，处置后的剩余股权不能对被投资单位实施共同控制或施加重大影响的，改按《企业会 计准则第</w:t>
      </w:r>
      <w:r>
        <w:rPr>
          <w:rFonts w:ascii="宋体" w:hAnsi="宋体" w:cs="宋体" w:eastAsia="宋体" w:hint="default"/>
        </w:rPr>
        <w:t>22</w:t>
      </w:r>
      <w:r>
        <w:rPr/>
        <w:t>号——金融工具确认和计量》的有关规定进行会计处理，其在丧失控制之日的公 允价值与账面价值间的差额计入当期损益。</w:t>
      </w:r>
    </w:p>
    <w:p>
      <w:pPr>
        <w:spacing w:line="350" w:lineRule="auto" w:before="36"/>
        <w:ind w:left="634" w:right="1152" w:firstLine="2"/>
        <w:jc w:val="left"/>
        <w:rPr>
          <w:rFonts w:ascii="宋体" w:hAnsi="宋体" w:cs="宋体" w:eastAsia="宋体" w:hint="default"/>
          <w:sz w:val="24"/>
          <w:szCs w:val="24"/>
        </w:rPr>
      </w:pPr>
      <w:r>
        <w:rPr>
          <w:rFonts w:ascii="宋体" w:hAnsi="宋体" w:cs="宋体" w:eastAsia="宋体" w:hint="default"/>
          <w:b/>
          <w:bCs/>
          <w:sz w:val="24"/>
          <w:szCs w:val="24"/>
        </w:rPr>
        <w:t>（</w:t>
      </w:r>
      <w:r>
        <w:rPr>
          <w:rFonts w:ascii="宋体" w:hAnsi="宋体" w:cs="宋体" w:eastAsia="宋体" w:hint="default"/>
          <w:b/>
          <w:bCs/>
          <w:sz w:val="24"/>
          <w:szCs w:val="24"/>
        </w:rPr>
        <w:t>4</w:t>
      </w:r>
      <w:r>
        <w:rPr>
          <w:rFonts w:ascii="宋体" w:hAnsi="宋体" w:cs="宋体" w:eastAsia="宋体" w:hint="default"/>
          <w:b/>
          <w:bCs/>
          <w:sz w:val="24"/>
          <w:szCs w:val="24"/>
        </w:rPr>
        <w:t>）长期股权投资的处置</w:t>
      </w:r>
      <w:r>
        <w:rPr>
          <w:rFonts w:ascii="宋体" w:hAnsi="宋体" w:cs="宋体" w:eastAsia="宋体" w:hint="default"/>
          <w:b/>
          <w:bCs/>
          <w:w w:val="99"/>
          <w:sz w:val="24"/>
          <w:szCs w:val="24"/>
        </w:rPr>
        <w:t> </w:t>
      </w:r>
      <w:r>
        <w:rPr>
          <w:rFonts w:ascii="宋体" w:hAnsi="宋体" w:cs="宋体" w:eastAsia="宋体" w:hint="default"/>
          <w:sz w:val="24"/>
          <w:szCs w:val="24"/>
        </w:rPr>
        <w:t>处置长期股权投资，其账面价值与实际取得价款之间的差额，应当计入当期损益。采用</w:t>
      </w:r>
    </w:p>
    <w:p>
      <w:pPr>
        <w:pStyle w:val="BodyText"/>
        <w:spacing w:line="352" w:lineRule="auto" w:before="35"/>
        <w:ind w:left="154" w:right="1170"/>
        <w:jc w:val="both"/>
      </w:pPr>
      <w:r>
        <w:rPr/>
        <w:t>权益法核算的长期股权投资，在处置该项投资时，采用与被投资单位直接处置相关资产或负 债相同的基础，按相应比例对原计入其他综合收益的部分进行会计处理。</w:t>
      </w:r>
    </w:p>
    <w:p>
      <w:pPr>
        <w:pStyle w:val="BodyText"/>
        <w:spacing w:line="350" w:lineRule="auto" w:before="32"/>
        <w:ind w:right="996" w:firstLine="480"/>
        <w:jc w:val="left"/>
      </w:pPr>
      <w:r>
        <w:rPr>
          <w:spacing w:val="-3"/>
        </w:rPr>
        <w:t>处置对子公司股权投资的各项交易的条款、条件以及经济影响符合以下一种或多种情况，</w:t>
      </w:r>
      <w:r>
        <w:rPr/>
        <w:t> 将多次交易事项作为一揽子交易进行会计处理：</w:t>
      </w:r>
    </w:p>
    <w:p>
      <w:pPr>
        <w:pStyle w:val="BodyText"/>
        <w:spacing w:line="240" w:lineRule="auto"/>
        <w:ind w:left="754" w:right="996"/>
        <w:jc w:val="left"/>
      </w:pPr>
      <w:r>
        <w:rPr/>
        <w:t>①这些交易是同时或者在考虑了彼此影响的情况下订立的；</w:t>
      </w:r>
    </w:p>
    <w:p>
      <w:pPr>
        <w:pStyle w:val="BodyText"/>
        <w:spacing w:line="240" w:lineRule="auto" w:before="145"/>
        <w:ind w:left="754" w:right="996"/>
        <w:jc w:val="left"/>
      </w:pPr>
      <w:r>
        <w:rPr/>
        <w:t>②这些交易整体才能达成一项完整的商业结果；</w:t>
      </w:r>
    </w:p>
    <w:p>
      <w:pPr>
        <w:pStyle w:val="BodyText"/>
        <w:spacing w:line="240" w:lineRule="auto" w:before="145"/>
        <w:ind w:left="754" w:right="996"/>
        <w:jc w:val="left"/>
      </w:pPr>
      <w:r>
        <w:rPr/>
        <w:t>③一项交易的发生取决于其他至少一项交易的发生；</w:t>
      </w:r>
    </w:p>
    <w:p>
      <w:pPr>
        <w:pStyle w:val="BodyText"/>
        <w:spacing w:line="350" w:lineRule="auto" w:before="146"/>
        <w:ind w:left="633" w:right="1153" w:firstLine="120"/>
        <w:jc w:val="left"/>
      </w:pPr>
      <w:r>
        <w:rPr/>
        <w:t>④一项交易单独看是不经济的，但是和其他交易一并考虑时是经济的。 因处置部分股权投资或其他原因丧失了对原有子公司控制权的，不属于一揽子交易的，</w:t>
      </w:r>
    </w:p>
    <w:p>
      <w:pPr>
        <w:pStyle w:val="BodyText"/>
        <w:spacing w:line="240" w:lineRule="auto" w:before="35"/>
        <w:ind w:right="0"/>
        <w:jc w:val="both"/>
      </w:pPr>
      <w:r>
        <w:rPr/>
        <w:t>区分个别财务报表和合并财务报表进行相关会计处理：</w:t>
      </w:r>
    </w:p>
    <w:p>
      <w:pPr>
        <w:pStyle w:val="BodyText"/>
        <w:spacing w:line="352" w:lineRule="auto" w:before="146"/>
        <w:ind w:right="1130" w:firstLine="600"/>
        <w:jc w:val="both"/>
      </w:pPr>
      <w:r>
        <w:rPr>
          <w:spacing w:val="-3"/>
        </w:rPr>
        <w:t>①在个别财务报表中，对于处置的股权，其账面价值与实际取得价款之间的差额计入当</w:t>
      </w:r>
      <w:r>
        <w:rPr/>
        <w:t> 期损益。处置后的剩余股权能够对被投资单位实施共同控制或施加重大影响的，改按权益法 核算，并对该剩余股权视同自取得时即采用权益法核算进行调整；处置后的剩余股权不能对 被投资单位实施共同控制或施加重大影响的，改按《企业会计准则第</w:t>
      </w:r>
      <w:r>
        <w:rPr>
          <w:rFonts w:ascii="宋体" w:hAnsi="宋体" w:cs="宋体" w:eastAsia="宋体" w:hint="default"/>
        </w:rPr>
        <w:t>22</w:t>
      </w:r>
      <w:r>
        <w:rPr/>
        <w:t>号——金融工具确认</w:t>
      </w:r>
    </w:p>
    <w:p>
      <w:pPr>
        <w:spacing w:after="0" w:line="352" w:lineRule="auto"/>
        <w:jc w:val="both"/>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350" w:lineRule="auto" w:before="199"/>
        <w:ind w:right="1153"/>
        <w:jc w:val="left"/>
      </w:pPr>
      <w:r>
        <w:rPr/>
        <w:t>和计量》的有关规定进行会计处理，其在丧失控制之日的公允价值与账面价值间的差额计入 当期损益。</w:t>
      </w:r>
    </w:p>
    <w:p>
      <w:pPr>
        <w:pStyle w:val="BodyText"/>
        <w:spacing w:line="350" w:lineRule="auto"/>
        <w:ind w:right="996" w:firstLine="480"/>
        <w:jc w:val="left"/>
      </w:pPr>
      <w:r>
        <w:rPr/>
        <w:t>②在合并财务报表中，对于在丧失对子公司控制权以前的各项交易，处置价款与处置长 期股权投资相应对享有子公司自购买日或合并日开始持续计算的净资产份额之间的差额，调 </w:t>
      </w:r>
      <w:r>
        <w:rPr>
          <w:spacing w:val="-3"/>
        </w:rPr>
        <w:t>整资本公积（股本溢价），资本公积不足冲减的，调整留存收益；在丧失对子公司控制权时，</w:t>
      </w:r>
      <w:r>
        <w:rPr>
          <w:spacing w:val="-82"/>
        </w:rPr>
        <w:t> </w:t>
      </w:r>
      <w:r>
        <w:rPr>
          <w:spacing w:val="-82"/>
        </w:rPr>
      </w:r>
      <w:r>
        <w:rPr/>
        <w:t>对于剩余股权，按照其在丧失控制权日的公允价值进行重新计量。处置股权取得的对价与剩 余股权公允价值之和，减去按原持股比例计算应享有原有子公司自购买日开始持续计算的净 资产的份额之间的差额，计入丧失控制权当期的投资收益，同时冲减商誉。与原有子公司股 权投资相关的其他综合收益等，在丧失控制权时转为当期投资收益。</w:t>
      </w:r>
    </w:p>
    <w:p>
      <w:pPr>
        <w:pStyle w:val="BodyText"/>
        <w:spacing w:line="352" w:lineRule="auto" w:before="35"/>
        <w:ind w:right="1169" w:firstLine="480"/>
        <w:jc w:val="both"/>
      </w:pPr>
      <w:r>
        <w:rPr/>
        <w:t>处置对子公司股权投资直至丧失控制权的各项交易属于一揽子交易的，将各项交易作为 一项处置子公司股权投资并丧失控制权的交易进行会计处理，区分个别财务报表和合并财务 报表进行相关会计处理：</w:t>
      </w:r>
    </w:p>
    <w:p>
      <w:pPr>
        <w:pStyle w:val="BodyText"/>
        <w:spacing w:line="352" w:lineRule="auto" w:before="32"/>
        <w:ind w:right="1169" w:firstLine="480"/>
        <w:jc w:val="both"/>
      </w:pPr>
      <w:r>
        <w:rPr/>
        <w:t>①在个别财务报表中，在丧失控制权之前每一次处置价款与处置的股权对应的长期股权 投资账面价值之间的差额，确认为其他综合收益，在丧失控制权时一并转入丧失控制权当期 的损益。</w:t>
      </w:r>
    </w:p>
    <w:p>
      <w:pPr>
        <w:pStyle w:val="BodyText"/>
        <w:spacing w:line="352" w:lineRule="auto" w:before="33"/>
        <w:ind w:right="1169" w:firstLine="480"/>
        <w:jc w:val="both"/>
      </w:pPr>
      <w:r>
        <w:rPr/>
        <w:t>②在合并财务报表中，在丧失控制权之前每一次处置价款与处置投资对应的享有该子公 司净资产份额的差额，确认为其他综合收益，在丧失控制权时一并转入丧失控制权当期的损 益。</w:t>
      </w:r>
    </w:p>
    <w:p>
      <w:pPr>
        <w:spacing w:line="350" w:lineRule="auto" w:before="32"/>
        <w:ind w:left="634" w:right="1152" w:firstLine="2"/>
        <w:jc w:val="left"/>
        <w:rPr>
          <w:rFonts w:ascii="宋体" w:hAnsi="宋体" w:cs="宋体" w:eastAsia="宋体" w:hint="default"/>
          <w:sz w:val="24"/>
          <w:szCs w:val="24"/>
        </w:rPr>
      </w:pPr>
      <w:r>
        <w:rPr>
          <w:rFonts w:ascii="宋体" w:hAnsi="宋体" w:cs="宋体" w:eastAsia="宋体" w:hint="default"/>
          <w:b/>
          <w:bCs/>
          <w:sz w:val="24"/>
          <w:szCs w:val="24"/>
        </w:rPr>
        <w:t>（</w:t>
      </w:r>
      <w:r>
        <w:rPr>
          <w:rFonts w:ascii="宋体" w:hAnsi="宋体" w:cs="宋体" w:eastAsia="宋体" w:hint="default"/>
          <w:b/>
          <w:bCs/>
          <w:sz w:val="24"/>
          <w:szCs w:val="24"/>
        </w:rPr>
        <w:t>5</w:t>
      </w:r>
      <w:r>
        <w:rPr>
          <w:rFonts w:ascii="宋体" w:hAnsi="宋体" w:cs="宋体" w:eastAsia="宋体" w:hint="default"/>
          <w:b/>
          <w:bCs/>
          <w:sz w:val="24"/>
          <w:szCs w:val="24"/>
        </w:rPr>
        <w:t>）共同控制、重大影响的判断标准</w:t>
      </w:r>
      <w:r>
        <w:rPr>
          <w:rFonts w:ascii="宋体" w:hAnsi="宋体" w:cs="宋体" w:eastAsia="宋体" w:hint="default"/>
          <w:b/>
          <w:bCs/>
          <w:w w:val="99"/>
          <w:sz w:val="24"/>
          <w:szCs w:val="24"/>
        </w:rPr>
        <w:t> </w:t>
      </w:r>
      <w:r>
        <w:rPr>
          <w:rFonts w:ascii="宋体" w:hAnsi="宋体" w:cs="宋体" w:eastAsia="宋体" w:hint="default"/>
          <w:sz w:val="24"/>
          <w:szCs w:val="24"/>
        </w:rPr>
        <w:t>如果本公司按照相关约定与其他参与方集体控制某项安排，并且对该安排回报具有重大</w:t>
      </w:r>
    </w:p>
    <w:p>
      <w:pPr>
        <w:pStyle w:val="BodyText"/>
        <w:spacing w:line="350" w:lineRule="auto"/>
        <w:ind w:left="154" w:right="1152"/>
        <w:jc w:val="left"/>
      </w:pPr>
      <w:r>
        <w:rPr/>
        <w:t>影响的活动决策，需要经过分享控制权的参与方一致同意时才存在，则视为本公司与其他参 与方共同控制某项安排，该安排即属于合营安排。</w:t>
      </w:r>
    </w:p>
    <w:p>
      <w:pPr>
        <w:pStyle w:val="BodyText"/>
        <w:spacing w:line="350" w:lineRule="auto" w:before="35"/>
        <w:ind w:left="154" w:right="1170" w:firstLine="480"/>
        <w:jc w:val="both"/>
      </w:pPr>
      <w:r>
        <w:rPr/>
        <w:t>合营安排通过单独主体达成的，根据相关约定判断本公司对该单独主体的净资产享有权 利时，将该单独主体作为合营企业，采用权益法核算。若根据相关约定判断本公司并非对该 单独主体的净资产享有权利时，该单独主体作为共同经营，本公司确认与共同经营利益份额 相关的项目，并按照相关企业会计准则的规定进行会计处理。</w:t>
      </w:r>
    </w:p>
    <w:p>
      <w:pPr>
        <w:pStyle w:val="BodyText"/>
        <w:spacing w:line="352" w:lineRule="auto"/>
        <w:ind w:right="1169" w:firstLine="480"/>
        <w:jc w:val="both"/>
      </w:pPr>
      <w:r>
        <w:rPr/>
        <w:t>重大影响，是指投资方对被投资单位的财务和经营政策有参与决策的权力，但并不能够 控制或者与其他方一起共同控制这些政策的制定。本公司通过以下一种或多种情形，并综合 考虑所有事实和情况后，判断对被投资单位具有重大影响。①在被投资单位的董事会或类似 权力机构中派有代表；②参与被投资单位财务和经营政策制定过程；③与被投资单位之间发</w:t>
      </w:r>
    </w:p>
    <w:p>
      <w:pPr>
        <w:spacing w:after="0" w:line="352" w:lineRule="auto"/>
        <w:jc w:val="both"/>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484" w:lineRule="auto" w:before="199"/>
        <w:ind w:right="2113"/>
        <w:jc w:val="left"/>
        <w:rPr>
          <w:rFonts w:ascii="宋体" w:hAnsi="宋体" w:cs="宋体" w:eastAsia="宋体" w:hint="default"/>
        </w:rPr>
      </w:pPr>
      <w:r>
        <w:rPr/>
        <w:t>生重要交易；④向被投资单位派出管理人员；⑤向被投资单位提供关键技术资料。 </w:t>
      </w:r>
      <w:bookmarkStart w:name="15、投资性房地产" w:id="217"/>
      <w:bookmarkEnd w:id="217"/>
      <w:r>
        <w:rPr/>
      </w:r>
      <w:r>
        <w:rPr>
          <w:rFonts w:ascii="宋体" w:hAnsi="宋体" w:cs="宋体" w:eastAsia="宋体" w:hint="default"/>
          <w:b/>
          <w:bCs/>
        </w:rPr>
        <w:t>15</w:t>
      </w:r>
      <w:r>
        <w:rPr>
          <w:rFonts w:ascii="宋体" w:hAnsi="宋体" w:cs="宋体" w:eastAsia="宋体" w:hint="default"/>
          <w:b/>
          <w:bCs/>
        </w:rPr>
        <w:t>、投资性房地产</w:t>
      </w:r>
      <w:r>
        <w:rPr>
          <w:rFonts w:ascii="宋体" w:hAnsi="宋体" w:cs="宋体" w:eastAsia="宋体" w:hint="default"/>
        </w:rPr>
      </w:r>
    </w:p>
    <w:p>
      <w:pPr>
        <w:pStyle w:val="BodyText"/>
        <w:spacing w:line="352" w:lineRule="auto" w:before="179"/>
        <w:ind w:left="633" w:right="7873"/>
        <w:jc w:val="left"/>
      </w:pPr>
      <w:r>
        <w:rPr/>
        <w:t>投资性房地产计量模式 不适用</w:t>
      </w:r>
    </w:p>
    <w:p>
      <w:pPr>
        <w:pStyle w:val="Heading2"/>
        <w:spacing w:line="240" w:lineRule="auto" w:before="208"/>
        <w:ind w:left="153" w:right="996"/>
        <w:jc w:val="left"/>
        <w:rPr>
          <w:b w:val="0"/>
          <w:bCs w:val="0"/>
        </w:rPr>
      </w:pPr>
      <w:bookmarkStart w:name="16、固定资产" w:id="218"/>
      <w:bookmarkEnd w:id="218"/>
      <w:r>
        <w:rPr>
          <w:b w:val="0"/>
          <w:bCs w:val="0"/>
        </w:rPr>
      </w:r>
      <w:r>
        <w:rPr>
          <w:rFonts w:ascii="宋体" w:hAnsi="宋体" w:cs="宋体" w:eastAsia="宋体" w:hint="default"/>
        </w:rPr>
        <w:t>16</w:t>
      </w:r>
      <w:r>
        <w:rPr/>
        <w:t>、固定资产</w:t>
      </w:r>
      <w:r>
        <w:rPr>
          <w:b w:val="0"/>
          <w:bCs w:val="0"/>
        </w:rPr>
      </w:r>
    </w:p>
    <w:p>
      <w:pPr>
        <w:spacing w:line="240" w:lineRule="auto" w:before="5"/>
        <w:rPr>
          <w:rFonts w:ascii="宋体" w:hAnsi="宋体" w:cs="宋体" w:eastAsia="宋体" w:hint="default"/>
          <w:b/>
          <w:bCs/>
          <w:sz w:val="32"/>
          <w:szCs w:val="32"/>
        </w:rPr>
      </w:pPr>
    </w:p>
    <w:p>
      <w:pPr>
        <w:pStyle w:val="BodyText"/>
        <w:spacing w:line="350" w:lineRule="auto" w:before="0"/>
        <w:ind w:left="633" w:right="1153" w:firstLine="2"/>
        <w:jc w:val="left"/>
      </w:pPr>
      <w:r>
        <w:rPr>
          <w:rFonts w:ascii="宋体" w:hAnsi="宋体" w:cs="宋体" w:eastAsia="宋体" w:hint="default"/>
          <w:b/>
          <w:bCs/>
        </w:rPr>
        <w:t>（</w:t>
      </w:r>
      <w:r>
        <w:rPr>
          <w:rFonts w:ascii="宋体" w:hAnsi="宋体" w:cs="宋体" w:eastAsia="宋体" w:hint="default"/>
          <w:b/>
          <w:bCs/>
        </w:rPr>
        <w:t>1</w:t>
      </w:r>
      <w:r>
        <w:rPr>
          <w:rFonts w:ascii="宋体" w:hAnsi="宋体" w:cs="宋体" w:eastAsia="宋体" w:hint="default"/>
          <w:b/>
          <w:bCs/>
        </w:rPr>
        <w:t>）确认条件</w:t>
      </w:r>
      <w:r>
        <w:rPr>
          <w:rFonts w:ascii="宋体" w:hAnsi="宋体" w:cs="宋体" w:eastAsia="宋体" w:hint="default"/>
          <w:b/>
          <w:bCs/>
          <w:w w:val="99"/>
        </w:rPr>
        <w:t> </w:t>
      </w:r>
      <w:r>
        <w:rPr/>
        <w:t>固定资产指为生产商品、提供劳务、出租或经营管理而持有，并且使用寿命超过一个会</w:t>
      </w:r>
    </w:p>
    <w:p>
      <w:pPr>
        <w:pStyle w:val="BodyText"/>
        <w:spacing w:line="350" w:lineRule="auto"/>
        <w:ind w:right="1153"/>
        <w:jc w:val="left"/>
      </w:pPr>
      <w:r>
        <w:rPr/>
        <w:t>计年度的有形资产。固定资产在同时满足下列条件时予以确认：①与该固定资产有关的经济 利益很可能流入企业；②该固定资产的成本能够可靠地计量。</w:t>
      </w:r>
    </w:p>
    <w:p>
      <w:pPr>
        <w:pStyle w:val="Heading2"/>
        <w:spacing w:line="240" w:lineRule="auto" w:before="35"/>
        <w:ind w:right="996"/>
        <w:jc w:val="left"/>
        <w:rPr>
          <w:b w:val="0"/>
          <w:bCs w:val="0"/>
        </w:rPr>
      </w:pPr>
      <w:r>
        <w:rPr/>
        <w:t>（</w:t>
      </w:r>
      <w:r>
        <w:rPr>
          <w:rFonts w:ascii="宋体" w:hAnsi="宋体" w:cs="宋体" w:eastAsia="宋体" w:hint="default"/>
        </w:rPr>
        <w:t>2</w:t>
      </w:r>
      <w:r>
        <w:rPr/>
        <w:t>）折旧方法</w:t>
      </w:r>
      <w:r>
        <w:rPr>
          <w:b w:val="0"/>
          <w:bCs w:val="0"/>
        </w:rPr>
      </w:r>
    </w:p>
    <w:p>
      <w:pPr>
        <w:spacing w:line="240" w:lineRule="auto" w:before="6"/>
        <w:rPr>
          <w:rFonts w:ascii="宋体" w:hAnsi="宋体" w:cs="宋体" w:eastAsia="宋体" w:hint="default"/>
          <w:b/>
          <w:bCs/>
          <w:sz w:val="4"/>
          <w:szCs w:val="4"/>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702"/>
        <w:gridCol w:w="1701"/>
        <w:gridCol w:w="2340"/>
      </w:tblGrid>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类别</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531" w:right="0"/>
              <w:jc w:val="left"/>
              <w:rPr>
                <w:rFonts w:ascii="宋体" w:hAnsi="宋体" w:cs="宋体" w:eastAsia="宋体" w:hint="default"/>
                <w:sz w:val="21"/>
                <w:szCs w:val="21"/>
              </w:rPr>
            </w:pPr>
            <w:r>
              <w:rPr>
                <w:rFonts w:ascii="宋体" w:hAnsi="宋体" w:cs="宋体" w:eastAsia="宋体" w:hint="default"/>
                <w:sz w:val="21"/>
                <w:szCs w:val="21"/>
              </w:rPr>
              <w:t>折旧方法</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24" w:right="0"/>
              <w:jc w:val="left"/>
              <w:rPr>
                <w:rFonts w:ascii="宋体" w:hAnsi="宋体" w:cs="宋体" w:eastAsia="宋体" w:hint="default"/>
                <w:sz w:val="21"/>
                <w:szCs w:val="21"/>
              </w:rPr>
            </w:pPr>
            <w:r>
              <w:rPr>
                <w:rFonts w:ascii="宋体" w:hAnsi="宋体" w:cs="宋体" w:eastAsia="宋体" w:hint="default"/>
                <w:sz w:val="21"/>
                <w:szCs w:val="21"/>
              </w:rPr>
              <w:t>折旧年限</w:t>
            </w:r>
          </w:p>
        </w:tc>
        <w:tc>
          <w:tcPr>
            <w:tcW w:w="17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530" w:right="0"/>
              <w:jc w:val="left"/>
              <w:rPr>
                <w:rFonts w:ascii="宋体" w:hAnsi="宋体" w:cs="宋体" w:eastAsia="宋体" w:hint="default"/>
                <w:sz w:val="21"/>
                <w:szCs w:val="21"/>
              </w:rPr>
            </w:pPr>
            <w:r>
              <w:rPr>
                <w:rFonts w:ascii="宋体" w:hAnsi="宋体" w:cs="宋体" w:eastAsia="宋体" w:hint="default"/>
                <w:sz w:val="21"/>
                <w:szCs w:val="21"/>
              </w:rPr>
              <w:t>残值率</w:t>
            </w:r>
          </w:p>
        </w:tc>
        <w:tc>
          <w:tcPr>
            <w:tcW w:w="23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743" w:right="0"/>
              <w:jc w:val="left"/>
              <w:rPr>
                <w:rFonts w:ascii="宋体" w:hAnsi="宋体" w:cs="宋体" w:eastAsia="宋体" w:hint="default"/>
                <w:sz w:val="21"/>
                <w:szCs w:val="21"/>
              </w:rPr>
            </w:pPr>
            <w:r>
              <w:rPr>
                <w:rFonts w:ascii="宋体" w:hAnsi="宋体" w:cs="宋体" w:eastAsia="宋体" w:hint="default"/>
                <w:sz w:val="21"/>
                <w:szCs w:val="21"/>
              </w:rPr>
              <w:t>年折旧率</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房屋及建筑物</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年限平均法</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sz w:val="21"/>
              </w:rPr>
              <w:t>15-35</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sz w:val="21"/>
              </w:rPr>
              <w:t>3%</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sz w:val="21"/>
              </w:rPr>
              <w:t>6.47%-2.77%</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运输设备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年限平均法</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sz w:val="21"/>
              </w:rPr>
              <w:t>4-6</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sz w:val="21"/>
              </w:rPr>
              <w:t>3%</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sz w:val="21"/>
              </w:rPr>
              <w:t>24.25%-16.17%</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机器设备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年限平均法</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sz w:val="21"/>
              </w:rPr>
              <w:t>5-6</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sz w:val="21"/>
              </w:rPr>
              <w:t>3%</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sz w:val="21"/>
              </w:rPr>
              <w:t>19.40%-16.17%</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其他设备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年限平均法</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sz w:val="21"/>
              </w:rPr>
              <w:t>3-5</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sz w:val="21"/>
              </w:rPr>
              <w:t>3%</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sz w:val="21"/>
              </w:rPr>
              <w:t>32.33%-19.40%</w:t>
            </w:r>
          </w:p>
        </w:tc>
      </w:tr>
    </w:tbl>
    <w:p>
      <w:pPr>
        <w:spacing w:line="240" w:lineRule="auto" w:before="10"/>
        <w:rPr>
          <w:rFonts w:ascii="宋体" w:hAnsi="宋体" w:cs="宋体" w:eastAsia="宋体" w:hint="default"/>
          <w:b/>
          <w:bCs/>
          <w:sz w:val="4"/>
          <w:szCs w:val="4"/>
        </w:rPr>
      </w:pPr>
    </w:p>
    <w:p>
      <w:pPr>
        <w:spacing w:line="350" w:lineRule="auto" w:before="26"/>
        <w:ind w:left="633" w:right="1033" w:firstLine="2"/>
        <w:jc w:val="left"/>
        <w:rPr>
          <w:rFonts w:ascii="宋体" w:hAnsi="宋体" w:cs="宋体" w:eastAsia="宋体" w:hint="default"/>
          <w:sz w:val="24"/>
          <w:szCs w:val="24"/>
        </w:rPr>
      </w:pPr>
      <w:r>
        <w:rPr>
          <w:rFonts w:ascii="宋体" w:hAnsi="宋体" w:cs="宋体" w:eastAsia="宋体" w:hint="default"/>
          <w:b/>
          <w:bCs/>
          <w:sz w:val="24"/>
          <w:szCs w:val="24"/>
        </w:rPr>
        <w:t>（</w:t>
      </w:r>
      <w:r>
        <w:rPr>
          <w:rFonts w:ascii="宋体" w:hAnsi="宋体" w:cs="宋体" w:eastAsia="宋体" w:hint="default"/>
          <w:b/>
          <w:bCs/>
          <w:sz w:val="24"/>
          <w:szCs w:val="24"/>
        </w:rPr>
        <w:t>3</w:t>
      </w:r>
      <w:r>
        <w:rPr>
          <w:rFonts w:ascii="宋体" w:hAnsi="宋体" w:cs="宋体" w:eastAsia="宋体" w:hint="default"/>
          <w:b/>
          <w:bCs/>
          <w:sz w:val="24"/>
          <w:szCs w:val="24"/>
        </w:rPr>
        <w:t>）融资租入固定资产的认定依据、计价和折旧方法</w:t>
      </w:r>
      <w:r>
        <w:rPr>
          <w:rFonts w:ascii="宋体" w:hAnsi="宋体" w:cs="宋体" w:eastAsia="宋体" w:hint="default"/>
          <w:b/>
          <w:bCs/>
          <w:w w:val="99"/>
          <w:sz w:val="24"/>
          <w:szCs w:val="24"/>
        </w:rPr>
        <w:t> </w:t>
      </w:r>
      <w:r>
        <w:rPr>
          <w:rFonts w:ascii="宋体" w:hAnsi="宋体" w:cs="宋体" w:eastAsia="宋体" w:hint="default"/>
          <w:sz w:val="24"/>
          <w:szCs w:val="24"/>
        </w:rPr>
        <w:t>当本公司租入的固定资产符合下列一项或数项标准时，确认为融资租入固定资产：（</w:t>
      </w:r>
      <w:r>
        <w:rPr>
          <w:rFonts w:ascii="宋体" w:hAnsi="宋体" w:cs="宋体" w:eastAsia="宋体" w:hint="default"/>
          <w:sz w:val="24"/>
          <w:szCs w:val="24"/>
        </w:rPr>
        <w:t>1</w:t>
      </w:r>
      <w:r>
        <w:rPr>
          <w:rFonts w:ascii="宋体" w:hAnsi="宋体" w:cs="宋体" w:eastAsia="宋体" w:hint="default"/>
          <w:sz w:val="24"/>
          <w:szCs w:val="24"/>
        </w:rPr>
        <w:t>）</w:t>
      </w:r>
    </w:p>
    <w:p>
      <w:pPr>
        <w:pStyle w:val="BodyText"/>
        <w:spacing w:line="350" w:lineRule="auto"/>
        <w:ind w:right="1003"/>
        <w:jc w:val="left"/>
      </w:pPr>
      <w:r>
        <w:rPr/>
        <w:t>在租赁期届满时，租赁资产的所有权转移给本公司。（</w:t>
      </w:r>
      <w:r>
        <w:rPr>
          <w:rFonts w:ascii="宋体" w:hAnsi="宋体" w:cs="宋体" w:eastAsia="宋体" w:hint="default"/>
        </w:rPr>
        <w:t>2</w:t>
      </w:r>
      <w:r>
        <w:rPr/>
        <w:t>）本公司有购买租赁资产的选择权， 所订立的购买价款预计将远低于行使选择权时租赁资产的公允价值，因而在租赁开始日就可 </w:t>
      </w:r>
      <w:r>
        <w:rPr>
          <w:spacing w:val="-3"/>
        </w:rPr>
        <w:t>以合理确定本公司将会行使这种选择权。（</w:t>
      </w:r>
      <w:r>
        <w:rPr>
          <w:rFonts w:ascii="宋体" w:hAnsi="宋体" w:cs="宋体" w:eastAsia="宋体" w:hint="default"/>
          <w:spacing w:val="-3"/>
        </w:rPr>
        <w:t>3</w:t>
      </w:r>
      <w:r>
        <w:rPr>
          <w:spacing w:val="-3"/>
        </w:rPr>
        <w:t>）即使资产的所有权不转移，但租赁期占租赁资</w:t>
      </w:r>
      <w:r>
        <w:rPr>
          <w:spacing w:val="-80"/>
        </w:rPr>
        <w:t> </w:t>
      </w:r>
      <w:r>
        <w:rPr>
          <w:spacing w:val="-80"/>
        </w:rPr>
      </w:r>
      <w:r>
        <w:rPr>
          <w:spacing w:val="-3"/>
        </w:rPr>
        <w:t>产使用寿命的大部分。（</w:t>
      </w:r>
      <w:r>
        <w:rPr>
          <w:rFonts w:ascii="宋体" w:hAnsi="宋体" w:cs="宋体" w:eastAsia="宋体" w:hint="default"/>
          <w:spacing w:val="-3"/>
        </w:rPr>
        <w:t>4</w:t>
      </w:r>
      <w:r>
        <w:rPr>
          <w:spacing w:val="-3"/>
        </w:rPr>
        <w:t>）本公司在租赁开始日的最低租赁付款额现值，几乎相当于租赁开</w:t>
      </w:r>
      <w:r>
        <w:rPr>
          <w:spacing w:val="-80"/>
        </w:rPr>
        <w:t> </w:t>
      </w:r>
      <w:r>
        <w:rPr>
          <w:spacing w:val="-80"/>
        </w:rPr>
      </w:r>
      <w:r>
        <w:rPr>
          <w:spacing w:val="-5"/>
        </w:rPr>
        <w:t>始日租赁资产公允价值。（</w:t>
      </w:r>
      <w:r>
        <w:rPr>
          <w:rFonts w:ascii="宋体" w:hAnsi="宋体" w:cs="宋体" w:eastAsia="宋体" w:hint="default"/>
          <w:spacing w:val="-5"/>
        </w:rPr>
        <w:t>5</w:t>
      </w:r>
      <w:r>
        <w:rPr>
          <w:spacing w:val="-5"/>
        </w:rPr>
        <w:t>）租赁资产性质特殊，如果不作较大改造，只有本公司才能使用。</w:t>
      </w:r>
      <w:r>
        <w:rPr>
          <w:spacing w:val="-115"/>
        </w:rPr>
        <w:t> </w:t>
      </w:r>
      <w:r>
        <w:rPr>
          <w:spacing w:val="-115"/>
        </w:rPr>
      </w:r>
      <w:r>
        <w:rPr/>
        <w:t>融资租赁租入的固定资产，按租赁开始日租赁资产公允价值与最低租赁付款额的现值两者中 较低者，作为入账价值。最低租赁付款额作为长期应付款的入账价值，其差额作为未确认融 资费用。在租赁谈判和签订租赁合同过程中发生的，可归属于租赁项目的手续费、律师费、 差旅费、印花税等初始直接费用，计入租入资产价值。未确认融资费用在租赁期内各个期间 采用实际利率法进行分摊。本公司采用与自有固定资产相一致的折旧政策计提融资租入固定 资产折旧。能够合理确定租赁期届满时取得租赁资产所有权的，在租赁资产使用寿命内计提</w:t>
      </w:r>
    </w:p>
    <w:p>
      <w:pPr>
        <w:spacing w:after="0" w:line="35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350" w:lineRule="auto" w:before="199"/>
        <w:ind w:right="1170"/>
        <w:jc w:val="both"/>
      </w:pPr>
      <w:r>
        <w:rPr/>
        <w:t>折旧。无法合理确定租赁期届满时能够取得租赁资产所有权的，在租赁期与租赁资产使用寿 命两者中较短的期间内计提折旧。</w:t>
      </w:r>
    </w:p>
    <w:p>
      <w:pPr>
        <w:pStyle w:val="Heading2"/>
        <w:spacing w:line="240" w:lineRule="auto" w:before="212"/>
        <w:ind w:left="153" w:right="0"/>
        <w:jc w:val="both"/>
        <w:rPr>
          <w:b w:val="0"/>
          <w:bCs w:val="0"/>
        </w:rPr>
      </w:pPr>
      <w:bookmarkStart w:name="17、在建工程" w:id="219"/>
      <w:bookmarkEnd w:id="219"/>
      <w:r>
        <w:rPr>
          <w:b w:val="0"/>
          <w:bCs w:val="0"/>
        </w:rPr>
      </w:r>
      <w:r>
        <w:rPr>
          <w:rFonts w:ascii="宋体" w:hAnsi="宋体" w:cs="宋体" w:eastAsia="宋体" w:hint="default"/>
        </w:rPr>
        <w:t>17</w:t>
      </w:r>
      <w:r>
        <w:rPr/>
        <w:t>、在建工程</w:t>
      </w:r>
      <w:r>
        <w:rPr>
          <w:b w:val="0"/>
          <w:bCs w:val="0"/>
        </w:rPr>
      </w:r>
    </w:p>
    <w:p>
      <w:pPr>
        <w:spacing w:line="240" w:lineRule="auto" w:before="5"/>
        <w:rPr>
          <w:rFonts w:ascii="宋体" w:hAnsi="宋体" w:cs="宋体" w:eastAsia="宋体" w:hint="default"/>
          <w:b/>
          <w:bCs/>
          <w:sz w:val="32"/>
          <w:szCs w:val="32"/>
        </w:rPr>
      </w:pPr>
    </w:p>
    <w:p>
      <w:pPr>
        <w:pStyle w:val="BodyText"/>
        <w:spacing w:line="350" w:lineRule="auto" w:before="0"/>
        <w:ind w:left="634" w:right="6192"/>
        <w:jc w:val="left"/>
      </w:pPr>
      <w:r>
        <w:rPr/>
        <w:t>公司是否需要遵守特殊行业的披露要求 否</w:t>
      </w:r>
    </w:p>
    <w:p>
      <w:pPr>
        <w:spacing w:line="352" w:lineRule="auto" w:before="35"/>
        <w:ind w:left="633" w:right="1153" w:firstLine="2"/>
        <w:jc w:val="left"/>
        <w:rPr>
          <w:rFonts w:ascii="宋体" w:hAnsi="宋体" w:cs="宋体" w:eastAsia="宋体" w:hint="default"/>
          <w:sz w:val="24"/>
          <w:szCs w:val="24"/>
        </w:rPr>
      </w:pPr>
      <w:r>
        <w:rPr>
          <w:rFonts w:ascii="宋体" w:hAnsi="宋体" w:cs="宋体" w:eastAsia="宋体" w:hint="default"/>
          <w:b/>
          <w:bCs/>
          <w:sz w:val="24"/>
          <w:szCs w:val="24"/>
        </w:rPr>
        <w:t>1.</w:t>
      </w:r>
      <w:r>
        <w:rPr>
          <w:rFonts w:ascii="宋体" w:hAnsi="宋体" w:cs="宋体" w:eastAsia="宋体" w:hint="default"/>
          <w:b/>
          <w:bCs/>
          <w:sz w:val="24"/>
          <w:szCs w:val="24"/>
        </w:rPr>
        <w:t>在建工程初始计量</w:t>
      </w:r>
      <w:r>
        <w:rPr>
          <w:rFonts w:ascii="宋体" w:hAnsi="宋体" w:cs="宋体" w:eastAsia="宋体" w:hint="default"/>
          <w:b/>
          <w:bCs/>
          <w:w w:val="99"/>
          <w:sz w:val="24"/>
          <w:szCs w:val="24"/>
        </w:rPr>
        <w:t> </w:t>
      </w:r>
      <w:r>
        <w:rPr>
          <w:rFonts w:ascii="宋体" w:hAnsi="宋体" w:cs="宋体" w:eastAsia="宋体" w:hint="default"/>
          <w:sz w:val="24"/>
          <w:szCs w:val="24"/>
        </w:rPr>
        <w:t>本公司自行建造的在建工程按实际成本计价，实际成本由建造该项资产达到预定可使用</w:t>
      </w:r>
    </w:p>
    <w:p>
      <w:pPr>
        <w:pStyle w:val="BodyText"/>
        <w:spacing w:line="350" w:lineRule="auto" w:before="32"/>
        <w:ind w:right="1170"/>
        <w:jc w:val="both"/>
      </w:pPr>
      <w:r>
        <w:rPr/>
        <w:t>状态前所发生的必要支出构成，包括工程用物资成本、人工成本、交纳的相关税费、应予资 本化的借款费用以及应分摊的间接费用等。</w:t>
      </w:r>
    </w:p>
    <w:p>
      <w:pPr>
        <w:spacing w:line="350" w:lineRule="auto" w:before="36"/>
        <w:ind w:left="634" w:right="1152" w:firstLine="2"/>
        <w:jc w:val="left"/>
        <w:rPr>
          <w:rFonts w:ascii="宋体" w:hAnsi="宋体" w:cs="宋体" w:eastAsia="宋体" w:hint="default"/>
          <w:sz w:val="24"/>
          <w:szCs w:val="24"/>
        </w:rPr>
      </w:pPr>
      <w:r>
        <w:rPr>
          <w:rFonts w:ascii="宋体" w:hAnsi="宋体" w:cs="宋体" w:eastAsia="宋体" w:hint="default"/>
          <w:b/>
          <w:bCs/>
          <w:sz w:val="24"/>
          <w:szCs w:val="24"/>
        </w:rPr>
        <w:t>2.</w:t>
      </w:r>
      <w:r>
        <w:rPr>
          <w:rFonts w:ascii="宋体" w:hAnsi="宋体" w:cs="宋体" w:eastAsia="宋体" w:hint="default"/>
          <w:b/>
          <w:bCs/>
          <w:sz w:val="24"/>
          <w:szCs w:val="24"/>
        </w:rPr>
        <w:t>在建工程结转为固定资产的标准和时点</w:t>
      </w:r>
      <w:r>
        <w:rPr>
          <w:rFonts w:ascii="宋体" w:hAnsi="宋体" w:cs="宋体" w:eastAsia="宋体" w:hint="default"/>
          <w:b/>
          <w:bCs/>
          <w:w w:val="99"/>
          <w:sz w:val="24"/>
          <w:szCs w:val="24"/>
        </w:rPr>
        <w:t> </w:t>
      </w:r>
      <w:r>
        <w:rPr>
          <w:rFonts w:ascii="宋体" w:hAnsi="宋体" w:cs="宋体" w:eastAsia="宋体" w:hint="default"/>
          <w:sz w:val="24"/>
          <w:szCs w:val="24"/>
        </w:rPr>
        <w:t>在建工程项目按建造该项资产达到预定可使用状态前所发生的全部支出，作为固定资产</w:t>
      </w:r>
    </w:p>
    <w:p>
      <w:pPr>
        <w:pStyle w:val="BodyText"/>
        <w:spacing w:line="352" w:lineRule="auto" w:before="35"/>
        <w:ind w:left="154" w:right="1170"/>
        <w:jc w:val="both"/>
      </w:pPr>
      <w:r>
        <w:rPr/>
        <w:t>的入账价值。所建造的在建工程已达到预定可使用状态，但尚未办理竣工决算的，自达到预 定可使用状态之日起，根据工程预算、造价或者工程实际成本等，按估计的价值转入固定资 产，并按本公司固定资产折旧政策计提固定资产的折旧，待办理竣工决算后，再按实际成本 调整原来的暂估价值，但不调整原已计提的折旧额。</w:t>
      </w:r>
    </w:p>
    <w:p>
      <w:pPr>
        <w:pStyle w:val="Heading2"/>
        <w:spacing w:line="240" w:lineRule="auto" w:before="209"/>
        <w:ind w:left="154" w:right="0"/>
        <w:jc w:val="both"/>
        <w:rPr>
          <w:b w:val="0"/>
          <w:bCs w:val="0"/>
        </w:rPr>
      </w:pPr>
      <w:bookmarkStart w:name="18、借款费用" w:id="220"/>
      <w:bookmarkEnd w:id="220"/>
      <w:r>
        <w:rPr>
          <w:b w:val="0"/>
          <w:bCs w:val="0"/>
        </w:rPr>
      </w:r>
      <w:r>
        <w:rPr>
          <w:rFonts w:ascii="宋体" w:hAnsi="宋体" w:cs="宋体" w:eastAsia="宋体" w:hint="default"/>
        </w:rPr>
        <w:t>18</w:t>
      </w:r>
      <w:r>
        <w:rPr/>
        <w:t>、借款费用</w:t>
      </w:r>
      <w:r>
        <w:rPr>
          <w:b w:val="0"/>
          <w:bCs w:val="0"/>
        </w:rPr>
      </w:r>
    </w:p>
    <w:p>
      <w:pPr>
        <w:spacing w:line="240" w:lineRule="auto" w:before="5"/>
        <w:rPr>
          <w:rFonts w:ascii="宋体" w:hAnsi="宋体" w:cs="宋体" w:eastAsia="宋体" w:hint="default"/>
          <w:b/>
          <w:bCs/>
          <w:sz w:val="32"/>
          <w:szCs w:val="32"/>
        </w:rPr>
      </w:pPr>
    </w:p>
    <w:p>
      <w:pPr>
        <w:spacing w:line="350" w:lineRule="auto" w:before="0"/>
        <w:ind w:left="633" w:right="1153" w:firstLine="2"/>
        <w:jc w:val="left"/>
        <w:rPr>
          <w:rFonts w:ascii="宋体" w:hAnsi="宋体" w:cs="宋体" w:eastAsia="宋体" w:hint="default"/>
          <w:sz w:val="24"/>
          <w:szCs w:val="24"/>
        </w:rPr>
      </w:pPr>
      <w:r>
        <w:rPr>
          <w:rFonts w:ascii="宋体" w:hAnsi="宋体" w:cs="宋体" w:eastAsia="宋体" w:hint="default"/>
          <w:b/>
          <w:bCs/>
          <w:sz w:val="24"/>
          <w:szCs w:val="24"/>
        </w:rPr>
        <w:t>1.</w:t>
      </w:r>
      <w:r>
        <w:rPr>
          <w:rFonts w:ascii="宋体" w:hAnsi="宋体" w:cs="宋体" w:eastAsia="宋体" w:hint="default"/>
          <w:b/>
          <w:bCs/>
          <w:sz w:val="24"/>
          <w:szCs w:val="24"/>
        </w:rPr>
        <w:t>借款费用资本化的确认原则</w:t>
      </w:r>
      <w:r>
        <w:rPr>
          <w:rFonts w:ascii="宋体" w:hAnsi="宋体" w:cs="宋体" w:eastAsia="宋体" w:hint="default"/>
          <w:b/>
          <w:bCs/>
          <w:w w:val="99"/>
          <w:sz w:val="24"/>
          <w:szCs w:val="24"/>
        </w:rPr>
        <w:t> </w:t>
      </w:r>
      <w:r>
        <w:rPr>
          <w:rFonts w:ascii="宋体" w:hAnsi="宋体" w:cs="宋体" w:eastAsia="宋体" w:hint="default"/>
          <w:sz w:val="24"/>
          <w:szCs w:val="24"/>
        </w:rPr>
        <w:t>本公司发生的借款费用，可直接归属于符合资本化条件的资产的购建或者生产的，予以</w:t>
      </w:r>
    </w:p>
    <w:p>
      <w:pPr>
        <w:pStyle w:val="BodyText"/>
        <w:spacing w:line="352" w:lineRule="auto" w:before="35"/>
        <w:ind w:right="1170"/>
        <w:jc w:val="both"/>
      </w:pPr>
      <w:r>
        <w:rPr/>
        <w:t>资本化，计入相关资产成本；其他借款费用，在发生时根据其发生额确认为费用，计入当期 损益。</w:t>
      </w:r>
    </w:p>
    <w:p>
      <w:pPr>
        <w:pStyle w:val="BodyText"/>
        <w:spacing w:line="350" w:lineRule="auto" w:before="32"/>
        <w:ind w:left="154" w:right="1152" w:firstLine="480"/>
        <w:jc w:val="left"/>
      </w:pPr>
      <w:r>
        <w:rPr/>
        <w:t>符合资本化条件的资产，是指需要经过相当长时间的购建或者生产活动才能达到预定可 使用或者可销售状态的固定资产、投资性房地产和存货等资产。</w:t>
      </w:r>
    </w:p>
    <w:p>
      <w:pPr>
        <w:pStyle w:val="BodyText"/>
        <w:spacing w:line="240" w:lineRule="auto"/>
        <w:ind w:left="633" w:right="996"/>
        <w:jc w:val="left"/>
      </w:pPr>
      <w:r>
        <w:rPr/>
        <w:t>借款费用同时满足下列条件时开始资本化：</w:t>
      </w:r>
    </w:p>
    <w:p>
      <w:pPr>
        <w:pStyle w:val="BodyText"/>
        <w:spacing w:line="350" w:lineRule="auto" w:before="145"/>
        <w:ind w:right="996" w:firstLine="480"/>
        <w:jc w:val="left"/>
      </w:pPr>
      <w:r>
        <w:rPr>
          <w:spacing w:val="-3"/>
        </w:rPr>
        <w:t>（</w:t>
      </w:r>
      <w:r>
        <w:rPr>
          <w:rFonts w:ascii="宋体" w:hAnsi="宋体" w:cs="宋体" w:eastAsia="宋体" w:hint="default"/>
          <w:spacing w:val="-3"/>
        </w:rPr>
        <w:t>1</w:t>
      </w:r>
      <w:r>
        <w:rPr>
          <w:spacing w:val="-3"/>
        </w:rPr>
        <w:t>）资产支出已经发生，资产支出包括为购建或者生产符合资本化条件的资产而以支付</w:t>
      </w:r>
      <w:r>
        <w:rPr/>
        <w:t> 现金、转移非现金资产或者承担带息债务形式发生的支出；</w:t>
      </w:r>
    </w:p>
    <w:p>
      <w:pPr>
        <w:pStyle w:val="BodyText"/>
        <w:spacing w:line="240" w:lineRule="auto"/>
        <w:ind w:left="633" w:right="996"/>
        <w:jc w:val="left"/>
      </w:pPr>
      <w:r>
        <w:rPr/>
        <w:t>（</w:t>
      </w:r>
      <w:r>
        <w:rPr>
          <w:rFonts w:ascii="宋体" w:hAnsi="宋体" w:cs="宋体" w:eastAsia="宋体" w:hint="default"/>
        </w:rPr>
        <w:t>2</w:t>
      </w:r>
      <w:r>
        <w:rPr/>
        <w:t>）借款费用已经发生；</w:t>
      </w:r>
    </w:p>
    <w:p>
      <w:pPr>
        <w:spacing w:line="350" w:lineRule="auto" w:before="145"/>
        <w:ind w:left="636" w:right="1273" w:hanging="3"/>
        <w:jc w:val="lef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3</w:t>
      </w:r>
      <w:r>
        <w:rPr>
          <w:rFonts w:ascii="宋体" w:hAnsi="宋体" w:cs="宋体" w:eastAsia="宋体" w:hint="default"/>
          <w:sz w:val="24"/>
          <w:szCs w:val="24"/>
        </w:rPr>
        <w:t>）为使资产达到预定可使用或者可销售状态所必要的购建或者生产活动已经开始。 </w:t>
      </w:r>
      <w:r>
        <w:rPr>
          <w:rFonts w:ascii="宋体" w:hAnsi="宋体" w:cs="宋体" w:eastAsia="宋体" w:hint="default"/>
          <w:b/>
          <w:bCs/>
          <w:sz w:val="24"/>
          <w:szCs w:val="24"/>
        </w:rPr>
        <w:t>2.</w:t>
      </w:r>
      <w:r>
        <w:rPr>
          <w:rFonts w:ascii="宋体" w:hAnsi="宋体" w:cs="宋体" w:eastAsia="宋体" w:hint="default"/>
          <w:b/>
          <w:bCs/>
          <w:sz w:val="24"/>
          <w:szCs w:val="24"/>
        </w:rPr>
        <w:t>借款费用资本化期间</w:t>
      </w:r>
      <w:r>
        <w:rPr>
          <w:rFonts w:ascii="宋体" w:hAnsi="宋体" w:cs="宋体" w:eastAsia="宋体" w:hint="default"/>
          <w:sz w:val="24"/>
          <w:szCs w:val="24"/>
        </w:rPr>
      </w:r>
    </w:p>
    <w:p>
      <w:pPr>
        <w:spacing w:after="0" w:line="350" w:lineRule="auto"/>
        <w:jc w:val="left"/>
        <w:rPr>
          <w:rFonts w:ascii="宋体" w:hAnsi="宋体" w:cs="宋体" w:eastAsia="宋体" w:hint="default"/>
          <w:sz w:val="24"/>
          <w:szCs w:val="24"/>
        </w:rPr>
        <w:sectPr>
          <w:pgSz w:w="11910" w:h="16840"/>
          <w:pgMar w:header="747" w:footer="979" w:top="1060" w:bottom="1160" w:left="980" w:right="0"/>
        </w:sectPr>
      </w:pPr>
    </w:p>
    <w:p>
      <w:pPr>
        <w:spacing w:line="240" w:lineRule="auto" w:before="0"/>
        <w:rPr>
          <w:rFonts w:ascii="宋体" w:hAnsi="宋体" w:cs="宋体" w:eastAsia="宋体" w:hint="default"/>
          <w:b/>
          <w:bCs/>
          <w:sz w:val="20"/>
          <w:szCs w:val="20"/>
        </w:rPr>
      </w:pPr>
    </w:p>
    <w:p>
      <w:pPr>
        <w:pStyle w:val="BodyText"/>
        <w:spacing w:line="350" w:lineRule="auto" w:before="199"/>
        <w:ind w:right="1170" w:firstLine="480"/>
        <w:jc w:val="both"/>
      </w:pPr>
      <w:r>
        <w:rPr/>
        <w:t>资本化期间，指从借款费用开始资本化时点到停止资本化时点的期间，借款费用暂停资 本化的期间不包括在内。</w:t>
      </w:r>
    </w:p>
    <w:p>
      <w:pPr>
        <w:pStyle w:val="BodyText"/>
        <w:spacing w:line="350" w:lineRule="auto"/>
        <w:ind w:right="1170" w:firstLine="480"/>
        <w:jc w:val="both"/>
      </w:pPr>
      <w:r>
        <w:rPr/>
        <w:t>当购建或者生产符合资本化条件的资产达到预定可使用或者可销售状态时，借款费用停 止资本化。</w:t>
      </w:r>
    </w:p>
    <w:p>
      <w:pPr>
        <w:pStyle w:val="BodyText"/>
        <w:spacing w:line="352" w:lineRule="auto" w:before="35"/>
        <w:ind w:right="1170" w:firstLine="480"/>
        <w:jc w:val="both"/>
      </w:pPr>
      <w:r>
        <w:rPr/>
        <w:t>当购建或者生产符合资本化条件的资产中部分项目分别完工且可单独使用时，该部分资 产借款费用停止资本化。</w:t>
      </w:r>
    </w:p>
    <w:p>
      <w:pPr>
        <w:pStyle w:val="BodyText"/>
        <w:spacing w:line="350" w:lineRule="auto" w:before="32"/>
        <w:ind w:right="1170" w:firstLine="480"/>
        <w:jc w:val="both"/>
      </w:pPr>
      <w:r>
        <w:rPr/>
        <w:t>购建或者生产的资产的各部分分别完工，但必须等到整体完工后才可使用或可对外销售 的，在该资产整体完工时停止借款费用资本化。</w:t>
      </w:r>
    </w:p>
    <w:p>
      <w:pPr>
        <w:spacing w:line="350" w:lineRule="auto" w:before="36"/>
        <w:ind w:left="633" w:right="1273" w:firstLine="2"/>
        <w:jc w:val="left"/>
        <w:rPr>
          <w:rFonts w:ascii="宋体" w:hAnsi="宋体" w:cs="宋体" w:eastAsia="宋体" w:hint="default"/>
          <w:sz w:val="24"/>
          <w:szCs w:val="24"/>
        </w:rPr>
      </w:pPr>
      <w:r>
        <w:rPr>
          <w:rFonts w:ascii="宋体" w:hAnsi="宋体" w:cs="宋体" w:eastAsia="宋体" w:hint="default"/>
          <w:b/>
          <w:bCs/>
          <w:sz w:val="24"/>
          <w:szCs w:val="24"/>
        </w:rPr>
        <w:t>3.</w:t>
      </w:r>
      <w:r>
        <w:rPr>
          <w:rFonts w:ascii="宋体" w:hAnsi="宋体" w:cs="宋体" w:eastAsia="宋体" w:hint="default"/>
          <w:b/>
          <w:bCs/>
          <w:sz w:val="24"/>
          <w:szCs w:val="24"/>
        </w:rPr>
        <w:t>暂停资本化期间</w:t>
      </w:r>
      <w:r>
        <w:rPr>
          <w:rFonts w:ascii="宋体" w:hAnsi="宋体" w:cs="宋体" w:eastAsia="宋体" w:hint="default"/>
          <w:b/>
          <w:bCs/>
          <w:w w:val="99"/>
          <w:sz w:val="24"/>
          <w:szCs w:val="24"/>
        </w:rPr>
        <w:t> </w:t>
      </w:r>
      <w:r>
        <w:rPr>
          <w:rFonts w:ascii="宋体" w:hAnsi="宋体" w:cs="宋体" w:eastAsia="宋体" w:hint="default"/>
          <w:sz w:val="24"/>
          <w:szCs w:val="24"/>
        </w:rPr>
        <w:t>符合资本化条件的资产在购建或生产过程中发生的非正常中断、且中断时间连续超过</w:t>
      </w:r>
      <w:r>
        <w:rPr>
          <w:rFonts w:ascii="宋体" w:hAnsi="宋体" w:cs="宋体" w:eastAsia="宋体" w:hint="default"/>
          <w:sz w:val="24"/>
          <w:szCs w:val="24"/>
        </w:rPr>
        <w:t>3</w:t>
      </w:r>
    </w:p>
    <w:p>
      <w:pPr>
        <w:pStyle w:val="BodyText"/>
        <w:spacing w:line="352" w:lineRule="auto" w:before="35"/>
        <w:ind w:right="1170"/>
        <w:jc w:val="both"/>
      </w:pPr>
      <w:r>
        <w:rPr/>
        <w:t>个月的，则借款费用暂停资本化；该项中断如是所购建或生产的符合资本化条件的资产达到 预定可使用状态或者可销售状态必要的程序，则借款费用继续资本化。在中断期间发生的借 款费用确认为当期损益，直至资产的购建或者生产活动重新开始后借款费用继续资本化。</w:t>
      </w:r>
    </w:p>
    <w:p>
      <w:pPr>
        <w:spacing w:line="352" w:lineRule="auto" w:before="32"/>
        <w:ind w:left="633" w:right="1153" w:firstLine="2"/>
        <w:jc w:val="left"/>
        <w:rPr>
          <w:rFonts w:ascii="宋体" w:hAnsi="宋体" w:cs="宋体" w:eastAsia="宋体" w:hint="default"/>
          <w:sz w:val="24"/>
          <w:szCs w:val="24"/>
        </w:rPr>
      </w:pPr>
      <w:r>
        <w:rPr>
          <w:rFonts w:ascii="宋体" w:hAnsi="宋体" w:cs="宋体" w:eastAsia="宋体" w:hint="default"/>
          <w:b/>
          <w:bCs/>
          <w:sz w:val="24"/>
          <w:szCs w:val="24"/>
        </w:rPr>
        <w:t>4.</w:t>
      </w:r>
      <w:r>
        <w:rPr>
          <w:rFonts w:ascii="宋体" w:hAnsi="宋体" w:cs="宋体" w:eastAsia="宋体" w:hint="default"/>
          <w:b/>
          <w:bCs/>
          <w:sz w:val="24"/>
          <w:szCs w:val="24"/>
        </w:rPr>
        <w:t>借款费用资本化金额的计算方法</w:t>
      </w:r>
      <w:r>
        <w:rPr>
          <w:rFonts w:ascii="宋体" w:hAnsi="宋体" w:cs="宋体" w:eastAsia="宋体" w:hint="default"/>
          <w:b/>
          <w:bCs/>
          <w:w w:val="99"/>
          <w:sz w:val="24"/>
          <w:szCs w:val="24"/>
        </w:rPr>
        <w:t> </w:t>
      </w:r>
      <w:r>
        <w:rPr>
          <w:rFonts w:ascii="宋体" w:hAnsi="宋体" w:cs="宋体" w:eastAsia="宋体" w:hint="default"/>
          <w:sz w:val="24"/>
          <w:szCs w:val="24"/>
        </w:rPr>
        <w:t>专门借款的利息费用（扣除尚未动用的借款资金存入银行取得的利息收入或者进行暂时</w:t>
      </w:r>
    </w:p>
    <w:p>
      <w:pPr>
        <w:pStyle w:val="BodyText"/>
        <w:spacing w:line="350" w:lineRule="auto" w:before="33"/>
        <w:ind w:right="1170"/>
        <w:jc w:val="both"/>
      </w:pPr>
      <w:r>
        <w:rPr/>
        <w:t>性投资取得的投资收益）及其辅助费用在所购建或者生产的符合资本化条件的资产达到预定 可使用或者可销售状态前，予以资本化。</w:t>
      </w:r>
    </w:p>
    <w:p>
      <w:pPr>
        <w:pStyle w:val="BodyText"/>
        <w:spacing w:line="350" w:lineRule="auto"/>
        <w:ind w:left="154" w:right="1170" w:firstLine="480"/>
        <w:jc w:val="both"/>
      </w:pPr>
      <w:r>
        <w:rPr/>
        <w:t>根据累计资产支出超过专门借款部分的资产支出加权平均数乘以所占用一般借款的资本 化率，计算确定一般借款应予资本化的利息金额。资本化率根据一般借款加权平均利率计算 确定。</w:t>
      </w:r>
    </w:p>
    <w:p>
      <w:pPr>
        <w:pStyle w:val="BodyText"/>
        <w:spacing w:line="350" w:lineRule="auto"/>
        <w:ind w:left="154" w:right="1170" w:firstLine="480"/>
        <w:jc w:val="both"/>
      </w:pPr>
      <w:r>
        <w:rPr/>
        <w:t>借款存在折价或者溢价的，按照实际利率法确定每一会计期间应摊销的折价或者溢价金 额，调整每期利息金额。</w:t>
      </w:r>
    </w:p>
    <w:p>
      <w:pPr>
        <w:pStyle w:val="Heading2"/>
        <w:spacing w:line="240" w:lineRule="auto" w:before="210"/>
        <w:ind w:left="154" w:right="0"/>
        <w:jc w:val="both"/>
        <w:rPr>
          <w:b w:val="0"/>
          <w:bCs w:val="0"/>
        </w:rPr>
      </w:pPr>
      <w:bookmarkStart w:name="19、生物资产" w:id="221"/>
      <w:bookmarkEnd w:id="221"/>
      <w:r>
        <w:rPr>
          <w:b w:val="0"/>
          <w:bCs w:val="0"/>
        </w:rPr>
      </w:r>
      <w:r>
        <w:rPr>
          <w:rFonts w:ascii="宋体" w:hAnsi="宋体" w:cs="宋体" w:eastAsia="宋体" w:hint="default"/>
        </w:rPr>
        <w:t>19</w:t>
      </w:r>
      <w:r>
        <w:rPr/>
        <w:t>、生物资产</w:t>
      </w:r>
      <w:r>
        <w:rPr>
          <w:b w:val="0"/>
          <w:bCs w:val="0"/>
        </w:rPr>
      </w:r>
    </w:p>
    <w:p>
      <w:pPr>
        <w:spacing w:line="240" w:lineRule="auto" w:before="5"/>
        <w:rPr>
          <w:rFonts w:ascii="宋体" w:hAnsi="宋体" w:cs="宋体" w:eastAsia="宋体" w:hint="default"/>
          <w:b/>
          <w:bCs/>
          <w:sz w:val="32"/>
          <w:szCs w:val="32"/>
        </w:rPr>
      </w:pPr>
    </w:p>
    <w:p>
      <w:pPr>
        <w:spacing w:line="487" w:lineRule="auto" w:before="0"/>
        <w:ind w:left="153" w:right="9306" w:firstLine="480"/>
        <w:jc w:val="left"/>
        <w:rPr>
          <w:rFonts w:ascii="宋体" w:hAnsi="宋体" w:cs="宋体" w:eastAsia="宋体" w:hint="default"/>
          <w:sz w:val="24"/>
          <w:szCs w:val="24"/>
        </w:rPr>
      </w:pPr>
      <w:r>
        <w:rPr>
          <w:rFonts w:ascii="宋体" w:hAnsi="宋体" w:cs="宋体" w:eastAsia="宋体" w:hint="default"/>
          <w:sz w:val="24"/>
          <w:szCs w:val="24"/>
        </w:rPr>
        <w:t>无 </w:t>
      </w:r>
      <w:bookmarkStart w:name="20、油气资产" w:id="222"/>
      <w:bookmarkEnd w:id="222"/>
      <w:r>
        <w:rPr>
          <w:rFonts w:ascii="宋体" w:hAnsi="宋体" w:cs="宋体" w:eastAsia="宋体" w:hint="default"/>
          <w:sz w:val="24"/>
          <w:szCs w:val="24"/>
        </w:rPr>
      </w:r>
      <w:r>
        <w:rPr>
          <w:rFonts w:ascii="宋体" w:hAnsi="宋体" w:cs="宋体" w:eastAsia="宋体" w:hint="default"/>
          <w:b/>
          <w:bCs/>
          <w:sz w:val="24"/>
          <w:szCs w:val="24"/>
        </w:rPr>
        <w:t>20</w:t>
      </w:r>
      <w:r>
        <w:rPr>
          <w:rFonts w:ascii="宋体" w:hAnsi="宋体" w:cs="宋体" w:eastAsia="宋体" w:hint="default"/>
          <w:b/>
          <w:bCs/>
          <w:sz w:val="24"/>
          <w:szCs w:val="24"/>
        </w:rPr>
        <w:t>、油气资产</w:t>
      </w:r>
      <w:r>
        <w:rPr>
          <w:rFonts w:ascii="宋体" w:hAnsi="宋体" w:cs="宋体" w:eastAsia="宋体" w:hint="default"/>
          <w:sz w:val="24"/>
          <w:szCs w:val="24"/>
        </w:rPr>
      </w:r>
    </w:p>
    <w:p>
      <w:pPr>
        <w:pStyle w:val="BodyText"/>
        <w:spacing w:line="240" w:lineRule="auto" w:before="177"/>
        <w:ind w:left="633" w:right="996"/>
        <w:jc w:val="left"/>
      </w:pPr>
      <w:r>
        <w:rPr/>
        <w:t>无</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3"/>
          <w:szCs w:val="23"/>
        </w:rPr>
      </w:pPr>
    </w:p>
    <w:p>
      <w:pPr>
        <w:pStyle w:val="Heading2"/>
        <w:spacing w:line="240" w:lineRule="auto"/>
        <w:ind w:left="153" w:right="996"/>
        <w:jc w:val="left"/>
        <w:rPr>
          <w:b w:val="0"/>
          <w:bCs w:val="0"/>
        </w:rPr>
      </w:pPr>
      <w:bookmarkStart w:name="21、无形资产" w:id="223"/>
      <w:bookmarkEnd w:id="223"/>
      <w:r>
        <w:rPr>
          <w:b w:val="0"/>
          <w:bCs w:val="0"/>
        </w:rPr>
      </w:r>
      <w:r>
        <w:rPr>
          <w:rFonts w:ascii="宋体" w:hAnsi="宋体" w:cs="宋体" w:eastAsia="宋体" w:hint="default"/>
        </w:rPr>
        <w:t>21</w:t>
      </w:r>
      <w:r>
        <w:rPr/>
        <w:t>、无形资产</w:t>
      </w:r>
      <w:r>
        <w:rPr>
          <w:b w:val="0"/>
          <w:bCs w:val="0"/>
        </w:rPr>
      </w:r>
    </w:p>
    <w:p>
      <w:pPr>
        <w:spacing w:line="240" w:lineRule="auto" w:before="5"/>
        <w:rPr>
          <w:rFonts w:ascii="宋体" w:hAnsi="宋体" w:cs="宋体" w:eastAsia="宋体" w:hint="default"/>
          <w:b/>
          <w:bCs/>
          <w:sz w:val="32"/>
          <w:szCs w:val="32"/>
        </w:rPr>
      </w:pPr>
    </w:p>
    <w:p>
      <w:pPr>
        <w:spacing w:line="350" w:lineRule="auto" w:before="0"/>
        <w:ind w:left="633" w:right="1153" w:firstLine="2"/>
        <w:jc w:val="left"/>
        <w:rPr>
          <w:rFonts w:ascii="宋体" w:hAnsi="宋体" w:cs="宋体" w:eastAsia="宋体" w:hint="default"/>
          <w:sz w:val="24"/>
          <w:szCs w:val="24"/>
        </w:rPr>
      </w:pPr>
      <w:r>
        <w:rPr>
          <w:rFonts w:ascii="宋体" w:hAnsi="宋体" w:cs="宋体" w:eastAsia="宋体" w:hint="default"/>
          <w:b/>
          <w:bCs/>
          <w:sz w:val="24"/>
          <w:szCs w:val="24"/>
        </w:rPr>
        <w:t>（</w:t>
      </w:r>
      <w:r>
        <w:rPr>
          <w:rFonts w:ascii="宋体" w:hAnsi="宋体" w:cs="宋体" w:eastAsia="宋体" w:hint="default"/>
          <w:b/>
          <w:bCs/>
          <w:sz w:val="24"/>
          <w:szCs w:val="24"/>
        </w:rPr>
        <w:t>1</w:t>
      </w:r>
      <w:r>
        <w:rPr>
          <w:rFonts w:ascii="宋体" w:hAnsi="宋体" w:cs="宋体" w:eastAsia="宋体" w:hint="default"/>
          <w:b/>
          <w:bCs/>
          <w:sz w:val="24"/>
          <w:szCs w:val="24"/>
        </w:rPr>
        <w:t>）计价方法、使用寿命、减值测试</w:t>
      </w:r>
      <w:r>
        <w:rPr>
          <w:rFonts w:ascii="宋体" w:hAnsi="宋体" w:cs="宋体" w:eastAsia="宋体" w:hint="default"/>
          <w:b/>
          <w:bCs/>
          <w:w w:val="99"/>
          <w:sz w:val="24"/>
          <w:szCs w:val="24"/>
        </w:rPr>
        <w:t> </w:t>
      </w:r>
      <w:r>
        <w:rPr>
          <w:rFonts w:ascii="宋体" w:hAnsi="宋体" w:cs="宋体" w:eastAsia="宋体" w:hint="default"/>
          <w:sz w:val="24"/>
          <w:szCs w:val="24"/>
        </w:rPr>
        <w:t>无形资产是指本公司拥有或者控制的没有实物形态的可辨认非货币性资产，包括土地使</w:t>
      </w:r>
    </w:p>
    <w:p>
      <w:pPr>
        <w:pStyle w:val="BodyText"/>
        <w:spacing w:line="240" w:lineRule="auto"/>
        <w:ind w:right="996"/>
        <w:jc w:val="left"/>
      </w:pPr>
      <w:r>
        <w:rPr/>
        <w:t>用权、软件及非专利技术等。</w:t>
      </w:r>
    </w:p>
    <w:p>
      <w:pPr>
        <w:pStyle w:val="BodyText"/>
        <w:spacing w:line="350" w:lineRule="auto" w:before="145"/>
        <w:ind w:left="634" w:right="1152"/>
        <w:jc w:val="left"/>
      </w:pPr>
      <w:r>
        <w:rPr/>
        <w:t>①无形资产的初始计量 外购无形资产的成本，包括购买价款、相关税费以及直接归属于使该项资产达到预定用</w:t>
      </w:r>
    </w:p>
    <w:p>
      <w:pPr>
        <w:pStyle w:val="BodyText"/>
        <w:spacing w:line="350" w:lineRule="auto"/>
        <w:ind w:left="154" w:right="1152"/>
        <w:jc w:val="left"/>
      </w:pPr>
      <w:r>
        <w:rPr/>
        <w:t>途所发生的其他支出。购买无形资产的价款超过正常信用条件延期支付，实质上具有融资性 质的，无形资产的成本以购买价款的现值为基础确定。</w:t>
      </w:r>
    </w:p>
    <w:p>
      <w:pPr>
        <w:pStyle w:val="BodyText"/>
        <w:spacing w:line="352" w:lineRule="auto" w:before="35"/>
        <w:ind w:right="1170" w:firstLine="480"/>
        <w:jc w:val="both"/>
      </w:pPr>
      <w:r>
        <w:rPr/>
        <w:t>债务重组取得债务人用以抵债的无形资产，以该无形资产的公允价值为基础确定其入账 价值，并将重组债务的账面价值与该用以抵债的无形资产公允价值之间的差额，计入当期损 益。</w:t>
      </w:r>
    </w:p>
    <w:p>
      <w:pPr>
        <w:pStyle w:val="BodyText"/>
        <w:spacing w:line="350" w:lineRule="auto" w:before="32"/>
        <w:ind w:left="154" w:right="1169" w:firstLine="480"/>
        <w:jc w:val="both"/>
      </w:pPr>
      <w:r>
        <w:rPr/>
        <w:t>在非货币性资产交换具备商业实质且换入资产或换出资产的公允价值能够可靠计量的前 提下，非货币性资产交换换入的无形资产以换出资产的公允价值为基础确定其入账价值，除 非有确凿证据表明换入资产的公允价值更加可靠；不满足上述前提的非货币性资产交换，以 换出资产的账面价值和应支付的相关税费作为换入无形资产的成本，不确认损益。</w:t>
      </w:r>
    </w:p>
    <w:p>
      <w:pPr>
        <w:pStyle w:val="BodyText"/>
        <w:spacing w:line="350" w:lineRule="auto"/>
        <w:ind w:right="1170" w:firstLine="480"/>
        <w:jc w:val="both"/>
      </w:pPr>
      <w:r>
        <w:rPr/>
        <w:t>以同一控制下的企业吸收合并方式取得的无形资产按被合并方的账面价值确定其入账价 值；以非同一控制下的企业吸收合并方式取得的无形资产按公允价值确定其入账价值。</w:t>
      </w:r>
    </w:p>
    <w:p>
      <w:pPr>
        <w:pStyle w:val="BodyText"/>
        <w:spacing w:line="352" w:lineRule="auto" w:before="35"/>
        <w:ind w:right="1170" w:firstLine="480"/>
        <w:jc w:val="both"/>
      </w:pPr>
      <w:r>
        <w:rPr/>
        <w:t>内部自行开发的无形资产，其成本包括：开发该无形资产时耗用的材料、劳务成本、注 册费、在开发过程中使用的其他专利权和特许权的摊销以及满足资本化条件的利息费用，以 及为使该无形资产达到预定用途前所发生的其他直接费用。</w:t>
      </w:r>
    </w:p>
    <w:p>
      <w:pPr>
        <w:pStyle w:val="BodyText"/>
        <w:spacing w:line="352" w:lineRule="auto" w:before="32"/>
        <w:ind w:left="634" w:right="1152"/>
        <w:jc w:val="left"/>
      </w:pPr>
      <w:r>
        <w:rPr/>
        <w:t>②无形资产的后续计量 本公司在取得无形资产时分析判断其使用寿命，划分为使用寿命有限和使用寿命不确定</w:t>
      </w:r>
    </w:p>
    <w:p>
      <w:pPr>
        <w:pStyle w:val="BodyText"/>
        <w:spacing w:line="240" w:lineRule="auto" w:before="32"/>
        <w:ind w:left="154" w:right="996"/>
        <w:jc w:val="left"/>
      </w:pPr>
      <w:r>
        <w:rPr/>
        <w:t>的无形资产。</w:t>
      </w:r>
    </w:p>
    <w:p>
      <w:pPr>
        <w:pStyle w:val="BodyText"/>
        <w:spacing w:line="352" w:lineRule="auto" w:before="145"/>
        <w:ind w:left="633" w:right="1153"/>
        <w:jc w:val="left"/>
      </w:pPr>
      <w:r>
        <w:rPr>
          <w:rFonts w:ascii="宋体" w:hAnsi="宋体" w:cs="宋体" w:eastAsia="宋体" w:hint="default"/>
        </w:rPr>
        <w:t>a</w:t>
      </w:r>
      <w:r>
        <w:rPr/>
        <w:t>、使用寿命有限的无形资产 对于使用寿命有限的无形资产，在为企业带来经济利益的期限内按直线法摊销。使用寿</w:t>
      </w:r>
    </w:p>
    <w:p>
      <w:pPr>
        <w:pStyle w:val="BodyText"/>
        <w:spacing w:line="240" w:lineRule="auto" w:before="32"/>
        <w:ind w:right="996"/>
        <w:jc w:val="left"/>
      </w:pPr>
      <w:r>
        <w:rPr/>
        <w:t>命有限的无形资产预计寿命及依据如下：</w:t>
      </w:r>
    </w:p>
    <w:p>
      <w:pPr>
        <w:spacing w:line="240" w:lineRule="auto" w:before="5"/>
        <w:rPr>
          <w:rFonts w:ascii="宋体" w:hAnsi="宋体" w:cs="宋体" w:eastAsia="宋体" w:hint="default"/>
          <w:sz w:val="4"/>
          <w:szCs w:val="4"/>
        </w:rPr>
      </w:pPr>
    </w:p>
    <w:tbl>
      <w:tblPr>
        <w:tblW w:w="0" w:type="auto"/>
        <w:jc w:val="left"/>
        <w:tblInd w:w="759" w:type="dxa"/>
        <w:tblLayout w:type="fixed"/>
        <w:tblCellMar>
          <w:top w:w="0" w:type="dxa"/>
          <w:left w:w="0" w:type="dxa"/>
          <w:bottom w:w="0" w:type="dxa"/>
          <w:right w:w="0" w:type="dxa"/>
        </w:tblCellMar>
        <w:tblLook w:val="01E0"/>
      </w:tblPr>
      <w:tblGrid>
        <w:gridCol w:w="2806"/>
        <w:gridCol w:w="1872"/>
        <w:gridCol w:w="3742"/>
      </w:tblGrid>
      <w:tr>
        <w:trPr>
          <w:trHeight w:val="342" w:hRule="exact"/>
        </w:trPr>
        <w:tc>
          <w:tcPr>
            <w:tcW w:w="2806"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预计使用寿命</w:t>
            </w:r>
          </w:p>
        </w:tc>
        <w:tc>
          <w:tcPr>
            <w:tcW w:w="3742"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依据</w:t>
            </w:r>
          </w:p>
        </w:tc>
      </w:tr>
      <w:tr>
        <w:trPr>
          <w:trHeight w:val="342" w:hRule="exact"/>
        </w:trPr>
        <w:tc>
          <w:tcPr>
            <w:tcW w:w="2806"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实际使用年限</w:t>
            </w:r>
          </w:p>
        </w:tc>
        <w:tc>
          <w:tcPr>
            <w:tcW w:w="3742"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证件所载年限</w:t>
            </w:r>
          </w:p>
        </w:tc>
      </w:tr>
      <w:tr>
        <w:trPr>
          <w:trHeight w:val="342" w:hRule="exact"/>
        </w:trPr>
        <w:tc>
          <w:tcPr>
            <w:tcW w:w="2806"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 w:right="0"/>
              <w:jc w:val="left"/>
              <w:rPr>
                <w:rFonts w:ascii="宋体" w:hAnsi="宋体" w:cs="宋体" w:eastAsia="宋体" w:hint="default"/>
                <w:sz w:val="21"/>
                <w:szCs w:val="21"/>
              </w:rPr>
            </w:pPr>
            <w:r>
              <w:rPr>
                <w:rFonts w:ascii="宋体" w:hAnsi="宋体" w:cs="宋体" w:eastAsia="宋体" w:hint="default"/>
                <w:sz w:val="21"/>
                <w:szCs w:val="21"/>
              </w:rPr>
              <w:t>软件</w:t>
            </w:r>
          </w:p>
        </w:tc>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预计使用年限</w:t>
            </w:r>
          </w:p>
        </w:tc>
        <w:tc>
          <w:tcPr>
            <w:tcW w:w="3742"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预计可使用年限</w:t>
            </w:r>
          </w:p>
        </w:tc>
      </w:tr>
      <w:tr>
        <w:trPr>
          <w:trHeight w:val="343" w:hRule="exact"/>
        </w:trPr>
        <w:tc>
          <w:tcPr>
            <w:tcW w:w="2806"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 w:right="0"/>
              <w:jc w:val="left"/>
              <w:rPr>
                <w:rFonts w:ascii="宋体" w:hAnsi="宋体" w:cs="宋体" w:eastAsia="宋体" w:hint="default"/>
                <w:sz w:val="21"/>
                <w:szCs w:val="21"/>
              </w:rPr>
            </w:pPr>
            <w:r>
              <w:rPr>
                <w:rFonts w:ascii="宋体" w:hAnsi="宋体" w:cs="宋体" w:eastAsia="宋体" w:hint="default"/>
                <w:sz w:val="21"/>
                <w:szCs w:val="21"/>
              </w:rPr>
              <w:t>非专利技术</w:t>
            </w:r>
          </w:p>
        </w:tc>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10</w:t>
            </w:r>
            <w:r>
              <w:rPr>
                <w:rFonts w:ascii="宋体" w:hAnsi="宋体" w:cs="宋体" w:eastAsia="宋体" w:hint="default"/>
                <w:sz w:val="21"/>
                <w:szCs w:val="21"/>
              </w:rPr>
              <w:t>年</w:t>
            </w:r>
          </w:p>
        </w:tc>
        <w:tc>
          <w:tcPr>
            <w:tcW w:w="3742"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预计可使用年限</w:t>
            </w:r>
          </w:p>
        </w:tc>
      </w:tr>
    </w:tbl>
    <w:p>
      <w:pPr>
        <w:spacing w:after="0" w:line="271" w:lineRule="exact"/>
        <w:jc w:val="center"/>
        <w:rPr>
          <w:rFonts w:ascii="宋体" w:hAnsi="宋体" w:cs="宋体" w:eastAsia="宋体" w:hint="default"/>
          <w:sz w:val="21"/>
          <w:szCs w:val="21"/>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350" w:lineRule="auto" w:before="199"/>
        <w:ind w:right="1153" w:firstLine="480"/>
        <w:jc w:val="left"/>
      </w:pPr>
      <w:r>
        <w:rPr/>
        <w:t>每期末，对使用寿命有限的无形资产的使用寿命及摊销方法进行复核，如与原先估计数 存在差异的，进行相应的调整。</w:t>
      </w:r>
    </w:p>
    <w:p>
      <w:pPr>
        <w:pStyle w:val="BodyText"/>
        <w:spacing w:line="352" w:lineRule="auto"/>
        <w:ind w:left="633" w:right="1153"/>
        <w:jc w:val="left"/>
      </w:pPr>
      <w:r>
        <w:rPr/>
        <w:t>经复核，本期期末无形资产的使用寿命及摊销方法与以前估计未有不同。 </w:t>
      </w:r>
      <w:r>
        <w:rPr>
          <w:rFonts w:ascii="宋体" w:hAnsi="宋体" w:cs="宋体" w:eastAsia="宋体" w:hint="default"/>
        </w:rPr>
        <w:t>b</w:t>
      </w:r>
      <w:r>
        <w:rPr/>
        <w:t>、使用寿命不确定的无形资产 无法预见无形资产为企业带来经济利益期限的，视为使用寿命不确定的无形资产。 对于使用寿命不确定的无形资产，在持有期间内不摊销，每期末对无形资产的寿命进行</w:t>
      </w:r>
    </w:p>
    <w:p>
      <w:pPr>
        <w:pStyle w:val="BodyText"/>
        <w:spacing w:line="350" w:lineRule="auto" w:before="32"/>
        <w:ind w:left="633" w:right="2353" w:hanging="480"/>
        <w:jc w:val="left"/>
      </w:pPr>
      <w:r>
        <w:rPr/>
        <w:t>复核。如果期末重新复核后仍为不确定的，在每个会计期间继续进行减值测试。 经复核，该类无形资产的使用寿命仍为不确定。</w:t>
      </w:r>
    </w:p>
    <w:p>
      <w:pPr>
        <w:pStyle w:val="Heading2"/>
        <w:spacing w:line="240" w:lineRule="auto" w:before="36"/>
        <w:ind w:right="996"/>
        <w:jc w:val="left"/>
        <w:rPr>
          <w:b w:val="0"/>
          <w:bCs w:val="0"/>
        </w:rPr>
      </w:pPr>
      <w:r>
        <w:rPr/>
        <w:t>（</w:t>
      </w:r>
      <w:r>
        <w:rPr>
          <w:rFonts w:ascii="宋体" w:hAnsi="宋体" w:cs="宋体" w:eastAsia="宋体" w:hint="default"/>
        </w:rPr>
        <w:t>2</w:t>
      </w:r>
      <w:r>
        <w:rPr/>
        <w:t>）内部研究开发支出会计政策</w:t>
      </w:r>
      <w:r>
        <w:rPr>
          <w:b w:val="0"/>
          <w:bCs w:val="0"/>
        </w:rPr>
      </w:r>
    </w:p>
    <w:p>
      <w:pPr>
        <w:pStyle w:val="BodyText"/>
        <w:spacing w:line="350" w:lineRule="auto" w:before="145"/>
        <w:ind w:left="633" w:right="1153"/>
        <w:jc w:val="left"/>
      </w:pPr>
      <w:r>
        <w:rPr/>
        <w:t>①划分公司内部研究开发项目的研究阶段和开发阶段具体标准 研究阶段：为获取并理解新的科学或技术知识等而进行的独创性的有计划调查、研究活</w:t>
      </w:r>
    </w:p>
    <w:p>
      <w:pPr>
        <w:pStyle w:val="BodyText"/>
        <w:spacing w:line="240" w:lineRule="auto"/>
        <w:ind w:right="996"/>
        <w:jc w:val="left"/>
      </w:pPr>
      <w:r>
        <w:rPr/>
        <w:t>动的阶段。</w:t>
      </w:r>
    </w:p>
    <w:p>
      <w:pPr>
        <w:pStyle w:val="BodyText"/>
        <w:spacing w:line="350" w:lineRule="auto" w:before="145"/>
        <w:ind w:right="996" w:firstLine="480"/>
        <w:jc w:val="left"/>
      </w:pPr>
      <w:r>
        <w:rPr>
          <w:spacing w:val="-3"/>
        </w:rPr>
        <w:t>开发阶段：在进行商业性生产或使用前，将研究成果或其他知识应用于某项计划或设计，</w:t>
      </w:r>
      <w:r>
        <w:rPr/>
        <w:t> 以生产出新的或具有实质性改进的材料、装置、产品等活动的阶段。</w:t>
      </w:r>
    </w:p>
    <w:p>
      <w:pPr>
        <w:pStyle w:val="BodyText"/>
        <w:spacing w:line="240" w:lineRule="auto"/>
        <w:ind w:left="633" w:right="996"/>
        <w:jc w:val="left"/>
      </w:pPr>
      <w:r>
        <w:rPr/>
        <w:t>内部研究开发项目研究阶段的支出，在发生时计入当期损益。</w:t>
      </w:r>
    </w:p>
    <w:p>
      <w:pPr>
        <w:pStyle w:val="BodyText"/>
        <w:spacing w:line="350" w:lineRule="auto" w:before="146"/>
        <w:ind w:left="633" w:right="996"/>
        <w:jc w:val="left"/>
      </w:pPr>
      <w:r>
        <w:rPr/>
        <w:t>②开发阶段支出符合资本化的具体标准 内部研究开发项目开发阶段的支出，同时满足下列条件时确认为无形资产： </w:t>
      </w:r>
      <w:r>
        <w:rPr>
          <w:rFonts w:ascii="宋体" w:hAnsi="宋体" w:cs="宋体" w:eastAsia="宋体" w:hint="default"/>
        </w:rPr>
        <w:t>a</w:t>
      </w:r>
      <w:r>
        <w:rPr/>
        <w:t>、完成该无形资产以使其能够使用或出售在技术上具有可行性； </w:t>
      </w:r>
      <w:r>
        <w:rPr>
          <w:rFonts w:ascii="宋体" w:hAnsi="宋体" w:cs="宋体" w:eastAsia="宋体" w:hint="default"/>
        </w:rPr>
        <w:t>b</w:t>
      </w:r>
      <w:r>
        <w:rPr/>
        <w:t>、具有完成该无形资产并使用或出售的意图； </w:t>
      </w:r>
      <w:r>
        <w:rPr>
          <w:rFonts w:ascii="宋体" w:hAnsi="宋体" w:cs="宋体" w:eastAsia="宋体" w:hint="default"/>
          <w:spacing w:val="-3"/>
        </w:rPr>
        <w:t>c</w:t>
      </w:r>
      <w:r>
        <w:rPr>
          <w:spacing w:val="-3"/>
        </w:rPr>
        <w:t>、无形资产产生经济利益的方式，包括能够证明运用该无形资产生产的产品存在市场或</w:t>
      </w:r>
    </w:p>
    <w:p>
      <w:pPr>
        <w:pStyle w:val="BodyText"/>
        <w:spacing w:line="350" w:lineRule="auto"/>
        <w:ind w:left="633" w:right="996" w:hanging="480"/>
        <w:jc w:val="left"/>
      </w:pPr>
      <w:r>
        <w:rPr/>
        <w:t>无形资产自身存在市场，无形资产将在内部使用的，能够证明其有用性； </w:t>
      </w:r>
      <w:r>
        <w:rPr>
          <w:rFonts w:ascii="宋体" w:hAnsi="宋体" w:cs="宋体" w:eastAsia="宋体" w:hint="default"/>
          <w:spacing w:val="-3"/>
        </w:rPr>
        <w:t>d</w:t>
      </w:r>
      <w:r>
        <w:rPr>
          <w:spacing w:val="-3"/>
        </w:rPr>
        <w:t>、有足够的技术、财务资源和其他资源支持，以完成该无形资产的开发，并有能力使用</w:t>
      </w:r>
    </w:p>
    <w:p>
      <w:pPr>
        <w:pStyle w:val="BodyText"/>
        <w:spacing w:line="352" w:lineRule="auto" w:before="35"/>
        <w:ind w:left="633" w:right="4393" w:hanging="480"/>
        <w:jc w:val="left"/>
      </w:pPr>
      <w:r>
        <w:rPr/>
        <w:t>或出售该无形资产； </w:t>
      </w:r>
      <w:r>
        <w:rPr>
          <w:rFonts w:ascii="宋体" w:hAnsi="宋体" w:cs="宋体" w:eastAsia="宋体" w:hint="default"/>
        </w:rPr>
        <w:t>e</w:t>
      </w:r>
      <w:r>
        <w:rPr/>
        <w:t>、归属于该无形资产开发阶段的支出能够可靠地计量。</w:t>
      </w:r>
    </w:p>
    <w:p>
      <w:pPr>
        <w:pStyle w:val="BodyText"/>
        <w:spacing w:line="352" w:lineRule="auto" w:before="32"/>
        <w:ind w:right="1170" w:firstLine="480"/>
        <w:jc w:val="both"/>
      </w:pPr>
      <w:r>
        <w:rPr/>
        <w:t>不满足上述条件的开发阶段的支出，于发生时计入当期损益。以前期间已计入损益的开 发支出不在以后期间重新确认为资产。已资本化的开发阶段的支出在资产负债表上列示为开 发支出，自该项目达到预定用途之日起转为无形资产。</w:t>
      </w:r>
    </w:p>
    <w:p>
      <w:pPr>
        <w:spacing w:line="564" w:lineRule="auto" w:before="208"/>
        <w:ind w:left="633" w:right="1153" w:hanging="480"/>
        <w:jc w:val="left"/>
        <w:rPr>
          <w:rFonts w:ascii="宋体" w:hAnsi="宋体" w:cs="宋体" w:eastAsia="宋体" w:hint="default"/>
          <w:sz w:val="24"/>
          <w:szCs w:val="24"/>
        </w:rPr>
      </w:pPr>
      <w:bookmarkStart w:name="22、长期资产减值" w:id="224"/>
      <w:bookmarkEnd w:id="224"/>
      <w:r>
        <w:rPr/>
      </w:r>
      <w:r>
        <w:rPr>
          <w:rFonts w:ascii="宋体" w:hAnsi="宋体" w:cs="宋体" w:eastAsia="宋体" w:hint="default"/>
          <w:b/>
          <w:bCs/>
          <w:sz w:val="24"/>
          <w:szCs w:val="24"/>
        </w:rPr>
        <w:t>22</w:t>
      </w:r>
      <w:r>
        <w:rPr>
          <w:rFonts w:ascii="宋体" w:hAnsi="宋体" w:cs="宋体" w:eastAsia="宋体" w:hint="default"/>
          <w:b/>
          <w:bCs/>
          <w:sz w:val="24"/>
          <w:szCs w:val="24"/>
        </w:rPr>
        <w:t>、长期资产减值</w:t>
      </w:r>
      <w:r>
        <w:rPr>
          <w:rFonts w:ascii="宋体" w:hAnsi="宋体" w:cs="宋体" w:eastAsia="宋体" w:hint="default"/>
          <w:b/>
          <w:bCs/>
          <w:w w:val="99"/>
          <w:sz w:val="24"/>
          <w:szCs w:val="24"/>
        </w:rPr>
        <w:t> </w:t>
      </w:r>
      <w:r>
        <w:rPr>
          <w:rFonts w:ascii="宋体" w:hAnsi="宋体" w:cs="宋体" w:eastAsia="宋体" w:hint="default"/>
          <w:sz w:val="24"/>
          <w:szCs w:val="24"/>
        </w:rPr>
        <w:t>本公司在资产负债表日判断长期资产是否存在可能发生减值的迹象。如果长期资产存在</w:t>
      </w:r>
    </w:p>
    <w:p>
      <w:pPr>
        <w:spacing w:after="0" w:line="564" w:lineRule="auto"/>
        <w:jc w:val="left"/>
        <w:rPr>
          <w:rFonts w:ascii="宋体" w:hAnsi="宋体" w:cs="宋体" w:eastAsia="宋体" w:hint="default"/>
          <w:sz w:val="24"/>
          <w:szCs w:val="24"/>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350" w:lineRule="auto" w:before="199"/>
        <w:ind w:right="1153"/>
        <w:jc w:val="left"/>
      </w:pPr>
      <w:r>
        <w:rPr/>
        <w:t>减值迹象的，以单项资产为基础估计其可收回金额；难以对单项资产的可收回金额进行估计 的，以该资产所属的资产组为基础确定资产组的可收回金额。</w:t>
      </w:r>
    </w:p>
    <w:p>
      <w:pPr>
        <w:pStyle w:val="BodyText"/>
        <w:spacing w:line="350" w:lineRule="auto"/>
        <w:ind w:right="1170" w:firstLine="480"/>
        <w:jc w:val="both"/>
      </w:pPr>
      <w:r>
        <w:rPr/>
        <w:t>资产可收回金额的估计，根据其公允价值减去处置费用后的净额与资产预计未来现金流 量的现值两者之间较高者确定。</w:t>
      </w:r>
    </w:p>
    <w:p>
      <w:pPr>
        <w:pStyle w:val="BodyText"/>
        <w:spacing w:line="352" w:lineRule="auto" w:before="35"/>
        <w:ind w:right="1170" w:firstLine="480"/>
        <w:jc w:val="both"/>
      </w:pPr>
      <w:r>
        <w:rPr/>
        <w:t>可收回金额的计量结果表明，长期资产的可收回金额低于其账面价值的，将长期资产的 账面价值减记至可收回金额，减记的金额确认为资产减值损失，计入当期损益，同时计提相 应的资产减值准备。资产减值损失一经确认，在以后会计期间不得转回。</w:t>
      </w:r>
    </w:p>
    <w:p>
      <w:pPr>
        <w:pStyle w:val="BodyText"/>
        <w:spacing w:line="352" w:lineRule="auto" w:before="32"/>
        <w:ind w:right="1170" w:firstLine="480"/>
        <w:jc w:val="both"/>
      </w:pPr>
      <w:r>
        <w:rPr/>
        <w:t>资产减值损失确认后，减值资产的折旧或者摊销费用在未来期间作相应调整，以使该资 产在剩余使用寿命内，系统地分摊调整后的资产账面价值（扣除预计净残值）。</w:t>
      </w:r>
    </w:p>
    <w:p>
      <w:pPr>
        <w:pStyle w:val="BodyText"/>
        <w:spacing w:line="350" w:lineRule="auto" w:before="32"/>
        <w:ind w:right="1170" w:firstLine="480"/>
        <w:jc w:val="both"/>
      </w:pPr>
      <w:r>
        <w:rPr/>
        <w:t>因企业合并所形成的商誉和使用寿命不确定的无形资产，无论是否存在减值迹象，每年 都进行减值测试。</w:t>
      </w:r>
    </w:p>
    <w:p>
      <w:pPr>
        <w:pStyle w:val="BodyText"/>
        <w:spacing w:line="350" w:lineRule="auto"/>
        <w:ind w:right="1169" w:firstLine="480"/>
        <w:jc w:val="both"/>
      </w:pPr>
      <w:r>
        <w:rPr/>
        <w:t>在对商誉进行减值测试时，将商誉的账面价值分摊至预期从企业合并的协同效应中受益 的资产组或资产组组合。在对包含商誉的相关资产组或者资产组组合进行减值测试时，如与 商誉相关的资产组或者资产组组合存在减值迹象的，先对不包含商誉的资产组或者资产组组 合进行减值测试，计算可收回金额，并与相关账面价值相比较，确认相应的减值损失。再对 包含商誉的资产组或者资产组组合进行减值测试，比较这些相关资产组或者资产组组合的账 面价值（包括所分摊的商誉的账面价值部分）与其可收回金额，如相关资产组或者资产组组 合的可收回金额低于其账面价值的，确认商誉的减值损失。</w:t>
      </w:r>
    </w:p>
    <w:p>
      <w:pPr>
        <w:pStyle w:val="Heading2"/>
        <w:spacing w:line="240" w:lineRule="auto" w:before="210"/>
        <w:ind w:left="153" w:right="996"/>
        <w:jc w:val="left"/>
        <w:rPr>
          <w:b w:val="0"/>
          <w:bCs w:val="0"/>
        </w:rPr>
      </w:pPr>
      <w:bookmarkStart w:name="23、长期待摊费用" w:id="225"/>
      <w:bookmarkEnd w:id="225"/>
      <w:r>
        <w:rPr>
          <w:b w:val="0"/>
          <w:bCs w:val="0"/>
        </w:rPr>
      </w:r>
      <w:r>
        <w:rPr>
          <w:rFonts w:ascii="宋体" w:hAnsi="宋体" w:cs="宋体" w:eastAsia="宋体" w:hint="default"/>
        </w:rPr>
        <w:t>23</w:t>
      </w:r>
      <w:r>
        <w:rPr/>
        <w:t>、长期待摊费用</w:t>
      </w:r>
      <w:r>
        <w:rPr>
          <w:b w:val="0"/>
          <w:bCs w:val="0"/>
        </w:rPr>
      </w:r>
    </w:p>
    <w:p>
      <w:pPr>
        <w:spacing w:line="240" w:lineRule="auto" w:before="5"/>
        <w:rPr>
          <w:rFonts w:ascii="宋体" w:hAnsi="宋体" w:cs="宋体" w:eastAsia="宋体" w:hint="default"/>
          <w:b/>
          <w:bCs/>
          <w:sz w:val="32"/>
          <w:szCs w:val="32"/>
        </w:rPr>
      </w:pPr>
    </w:p>
    <w:p>
      <w:pPr>
        <w:pStyle w:val="BodyText"/>
        <w:spacing w:line="350" w:lineRule="auto" w:before="0"/>
        <w:ind w:left="633" w:right="996" w:firstLine="2"/>
        <w:jc w:val="left"/>
      </w:pPr>
      <w:r>
        <w:rPr>
          <w:rFonts w:ascii="宋体" w:hAnsi="宋体" w:cs="宋体" w:eastAsia="宋体" w:hint="default"/>
          <w:b/>
          <w:bCs/>
        </w:rPr>
        <w:t>（</w:t>
      </w:r>
      <w:r>
        <w:rPr>
          <w:rFonts w:ascii="宋体" w:hAnsi="宋体" w:cs="宋体" w:eastAsia="宋体" w:hint="default"/>
          <w:b/>
          <w:bCs/>
        </w:rPr>
        <w:t>1</w:t>
      </w:r>
      <w:r>
        <w:rPr>
          <w:rFonts w:ascii="宋体" w:hAnsi="宋体" w:cs="宋体" w:eastAsia="宋体" w:hint="default"/>
          <w:b/>
          <w:bCs/>
        </w:rPr>
        <w:t>）摊销方法</w:t>
      </w:r>
      <w:r>
        <w:rPr>
          <w:rFonts w:ascii="宋体" w:hAnsi="宋体" w:cs="宋体" w:eastAsia="宋体" w:hint="default"/>
          <w:b/>
          <w:bCs/>
          <w:w w:val="99"/>
        </w:rPr>
        <w:t> </w:t>
      </w:r>
      <w:r>
        <w:rPr>
          <w:spacing w:val="-3"/>
        </w:rPr>
        <w:t>长期待摊费用，是指本公司已经发生但应由本期和以后各期负担的分摊期限在</w:t>
      </w:r>
      <w:r>
        <w:rPr>
          <w:rFonts w:ascii="宋体" w:hAnsi="宋体" w:cs="宋体" w:eastAsia="宋体" w:hint="default"/>
          <w:spacing w:val="-3"/>
        </w:rPr>
        <w:t>1</w:t>
      </w:r>
      <w:r>
        <w:rPr>
          <w:spacing w:val="-3"/>
        </w:rPr>
        <w:t>年以上的</w:t>
      </w:r>
    </w:p>
    <w:p>
      <w:pPr>
        <w:pStyle w:val="BodyText"/>
        <w:spacing w:line="240" w:lineRule="auto"/>
        <w:ind w:right="996"/>
        <w:jc w:val="left"/>
      </w:pPr>
      <w:r>
        <w:rPr/>
        <w:t>各项费用。长期待摊费用在受益期内按直线法分期摊销。</w:t>
      </w:r>
    </w:p>
    <w:p>
      <w:pPr>
        <w:pStyle w:val="Heading2"/>
        <w:spacing w:line="240" w:lineRule="auto" w:before="145"/>
        <w:ind w:right="996"/>
        <w:jc w:val="left"/>
        <w:rPr>
          <w:b w:val="0"/>
          <w:bCs w:val="0"/>
        </w:rPr>
      </w:pPr>
      <w:r>
        <w:rPr/>
        <w:t>（</w:t>
      </w:r>
      <w:r>
        <w:rPr>
          <w:rFonts w:ascii="宋体" w:hAnsi="宋体" w:cs="宋体" w:eastAsia="宋体" w:hint="default"/>
        </w:rPr>
        <w:t>2</w:t>
      </w:r>
      <w:r>
        <w:rPr/>
        <w:t>）摊销年限</w:t>
      </w:r>
      <w:r>
        <w:rPr>
          <w:b w:val="0"/>
          <w:bCs w:val="0"/>
        </w:rPr>
      </w:r>
    </w:p>
    <w:p>
      <w:pPr>
        <w:spacing w:line="240" w:lineRule="auto" w:before="5"/>
        <w:rPr>
          <w:rFonts w:ascii="宋体" w:hAnsi="宋体" w:cs="宋体" w:eastAsia="宋体" w:hint="default"/>
          <w:b/>
          <w:bCs/>
          <w:sz w:val="4"/>
          <w:szCs w:val="4"/>
        </w:rPr>
      </w:pPr>
    </w:p>
    <w:tbl>
      <w:tblPr>
        <w:tblW w:w="0" w:type="auto"/>
        <w:jc w:val="left"/>
        <w:tblInd w:w="495" w:type="dxa"/>
        <w:tblLayout w:type="fixed"/>
        <w:tblCellMar>
          <w:top w:w="0" w:type="dxa"/>
          <w:left w:w="0" w:type="dxa"/>
          <w:bottom w:w="0" w:type="dxa"/>
          <w:right w:w="0" w:type="dxa"/>
        </w:tblCellMar>
        <w:tblLook w:val="01E0"/>
      </w:tblPr>
      <w:tblGrid>
        <w:gridCol w:w="1572"/>
        <w:gridCol w:w="1559"/>
        <w:gridCol w:w="5814"/>
      </w:tblGrid>
      <w:tr>
        <w:trPr>
          <w:trHeight w:val="342" w:hRule="exact"/>
        </w:trPr>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类别</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摊销年限</w:t>
            </w:r>
          </w:p>
        </w:tc>
        <w:tc>
          <w:tcPr>
            <w:tcW w:w="5814"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备注</w:t>
            </w:r>
          </w:p>
        </w:tc>
      </w:tr>
      <w:tr>
        <w:trPr>
          <w:trHeight w:val="654" w:hRule="exact"/>
        </w:trPr>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5" w:right="0"/>
              <w:jc w:val="left"/>
              <w:rPr>
                <w:rFonts w:ascii="宋体" w:hAnsi="宋体" w:cs="宋体" w:eastAsia="宋体" w:hint="default"/>
                <w:sz w:val="21"/>
                <w:szCs w:val="21"/>
              </w:rPr>
            </w:pPr>
            <w:r>
              <w:rPr>
                <w:rFonts w:ascii="宋体" w:hAnsi="宋体" w:cs="宋体" w:eastAsia="宋体" w:hint="default"/>
                <w:sz w:val="21"/>
                <w:szCs w:val="21"/>
              </w:rPr>
              <w:t>广告经营权费</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1"/>
              <w:jc w:val="center"/>
              <w:rPr>
                <w:rFonts w:ascii="宋体" w:hAnsi="宋体" w:cs="宋体" w:eastAsia="宋体" w:hint="default"/>
                <w:sz w:val="21"/>
                <w:szCs w:val="21"/>
              </w:rPr>
            </w:pPr>
            <w:r>
              <w:rPr>
                <w:rFonts w:ascii="宋体"/>
                <w:sz w:val="21"/>
              </w:rPr>
              <w:t>5</w:t>
            </w:r>
          </w:p>
        </w:tc>
        <w:tc>
          <w:tcPr>
            <w:tcW w:w="581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644" w:right="64" w:hanging="578"/>
              <w:jc w:val="left"/>
              <w:rPr>
                <w:rFonts w:ascii="宋体" w:hAnsi="宋体" w:cs="宋体" w:eastAsia="宋体" w:hint="default"/>
                <w:sz w:val="21"/>
                <w:szCs w:val="21"/>
              </w:rPr>
            </w:pPr>
            <w:r>
              <w:rPr>
                <w:rFonts w:ascii="宋体" w:hAnsi="宋体" w:cs="宋体" w:eastAsia="宋体" w:hint="default"/>
                <w:sz w:val="21"/>
                <w:szCs w:val="21"/>
              </w:rPr>
              <w:t>上海申通地铁资产经营管理有限公司</w:t>
            </w:r>
            <w:r>
              <w:rPr>
                <w:rFonts w:ascii="宋体" w:hAnsi="宋体" w:cs="宋体" w:eastAsia="宋体" w:hint="default"/>
                <w:sz w:val="21"/>
                <w:szCs w:val="21"/>
              </w:rPr>
              <w:t>16</w:t>
            </w:r>
            <w:r>
              <w:rPr>
                <w:rFonts w:ascii="宋体" w:hAnsi="宋体" w:cs="宋体" w:eastAsia="宋体" w:hint="default"/>
                <w:sz w:val="21"/>
                <w:szCs w:val="21"/>
              </w:rPr>
              <w:t>号线与上海申通德高地 铁广告有限公司上海地铁</w:t>
            </w:r>
            <w:r>
              <w:rPr>
                <w:rFonts w:ascii="宋体" w:hAnsi="宋体" w:cs="宋体" w:eastAsia="宋体" w:hint="default"/>
                <w:sz w:val="21"/>
                <w:szCs w:val="21"/>
              </w:rPr>
              <w:t>5</w:t>
            </w:r>
            <w:r>
              <w:rPr>
                <w:rFonts w:ascii="宋体" w:hAnsi="宋体" w:cs="宋体" w:eastAsia="宋体" w:hint="default"/>
                <w:sz w:val="21"/>
                <w:szCs w:val="21"/>
              </w:rPr>
              <w:t>号线广告经营权费用。</w:t>
            </w:r>
          </w:p>
        </w:tc>
      </w:tr>
      <w:tr>
        <w:trPr>
          <w:trHeight w:val="656" w:hRule="exact"/>
        </w:trPr>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21"/>
              <w:ind w:left="5" w:right="114"/>
              <w:jc w:val="left"/>
              <w:rPr>
                <w:rFonts w:ascii="宋体" w:hAnsi="宋体" w:cs="宋体" w:eastAsia="宋体" w:hint="default"/>
                <w:sz w:val="18"/>
                <w:szCs w:val="18"/>
              </w:rPr>
            </w:pPr>
            <w:r>
              <w:rPr>
                <w:rFonts w:ascii="宋体" w:hAnsi="宋体" w:cs="宋体" w:eastAsia="宋体" w:hint="default"/>
                <w:sz w:val="18"/>
                <w:szCs w:val="18"/>
              </w:rPr>
              <w:t>经营租赁房屋装修 费</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1"/>
              <w:jc w:val="center"/>
              <w:rPr>
                <w:rFonts w:ascii="宋体" w:hAnsi="宋体" w:cs="宋体" w:eastAsia="宋体" w:hint="default"/>
                <w:sz w:val="21"/>
                <w:szCs w:val="21"/>
              </w:rPr>
            </w:pPr>
            <w:r>
              <w:rPr>
                <w:rFonts w:ascii="宋体"/>
                <w:sz w:val="21"/>
              </w:rPr>
              <w:t>5</w:t>
            </w:r>
          </w:p>
        </w:tc>
        <w:tc>
          <w:tcPr>
            <w:tcW w:w="5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交大驱动经营租赁房屋装修费</w:t>
            </w:r>
          </w:p>
        </w:tc>
      </w:tr>
    </w:tbl>
    <w:p>
      <w:pPr>
        <w:spacing w:after="0" w:line="240" w:lineRule="auto"/>
        <w:jc w:val="center"/>
        <w:rPr>
          <w:rFonts w:ascii="宋体" w:hAnsi="宋体" w:cs="宋体" w:eastAsia="宋体"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b/>
          <w:bCs/>
          <w:sz w:val="23"/>
          <w:szCs w:val="23"/>
        </w:rPr>
      </w:pPr>
    </w:p>
    <w:p>
      <w:pPr>
        <w:pStyle w:val="Heading2"/>
        <w:spacing w:line="240" w:lineRule="auto"/>
        <w:ind w:left="153" w:right="996"/>
        <w:jc w:val="left"/>
        <w:rPr>
          <w:b w:val="0"/>
          <w:bCs w:val="0"/>
        </w:rPr>
      </w:pPr>
      <w:bookmarkStart w:name="24、职工薪酬" w:id="226"/>
      <w:bookmarkEnd w:id="226"/>
      <w:r>
        <w:rPr>
          <w:b w:val="0"/>
          <w:bCs w:val="0"/>
        </w:rPr>
      </w:r>
      <w:r>
        <w:rPr>
          <w:rFonts w:ascii="宋体" w:hAnsi="宋体" w:cs="宋体" w:eastAsia="宋体" w:hint="default"/>
        </w:rPr>
        <w:t>24</w:t>
      </w:r>
      <w:r>
        <w:rPr/>
        <w:t>、职工薪酬</w:t>
      </w:r>
      <w:r>
        <w:rPr>
          <w:b w:val="0"/>
          <w:bCs w:val="0"/>
        </w:rPr>
      </w:r>
    </w:p>
    <w:p>
      <w:pPr>
        <w:spacing w:line="240" w:lineRule="auto" w:before="5"/>
        <w:rPr>
          <w:rFonts w:ascii="宋体" w:hAnsi="宋体" w:cs="宋体" w:eastAsia="宋体" w:hint="default"/>
          <w:b/>
          <w:bCs/>
          <w:sz w:val="32"/>
          <w:szCs w:val="32"/>
        </w:rPr>
      </w:pPr>
    </w:p>
    <w:p>
      <w:pPr>
        <w:spacing w:line="350" w:lineRule="auto" w:before="0"/>
        <w:ind w:left="633" w:right="1153" w:firstLine="2"/>
        <w:jc w:val="left"/>
        <w:rPr>
          <w:rFonts w:ascii="宋体" w:hAnsi="宋体" w:cs="宋体" w:eastAsia="宋体" w:hint="default"/>
          <w:sz w:val="24"/>
          <w:szCs w:val="24"/>
        </w:rPr>
      </w:pPr>
      <w:bookmarkStart w:name="（1）短期薪酬的会计处理方法" w:id="227"/>
      <w:bookmarkEnd w:id="227"/>
      <w:r>
        <w:rPr/>
      </w:r>
      <w:r>
        <w:rPr>
          <w:rFonts w:ascii="宋体" w:hAnsi="宋体" w:cs="宋体" w:eastAsia="宋体" w:hint="default"/>
          <w:b/>
          <w:bCs/>
          <w:sz w:val="24"/>
          <w:szCs w:val="24"/>
        </w:rPr>
        <w:t>（</w:t>
      </w:r>
      <w:r>
        <w:rPr>
          <w:rFonts w:ascii="宋体" w:hAnsi="宋体" w:cs="宋体" w:eastAsia="宋体" w:hint="default"/>
          <w:b/>
          <w:bCs/>
          <w:sz w:val="24"/>
          <w:szCs w:val="24"/>
        </w:rPr>
        <w:t>1</w:t>
      </w:r>
      <w:r>
        <w:rPr>
          <w:rFonts w:ascii="宋体" w:hAnsi="宋体" w:cs="宋体" w:eastAsia="宋体" w:hint="default"/>
          <w:b/>
          <w:bCs/>
          <w:sz w:val="24"/>
          <w:szCs w:val="24"/>
        </w:rPr>
        <w:t>）短期薪酬的会计处理方法</w:t>
      </w:r>
      <w:r>
        <w:rPr>
          <w:rFonts w:ascii="宋体" w:hAnsi="宋体" w:cs="宋体" w:eastAsia="宋体" w:hint="default"/>
          <w:b/>
          <w:bCs/>
          <w:w w:val="99"/>
          <w:sz w:val="24"/>
          <w:szCs w:val="24"/>
        </w:rPr>
        <w:t> </w:t>
      </w:r>
      <w:r>
        <w:rPr>
          <w:rFonts w:ascii="宋体" w:hAnsi="宋体" w:cs="宋体" w:eastAsia="宋体" w:hint="default"/>
          <w:sz w:val="24"/>
          <w:szCs w:val="24"/>
        </w:rPr>
        <w:t>短期薪酬是指本公司在职工提供相关服务的年度报告期间结束后十二个月内需要全部予</w:t>
      </w:r>
    </w:p>
    <w:p>
      <w:pPr>
        <w:pStyle w:val="BodyText"/>
        <w:spacing w:line="350" w:lineRule="auto"/>
        <w:ind w:right="1170"/>
        <w:jc w:val="both"/>
      </w:pPr>
      <w:r>
        <w:rPr/>
        <w:t>以支付的职工薪酬，离职后福利和辞退福利除外。本公司在职工提供服务的会计期间，将应 付的短期薪酬确认为负债，并根据职工提供服务的受益对象计入相关资产成本和费用。</w:t>
      </w:r>
    </w:p>
    <w:p>
      <w:pPr>
        <w:spacing w:line="352" w:lineRule="auto" w:before="35"/>
        <w:ind w:left="633" w:right="1153" w:firstLine="2"/>
        <w:jc w:val="left"/>
        <w:rPr>
          <w:rFonts w:ascii="宋体" w:hAnsi="宋体" w:cs="宋体" w:eastAsia="宋体" w:hint="default"/>
          <w:sz w:val="24"/>
          <w:szCs w:val="24"/>
        </w:rPr>
      </w:pPr>
      <w:bookmarkStart w:name="（2）离职后福利的会计处理方法" w:id="228"/>
      <w:bookmarkEnd w:id="228"/>
      <w:r>
        <w:rPr/>
      </w:r>
      <w:r>
        <w:rPr>
          <w:rFonts w:ascii="宋体" w:hAnsi="宋体" w:cs="宋体" w:eastAsia="宋体" w:hint="default"/>
          <w:b/>
          <w:bCs/>
          <w:sz w:val="24"/>
          <w:szCs w:val="24"/>
        </w:rPr>
        <w:t>（</w:t>
      </w:r>
      <w:r>
        <w:rPr>
          <w:rFonts w:ascii="宋体" w:hAnsi="宋体" w:cs="宋体" w:eastAsia="宋体" w:hint="default"/>
          <w:b/>
          <w:bCs/>
          <w:sz w:val="24"/>
          <w:szCs w:val="24"/>
        </w:rPr>
        <w:t>2</w:t>
      </w:r>
      <w:r>
        <w:rPr>
          <w:rFonts w:ascii="宋体" w:hAnsi="宋体" w:cs="宋体" w:eastAsia="宋体" w:hint="default"/>
          <w:b/>
          <w:bCs/>
          <w:sz w:val="24"/>
          <w:szCs w:val="24"/>
        </w:rPr>
        <w:t>）离职后福利的会计处理方法</w:t>
      </w:r>
      <w:r>
        <w:rPr>
          <w:rFonts w:ascii="宋体" w:hAnsi="宋体" w:cs="宋体" w:eastAsia="宋体" w:hint="default"/>
          <w:b/>
          <w:bCs/>
          <w:w w:val="99"/>
          <w:sz w:val="24"/>
          <w:szCs w:val="24"/>
        </w:rPr>
        <w:t> </w:t>
      </w:r>
      <w:r>
        <w:rPr>
          <w:rFonts w:ascii="宋体" w:hAnsi="宋体" w:cs="宋体" w:eastAsia="宋体" w:hint="default"/>
          <w:sz w:val="24"/>
          <w:szCs w:val="24"/>
        </w:rPr>
        <w:t>离职后福利是指本公司为获得职工提供的服务而在职工退休或与企业解除劳动关系后，</w:t>
      </w:r>
    </w:p>
    <w:p>
      <w:pPr>
        <w:pStyle w:val="BodyText"/>
        <w:spacing w:line="352" w:lineRule="auto" w:before="32"/>
        <w:ind w:left="633" w:right="1153" w:hanging="480"/>
        <w:jc w:val="left"/>
      </w:pPr>
      <w:r>
        <w:rPr/>
        <w:t>提供的各种形式的报酬和福利，短期薪酬和辞退福利除外。 本公司的离职后福利计划分类为设定提存计划和设定受益计划。 离职后福利设定提存计划主要为参加由各地劳动及社会保障机构组织实施的社会基本养</w:t>
      </w:r>
    </w:p>
    <w:p>
      <w:pPr>
        <w:pStyle w:val="BodyText"/>
        <w:spacing w:line="350" w:lineRule="auto" w:before="32"/>
        <w:ind w:right="1170"/>
        <w:jc w:val="both"/>
      </w:pPr>
      <w:r>
        <w:rPr/>
        <w:t>老保险、失业保险等。在职工为本公司提供服务的会计期间，将根据设定提存计划计算的应 缴存金额确认为负债，并计入当期损益或相关资产成本。</w:t>
      </w:r>
    </w:p>
    <w:p>
      <w:pPr>
        <w:pStyle w:val="BodyText"/>
        <w:spacing w:line="240" w:lineRule="auto"/>
        <w:ind w:left="633" w:right="996"/>
        <w:jc w:val="left"/>
      </w:pPr>
      <w:r>
        <w:rPr/>
        <w:t>本公司按照国家规定的标准和年金计划定期缴付上述款项后，不再有其他的支付义务。</w:t>
      </w:r>
    </w:p>
    <w:p>
      <w:pPr>
        <w:spacing w:line="350" w:lineRule="auto" w:before="145"/>
        <w:ind w:left="633" w:right="1153" w:firstLine="2"/>
        <w:jc w:val="left"/>
        <w:rPr>
          <w:rFonts w:ascii="宋体" w:hAnsi="宋体" w:cs="宋体" w:eastAsia="宋体" w:hint="default"/>
          <w:sz w:val="24"/>
          <w:szCs w:val="24"/>
        </w:rPr>
      </w:pPr>
      <w:bookmarkStart w:name="（3）辞退福利的会计处理方法" w:id="229"/>
      <w:bookmarkEnd w:id="229"/>
      <w:r>
        <w:rPr/>
      </w:r>
      <w:r>
        <w:rPr>
          <w:rFonts w:ascii="宋体" w:hAnsi="宋体" w:cs="宋体" w:eastAsia="宋体" w:hint="default"/>
          <w:b/>
          <w:bCs/>
          <w:sz w:val="24"/>
          <w:szCs w:val="24"/>
        </w:rPr>
        <w:t>（</w:t>
      </w:r>
      <w:r>
        <w:rPr>
          <w:rFonts w:ascii="宋体" w:hAnsi="宋体" w:cs="宋体" w:eastAsia="宋体" w:hint="default"/>
          <w:b/>
          <w:bCs/>
          <w:sz w:val="24"/>
          <w:szCs w:val="24"/>
        </w:rPr>
        <w:t>3</w:t>
      </w:r>
      <w:r>
        <w:rPr>
          <w:rFonts w:ascii="宋体" w:hAnsi="宋体" w:cs="宋体" w:eastAsia="宋体" w:hint="default"/>
          <w:b/>
          <w:bCs/>
          <w:sz w:val="24"/>
          <w:szCs w:val="24"/>
        </w:rPr>
        <w:t>）辞退福利的会计处理方法</w:t>
      </w:r>
      <w:r>
        <w:rPr>
          <w:rFonts w:ascii="宋体" w:hAnsi="宋体" w:cs="宋体" w:eastAsia="宋体" w:hint="default"/>
          <w:b/>
          <w:bCs/>
          <w:w w:val="99"/>
          <w:sz w:val="24"/>
          <w:szCs w:val="24"/>
        </w:rPr>
        <w:t> </w:t>
      </w:r>
      <w:r>
        <w:rPr>
          <w:rFonts w:ascii="宋体" w:hAnsi="宋体" w:cs="宋体" w:eastAsia="宋体" w:hint="default"/>
          <w:sz w:val="24"/>
          <w:szCs w:val="24"/>
        </w:rPr>
        <w:t>辞退福利是指本公司在职工劳动合同到期之前解除与职工的劳动关系，或者为鼓励职工</w:t>
      </w:r>
    </w:p>
    <w:p>
      <w:pPr>
        <w:pStyle w:val="BodyText"/>
        <w:spacing w:line="350" w:lineRule="auto"/>
        <w:ind w:right="1169"/>
        <w:jc w:val="both"/>
      </w:pPr>
      <w:r>
        <w:rPr/>
        <w:t>自愿接受裁减而给予职工的补偿，在本公司不能单方面撤回解除劳动关系计划或裁减建议时 和确认与涉及支付辞退福利的重组相关的成本费用时两者孰早日，确认因解除与职工的劳动 关系给予补偿而产生的负债，同时计入当期损益。</w:t>
      </w:r>
    </w:p>
    <w:p>
      <w:pPr>
        <w:pStyle w:val="BodyText"/>
        <w:spacing w:line="350" w:lineRule="auto"/>
        <w:ind w:left="154" w:right="1169" w:firstLine="480"/>
        <w:jc w:val="both"/>
      </w:pPr>
      <w:r>
        <w:rPr/>
        <w:t>本公司向接受内部退休安排的职工提供内退福利。内退福利是指，向未达到国家规定的 退休年龄、经本公司管理层批准自愿退出工作岗位的职工支付的工资及为其缴纳的社会保险 费等。本公司自内部退休安排开始之日起至职工达到正常退休年龄止，向内退职工支付内部 退养福利。对于内退福利，本公司比照辞退福利进行会计处理，在符合辞退福利相关确认条 件时，将自职工停止提供服务日至正常退休日期间拟支付的内退职工工资和缴纳的社会保险 费等，确认为负债，一次性计入当期损益。内退福利的精算假设变化及福利标准调整引起的 差异于发生时计入当期损益。</w:t>
      </w:r>
    </w:p>
    <w:p>
      <w:pPr>
        <w:spacing w:line="350" w:lineRule="auto" w:before="35"/>
        <w:ind w:left="634" w:right="1152" w:firstLine="2"/>
        <w:jc w:val="left"/>
        <w:rPr>
          <w:rFonts w:ascii="宋体" w:hAnsi="宋体" w:cs="宋体" w:eastAsia="宋体" w:hint="default"/>
          <w:sz w:val="24"/>
          <w:szCs w:val="24"/>
        </w:rPr>
      </w:pPr>
      <w:bookmarkStart w:name="（4）其他长期职工福利的会计处理方法" w:id="230"/>
      <w:bookmarkEnd w:id="230"/>
      <w:r>
        <w:rPr/>
      </w:r>
      <w:r>
        <w:rPr>
          <w:rFonts w:ascii="宋体" w:hAnsi="宋体" w:cs="宋体" w:eastAsia="宋体" w:hint="default"/>
          <w:b/>
          <w:bCs/>
          <w:sz w:val="24"/>
          <w:szCs w:val="24"/>
        </w:rPr>
        <w:t>（</w:t>
      </w:r>
      <w:r>
        <w:rPr>
          <w:rFonts w:ascii="宋体" w:hAnsi="宋体" w:cs="宋体" w:eastAsia="宋体" w:hint="default"/>
          <w:b/>
          <w:bCs/>
          <w:sz w:val="24"/>
          <w:szCs w:val="24"/>
        </w:rPr>
        <w:t>4</w:t>
      </w:r>
      <w:r>
        <w:rPr>
          <w:rFonts w:ascii="宋体" w:hAnsi="宋体" w:cs="宋体" w:eastAsia="宋体" w:hint="default"/>
          <w:b/>
          <w:bCs/>
          <w:sz w:val="24"/>
          <w:szCs w:val="24"/>
        </w:rPr>
        <w:t>）其他长期职工福利的会计处理方法</w:t>
      </w:r>
      <w:r>
        <w:rPr>
          <w:rFonts w:ascii="宋体" w:hAnsi="宋体" w:cs="宋体" w:eastAsia="宋体" w:hint="default"/>
          <w:b/>
          <w:bCs/>
          <w:w w:val="99"/>
          <w:sz w:val="24"/>
          <w:szCs w:val="24"/>
        </w:rPr>
        <w:t> </w:t>
      </w:r>
      <w:r>
        <w:rPr>
          <w:rFonts w:ascii="宋体" w:hAnsi="宋体" w:cs="宋体" w:eastAsia="宋体" w:hint="default"/>
          <w:sz w:val="24"/>
          <w:szCs w:val="24"/>
        </w:rPr>
        <w:t>其他长期职工福利是指除短期薪酬、离职后福利、辞退福利之外的其他所有职工福利。</w:t>
      </w:r>
    </w:p>
    <w:p>
      <w:pPr>
        <w:pStyle w:val="Heading2"/>
        <w:spacing w:line="240" w:lineRule="auto" w:before="212"/>
        <w:ind w:left="153" w:right="996"/>
        <w:jc w:val="left"/>
        <w:rPr>
          <w:b w:val="0"/>
          <w:bCs w:val="0"/>
        </w:rPr>
      </w:pPr>
      <w:bookmarkStart w:name="25、预计负债" w:id="231"/>
      <w:bookmarkEnd w:id="231"/>
      <w:r>
        <w:rPr>
          <w:b w:val="0"/>
          <w:bCs w:val="0"/>
        </w:rPr>
      </w:r>
      <w:r>
        <w:rPr>
          <w:rFonts w:ascii="宋体" w:hAnsi="宋体" w:cs="宋体" w:eastAsia="宋体" w:hint="default"/>
        </w:rPr>
        <w:t>25</w:t>
      </w:r>
      <w:r>
        <w:rPr/>
        <w:t>、预计负债</w:t>
      </w:r>
      <w:r>
        <w:rPr>
          <w:b w:val="0"/>
          <w:bCs w:val="0"/>
        </w:rPr>
      </w:r>
    </w:p>
    <w:p>
      <w:pPr>
        <w:spacing w:line="240" w:lineRule="auto" w:before="5"/>
        <w:rPr>
          <w:rFonts w:ascii="宋体" w:hAnsi="宋体" w:cs="宋体" w:eastAsia="宋体" w:hint="default"/>
          <w:b/>
          <w:bCs/>
          <w:sz w:val="32"/>
          <w:szCs w:val="32"/>
        </w:rPr>
      </w:pPr>
    </w:p>
    <w:p>
      <w:pPr>
        <w:pStyle w:val="BodyText"/>
        <w:spacing w:line="240" w:lineRule="auto" w:before="0"/>
        <w:ind w:left="633" w:right="996"/>
        <w:jc w:val="left"/>
      </w:pPr>
      <w:r>
        <w:rPr/>
        <w:t>（</w:t>
      </w:r>
      <w:r>
        <w:rPr>
          <w:rFonts w:ascii="宋体" w:hAnsi="宋体" w:cs="宋体" w:eastAsia="宋体" w:hint="default"/>
        </w:rPr>
        <w:t>1</w:t>
      </w:r>
      <w:r>
        <w:rPr/>
        <w:t>）预计负债的确认标准</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352" w:lineRule="auto" w:before="199"/>
        <w:ind w:left="633" w:right="2833"/>
        <w:jc w:val="left"/>
      </w:pPr>
      <w:r>
        <w:rPr/>
        <w:t>与或有事项相关的义务同时满足下列条件时，本公司确认为预计负债： 该义务是本公司承担的现时义务； 履行该义务很可能导致经济利益流出本公司； 该义务的金额能够可靠地计量。</w:t>
      </w:r>
    </w:p>
    <w:p>
      <w:pPr>
        <w:pStyle w:val="BodyText"/>
        <w:spacing w:line="352" w:lineRule="auto" w:before="32"/>
        <w:ind w:left="633" w:right="1153"/>
        <w:jc w:val="left"/>
      </w:pPr>
      <w:r>
        <w:rPr/>
        <w:t>（</w:t>
      </w:r>
      <w:r>
        <w:rPr>
          <w:rFonts w:ascii="宋体" w:hAnsi="宋体" w:cs="宋体" w:eastAsia="宋体" w:hint="default"/>
        </w:rPr>
        <w:t>2</w:t>
      </w:r>
      <w:r>
        <w:rPr/>
        <w:t>）预计负债的计量方法 本公司预计负债按履行相关现时义务所需的支出的最佳估计数进行初始计量。 本公司在确定最佳估计数时，综合考虑与或有事项有关的风险、不确定性和货币时间价</w:t>
      </w:r>
    </w:p>
    <w:p>
      <w:pPr>
        <w:pStyle w:val="BodyText"/>
        <w:spacing w:line="352" w:lineRule="auto" w:before="32"/>
        <w:ind w:right="1153"/>
        <w:jc w:val="left"/>
      </w:pPr>
      <w:r>
        <w:rPr/>
        <w:t>值等因素。对于货币时间价值影响重大的，通过对相关未来现金流出进行折现后确定最佳估 计数。</w:t>
      </w:r>
    </w:p>
    <w:p>
      <w:pPr>
        <w:pStyle w:val="BodyText"/>
        <w:spacing w:line="350" w:lineRule="auto" w:before="32"/>
        <w:ind w:left="634" w:right="1152"/>
        <w:jc w:val="left"/>
      </w:pPr>
      <w:r>
        <w:rPr/>
        <w:t>最佳估计数分别以下情况处理： 所需支出存在一个连续范围（或区间），且该范围内各种结果发生的可能性相同的，则</w:t>
      </w:r>
    </w:p>
    <w:p>
      <w:pPr>
        <w:pStyle w:val="BodyText"/>
        <w:spacing w:line="350" w:lineRule="auto"/>
        <w:ind w:left="633" w:right="1153" w:hanging="480"/>
        <w:jc w:val="left"/>
      </w:pPr>
      <w:r>
        <w:rPr/>
        <w:t>最佳估计数按照该范围的中间值即上下限金额的平均数确定。 所需支出不存在一个连续范围（或区间），或虽然存在一个连续范围但该范围内各种结</w:t>
      </w:r>
    </w:p>
    <w:p>
      <w:pPr>
        <w:pStyle w:val="BodyText"/>
        <w:spacing w:line="352" w:lineRule="auto" w:before="35"/>
        <w:ind w:right="1153"/>
        <w:jc w:val="left"/>
      </w:pPr>
      <w:r>
        <w:rPr/>
        <w:t>果发生的可能性不相同的，如或有事项涉及单个项目的，则最佳估计数按照最可能发生金额 确定；如或有事项涉及多个项目的，则最佳估计数按各种可能结果及相关概率计算确定。</w:t>
      </w:r>
    </w:p>
    <w:p>
      <w:pPr>
        <w:pStyle w:val="BodyText"/>
        <w:spacing w:line="350" w:lineRule="auto" w:before="33"/>
        <w:ind w:right="1153" w:firstLine="480"/>
        <w:jc w:val="left"/>
      </w:pPr>
      <w:r>
        <w:rPr/>
        <w:t>本公司清偿预计负债所需支出全部或部分预期由第三方补偿的，补偿金额在基本确定能 够收到时，作为资产单独确认，确认的补偿金额不超过预计负债的账面价值。</w:t>
      </w:r>
    </w:p>
    <w:p>
      <w:pPr>
        <w:pStyle w:val="Heading2"/>
        <w:spacing w:line="240" w:lineRule="auto" w:before="211"/>
        <w:ind w:left="153" w:right="996"/>
        <w:jc w:val="left"/>
        <w:rPr>
          <w:b w:val="0"/>
          <w:bCs w:val="0"/>
        </w:rPr>
      </w:pPr>
      <w:bookmarkStart w:name="26、股份支付" w:id="232"/>
      <w:bookmarkEnd w:id="232"/>
      <w:r>
        <w:rPr>
          <w:b w:val="0"/>
          <w:bCs w:val="0"/>
        </w:rPr>
      </w:r>
      <w:r>
        <w:rPr>
          <w:rFonts w:ascii="宋体" w:hAnsi="宋体" w:cs="宋体" w:eastAsia="宋体" w:hint="default"/>
        </w:rPr>
        <w:t>26</w:t>
      </w:r>
      <w:r>
        <w:rPr/>
        <w:t>、股份支付</w:t>
      </w:r>
      <w:r>
        <w:rPr>
          <w:b w:val="0"/>
          <w:bCs w:val="0"/>
        </w:rPr>
      </w:r>
    </w:p>
    <w:p>
      <w:pPr>
        <w:spacing w:line="240" w:lineRule="auto" w:before="5"/>
        <w:rPr>
          <w:rFonts w:ascii="宋体" w:hAnsi="宋体" w:cs="宋体" w:eastAsia="宋体" w:hint="default"/>
          <w:b/>
          <w:bCs/>
          <w:sz w:val="32"/>
          <w:szCs w:val="32"/>
        </w:rPr>
      </w:pPr>
    </w:p>
    <w:p>
      <w:pPr>
        <w:pStyle w:val="Heading2"/>
        <w:spacing w:line="484" w:lineRule="auto" w:before="0"/>
        <w:ind w:left="153" w:right="6673" w:firstLine="480"/>
        <w:jc w:val="left"/>
        <w:rPr>
          <w:b w:val="0"/>
          <w:bCs w:val="0"/>
        </w:rPr>
      </w:pPr>
      <w:r>
        <w:rPr>
          <w:rFonts w:ascii="宋体" w:hAnsi="宋体" w:cs="宋体" w:eastAsia="宋体" w:hint="default"/>
          <w:b w:val="0"/>
          <w:bCs w:val="0"/>
        </w:rPr>
        <w:t>无 </w:t>
      </w:r>
      <w:bookmarkStart w:name="27、优先股、永续债等其他金融工具" w:id="233"/>
      <w:bookmarkEnd w:id="233"/>
      <w:r>
        <w:rPr>
          <w:rFonts w:ascii="宋体" w:hAnsi="宋体" w:cs="宋体" w:eastAsia="宋体" w:hint="default"/>
          <w:b w:val="0"/>
          <w:bCs w:val="0"/>
        </w:rPr>
      </w:r>
      <w:r>
        <w:rPr>
          <w:rFonts w:ascii="宋体" w:hAnsi="宋体" w:cs="宋体" w:eastAsia="宋体" w:hint="default"/>
          <w:w w:val="95"/>
        </w:rPr>
        <w:t>27</w:t>
      </w:r>
      <w:r>
        <w:rPr>
          <w:w w:val="95"/>
        </w:rPr>
        <w:t>、优先股、永续债等其他金融工具</w:t>
      </w:r>
      <w:r>
        <w:rPr>
          <w:b w:val="0"/>
          <w:bCs w:val="0"/>
        </w:rPr>
      </w:r>
    </w:p>
    <w:p>
      <w:pPr>
        <w:spacing w:line="484" w:lineRule="auto" w:before="179"/>
        <w:ind w:left="153" w:right="9788" w:firstLine="480"/>
        <w:jc w:val="left"/>
        <w:rPr>
          <w:rFonts w:ascii="宋体" w:hAnsi="宋体" w:cs="宋体" w:eastAsia="宋体" w:hint="default"/>
          <w:sz w:val="24"/>
          <w:szCs w:val="24"/>
        </w:rPr>
      </w:pPr>
      <w:r>
        <w:rPr>
          <w:rFonts w:ascii="宋体" w:hAnsi="宋体" w:cs="宋体" w:eastAsia="宋体" w:hint="default"/>
          <w:sz w:val="24"/>
          <w:szCs w:val="24"/>
        </w:rPr>
        <w:t>无 </w:t>
      </w:r>
      <w:bookmarkStart w:name="28、收入" w:id="234"/>
      <w:bookmarkEnd w:id="234"/>
      <w:r>
        <w:rPr>
          <w:rFonts w:ascii="宋体" w:hAnsi="宋体" w:cs="宋体" w:eastAsia="宋体" w:hint="default"/>
          <w:sz w:val="24"/>
          <w:szCs w:val="24"/>
        </w:rPr>
      </w:r>
      <w:r>
        <w:rPr>
          <w:rFonts w:ascii="宋体" w:hAnsi="宋体" w:cs="宋体" w:eastAsia="宋体" w:hint="default"/>
          <w:b/>
          <w:bCs/>
          <w:sz w:val="24"/>
          <w:szCs w:val="24"/>
        </w:rPr>
        <w:t>28</w:t>
      </w:r>
      <w:r>
        <w:rPr>
          <w:rFonts w:ascii="宋体" w:hAnsi="宋体" w:cs="宋体" w:eastAsia="宋体" w:hint="default"/>
          <w:b/>
          <w:bCs/>
          <w:sz w:val="24"/>
          <w:szCs w:val="24"/>
        </w:rPr>
        <w:t>、收入</w:t>
      </w:r>
      <w:r>
        <w:rPr>
          <w:rFonts w:ascii="宋体" w:hAnsi="宋体" w:cs="宋体" w:eastAsia="宋体" w:hint="default"/>
          <w:sz w:val="24"/>
          <w:szCs w:val="24"/>
        </w:rPr>
      </w:r>
    </w:p>
    <w:p>
      <w:pPr>
        <w:pStyle w:val="BodyText"/>
        <w:spacing w:line="350" w:lineRule="auto" w:before="180"/>
        <w:ind w:left="634" w:right="6192"/>
        <w:jc w:val="left"/>
      </w:pPr>
      <w:r>
        <w:rPr/>
        <w:t>公司是否需要遵守特殊行业的披露要求 否</w:t>
      </w:r>
    </w:p>
    <w:p>
      <w:pPr>
        <w:spacing w:line="352" w:lineRule="auto" w:before="35"/>
        <w:ind w:left="634" w:right="1152" w:firstLine="2"/>
        <w:jc w:val="left"/>
        <w:rPr>
          <w:rFonts w:ascii="宋体" w:hAnsi="宋体" w:cs="宋体" w:eastAsia="宋体" w:hint="default"/>
          <w:sz w:val="24"/>
          <w:szCs w:val="24"/>
        </w:rPr>
      </w:pPr>
      <w:r>
        <w:rPr>
          <w:rFonts w:ascii="宋体" w:hAnsi="宋体" w:cs="宋体" w:eastAsia="宋体" w:hint="default"/>
          <w:b/>
          <w:bCs/>
          <w:sz w:val="24"/>
          <w:szCs w:val="24"/>
        </w:rPr>
        <w:t>（</w:t>
      </w:r>
      <w:r>
        <w:rPr>
          <w:rFonts w:ascii="宋体" w:hAnsi="宋体" w:cs="宋体" w:eastAsia="宋体" w:hint="default"/>
          <w:b/>
          <w:bCs/>
          <w:sz w:val="24"/>
          <w:szCs w:val="24"/>
        </w:rPr>
        <w:t>1</w:t>
      </w:r>
      <w:r>
        <w:rPr>
          <w:rFonts w:ascii="宋体" w:hAnsi="宋体" w:cs="宋体" w:eastAsia="宋体" w:hint="default"/>
          <w:b/>
          <w:bCs/>
          <w:sz w:val="24"/>
          <w:szCs w:val="24"/>
        </w:rPr>
        <w:t>）销售商品收入确认时间的具体判断标准</w:t>
      </w:r>
      <w:r>
        <w:rPr>
          <w:rFonts w:ascii="宋体" w:hAnsi="宋体" w:cs="宋体" w:eastAsia="宋体" w:hint="default"/>
          <w:b/>
          <w:bCs/>
          <w:w w:val="99"/>
          <w:sz w:val="24"/>
          <w:szCs w:val="24"/>
        </w:rPr>
        <w:t> </w:t>
      </w:r>
      <w:r>
        <w:rPr>
          <w:rFonts w:ascii="宋体" w:hAnsi="宋体" w:cs="宋体" w:eastAsia="宋体" w:hint="default"/>
          <w:sz w:val="24"/>
          <w:szCs w:val="24"/>
        </w:rPr>
        <w:t>公司已将商品所有权上的主要风险和报酬转移给购买方；公司既没有保留与所有权相联</w:t>
      </w:r>
    </w:p>
    <w:p>
      <w:pPr>
        <w:pStyle w:val="BodyText"/>
        <w:spacing w:line="240" w:lineRule="auto" w:before="32"/>
        <w:ind w:left="154" w:right="996"/>
        <w:jc w:val="left"/>
      </w:pPr>
      <w:r>
        <w:rPr/>
        <w:t>系的继续管理权，也没有对已售出的商品实施有效控制；收入的金额能够可靠地计量；相关</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350" w:lineRule="auto" w:before="199"/>
        <w:ind w:right="1169"/>
        <w:jc w:val="both"/>
      </w:pPr>
      <w:r>
        <w:rPr/>
        <w:t>的经济利益很可能流入企业；相关的已发生或将发生的成本能够可靠地计量时，确认商品销 售收入实现。</w:t>
      </w:r>
    </w:p>
    <w:p>
      <w:pPr>
        <w:pStyle w:val="BodyText"/>
        <w:spacing w:line="350" w:lineRule="auto"/>
        <w:ind w:right="996" w:firstLine="480"/>
        <w:jc w:val="left"/>
      </w:pPr>
      <w:r>
        <w:rPr/>
        <w:t>公司的主要产品为铁路通信信号和铁路运输调度指挥管理领域的软件和系统集成产品， 具体为：设备监测类产品：包括信号集中监测及子系统、融雪系统、信号维护支持系统、道 岔缺口监测、道岔综合监测、电务设备动态监测分析系统等；安防类产品：包括铁路防灾安 全监控系统、铁路综合视频监控系统、城轨综合监控系统、动力环境监控等；生产指挥及运 </w:t>
      </w:r>
      <w:r>
        <w:rPr>
          <w:spacing w:val="-3"/>
        </w:rPr>
        <w:t>输调度信息化类产品：包括电务生产指挥、铁路安全生产指挥综合系统等；信号控制类产品：</w:t>
      </w:r>
      <w:r>
        <w:rPr>
          <w:spacing w:val="-81"/>
        </w:rPr>
        <w:t> </w:t>
      </w:r>
      <w:r>
        <w:rPr>
          <w:spacing w:val="-81"/>
        </w:rPr>
      </w:r>
      <w:r>
        <w:rPr/>
        <w:t>包括无线调车机车信号和监控系统等；电源类设备产品：包括电源屏设备及子系统；信号设</w:t>
      </w:r>
      <w:r>
        <w:rPr/>
        <w:t> 备及器材产品：包括信号设备及器材、转辙机、水冲洗设备产品等。公司采取以销定产的经 营模式，销售业务主要通过参与客户招标取得。公司中标后，与客户洽谈合同的具体条款并 最终签定合同。公司产品定价主要依据铁路总公司的指导价，最终销售价格则由招标确定。 其主要业务模式、结算方式和收入确认方法具体如下：</w:t>
      </w:r>
    </w:p>
    <w:p>
      <w:pPr>
        <w:pStyle w:val="BodyText"/>
        <w:spacing w:line="350" w:lineRule="auto" w:before="35"/>
        <w:ind w:right="1153" w:firstLine="480"/>
        <w:jc w:val="left"/>
      </w:pPr>
      <w:r>
        <w:rPr/>
        <w:t>①对于不需要安装调试的铁路方面产品、电源维护测试产品和其它产品按普通商品销售 原则核算，于客户收到发出产品且公司取得收款的权利时确认收入。</w:t>
      </w:r>
    </w:p>
    <w:p>
      <w:pPr>
        <w:pStyle w:val="BodyText"/>
        <w:spacing w:line="350" w:lineRule="auto"/>
        <w:ind w:right="1153" w:firstLine="480"/>
        <w:jc w:val="left"/>
      </w:pPr>
      <w:r>
        <w:rPr/>
        <w:t>②对于铁路通信信号和铁路运输调度指挥管理领域的集成产品，公司销售环节和业务流 程主要为：签订销售合同－组织设计生产－产品发送到现场并经委托方验收－进行配线安装</w:t>
      </w:r>
    </w:p>
    <w:p>
      <w:pPr>
        <w:pStyle w:val="BodyText"/>
        <w:spacing w:line="352" w:lineRule="auto" w:before="35"/>
        <w:ind w:right="1169"/>
        <w:jc w:val="both"/>
      </w:pPr>
      <w:r>
        <w:rPr/>
        <w:t>－进行站机调试并经委托方验收合格。该类产品在同时具备以下条件时确认收入：</w:t>
      </w:r>
      <w:r>
        <w:rPr>
          <w:rFonts w:ascii="宋体" w:hAnsi="宋体" w:cs="宋体" w:eastAsia="宋体" w:hint="default"/>
        </w:rPr>
        <w:t>1)</w:t>
      </w:r>
      <w:r>
        <w:rPr/>
        <w:t>已与委 托方签订销售合同；</w:t>
      </w:r>
      <w:r>
        <w:rPr>
          <w:rFonts w:ascii="宋体" w:hAnsi="宋体" w:cs="宋体" w:eastAsia="宋体" w:hint="default"/>
        </w:rPr>
        <w:t>2)</w:t>
      </w:r>
      <w:r>
        <w:rPr/>
        <w:t>站机调试完成并经委托方验收合格；</w:t>
      </w:r>
      <w:r>
        <w:rPr>
          <w:rFonts w:ascii="宋体" w:hAnsi="宋体" w:cs="宋体" w:eastAsia="宋体" w:hint="default"/>
        </w:rPr>
        <w:t>3)</w:t>
      </w:r>
      <w:r>
        <w:rPr/>
        <w:t>销售发票已开具给委托方；</w:t>
      </w:r>
      <w:r>
        <w:rPr>
          <w:rFonts w:ascii="宋体" w:hAnsi="宋体" w:cs="宋体" w:eastAsia="宋体" w:hint="default"/>
        </w:rPr>
        <w:t>4) </w:t>
      </w:r>
      <w:r>
        <w:rPr/>
        <w:t>收到全部合同价款或已收到部分价款但已约定剩余款项的付款计划。</w:t>
      </w:r>
    </w:p>
    <w:p>
      <w:pPr>
        <w:pStyle w:val="BodyText"/>
        <w:spacing w:line="352" w:lineRule="auto" w:before="32"/>
        <w:ind w:right="1169" w:firstLine="480"/>
        <w:jc w:val="both"/>
      </w:pPr>
      <w:r>
        <w:rPr/>
        <w:t>③对于软件产品，如果属于集成产品的组成部分，软件产品随同集成产品确认收入；如 果属于客户单独购买的软件，于软件发出给客户经验收合格并取得收取货款的权利时确认收 入。</w:t>
      </w:r>
    </w:p>
    <w:p>
      <w:pPr>
        <w:pStyle w:val="BodyText"/>
        <w:spacing w:line="352" w:lineRule="auto" w:before="32"/>
        <w:ind w:left="154" w:right="1152" w:firstLine="480"/>
        <w:jc w:val="left"/>
      </w:pPr>
      <w:r>
        <w:rPr/>
        <w:t>合同或协议价款的收取采用递延方式，实质上具有融资性质的，按照应收的合同或协议 价款的公允价值确定销售商品收入金额。</w:t>
      </w:r>
    </w:p>
    <w:p>
      <w:pPr>
        <w:spacing w:line="350" w:lineRule="auto" w:before="32"/>
        <w:ind w:left="634" w:right="1152" w:firstLine="2"/>
        <w:jc w:val="left"/>
        <w:rPr>
          <w:rFonts w:ascii="宋体" w:hAnsi="宋体" w:cs="宋体" w:eastAsia="宋体" w:hint="default"/>
          <w:sz w:val="24"/>
          <w:szCs w:val="24"/>
        </w:rPr>
      </w:pPr>
      <w:r>
        <w:rPr>
          <w:rFonts w:ascii="宋体" w:hAnsi="宋体" w:cs="宋体" w:eastAsia="宋体" w:hint="default"/>
          <w:b/>
          <w:bCs/>
          <w:sz w:val="24"/>
          <w:szCs w:val="24"/>
        </w:rPr>
        <w:t>（</w:t>
      </w:r>
      <w:r>
        <w:rPr>
          <w:rFonts w:ascii="宋体" w:hAnsi="宋体" w:cs="宋体" w:eastAsia="宋体" w:hint="default"/>
          <w:b/>
          <w:bCs/>
          <w:sz w:val="24"/>
          <w:szCs w:val="24"/>
        </w:rPr>
        <w:t>2</w:t>
      </w:r>
      <w:r>
        <w:rPr>
          <w:rFonts w:ascii="宋体" w:hAnsi="宋体" w:cs="宋体" w:eastAsia="宋体" w:hint="default"/>
          <w:b/>
          <w:bCs/>
          <w:sz w:val="24"/>
          <w:szCs w:val="24"/>
        </w:rPr>
        <w:t>）确认让渡资产使用权收入的依据</w:t>
      </w:r>
      <w:r>
        <w:rPr>
          <w:rFonts w:ascii="宋体" w:hAnsi="宋体" w:cs="宋体" w:eastAsia="宋体" w:hint="default"/>
          <w:b/>
          <w:bCs/>
          <w:w w:val="99"/>
          <w:sz w:val="24"/>
          <w:szCs w:val="24"/>
        </w:rPr>
        <w:t> </w:t>
      </w:r>
      <w:r>
        <w:rPr>
          <w:rFonts w:ascii="宋体" w:hAnsi="宋体" w:cs="宋体" w:eastAsia="宋体" w:hint="default"/>
          <w:sz w:val="24"/>
          <w:szCs w:val="24"/>
        </w:rPr>
        <w:t>与交易相关的经济利益很可能流入企业，收入的金额能够可靠地计量时，分别下列情况</w:t>
      </w:r>
    </w:p>
    <w:p>
      <w:pPr>
        <w:pStyle w:val="BodyText"/>
        <w:spacing w:line="240" w:lineRule="auto"/>
        <w:ind w:left="154" w:right="0"/>
        <w:jc w:val="both"/>
      </w:pPr>
      <w:r>
        <w:rPr/>
        <w:t>确定让渡资产使用权收入金额：</w:t>
      </w:r>
    </w:p>
    <w:p>
      <w:pPr>
        <w:pStyle w:val="BodyText"/>
        <w:spacing w:line="240" w:lineRule="auto" w:before="146"/>
        <w:ind w:left="634" w:right="996"/>
        <w:jc w:val="left"/>
      </w:pPr>
      <w:r>
        <w:rPr/>
        <w:t>①利息收入金额，按照他人使用本企业货币资金的时间和实际利率计算确定。</w:t>
      </w:r>
    </w:p>
    <w:p>
      <w:pPr>
        <w:pStyle w:val="BodyText"/>
        <w:spacing w:line="240" w:lineRule="auto" w:before="145"/>
        <w:ind w:left="634" w:right="996"/>
        <w:jc w:val="left"/>
      </w:pPr>
      <w:r>
        <w:rPr/>
        <w:t>②使用费收入金额，按照有关合同或协议约定的收费时间和方法计算确定。</w:t>
      </w:r>
    </w:p>
    <w:p>
      <w:pPr>
        <w:pStyle w:val="Heading2"/>
        <w:spacing w:line="240" w:lineRule="auto" w:before="146"/>
        <w:ind w:right="996"/>
        <w:jc w:val="left"/>
        <w:rPr>
          <w:b w:val="0"/>
          <w:bCs w:val="0"/>
        </w:rPr>
      </w:pPr>
      <w:r>
        <w:rPr/>
        <w:t>（</w:t>
      </w:r>
      <w:r>
        <w:rPr>
          <w:rFonts w:ascii="宋体" w:hAnsi="宋体" w:cs="宋体" w:eastAsia="宋体" w:hint="default"/>
        </w:rPr>
        <w:t>3</w:t>
      </w:r>
      <w:r>
        <w:rPr/>
        <w:t>）提供劳务收入的确认依据和方法</w:t>
      </w:r>
      <w:r>
        <w:rPr>
          <w:b w:val="0"/>
          <w:bCs w:val="0"/>
        </w:rPr>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b/>
          <w:bCs/>
          <w:sz w:val="20"/>
          <w:szCs w:val="20"/>
        </w:rPr>
      </w:pPr>
    </w:p>
    <w:p>
      <w:pPr>
        <w:pStyle w:val="BodyText"/>
        <w:spacing w:line="350" w:lineRule="auto" w:before="199"/>
        <w:ind w:right="1153" w:firstLine="480"/>
        <w:jc w:val="left"/>
      </w:pPr>
      <w:r>
        <w:rPr/>
        <w:t>在资产负债表日提供劳务交易的结果能够可靠估计的，采用完工百分比法确认提供劳务 收入。提供劳务交易的完工进度，依据已完工作的测量确定。</w:t>
      </w:r>
    </w:p>
    <w:p>
      <w:pPr>
        <w:pStyle w:val="BodyText"/>
        <w:spacing w:line="240" w:lineRule="auto"/>
        <w:ind w:left="633" w:right="996"/>
        <w:jc w:val="left"/>
      </w:pPr>
      <w:r>
        <w:rPr/>
        <w:t>提供劳务交易的结果能够可靠估计，是指同时满足下列条件：</w:t>
      </w:r>
    </w:p>
    <w:p>
      <w:pPr>
        <w:pStyle w:val="BodyText"/>
        <w:spacing w:line="240" w:lineRule="auto" w:before="146"/>
        <w:ind w:left="633" w:right="996"/>
        <w:jc w:val="left"/>
      </w:pPr>
      <w:r>
        <w:rPr/>
        <w:t>①收入的金额能够可靠地计量；</w:t>
      </w:r>
    </w:p>
    <w:p>
      <w:pPr>
        <w:pStyle w:val="BodyText"/>
        <w:spacing w:line="240" w:lineRule="auto" w:before="145"/>
        <w:ind w:left="633" w:right="996"/>
        <w:jc w:val="left"/>
      </w:pPr>
      <w:r>
        <w:rPr/>
        <w:t>②相关的经济利益很可能流入企业；</w:t>
      </w:r>
    </w:p>
    <w:p>
      <w:pPr>
        <w:pStyle w:val="BodyText"/>
        <w:spacing w:line="240" w:lineRule="auto" w:before="146"/>
        <w:ind w:left="633" w:right="996"/>
        <w:jc w:val="left"/>
      </w:pPr>
      <w:r>
        <w:rPr/>
        <w:t>③交易的完工进度能够可靠地确定；</w:t>
      </w:r>
    </w:p>
    <w:p>
      <w:pPr>
        <w:pStyle w:val="BodyText"/>
        <w:spacing w:line="350" w:lineRule="auto" w:before="145"/>
        <w:ind w:left="633" w:right="1153"/>
        <w:jc w:val="left"/>
      </w:pPr>
      <w:r>
        <w:rPr/>
        <w:t>④交易中已发生和将发生的成本能够可靠地计量。 按照已收或应收的合同或协议价款确定提供劳务收入总额，但已收或应收的合同或协议</w:t>
      </w:r>
    </w:p>
    <w:p>
      <w:pPr>
        <w:pStyle w:val="BodyText"/>
        <w:spacing w:line="350" w:lineRule="auto"/>
        <w:ind w:right="1170"/>
        <w:jc w:val="both"/>
      </w:pPr>
      <w:r>
        <w:rPr/>
        <w:t>价款不公允的除外。资产负债表日按照提供劳务收入总额乘以完工进度扣除以前会计期间累 计已确认提供劳务收入后的金额，确认当期提供劳务收入；同时，按照提供劳务估计总成本 乘以完工进度扣除以前会计期间累计已确认劳务成本后的金额，结转当期劳务成本。</w:t>
      </w:r>
    </w:p>
    <w:p>
      <w:pPr>
        <w:pStyle w:val="BodyText"/>
        <w:spacing w:line="240" w:lineRule="auto"/>
        <w:ind w:left="633" w:right="996"/>
        <w:jc w:val="left"/>
      </w:pPr>
      <w:r>
        <w:rPr/>
        <w:t>在资产负债表日提供劳务交易结果不能够可靠估计的，分别下列情况处理：</w:t>
      </w:r>
    </w:p>
    <w:p>
      <w:pPr>
        <w:pStyle w:val="BodyText"/>
        <w:spacing w:line="350" w:lineRule="auto" w:before="145"/>
        <w:ind w:right="1153" w:firstLine="480"/>
        <w:jc w:val="left"/>
      </w:pPr>
      <w:r>
        <w:rPr/>
        <w:t>①已经发生的劳务成本预计能够得到补偿的，按照已经发生的劳务成本金额确认提供劳 务收入，并按相同金额结转劳务成本。</w:t>
      </w:r>
    </w:p>
    <w:p>
      <w:pPr>
        <w:pStyle w:val="BodyText"/>
        <w:spacing w:line="350" w:lineRule="auto"/>
        <w:ind w:right="1153" w:firstLine="480"/>
        <w:jc w:val="left"/>
      </w:pPr>
      <w:r>
        <w:rPr/>
        <w:t>②已经发生的劳务成本预计不能够得到补偿的，将已经发生的劳务成本计入当期损益， 不确认提供劳务收入。</w:t>
      </w:r>
    </w:p>
    <w:p>
      <w:pPr>
        <w:pStyle w:val="BodyText"/>
        <w:spacing w:line="350" w:lineRule="auto" w:before="35"/>
        <w:ind w:right="1170" w:firstLine="480"/>
        <w:jc w:val="both"/>
      </w:pPr>
      <w:r>
        <w:rPr/>
        <w:t>本公司与其他企业签订的合同或协议包括销售商品和提供劳务时，销售商品部分和提供 劳务部分能够区分且能够单独计量的，将销售商品的部分作为销售商品处理，将提供劳务的 部分作为提供劳务处理。销售商品部分和提供劳务部分不能够区分，或虽能区分但不能够单 独计量的，将销售商品部分和提供劳务部分全部作为销售商品处理。</w:t>
      </w:r>
    </w:p>
    <w:p>
      <w:pPr>
        <w:pStyle w:val="Heading2"/>
        <w:spacing w:line="240" w:lineRule="auto" w:before="36"/>
        <w:ind w:right="996"/>
        <w:jc w:val="left"/>
        <w:rPr>
          <w:b w:val="0"/>
          <w:bCs w:val="0"/>
        </w:rPr>
      </w:pPr>
      <w:r>
        <w:rPr/>
        <w:t>（</w:t>
      </w:r>
      <w:r>
        <w:rPr>
          <w:rFonts w:ascii="宋体" w:hAnsi="宋体" w:cs="宋体" w:eastAsia="宋体" w:hint="default"/>
        </w:rPr>
        <w:t>4</w:t>
      </w:r>
      <w:r>
        <w:rPr/>
        <w:t>）建造合同收入的确认依据和方法</w:t>
      </w:r>
      <w:r>
        <w:rPr>
          <w:b w:val="0"/>
          <w:bCs w:val="0"/>
        </w:rPr>
      </w:r>
    </w:p>
    <w:p>
      <w:pPr>
        <w:pStyle w:val="BodyText"/>
        <w:spacing w:line="352" w:lineRule="auto" w:before="145"/>
        <w:ind w:right="1169" w:firstLine="480"/>
        <w:jc w:val="both"/>
      </w:pPr>
      <w:r>
        <w:rPr/>
        <w:t>①当建造合同的结果能够可靠地估计时，与其相关的合同收入和合同费用在资产负债表 日按完工百分比法予以确认。完工百分比法，是指根据合同完工进度确认合同收入和合同费 用的方法。合同完工进度按照累计实际发生的合同费用占合同预计总成本的比例确定。</w:t>
      </w:r>
    </w:p>
    <w:p>
      <w:pPr>
        <w:pStyle w:val="BodyText"/>
        <w:spacing w:line="350" w:lineRule="auto" w:before="32"/>
        <w:ind w:left="633" w:right="3793"/>
        <w:jc w:val="left"/>
      </w:pPr>
      <w:r>
        <w:rPr/>
        <w:t>固定造价合同的结果能够可靠估计，是指同时满足下列条件： </w:t>
      </w:r>
      <w:r>
        <w:rPr>
          <w:rFonts w:ascii="宋体" w:hAnsi="宋体" w:cs="宋体" w:eastAsia="宋体" w:hint="default"/>
        </w:rPr>
        <w:t>1</w:t>
      </w:r>
      <w:r>
        <w:rPr/>
        <w:t>）合同总收入能够可靠地计量；</w:t>
      </w:r>
    </w:p>
    <w:p>
      <w:pPr>
        <w:pStyle w:val="BodyText"/>
        <w:spacing w:line="240" w:lineRule="auto"/>
        <w:ind w:left="634" w:right="996"/>
        <w:jc w:val="left"/>
      </w:pPr>
      <w:r>
        <w:rPr>
          <w:rFonts w:ascii="宋体" w:hAnsi="宋体" w:cs="宋体" w:eastAsia="宋体" w:hint="default"/>
        </w:rPr>
        <w:t>2</w:t>
      </w:r>
      <w:r>
        <w:rPr/>
        <w:t>）与合同相关的经济利益很可能流入企业；</w:t>
      </w:r>
    </w:p>
    <w:p>
      <w:pPr>
        <w:pStyle w:val="BodyText"/>
        <w:spacing w:line="240" w:lineRule="auto" w:before="146"/>
        <w:ind w:left="634" w:right="996"/>
        <w:jc w:val="left"/>
      </w:pPr>
      <w:r>
        <w:rPr>
          <w:rFonts w:ascii="宋体" w:hAnsi="宋体" w:cs="宋体" w:eastAsia="宋体" w:hint="default"/>
        </w:rPr>
        <w:t>3</w:t>
      </w:r>
      <w:r>
        <w:rPr/>
        <w:t>）实际发生的合同成本能够清楚地区分和可靠地计量；</w:t>
      </w:r>
    </w:p>
    <w:p>
      <w:pPr>
        <w:pStyle w:val="BodyText"/>
        <w:spacing w:line="352" w:lineRule="auto" w:before="145"/>
        <w:ind w:left="633" w:right="3433"/>
        <w:jc w:val="left"/>
      </w:pPr>
      <w:r>
        <w:rPr>
          <w:rFonts w:ascii="宋体" w:hAnsi="宋体" w:cs="宋体" w:eastAsia="宋体" w:hint="default"/>
        </w:rPr>
        <w:t>4</w:t>
      </w:r>
      <w:r>
        <w:rPr/>
        <w:t>）合同完工进度和为完成合同尚需发生的成本能够可靠地确定。 成本加成合同的结果能够可靠估计，是指同时满足下列条件：</w:t>
      </w:r>
    </w:p>
    <w:p>
      <w:pPr>
        <w:spacing w:after="0" w:line="352"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240" w:lineRule="auto" w:before="199"/>
        <w:ind w:left="633" w:right="996"/>
        <w:jc w:val="left"/>
      </w:pPr>
      <w:r>
        <w:rPr>
          <w:rFonts w:ascii="宋体" w:hAnsi="宋体" w:cs="宋体" w:eastAsia="宋体" w:hint="default"/>
        </w:rPr>
        <w:t>1</w:t>
      </w:r>
      <w:r>
        <w:rPr/>
        <w:t>）与合同相关的经济利益很可能流入企业；</w:t>
      </w:r>
    </w:p>
    <w:p>
      <w:pPr>
        <w:pStyle w:val="BodyText"/>
        <w:spacing w:line="352" w:lineRule="auto" w:before="145"/>
        <w:ind w:left="633" w:right="1153"/>
        <w:jc w:val="left"/>
      </w:pPr>
      <w:r>
        <w:rPr>
          <w:rFonts w:ascii="宋体" w:hAnsi="宋体" w:cs="宋体" w:eastAsia="宋体" w:hint="default"/>
        </w:rPr>
        <w:t>2</w:t>
      </w:r>
      <w:r>
        <w:rPr/>
        <w:t>）实际发生的合同成本能够清楚地区分和可靠地计量。 在资产负债表日，按照合同总收入乘以完工进度扣除以前会计期间累计已确认收入后的</w:t>
      </w:r>
    </w:p>
    <w:p>
      <w:pPr>
        <w:pStyle w:val="BodyText"/>
        <w:spacing w:line="352" w:lineRule="auto" w:before="33"/>
        <w:ind w:right="1170"/>
        <w:jc w:val="both"/>
      </w:pPr>
      <w:r>
        <w:rPr/>
        <w:t>金额，确认为当期合同收入；同时，按照合同预计总成本乘以完工进度扣除以前会计期间累 计已确认费用后的金额，确认为当期合同费用。合同工程的变动、索赔及奖金以可能带来收 入并能可靠计算的数额为限计入合同总收入。</w:t>
      </w:r>
    </w:p>
    <w:p>
      <w:pPr>
        <w:pStyle w:val="BodyText"/>
        <w:spacing w:line="350" w:lineRule="auto" w:before="32"/>
        <w:ind w:left="633" w:right="996"/>
        <w:jc w:val="left"/>
      </w:pPr>
      <w:r>
        <w:rPr/>
        <w:t>②建造合同的结果不能可靠估计的，分别下列情况处理： </w:t>
      </w:r>
      <w:r>
        <w:rPr>
          <w:rFonts w:ascii="宋体" w:hAnsi="宋体" w:cs="宋体" w:eastAsia="宋体" w:hint="default"/>
          <w:spacing w:val="-3"/>
        </w:rPr>
        <w:t>1</w:t>
      </w:r>
      <w:r>
        <w:rPr>
          <w:spacing w:val="-3"/>
        </w:rPr>
        <w:t>）合同成本能够收回的，合同收入根据能够收回的实际合同成本予以确认，合同成本在</w:t>
      </w:r>
    </w:p>
    <w:p>
      <w:pPr>
        <w:pStyle w:val="BodyText"/>
        <w:spacing w:line="350" w:lineRule="auto"/>
        <w:ind w:left="633" w:right="1993" w:hanging="480"/>
        <w:jc w:val="left"/>
      </w:pPr>
      <w:r>
        <w:rPr/>
        <w:t>其发生的当期确认为合同费用。 </w:t>
      </w:r>
      <w:r>
        <w:rPr>
          <w:rFonts w:ascii="宋体" w:hAnsi="宋体" w:cs="宋体" w:eastAsia="宋体" w:hint="default"/>
        </w:rPr>
        <w:t>2</w:t>
      </w:r>
      <w:r>
        <w:rPr/>
        <w:t>）合同成本不可能收回的，在发生时立即确认为合同费用，不确认合同收入。</w:t>
      </w:r>
    </w:p>
    <w:p>
      <w:pPr>
        <w:pStyle w:val="BodyText"/>
        <w:spacing w:line="240" w:lineRule="auto" w:before="35"/>
        <w:ind w:left="633" w:right="996"/>
        <w:jc w:val="left"/>
      </w:pPr>
      <w:r>
        <w:rPr>
          <w:rFonts w:ascii="宋体" w:hAnsi="宋体" w:cs="宋体" w:eastAsia="宋体" w:hint="default"/>
        </w:rPr>
        <w:t>3</w:t>
      </w:r>
      <w:r>
        <w:rPr/>
        <w:t>）如果合同总成本很可能超过合同总收入，则预期损失立即确认为费用。</w:t>
      </w:r>
    </w:p>
    <w:p>
      <w:pPr>
        <w:spacing w:line="350" w:lineRule="auto" w:before="146"/>
        <w:ind w:left="633" w:right="1153" w:firstLine="2"/>
        <w:jc w:val="left"/>
        <w:rPr>
          <w:rFonts w:ascii="宋体" w:hAnsi="宋体" w:cs="宋体" w:eastAsia="宋体" w:hint="default"/>
          <w:sz w:val="24"/>
          <w:szCs w:val="24"/>
        </w:rPr>
      </w:pPr>
      <w:r>
        <w:rPr>
          <w:rFonts w:ascii="宋体" w:hAnsi="宋体" w:cs="宋体" w:eastAsia="宋体" w:hint="default"/>
          <w:b/>
          <w:bCs/>
          <w:sz w:val="24"/>
          <w:szCs w:val="24"/>
        </w:rPr>
        <w:t>（</w:t>
      </w:r>
      <w:r>
        <w:rPr>
          <w:rFonts w:ascii="宋体" w:hAnsi="宋体" w:cs="宋体" w:eastAsia="宋体" w:hint="default"/>
          <w:b/>
          <w:bCs/>
          <w:sz w:val="24"/>
          <w:szCs w:val="24"/>
        </w:rPr>
        <w:t>5</w:t>
      </w:r>
      <w:r>
        <w:rPr>
          <w:rFonts w:ascii="宋体" w:hAnsi="宋体" w:cs="宋体" w:eastAsia="宋体" w:hint="default"/>
          <w:b/>
          <w:bCs/>
          <w:sz w:val="24"/>
          <w:szCs w:val="24"/>
        </w:rPr>
        <w:t>）回购条件的资产转让</w:t>
      </w:r>
      <w:r>
        <w:rPr>
          <w:rFonts w:ascii="宋体" w:hAnsi="宋体" w:cs="宋体" w:eastAsia="宋体" w:hint="default"/>
          <w:b/>
          <w:bCs/>
          <w:w w:val="99"/>
          <w:sz w:val="24"/>
          <w:szCs w:val="24"/>
        </w:rPr>
        <w:t> </w:t>
      </w:r>
      <w:r>
        <w:rPr>
          <w:rFonts w:ascii="宋体" w:hAnsi="宋体" w:cs="宋体" w:eastAsia="宋体" w:hint="default"/>
          <w:sz w:val="24"/>
          <w:szCs w:val="24"/>
        </w:rPr>
        <w:t>公司销售产品或转让其他资产时，与购买方签订了所销售的产品或转让资产回购协议，</w:t>
      </w:r>
    </w:p>
    <w:p>
      <w:pPr>
        <w:pStyle w:val="BodyText"/>
        <w:spacing w:line="352" w:lineRule="auto" w:before="35"/>
        <w:ind w:right="1170"/>
        <w:jc w:val="both"/>
      </w:pPr>
      <w:r>
        <w:rPr/>
        <w:t>根据协议条款判断销售商品是否满足收入确认条件。如售后回购属于融资交易，则在交付产 品或资产时，本公司不确认销售收入。回购价款大于销售价款的差额，在回购期间按期计提 利息，计入财务费用。</w:t>
      </w:r>
    </w:p>
    <w:p>
      <w:pPr>
        <w:pStyle w:val="Heading2"/>
        <w:spacing w:line="240" w:lineRule="auto" w:before="208"/>
        <w:ind w:left="153" w:right="0"/>
        <w:jc w:val="both"/>
        <w:rPr>
          <w:b w:val="0"/>
          <w:bCs w:val="0"/>
        </w:rPr>
      </w:pPr>
      <w:bookmarkStart w:name="29、政府补助" w:id="235"/>
      <w:bookmarkEnd w:id="235"/>
      <w:r>
        <w:rPr>
          <w:b w:val="0"/>
          <w:bCs w:val="0"/>
        </w:rPr>
      </w:r>
      <w:r>
        <w:rPr>
          <w:rFonts w:ascii="宋体" w:hAnsi="宋体" w:cs="宋体" w:eastAsia="宋体" w:hint="default"/>
        </w:rPr>
        <w:t>29</w:t>
      </w:r>
      <w:r>
        <w:rPr/>
        <w:t>、政府补助</w:t>
      </w:r>
      <w:r>
        <w:rPr>
          <w:b w:val="0"/>
          <w:bCs w:val="0"/>
        </w:rPr>
      </w:r>
    </w:p>
    <w:p>
      <w:pPr>
        <w:spacing w:line="240" w:lineRule="auto" w:before="5"/>
        <w:rPr>
          <w:rFonts w:ascii="宋体" w:hAnsi="宋体" w:cs="宋体" w:eastAsia="宋体" w:hint="default"/>
          <w:b/>
          <w:bCs/>
          <w:sz w:val="32"/>
          <w:szCs w:val="32"/>
        </w:rPr>
      </w:pPr>
    </w:p>
    <w:p>
      <w:pPr>
        <w:spacing w:line="352" w:lineRule="auto" w:before="0"/>
        <w:ind w:left="633" w:right="1153" w:firstLine="2"/>
        <w:jc w:val="left"/>
        <w:rPr>
          <w:rFonts w:ascii="宋体" w:hAnsi="宋体" w:cs="宋体" w:eastAsia="宋体" w:hint="default"/>
          <w:sz w:val="24"/>
          <w:szCs w:val="24"/>
        </w:rPr>
      </w:pPr>
      <w:r>
        <w:rPr>
          <w:rFonts w:ascii="宋体" w:hAnsi="宋体" w:cs="宋体" w:eastAsia="宋体" w:hint="default"/>
          <w:b/>
          <w:bCs/>
          <w:sz w:val="24"/>
          <w:szCs w:val="24"/>
        </w:rPr>
        <w:t>（</w:t>
      </w:r>
      <w:r>
        <w:rPr>
          <w:rFonts w:ascii="宋体" w:hAnsi="宋体" w:cs="宋体" w:eastAsia="宋体" w:hint="default"/>
          <w:b/>
          <w:bCs/>
          <w:sz w:val="24"/>
          <w:szCs w:val="24"/>
        </w:rPr>
        <w:t>1</w:t>
      </w:r>
      <w:r>
        <w:rPr>
          <w:rFonts w:ascii="宋体" w:hAnsi="宋体" w:cs="宋体" w:eastAsia="宋体" w:hint="default"/>
          <w:b/>
          <w:bCs/>
          <w:sz w:val="24"/>
          <w:szCs w:val="24"/>
        </w:rPr>
        <w:t>）与资产相关的政府补助判断依据及会计处理方法</w:t>
      </w:r>
      <w:r>
        <w:rPr>
          <w:rFonts w:ascii="宋体" w:hAnsi="宋体" w:cs="宋体" w:eastAsia="宋体" w:hint="default"/>
          <w:b/>
          <w:bCs/>
          <w:w w:val="99"/>
          <w:sz w:val="24"/>
          <w:szCs w:val="24"/>
        </w:rPr>
        <w:t> </w:t>
      </w:r>
      <w:r>
        <w:rPr>
          <w:rFonts w:ascii="宋体" w:hAnsi="宋体" w:cs="宋体" w:eastAsia="宋体" w:hint="default"/>
          <w:sz w:val="24"/>
          <w:szCs w:val="24"/>
        </w:rPr>
        <w:t>与资产相关的政府补助，是指本公司取得的、用于购建或以其他方式形成长期资产的政</w:t>
      </w:r>
    </w:p>
    <w:p>
      <w:pPr>
        <w:pStyle w:val="BodyText"/>
        <w:spacing w:line="240" w:lineRule="auto" w:before="32"/>
        <w:ind w:right="0"/>
        <w:jc w:val="both"/>
      </w:pPr>
      <w:r>
        <w:rPr/>
        <w:t>府补助。</w:t>
      </w:r>
    </w:p>
    <w:p>
      <w:pPr>
        <w:pStyle w:val="BodyText"/>
        <w:spacing w:line="352" w:lineRule="auto" w:before="145"/>
        <w:ind w:left="154" w:right="1170" w:firstLine="480"/>
        <w:jc w:val="both"/>
      </w:pPr>
      <w:r>
        <w:rPr/>
        <w:t>与资产相关的政府补助，应当冲减相关资产的账面价值或确认为递延收益。与资产相关 的政府补助确认为递延收益的，应当在相关资产使用寿命内按照合理、系统的方法分期计入 损益。</w:t>
      </w:r>
    </w:p>
    <w:p>
      <w:pPr>
        <w:spacing w:line="352" w:lineRule="auto" w:before="32"/>
        <w:ind w:left="633" w:right="996" w:firstLine="2"/>
        <w:jc w:val="left"/>
        <w:rPr>
          <w:rFonts w:ascii="宋体" w:hAnsi="宋体" w:cs="宋体" w:eastAsia="宋体" w:hint="default"/>
          <w:sz w:val="24"/>
          <w:szCs w:val="24"/>
        </w:rPr>
      </w:pPr>
      <w:r>
        <w:rPr>
          <w:rFonts w:ascii="宋体" w:hAnsi="宋体" w:cs="宋体" w:eastAsia="宋体" w:hint="default"/>
          <w:b/>
          <w:bCs/>
          <w:sz w:val="24"/>
          <w:szCs w:val="24"/>
        </w:rPr>
        <w:t>（</w:t>
      </w:r>
      <w:r>
        <w:rPr>
          <w:rFonts w:ascii="宋体" w:hAnsi="宋体" w:cs="宋体" w:eastAsia="宋体" w:hint="default"/>
          <w:b/>
          <w:bCs/>
          <w:sz w:val="24"/>
          <w:szCs w:val="24"/>
        </w:rPr>
        <w:t>2</w:t>
      </w:r>
      <w:r>
        <w:rPr>
          <w:rFonts w:ascii="宋体" w:hAnsi="宋体" w:cs="宋体" w:eastAsia="宋体" w:hint="default"/>
          <w:b/>
          <w:bCs/>
          <w:sz w:val="24"/>
          <w:szCs w:val="24"/>
        </w:rPr>
        <w:t>）与收益相关的政府补助判断依据及会计处理方法</w:t>
      </w:r>
      <w:r>
        <w:rPr>
          <w:rFonts w:ascii="宋体" w:hAnsi="宋体" w:cs="宋体" w:eastAsia="宋体" w:hint="default"/>
          <w:b/>
          <w:bCs/>
          <w:w w:val="99"/>
          <w:sz w:val="24"/>
          <w:szCs w:val="24"/>
        </w:rPr>
        <w:t> </w:t>
      </w:r>
      <w:r>
        <w:rPr>
          <w:rFonts w:ascii="宋体" w:hAnsi="宋体" w:cs="宋体" w:eastAsia="宋体" w:hint="default"/>
          <w:sz w:val="24"/>
          <w:szCs w:val="24"/>
        </w:rPr>
        <w:t>与收益相关的政府补助，是指除与资产相关的政府补助之外的政府补助。 </w:t>
      </w:r>
      <w:r>
        <w:rPr>
          <w:rFonts w:ascii="宋体" w:hAnsi="宋体" w:cs="宋体" w:eastAsia="宋体" w:hint="default"/>
          <w:spacing w:val="-3"/>
          <w:sz w:val="24"/>
          <w:szCs w:val="24"/>
        </w:rPr>
        <w:t>与收益相关的政府补助，用于补偿企业以后期间的相关费用或损失的，确认为递延收益，</w:t>
      </w:r>
    </w:p>
    <w:p>
      <w:pPr>
        <w:pStyle w:val="BodyText"/>
        <w:spacing w:line="352" w:lineRule="auto" w:before="33"/>
        <w:ind w:right="1169"/>
        <w:jc w:val="both"/>
      </w:pPr>
      <w:r>
        <w:rPr/>
        <w:t>在确认相关费用或损失的期间计入当期损益；用于补偿企业已发生的相关费用或损失的，取 得时直接计入当期损益。</w:t>
      </w:r>
    </w:p>
    <w:p>
      <w:pPr>
        <w:pStyle w:val="BodyText"/>
        <w:spacing w:line="240" w:lineRule="auto" w:before="32"/>
        <w:ind w:left="634" w:right="996"/>
        <w:jc w:val="left"/>
      </w:pPr>
      <w:r>
        <w:rPr/>
        <w:t>与企业日常活动相关的政府补助计入其他收益；与企业日常活动无关的政府补助计入营</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240" w:lineRule="auto" w:before="199"/>
        <w:ind w:right="0"/>
        <w:jc w:val="both"/>
      </w:pPr>
      <w:r>
        <w:rPr/>
        <w:t>业外收支。</w:t>
      </w:r>
    </w:p>
    <w:p>
      <w:pPr>
        <w:pStyle w:val="BodyText"/>
        <w:spacing w:line="352" w:lineRule="auto" w:before="145"/>
        <w:ind w:right="1170" w:firstLine="480"/>
        <w:jc w:val="both"/>
      </w:pPr>
      <w:r>
        <w:rPr/>
        <w:t>收到与政策性优惠贷款贴息相关的政府补助冲减相关借款费用；取得贷款银行提供的政 策性优惠利率贷款的，以实际收到的借款金额作为借款的入账价值，按照借款本金和该政策 性优惠利率计算相关借款费用。</w:t>
      </w:r>
    </w:p>
    <w:p>
      <w:pPr>
        <w:pStyle w:val="BodyText"/>
        <w:spacing w:line="352" w:lineRule="auto" w:before="32"/>
        <w:ind w:right="1170" w:firstLine="480"/>
        <w:jc w:val="both"/>
      </w:pPr>
      <w:r>
        <w:rPr/>
        <w:t>已确认的政府补助需要返还时，初始确认时冲减相关资产账面价值的，调整资产账面价 值；存在相关递延收益余额的，冲减相关递延收益账面余额，超出部分计入当期损益；不存 在相关递延收益的，直接计入当期损益。</w:t>
      </w:r>
    </w:p>
    <w:p>
      <w:pPr>
        <w:pStyle w:val="Heading2"/>
        <w:spacing w:line="240" w:lineRule="auto" w:before="208"/>
        <w:ind w:left="153" w:right="0"/>
        <w:jc w:val="both"/>
        <w:rPr>
          <w:b w:val="0"/>
          <w:bCs w:val="0"/>
        </w:rPr>
      </w:pPr>
      <w:bookmarkStart w:name="30、递延所得税资产/递延所得税负债" w:id="236"/>
      <w:bookmarkEnd w:id="236"/>
      <w:r>
        <w:rPr>
          <w:b w:val="0"/>
          <w:bCs w:val="0"/>
        </w:rPr>
      </w:r>
      <w:r>
        <w:rPr>
          <w:rFonts w:ascii="宋体" w:hAnsi="宋体" w:cs="宋体" w:eastAsia="宋体" w:hint="default"/>
        </w:rPr>
        <w:t>30</w:t>
      </w:r>
      <w:r>
        <w:rPr/>
        <w:t>、递延所得税资产</w:t>
      </w:r>
      <w:r>
        <w:rPr>
          <w:rFonts w:ascii="宋体" w:hAnsi="宋体" w:cs="宋体" w:eastAsia="宋体" w:hint="default"/>
        </w:rPr>
        <w:t>/</w:t>
      </w:r>
      <w:r>
        <w:rPr/>
        <w:t>递延所得税负债</w:t>
      </w:r>
      <w:r>
        <w:rPr>
          <w:b w:val="0"/>
          <w:bCs w:val="0"/>
        </w:rPr>
      </w:r>
    </w:p>
    <w:p>
      <w:pPr>
        <w:spacing w:line="240" w:lineRule="auto" w:before="5"/>
        <w:rPr>
          <w:rFonts w:ascii="宋体" w:hAnsi="宋体" w:cs="宋体" w:eastAsia="宋体" w:hint="default"/>
          <w:b/>
          <w:bCs/>
          <w:sz w:val="32"/>
          <w:szCs w:val="32"/>
        </w:rPr>
      </w:pPr>
    </w:p>
    <w:p>
      <w:pPr>
        <w:pStyle w:val="BodyText"/>
        <w:spacing w:line="352" w:lineRule="auto" w:before="0"/>
        <w:ind w:right="996" w:firstLine="480"/>
        <w:jc w:val="left"/>
      </w:pPr>
      <w:r>
        <w:rPr/>
        <w:t>递延所得税资产和递延所得税负债根据资产和负债的计税基础与其账面价值的差额</w:t>
      </w:r>
      <w:r>
        <w:rPr>
          <w:rFonts w:ascii="宋体" w:hAnsi="宋体" w:cs="宋体" w:eastAsia="宋体" w:hint="default"/>
        </w:rPr>
        <w:t>(</w:t>
      </w:r>
      <w:r>
        <w:rPr/>
        <w:t>暂 </w:t>
      </w:r>
      <w:r>
        <w:rPr>
          <w:spacing w:val="-3"/>
        </w:rPr>
        <w:t>时性差异</w:t>
      </w:r>
      <w:r>
        <w:rPr>
          <w:rFonts w:ascii="宋体" w:hAnsi="宋体" w:cs="宋体" w:eastAsia="宋体" w:hint="default"/>
          <w:spacing w:val="-3"/>
        </w:rPr>
        <w:t>)</w:t>
      </w:r>
      <w:r>
        <w:rPr>
          <w:spacing w:val="-3"/>
        </w:rPr>
        <w:t>计算确认。于资产负债表日，递延所得税资产和递延所得税负债，按照预期收回该</w:t>
      </w:r>
      <w:r>
        <w:rPr>
          <w:spacing w:val="-81"/>
        </w:rPr>
        <w:t> </w:t>
      </w:r>
      <w:r>
        <w:rPr>
          <w:spacing w:val="-81"/>
        </w:rPr>
      </w:r>
      <w:r>
        <w:rPr/>
        <w:t>资产或清偿该负债期间的适用税率计量。</w:t>
      </w:r>
    </w:p>
    <w:p>
      <w:pPr>
        <w:spacing w:line="352" w:lineRule="auto" w:before="32"/>
        <w:ind w:left="634" w:right="1152" w:firstLine="2"/>
        <w:jc w:val="left"/>
        <w:rPr>
          <w:rFonts w:ascii="宋体" w:hAnsi="宋体" w:cs="宋体" w:eastAsia="宋体" w:hint="default"/>
          <w:sz w:val="24"/>
          <w:szCs w:val="24"/>
        </w:rPr>
      </w:pPr>
      <w:r>
        <w:rPr>
          <w:rFonts w:ascii="宋体" w:hAnsi="宋体" w:cs="宋体" w:eastAsia="宋体" w:hint="default"/>
          <w:b/>
          <w:bCs/>
          <w:sz w:val="24"/>
          <w:szCs w:val="24"/>
        </w:rPr>
        <w:t>（</w:t>
      </w:r>
      <w:r>
        <w:rPr>
          <w:rFonts w:ascii="宋体" w:hAnsi="宋体" w:cs="宋体" w:eastAsia="宋体" w:hint="default"/>
          <w:b/>
          <w:bCs/>
          <w:sz w:val="24"/>
          <w:szCs w:val="24"/>
        </w:rPr>
        <w:t>1</w:t>
      </w:r>
      <w:r>
        <w:rPr>
          <w:rFonts w:ascii="宋体" w:hAnsi="宋体" w:cs="宋体" w:eastAsia="宋体" w:hint="default"/>
          <w:b/>
          <w:bCs/>
          <w:sz w:val="24"/>
          <w:szCs w:val="24"/>
        </w:rPr>
        <w:t>）确认递延所得税资产的依据</w:t>
      </w:r>
      <w:r>
        <w:rPr>
          <w:rFonts w:ascii="宋体" w:hAnsi="宋体" w:cs="宋体" w:eastAsia="宋体" w:hint="default"/>
          <w:b/>
          <w:bCs/>
          <w:w w:val="99"/>
          <w:sz w:val="24"/>
          <w:szCs w:val="24"/>
        </w:rPr>
        <w:t> </w:t>
      </w:r>
      <w:r>
        <w:rPr>
          <w:rFonts w:ascii="宋体" w:hAnsi="宋体" w:cs="宋体" w:eastAsia="宋体" w:hint="default"/>
          <w:sz w:val="24"/>
          <w:szCs w:val="24"/>
        </w:rPr>
        <w:t>本公司以很可能取得用来抵扣可抵扣暂时性差异、能够结转以后年度的可抵扣亏损和税</w:t>
      </w:r>
    </w:p>
    <w:p>
      <w:pPr>
        <w:pStyle w:val="BodyText"/>
        <w:spacing w:line="352" w:lineRule="auto" w:before="32"/>
        <w:ind w:right="1169"/>
        <w:jc w:val="both"/>
      </w:pPr>
      <w:r>
        <w:rPr/>
        <w:t>款抵减的应纳税所得额为限，确认由可抵扣暂时性差异产生的递延所得税资产。但是，同时 具有下列特征的交易中因资产或负债的初始确认所产生的递延所得税资产不予确认：①该交 易不是企业合并；②交易发生时既不影响会计利润也不影响应纳税所得额或可抵扣亏损。</w:t>
      </w:r>
    </w:p>
    <w:p>
      <w:pPr>
        <w:pStyle w:val="BodyText"/>
        <w:spacing w:line="352" w:lineRule="auto" w:before="32"/>
        <w:ind w:right="1170" w:firstLine="480"/>
        <w:jc w:val="both"/>
      </w:pPr>
      <w:r>
        <w:rPr/>
        <w:t>对于与联营企业投资相关的可抵扣暂时性差异，同时满足下列条件的，确认相应的递延 所得税资产：暂时性差异在可预见的未来很可能转回，且未来很可能获得用来抵扣可抵扣暂 时性差异的应纳税所得额。</w:t>
      </w:r>
    </w:p>
    <w:p>
      <w:pPr>
        <w:spacing w:line="350" w:lineRule="auto" w:before="32"/>
        <w:ind w:left="633" w:right="996" w:firstLine="2"/>
        <w:jc w:val="left"/>
        <w:rPr>
          <w:rFonts w:ascii="宋体" w:hAnsi="宋体" w:cs="宋体" w:eastAsia="宋体" w:hint="default"/>
          <w:sz w:val="24"/>
          <w:szCs w:val="24"/>
        </w:rPr>
      </w:pPr>
      <w:r>
        <w:rPr>
          <w:rFonts w:ascii="宋体" w:hAnsi="宋体" w:cs="宋体" w:eastAsia="宋体" w:hint="default"/>
          <w:b/>
          <w:bCs/>
          <w:sz w:val="24"/>
          <w:szCs w:val="24"/>
        </w:rPr>
        <w:t>（</w:t>
      </w:r>
      <w:r>
        <w:rPr>
          <w:rFonts w:ascii="宋体" w:hAnsi="宋体" w:cs="宋体" w:eastAsia="宋体" w:hint="default"/>
          <w:b/>
          <w:bCs/>
          <w:sz w:val="24"/>
          <w:szCs w:val="24"/>
        </w:rPr>
        <w:t>2</w:t>
      </w:r>
      <w:r>
        <w:rPr>
          <w:rFonts w:ascii="宋体" w:hAnsi="宋体" w:cs="宋体" w:eastAsia="宋体" w:hint="default"/>
          <w:b/>
          <w:bCs/>
          <w:sz w:val="24"/>
          <w:szCs w:val="24"/>
        </w:rPr>
        <w:t>）确认递延所得税负债的依据</w:t>
      </w:r>
      <w:r>
        <w:rPr>
          <w:rFonts w:ascii="宋体" w:hAnsi="宋体" w:cs="宋体" w:eastAsia="宋体" w:hint="default"/>
          <w:b/>
          <w:bCs/>
          <w:w w:val="99"/>
          <w:sz w:val="24"/>
          <w:szCs w:val="24"/>
        </w:rPr>
        <w:t> </w:t>
      </w:r>
      <w:r>
        <w:rPr>
          <w:rFonts w:ascii="宋体" w:hAnsi="宋体" w:cs="宋体" w:eastAsia="宋体" w:hint="default"/>
          <w:spacing w:val="-3"/>
          <w:sz w:val="24"/>
          <w:szCs w:val="24"/>
        </w:rPr>
        <w:t>公司将当期与以前期间应交未交的应纳税暂时性差异确认为递延所得税负债。但不包括：</w:t>
      </w:r>
    </w:p>
    <w:p>
      <w:pPr>
        <w:pStyle w:val="BodyText"/>
        <w:spacing w:line="240" w:lineRule="auto"/>
        <w:ind w:left="634" w:right="996"/>
        <w:jc w:val="left"/>
      </w:pPr>
      <w:r>
        <w:rPr/>
        <w:t>①商誉的初始确认所形成的暂时性差异；</w:t>
      </w:r>
    </w:p>
    <w:p>
      <w:pPr>
        <w:pStyle w:val="BodyText"/>
        <w:spacing w:line="350" w:lineRule="auto" w:before="145"/>
        <w:ind w:left="154" w:right="1169" w:firstLine="480"/>
        <w:jc w:val="both"/>
      </w:pPr>
      <w:r>
        <w:rPr/>
        <w:t>②非企业合并形成的交易或事项，且该交易或事项发生时既不影响会计利润，也不影响 应纳税所得额（或可抵扣亏损）所形成的暂时性差异；</w:t>
      </w:r>
    </w:p>
    <w:p>
      <w:pPr>
        <w:pStyle w:val="BodyText"/>
        <w:spacing w:line="350" w:lineRule="auto"/>
        <w:ind w:right="1169" w:firstLine="480"/>
        <w:jc w:val="both"/>
      </w:pPr>
      <w:r>
        <w:rPr/>
        <w:t>③对于与子公司、联营企业投资相关的应纳税暂时性差异，该暂时性差异转回的时间能 够控制并且该暂时性差异在可预见的未来很可能不会转回。</w:t>
      </w:r>
    </w:p>
    <w:p>
      <w:pPr>
        <w:pStyle w:val="Heading2"/>
        <w:spacing w:line="240" w:lineRule="auto" w:before="210"/>
        <w:ind w:left="153" w:right="0"/>
        <w:jc w:val="both"/>
        <w:rPr>
          <w:b w:val="0"/>
          <w:bCs w:val="0"/>
        </w:rPr>
      </w:pPr>
      <w:bookmarkStart w:name="31、租赁" w:id="237"/>
      <w:bookmarkEnd w:id="237"/>
      <w:r>
        <w:rPr>
          <w:b w:val="0"/>
          <w:bCs w:val="0"/>
        </w:rPr>
      </w:r>
      <w:r>
        <w:rPr>
          <w:rFonts w:ascii="宋体" w:hAnsi="宋体" w:cs="宋体" w:eastAsia="宋体" w:hint="default"/>
        </w:rPr>
        <w:t>31</w:t>
      </w:r>
      <w:r>
        <w:rPr/>
        <w:t>、租赁</w:t>
      </w:r>
      <w:r>
        <w:rPr>
          <w:b w:val="0"/>
          <w:bCs w:val="0"/>
        </w:rPr>
      </w:r>
    </w:p>
    <w:p>
      <w:pPr>
        <w:spacing w:line="240" w:lineRule="auto" w:before="5"/>
        <w:rPr>
          <w:rFonts w:ascii="宋体" w:hAnsi="宋体" w:cs="宋体" w:eastAsia="宋体" w:hint="default"/>
          <w:b/>
          <w:bCs/>
          <w:sz w:val="32"/>
          <w:szCs w:val="32"/>
        </w:rPr>
      </w:pPr>
    </w:p>
    <w:p>
      <w:pPr>
        <w:pStyle w:val="Heading2"/>
        <w:spacing w:line="240" w:lineRule="auto" w:before="0"/>
        <w:ind w:right="996"/>
        <w:jc w:val="left"/>
        <w:rPr>
          <w:b w:val="0"/>
          <w:bCs w:val="0"/>
        </w:rPr>
      </w:pPr>
      <w:r>
        <w:rPr/>
        <w:t>（</w:t>
      </w:r>
      <w:r>
        <w:rPr>
          <w:rFonts w:ascii="宋体" w:hAnsi="宋体" w:cs="宋体" w:eastAsia="宋体" w:hint="default"/>
        </w:rPr>
        <w:t>1</w:t>
      </w:r>
      <w:r>
        <w:rPr/>
        <w:t>）经营租赁的会计处理方法</w:t>
      </w:r>
      <w:r>
        <w:rPr>
          <w:b w:val="0"/>
          <w:bCs w:val="0"/>
        </w:rPr>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b/>
          <w:bCs/>
          <w:sz w:val="20"/>
          <w:szCs w:val="20"/>
        </w:rPr>
      </w:pPr>
    </w:p>
    <w:p>
      <w:pPr>
        <w:pStyle w:val="BodyText"/>
        <w:spacing w:line="350" w:lineRule="auto" w:before="199"/>
        <w:ind w:left="634" w:right="1152"/>
        <w:jc w:val="left"/>
      </w:pPr>
      <w:r>
        <w:rPr/>
        <w:t>①经营租入资产 公司租入资产所支付的租赁费，在不扣除免租期的整个租赁期内，按直线法进行分摊，</w:t>
      </w:r>
    </w:p>
    <w:p>
      <w:pPr>
        <w:pStyle w:val="BodyText"/>
        <w:spacing w:line="350" w:lineRule="auto"/>
        <w:ind w:left="633" w:right="1153" w:hanging="480"/>
        <w:jc w:val="left"/>
      </w:pPr>
      <w:r>
        <w:rPr/>
        <w:t>计入当期费用。公司支付的与租赁交易相关的初始直接费用，计入当期费用。 资产出租方承担了应由公司承担的与租赁相关的费用时，公司将该部分费用从租金总额</w:t>
      </w:r>
    </w:p>
    <w:p>
      <w:pPr>
        <w:pStyle w:val="BodyText"/>
        <w:spacing w:line="240" w:lineRule="auto" w:before="35"/>
        <w:ind w:right="996"/>
        <w:jc w:val="left"/>
      </w:pPr>
      <w:r>
        <w:rPr/>
        <w:t>中扣除，按扣除后的租金费用在租赁期内分摊，计入当期费用。</w:t>
      </w:r>
    </w:p>
    <w:p>
      <w:pPr>
        <w:pStyle w:val="BodyText"/>
        <w:spacing w:line="350" w:lineRule="auto" w:before="146"/>
        <w:ind w:left="634" w:right="1152"/>
        <w:jc w:val="left"/>
      </w:pPr>
      <w:r>
        <w:rPr/>
        <w:t>②经营租出资产 公司出租资产所收取的租赁费，在不扣除免租期的整个租赁期内，按直线法进行分摊，</w:t>
      </w:r>
    </w:p>
    <w:p>
      <w:pPr>
        <w:pStyle w:val="BodyText"/>
        <w:spacing w:line="352" w:lineRule="auto" w:before="35"/>
        <w:ind w:left="0" w:right="1169"/>
        <w:jc w:val="right"/>
      </w:pPr>
      <w:r>
        <w:rPr/>
        <w:t>确认为租赁收入。公司支付的与租赁交易相关的初始直接费用，计入当期费用；如金额较大 的，则予以资本化，在整个租赁期间内按照与租赁收入确认相同的基础分期计入当期收益。 公司承担了应由承租方承担的与租赁相关的费用时，公司将该部分费用从租金收入总额</w:t>
      </w:r>
    </w:p>
    <w:p>
      <w:pPr>
        <w:pStyle w:val="BodyText"/>
        <w:spacing w:line="240" w:lineRule="auto" w:before="32"/>
        <w:ind w:right="996"/>
        <w:jc w:val="left"/>
      </w:pPr>
      <w:r>
        <w:rPr/>
        <w:t>中扣除，按扣除后的租金费用在租赁期内分配。</w:t>
      </w:r>
    </w:p>
    <w:p>
      <w:pPr>
        <w:pStyle w:val="Heading2"/>
        <w:spacing w:line="240" w:lineRule="auto" w:before="146"/>
        <w:ind w:right="996"/>
        <w:jc w:val="left"/>
        <w:rPr>
          <w:b w:val="0"/>
          <w:bCs w:val="0"/>
        </w:rPr>
      </w:pPr>
      <w:r>
        <w:rPr/>
        <w:t>（</w:t>
      </w:r>
      <w:r>
        <w:rPr>
          <w:rFonts w:ascii="宋体" w:hAnsi="宋体" w:cs="宋体" w:eastAsia="宋体" w:hint="default"/>
        </w:rPr>
        <w:t>2</w:t>
      </w:r>
      <w:r>
        <w:rPr/>
        <w:t>）融资租赁的会计处理方法</w:t>
      </w:r>
      <w:r>
        <w:rPr>
          <w:b w:val="0"/>
          <w:bCs w:val="0"/>
        </w:rPr>
      </w:r>
    </w:p>
    <w:p>
      <w:pPr>
        <w:pStyle w:val="BodyText"/>
        <w:spacing w:line="352" w:lineRule="auto" w:before="145"/>
        <w:ind w:left="154" w:right="996" w:firstLine="480"/>
        <w:jc w:val="left"/>
      </w:pPr>
      <w:r>
        <w:rPr/>
        <w:t>①融资租入资产：公司在承租开始日，将租赁资产公允价值与最低租赁付款额现值两者 中较低者作为租入资产的入账价值，将最低租赁付款额作为长期应付款的入账价值，其差额 </w:t>
      </w:r>
      <w:r>
        <w:rPr>
          <w:spacing w:val="-3"/>
        </w:rPr>
        <w:t>作为未确认的融资费用。融资租入资产的认定依据、计价和折旧方法详见本附注四／（十三）</w:t>
      </w:r>
      <w:r>
        <w:rPr>
          <w:spacing w:val="-81"/>
        </w:rPr>
        <w:t> </w:t>
      </w:r>
      <w:r>
        <w:rPr>
          <w:spacing w:val="-81"/>
        </w:rPr>
      </w:r>
      <w:r>
        <w:rPr/>
        <w:t>固定资产。</w:t>
      </w:r>
    </w:p>
    <w:p>
      <w:pPr>
        <w:pStyle w:val="BodyText"/>
        <w:spacing w:line="240" w:lineRule="auto" w:before="32"/>
        <w:ind w:left="634" w:right="996"/>
        <w:jc w:val="left"/>
      </w:pPr>
      <w:r>
        <w:rPr/>
        <w:t>公司采用实际利率法对未确认的融资费用，在资产租赁期间内摊销，计入财务费用。</w:t>
      </w:r>
    </w:p>
    <w:p>
      <w:pPr>
        <w:pStyle w:val="BodyText"/>
        <w:spacing w:line="350" w:lineRule="auto" w:before="146"/>
        <w:ind w:right="1132" w:firstLine="360"/>
        <w:jc w:val="both"/>
      </w:pPr>
      <w:r>
        <w:rPr>
          <w:spacing w:val="-3"/>
        </w:rPr>
        <w:t>②融资租出资产：公司在租赁开始日，将应收融资租赁款，未担保余值之和与其现值的差</w:t>
      </w:r>
      <w:r>
        <w:rPr/>
        <w:t> 额确认为未实现融资收益，在将来收到租金的各期间内确认为租赁收入，公司发生的与出租 交易相关的初始直接费用，计入应收融资租赁款的初始计量中，并减少租赁期内确认的收益 金额。</w:t>
      </w:r>
    </w:p>
    <w:p>
      <w:pPr>
        <w:pStyle w:val="Heading2"/>
        <w:spacing w:line="240" w:lineRule="auto" w:before="210"/>
        <w:ind w:left="153" w:right="996"/>
        <w:jc w:val="left"/>
        <w:rPr>
          <w:b w:val="0"/>
          <w:bCs w:val="0"/>
        </w:rPr>
      </w:pPr>
      <w:bookmarkStart w:name="32、其他重要的会计政策和会计估计" w:id="238"/>
      <w:bookmarkEnd w:id="238"/>
      <w:r>
        <w:rPr>
          <w:b w:val="0"/>
          <w:bCs w:val="0"/>
        </w:rPr>
      </w:r>
      <w:r>
        <w:rPr>
          <w:rFonts w:ascii="宋体" w:hAnsi="宋体" w:cs="宋体" w:eastAsia="宋体" w:hint="default"/>
        </w:rPr>
        <w:t>32</w:t>
      </w:r>
      <w:r>
        <w:rPr/>
        <w:t>、其他重要的会计政策和会计估计</w:t>
      </w:r>
      <w:r>
        <w:rPr>
          <w:b w:val="0"/>
          <w:bCs w:val="0"/>
        </w:rPr>
      </w:r>
    </w:p>
    <w:p>
      <w:pPr>
        <w:spacing w:line="240" w:lineRule="auto" w:before="5"/>
        <w:rPr>
          <w:rFonts w:ascii="宋体" w:hAnsi="宋体" w:cs="宋体" w:eastAsia="宋体" w:hint="default"/>
          <w:b/>
          <w:bCs/>
          <w:sz w:val="32"/>
          <w:szCs w:val="32"/>
        </w:rPr>
      </w:pPr>
    </w:p>
    <w:p>
      <w:pPr>
        <w:pStyle w:val="BodyText"/>
        <w:spacing w:line="350" w:lineRule="auto" w:before="0"/>
        <w:ind w:right="1153" w:firstLine="480"/>
        <w:jc w:val="left"/>
      </w:pPr>
      <w:r>
        <w:rPr/>
        <w:t>本公司将满足下列条件之一的，且该组成部分已经处置或划归为持有待售类别的、能够 单独区分的组成部分确认为终止经营组成部分：</w:t>
      </w:r>
    </w:p>
    <w:p>
      <w:pPr>
        <w:pStyle w:val="BodyText"/>
        <w:spacing w:line="240" w:lineRule="auto"/>
        <w:ind w:left="634" w:right="996"/>
        <w:jc w:val="left"/>
      </w:pPr>
      <w:r>
        <w:rPr/>
        <w:t>（</w:t>
      </w:r>
      <w:r>
        <w:rPr>
          <w:rFonts w:ascii="宋体" w:hAnsi="宋体" w:cs="宋体" w:eastAsia="宋体" w:hint="default"/>
        </w:rPr>
        <w:t>1</w:t>
      </w:r>
      <w:r>
        <w:rPr/>
        <w:t>）该组成部分代表一项独立的主要业务或一个单独的主要经营地区。</w:t>
      </w:r>
    </w:p>
    <w:p>
      <w:pPr>
        <w:pStyle w:val="BodyText"/>
        <w:spacing w:line="350" w:lineRule="auto" w:before="145"/>
        <w:ind w:right="996" w:firstLine="480"/>
        <w:jc w:val="left"/>
      </w:pPr>
      <w:r>
        <w:rPr>
          <w:spacing w:val="-3"/>
        </w:rPr>
        <w:t>（</w:t>
      </w:r>
      <w:r>
        <w:rPr>
          <w:rFonts w:ascii="宋体" w:hAnsi="宋体" w:cs="宋体" w:eastAsia="宋体" w:hint="default"/>
          <w:spacing w:val="-3"/>
        </w:rPr>
        <w:t>2</w:t>
      </w:r>
      <w:r>
        <w:rPr>
          <w:spacing w:val="-3"/>
        </w:rPr>
        <w:t>）该组成部分是拟对一项独立的主要业务或一个单独的主要经营地区进行处置的一项</w:t>
      </w:r>
      <w:r>
        <w:rPr/>
        <w:t> 相关联计划的一部分。</w:t>
      </w:r>
    </w:p>
    <w:p>
      <w:pPr>
        <w:pStyle w:val="BodyText"/>
        <w:spacing w:line="350" w:lineRule="auto"/>
        <w:ind w:left="634" w:right="1152"/>
        <w:jc w:val="left"/>
      </w:pPr>
      <w:r>
        <w:rPr/>
        <w:t>（</w:t>
      </w:r>
      <w:r>
        <w:rPr>
          <w:rFonts w:ascii="宋体" w:hAnsi="宋体" w:cs="宋体" w:eastAsia="宋体" w:hint="default"/>
        </w:rPr>
        <w:t>3</w:t>
      </w:r>
      <w:r>
        <w:rPr/>
        <w:t>）该组成部分是专为转售而取得的子公司。 终止经营的减值损失和转回金额等经营损益及处置损益作为终止经营损益在利润表中列</w:t>
      </w:r>
    </w:p>
    <w:p>
      <w:pPr>
        <w:spacing w:after="0" w:line="35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Heading2"/>
        <w:spacing w:line="484" w:lineRule="auto" w:before="199"/>
        <w:ind w:left="154" w:right="7152"/>
        <w:jc w:val="left"/>
        <w:rPr>
          <w:b w:val="0"/>
          <w:bCs w:val="0"/>
        </w:rPr>
      </w:pPr>
      <w:r>
        <w:rPr>
          <w:rFonts w:ascii="宋体" w:hAnsi="宋体" w:cs="宋体" w:eastAsia="宋体" w:hint="default"/>
          <w:b w:val="0"/>
          <w:bCs w:val="0"/>
        </w:rPr>
        <w:t>示。 </w:t>
      </w:r>
      <w:bookmarkStart w:name="33、重要会计政策和会计估计变更" w:id="239"/>
      <w:bookmarkEnd w:id="239"/>
      <w:r>
        <w:rPr>
          <w:rFonts w:ascii="宋体" w:hAnsi="宋体" w:cs="宋体" w:eastAsia="宋体" w:hint="default"/>
          <w:b w:val="0"/>
          <w:bCs w:val="0"/>
        </w:rPr>
      </w:r>
      <w:r>
        <w:rPr>
          <w:rFonts w:ascii="宋体" w:hAnsi="宋体" w:cs="宋体" w:eastAsia="宋体" w:hint="default"/>
          <w:w w:val="95"/>
        </w:rPr>
        <w:t>33</w:t>
      </w:r>
      <w:r>
        <w:rPr>
          <w:w w:val="95"/>
        </w:rPr>
        <w:t>、重要会计政策和会计估计变更</w:t>
      </w:r>
      <w:r>
        <w:rPr>
          <w:b w:val="0"/>
          <w:bCs w:val="0"/>
        </w:rPr>
      </w:r>
    </w:p>
    <w:p>
      <w:pPr>
        <w:pStyle w:val="Heading2"/>
        <w:spacing w:line="240" w:lineRule="auto" w:before="179"/>
        <w:ind w:right="996"/>
        <w:jc w:val="left"/>
        <w:rPr>
          <w:b w:val="0"/>
          <w:bCs w:val="0"/>
        </w:rPr>
      </w:pPr>
      <w:bookmarkStart w:name="（1）重要会计政策变更" w:id="240"/>
      <w:bookmarkEnd w:id="240"/>
      <w:r>
        <w:rPr>
          <w:b w:val="0"/>
          <w:bCs w:val="0"/>
        </w:rPr>
      </w:r>
      <w:r>
        <w:rPr/>
        <w:t>（</w:t>
      </w:r>
      <w:r>
        <w:rPr>
          <w:rFonts w:ascii="宋体" w:hAnsi="宋体" w:cs="宋体" w:eastAsia="宋体" w:hint="default"/>
        </w:rPr>
        <w:t>1</w:t>
      </w:r>
      <w:r>
        <w:rPr/>
        <w:t>）重要会计政策变更</w:t>
      </w:r>
      <w:r>
        <w:rPr>
          <w:b w:val="0"/>
          <w:bCs w:val="0"/>
        </w:rPr>
      </w:r>
    </w:p>
    <w:p>
      <w:pPr>
        <w:pStyle w:val="BodyText"/>
        <w:spacing w:line="240" w:lineRule="auto" w:before="146"/>
        <w:ind w:left="633" w:right="996"/>
        <w:jc w:val="left"/>
      </w:pPr>
      <w:r>
        <w:rPr/>
        <w:t>√ 适用 □ 不适用</w:t>
      </w:r>
    </w:p>
    <w:p>
      <w:pPr>
        <w:spacing w:line="240" w:lineRule="auto" w:before="5"/>
        <w:rPr>
          <w:rFonts w:ascii="宋体" w:hAnsi="宋体" w:cs="宋体" w:eastAsia="宋体" w:hint="default"/>
          <w:sz w:val="4"/>
          <w:szCs w:val="4"/>
        </w:rPr>
      </w:pPr>
    </w:p>
    <w:tbl>
      <w:tblPr>
        <w:tblW w:w="0" w:type="auto"/>
        <w:jc w:val="left"/>
        <w:tblInd w:w="149" w:type="dxa"/>
        <w:tblLayout w:type="fixed"/>
        <w:tblCellMar>
          <w:top w:w="0" w:type="dxa"/>
          <w:left w:w="0" w:type="dxa"/>
          <w:bottom w:w="0" w:type="dxa"/>
          <w:right w:w="0" w:type="dxa"/>
        </w:tblCellMar>
        <w:tblLook w:val="01E0"/>
      </w:tblPr>
      <w:tblGrid>
        <w:gridCol w:w="6380"/>
        <w:gridCol w:w="1985"/>
        <w:gridCol w:w="1205"/>
      </w:tblGrid>
      <w:tr>
        <w:trPr>
          <w:trHeight w:val="402" w:hRule="exact"/>
        </w:trPr>
        <w:tc>
          <w:tcPr>
            <w:tcW w:w="6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923" w:right="0"/>
              <w:jc w:val="left"/>
              <w:rPr>
                <w:rFonts w:ascii="宋体" w:hAnsi="宋体" w:cs="宋体" w:eastAsia="宋体" w:hint="default"/>
                <w:sz w:val="21"/>
                <w:szCs w:val="21"/>
              </w:rPr>
            </w:pPr>
            <w:r>
              <w:rPr>
                <w:rFonts w:ascii="宋体" w:hAnsi="宋体" w:cs="宋体" w:eastAsia="宋体" w:hint="default"/>
                <w:sz w:val="21"/>
                <w:szCs w:val="21"/>
              </w:rPr>
              <w:t>会计政策变更的内容和原因</w:t>
            </w:r>
          </w:p>
        </w:tc>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审批程序</w:t>
            </w:r>
          </w:p>
        </w:tc>
        <w:tc>
          <w:tcPr>
            <w:tcW w:w="1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386" w:right="0"/>
              <w:jc w:val="left"/>
              <w:rPr>
                <w:rFonts w:ascii="宋体" w:hAnsi="宋体" w:cs="宋体" w:eastAsia="宋体" w:hint="default"/>
                <w:sz w:val="21"/>
                <w:szCs w:val="21"/>
              </w:rPr>
            </w:pPr>
            <w:r>
              <w:rPr>
                <w:rFonts w:ascii="宋体" w:hAnsi="宋体" w:cs="宋体" w:eastAsia="宋体" w:hint="default"/>
                <w:sz w:val="21"/>
                <w:szCs w:val="21"/>
              </w:rPr>
              <w:t>备注</w:t>
            </w:r>
          </w:p>
        </w:tc>
      </w:tr>
      <w:tr>
        <w:trPr>
          <w:trHeight w:val="402" w:hRule="exact"/>
        </w:trPr>
        <w:tc>
          <w:tcPr>
            <w:tcW w:w="6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财政部于</w:t>
            </w:r>
            <w:r>
              <w:rPr>
                <w:rFonts w:ascii="宋体" w:hAnsi="宋体" w:cs="宋体" w:eastAsia="宋体" w:hint="default"/>
                <w:spacing w:val="-53"/>
                <w:sz w:val="21"/>
                <w:szCs w:val="21"/>
              </w:rPr>
              <w:t> </w:t>
            </w: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年度修订了《企业会计准则第</w:t>
            </w:r>
            <w:r>
              <w:rPr>
                <w:rFonts w:ascii="宋体" w:hAnsi="宋体" w:cs="宋体" w:eastAsia="宋体" w:hint="default"/>
                <w:spacing w:val="-1"/>
                <w:sz w:val="21"/>
                <w:szCs w:val="21"/>
              </w:rPr>
              <w:t> </w:t>
            </w:r>
            <w:r>
              <w:rPr>
                <w:rFonts w:ascii="宋体" w:hAnsi="宋体" w:cs="宋体" w:eastAsia="宋体" w:hint="default"/>
                <w:sz w:val="21"/>
                <w:szCs w:val="21"/>
              </w:rPr>
              <w:t>16</w:t>
            </w:r>
            <w:r>
              <w:rPr>
                <w:rFonts w:ascii="宋体" w:hAnsi="宋体" w:cs="宋体" w:eastAsia="宋体" w:hint="default"/>
                <w:spacing w:val="-3"/>
                <w:sz w:val="21"/>
                <w:szCs w:val="21"/>
              </w:rPr>
              <w:t> </w:t>
            </w:r>
            <w:r>
              <w:rPr>
                <w:rFonts w:ascii="宋体" w:hAnsi="宋体" w:cs="宋体" w:eastAsia="宋体" w:hint="default"/>
                <w:sz w:val="21"/>
                <w:szCs w:val="21"/>
              </w:rPr>
              <w:t>号</w:t>
            </w:r>
            <w:r>
              <w:rPr>
                <w:rFonts w:ascii="宋体" w:hAnsi="宋体" w:cs="宋体" w:eastAsia="宋体" w:hint="default"/>
                <w:sz w:val="21"/>
                <w:szCs w:val="21"/>
              </w:rPr>
              <w:t>--</w:t>
            </w:r>
            <w:r>
              <w:rPr>
                <w:rFonts w:ascii="宋体" w:hAnsi="宋体" w:cs="宋体" w:eastAsia="宋体" w:hint="default"/>
                <w:sz w:val="21"/>
                <w:szCs w:val="21"/>
              </w:rPr>
              <w:t>政府补助》</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董事会审批</w:t>
            </w:r>
          </w:p>
        </w:tc>
        <w:tc>
          <w:tcPr>
            <w:tcW w:w="120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638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2" w:right="47"/>
              <w:jc w:val="left"/>
              <w:rPr>
                <w:rFonts w:ascii="宋体" w:hAnsi="宋体" w:cs="宋体" w:eastAsia="宋体" w:hint="default"/>
                <w:sz w:val="21"/>
                <w:szCs w:val="21"/>
              </w:rPr>
            </w:pPr>
            <w:r>
              <w:rPr>
                <w:rFonts w:ascii="宋体" w:hAnsi="宋体" w:cs="宋体" w:eastAsia="宋体" w:hint="default"/>
                <w:sz w:val="21"/>
                <w:szCs w:val="21"/>
              </w:rPr>
              <w:t>财政部于 </w:t>
            </w:r>
            <w:r>
              <w:rPr>
                <w:rFonts w:ascii="宋体" w:hAnsi="宋体" w:cs="宋体" w:eastAsia="宋体" w:hint="default"/>
                <w:sz w:val="21"/>
                <w:szCs w:val="21"/>
              </w:rPr>
              <w:t>2017 </w:t>
            </w:r>
            <w:r>
              <w:rPr>
                <w:rFonts w:ascii="宋体" w:hAnsi="宋体" w:cs="宋体" w:eastAsia="宋体" w:hint="default"/>
                <w:sz w:val="21"/>
                <w:szCs w:val="21"/>
              </w:rPr>
              <w:t>年度修订了《企业会计准则第 </w:t>
            </w:r>
            <w:r>
              <w:rPr>
                <w:rFonts w:ascii="宋体" w:hAnsi="宋体" w:cs="宋体" w:eastAsia="宋体" w:hint="default"/>
                <w:sz w:val="21"/>
                <w:szCs w:val="21"/>
              </w:rPr>
              <w:t>42</w:t>
            </w:r>
            <w:r>
              <w:rPr>
                <w:rFonts w:ascii="宋体" w:hAnsi="宋体" w:cs="宋体" w:eastAsia="宋体" w:hint="default"/>
                <w:spacing w:val="-6"/>
                <w:sz w:val="21"/>
                <w:szCs w:val="21"/>
              </w:rPr>
              <w:t> </w:t>
            </w:r>
            <w:r>
              <w:rPr>
                <w:rFonts w:ascii="宋体" w:hAnsi="宋体" w:cs="宋体" w:eastAsia="宋体" w:hint="default"/>
                <w:sz w:val="21"/>
                <w:szCs w:val="21"/>
              </w:rPr>
              <w:t>号</w:t>
            </w:r>
            <w:r>
              <w:rPr>
                <w:rFonts w:ascii="宋体" w:hAnsi="宋体" w:cs="宋体" w:eastAsia="宋体" w:hint="default"/>
                <w:sz w:val="21"/>
                <w:szCs w:val="21"/>
              </w:rPr>
              <w:t>--</w:t>
            </w:r>
            <w:r>
              <w:rPr>
                <w:rFonts w:ascii="宋体" w:hAnsi="宋体" w:cs="宋体" w:eastAsia="宋体" w:hint="default"/>
                <w:sz w:val="21"/>
                <w:szCs w:val="21"/>
              </w:rPr>
              <w:t>持有待售的非 流动资产、处置组和终止经营》</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董事会审批</w:t>
            </w:r>
          </w:p>
        </w:tc>
        <w:tc>
          <w:tcPr>
            <w:tcW w:w="120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0"/>
        <w:rPr>
          <w:rFonts w:ascii="宋体" w:hAnsi="宋体" w:cs="宋体" w:eastAsia="宋体" w:hint="default"/>
          <w:sz w:val="4"/>
          <w:szCs w:val="4"/>
        </w:rPr>
      </w:pPr>
    </w:p>
    <w:p>
      <w:pPr>
        <w:pStyle w:val="BodyText"/>
        <w:spacing w:line="352" w:lineRule="auto" w:before="26"/>
        <w:ind w:left="154" w:right="1130" w:firstLine="480"/>
        <w:jc w:val="both"/>
      </w:pPr>
      <w:r>
        <w:rPr>
          <w:rFonts w:ascii="宋体" w:hAnsi="宋体" w:cs="宋体" w:eastAsia="宋体" w:hint="default"/>
          <w:spacing w:val="-2"/>
        </w:rPr>
        <w:t>2017</w:t>
      </w:r>
      <w:r>
        <w:rPr>
          <w:spacing w:val="-2"/>
        </w:rPr>
        <w:t>年</w:t>
      </w:r>
      <w:r>
        <w:rPr>
          <w:rFonts w:ascii="宋体" w:hAnsi="宋体" w:cs="宋体" w:eastAsia="宋体" w:hint="default"/>
          <w:spacing w:val="-2"/>
        </w:rPr>
        <w:t>5</w:t>
      </w:r>
      <w:r>
        <w:rPr>
          <w:spacing w:val="-2"/>
        </w:rPr>
        <w:t>月</w:t>
      </w:r>
      <w:r>
        <w:rPr>
          <w:rFonts w:ascii="宋体" w:hAnsi="宋体" w:cs="宋体" w:eastAsia="宋体" w:hint="default"/>
          <w:spacing w:val="-2"/>
        </w:rPr>
        <w:t>10</w:t>
      </w:r>
      <w:r>
        <w:rPr>
          <w:spacing w:val="-2"/>
        </w:rPr>
        <w:t>日，财政部公布了修订后的《企业会计准则第</w:t>
      </w:r>
      <w:r>
        <w:rPr>
          <w:rFonts w:ascii="宋体" w:hAnsi="宋体" w:cs="宋体" w:eastAsia="宋体" w:hint="default"/>
          <w:spacing w:val="-2"/>
        </w:rPr>
        <w:t>16</w:t>
      </w:r>
      <w:r>
        <w:rPr>
          <w:spacing w:val="-2"/>
        </w:rPr>
        <w:t>号——政府补助》，该准则</w:t>
      </w:r>
      <w:r>
        <w:rPr/>
        <w:t> </w:t>
      </w:r>
      <w:r>
        <w:rPr>
          <w:spacing w:val="-2"/>
        </w:rPr>
        <w:t>修订自</w:t>
      </w:r>
      <w:r>
        <w:rPr>
          <w:rFonts w:ascii="宋体" w:hAnsi="宋体" w:cs="宋体" w:eastAsia="宋体" w:hint="default"/>
          <w:spacing w:val="-2"/>
        </w:rPr>
        <w:t>2017</w:t>
      </w:r>
      <w:r>
        <w:rPr>
          <w:spacing w:val="-2"/>
        </w:rPr>
        <w:t>年</w:t>
      </w:r>
      <w:r>
        <w:rPr>
          <w:rFonts w:ascii="宋体" w:hAnsi="宋体" w:cs="宋体" w:eastAsia="宋体" w:hint="default"/>
          <w:spacing w:val="-2"/>
        </w:rPr>
        <w:t>6</w:t>
      </w:r>
      <w:r>
        <w:rPr>
          <w:spacing w:val="-2"/>
        </w:rPr>
        <w:t>月</w:t>
      </w:r>
      <w:r>
        <w:rPr>
          <w:rFonts w:ascii="宋体" w:hAnsi="宋体" w:cs="宋体" w:eastAsia="宋体" w:hint="default"/>
          <w:spacing w:val="-2"/>
        </w:rPr>
        <w:t>12</w:t>
      </w:r>
      <w:r>
        <w:rPr>
          <w:spacing w:val="-2"/>
        </w:rPr>
        <w:t>日起施行，同时要求企业对</w:t>
      </w:r>
      <w:r>
        <w:rPr>
          <w:rFonts w:ascii="宋体" w:hAnsi="宋体" w:cs="宋体" w:eastAsia="宋体" w:hint="default"/>
          <w:spacing w:val="-2"/>
        </w:rPr>
        <w:t>2017</w:t>
      </w:r>
      <w:r>
        <w:rPr>
          <w:spacing w:val="-2"/>
        </w:rPr>
        <w:t>年</w:t>
      </w:r>
      <w:r>
        <w:rPr>
          <w:rFonts w:ascii="宋体" w:hAnsi="宋体" w:cs="宋体" w:eastAsia="宋体" w:hint="default"/>
          <w:spacing w:val="-2"/>
        </w:rPr>
        <w:t>1</w:t>
      </w:r>
      <w:r>
        <w:rPr>
          <w:spacing w:val="-2"/>
        </w:rPr>
        <w:t>月</w:t>
      </w:r>
      <w:r>
        <w:rPr>
          <w:rFonts w:ascii="宋体" w:hAnsi="宋体" w:cs="宋体" w:eastAsia="宋体" w:hint="default"/>
          <w:spacing w:val="-2"/>
        </w:rPr>
        <w:t>1</w:t>
      </w:r>
      <w:r>
        <w:rPr>
          <w:spacing w:val="-2"/>
        </w:rPr>
        <w:t>日存在的政府补助采用未来适用法</w:t>
      </w:r>
      <w:r>
        <w:rPr>
          <w:spacing w:val="-108"/>
        </w:rPr>
        <w:t> </w:t>
      </w:r>
      <w:r>
        <w:rPr/>
        <w:t>处理，对</w:t>
      </w:r>
      <w:r>
        <w:rPr>
          <w:rFonts w:ascii="宋体" w:hAnsi="宋体" w:cs="宋体" w:eastAsia="宋体" w:hint="default"/>
        </w:rPr>
        <w:t>2017</w:t>
      </w:r>
      <w:r>
        <w:rPr/>
        <w:t>年</w:t>
      </w:r>
      <w:r>
        <w:rPr>
          <w:rFonts w:ascii="宋体" w:hAnsi="宋体" w:cs="宋体" w:eastAsia="宋体" w:hint="default"/>
        </w:rPr>
        <w:t>1</w:t>
      </w:r>
      <w:r>
        <w:rPr/>
        <w:t>月</w:t>
      </w:r>
      <w:r>
        <w:rPr>
          <w:rFonts w:ascii="宋体" w:hAnsi="宋体" w:cs="宋体" w:eastAsia="宋体" w:hint="default"/>
        </w:rPr>
        <w:t>1</w:t>
      </w:r>
      <w:r>
        <w:rPr/>
        <w:t>日至该准则施行日之间新增的政府补助根据修订后的准则进行调整。据 上述文件第八条的规定与资产相关的政府补助，应当冲减相关的资产账面价值或确认为递延 收益；公司采取与资产相关的政府补助确认为递延收益的账务处理方式。</w:t>
      </w:r>
    </w:p>
    <w:p>
      <w:pPr>
        <w:pStyle w:val="BodyText"/>
        <w:spacing w:line="240" w:lineRule="auto" w:before="32"/>
        <w:ind w:left="633" w:right="996"/>
        <w:jc w:val="left"/>
      </w:pPr>
      <w:r>
        <w:rPr/>
        <w:t>本公司执行上述准则的主要影响如下：</w:t>
      </w:r>
    </w:p>
    <w:p>
      <w:pPr>
        <w:spacing w:line="240" w:lineRule="auto" w:before="5"/>
        <w:rPr>
          <w:rFonts w:ascii="宋体" w:hAnsi="宋体" w:cs="宋体" w:eastAsia="宋体" w:hint="default"/>
          <w:sz w:val="4"/>
          <w:szCs w:val="4"/>
        </w:rPr>
      </w:pPr>
    </w:p>
    <w:tbl>
      <w:tblPr>
        <w:tblW w:w="0" w:type="auto"/>
        <w:jc w:val="left"/>
        <w:tblInd w:w="148" w:type="dxa"/>
        <w:tblLayout w:type="fixed"/>
        <w:tblCellMar>
          <w:top w:w="0" w:type="dxa"/>
          <w:left w:w="0" w:type="dxa"/>
          <w:bottom w:w="0" w:type="dxa"/>
          <w:right w:w="0" w:type="dxa"/>
        </w:tblCellMar>
        <w:tblLook w:val="01E0"/>
      </w:tblPr>
      <w:tblGrid>
        <w:gridCol w:w="3687"/>
        <w:gridCol w:w="1418"/>
        <w:gridCol w:w="2552"/>
        <w:gridCol w:w="1985"/>
      </w:tblGrid>
      <w:tr>
        <w:trPr>
          <w:trHeight w:val="342" w:hRule="exact"/>
        </w:trPr>
        <w:tc>
          <w:tcPr>
            <w:tcW w:w="3687"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577" w:right="0"/>
              <w:jc w:val="left"/>
              <w:rPr>
                <w:rFonts w:ascii="宋体" w:hAnsi="宋体" w:cs="宋体" w:eastAsia="宋体" w:hint="default"/>
                <w:sz w:val="21"/>
                <w:szCs w:val="21"/>
              </w:rPr>
            </w:pPr>
            <w:r>
              <w:rPr>
                <w:rFonts w:ascii="宋体" w:hAnsi="宋体" w:cs="宋体" w:eastAsia="宋体" w:hint="default"/>
                <w:sz w:val="21"/>
                <w:szCs w:val="21"/>
              </w:rPr>
              <w:t>会计政策变更的内容和原因</w:t>
            </w:r>
          </w:p>
        </w:tc>
        <w:tc>
          <w:tcPr>
            <w:tcW w:w="5954" w:type="dxa"/>
            <w:gridSpan w:val="3"/>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1344" w:right="0"/>
              <w:jc w:val="left"/>
              <w:rPr>
                <w:rFonts w:ascii="宋体" w:hAnsi="宋体" w:cs="宋体" w:eastAsia="宋体" w:hint="default"/>
                <w:sz w:val="21"/>
                <w:szCs w:val="21"/>
              </w:rPr>
            </w:pPr>
            <w:r>
              <w:rPr>
                <w:rFonts w:ascii="宋体" w:hAnsi="宋体" w:cs="宋体" w:eastAsia="宋体" w:hint="default"/>
                <w:sz w:val="21"/>
                <w:szCs w:val="21"/>
              </w:rPr>
              <w:t>受影响的报表项目名称和金额</w:t>
            </w:r>
            <w:r>
              <w:rPr>
                <w:rFonts w:ascii="宋体" w:hAnsi="宋体" w:cs="宋体" w:eastAsia="宋体" w:hint="default"/>
                <w:sz w:val="21"/>
                <w:szCs w:val="21"/>
              </w:rPr>
              <w:t>(</w:t>
            </w:r>
            <w:r>
              <w:rPr>
                <w:rFonts w:ascii="宋体" w:hAnsi="宋体" w:cs="宋体" w:eastAsia="宋体" w:hint="default"/>
                <w:sz w:val="21"/>
                <w:szCs w:val="21"/>
              </w:rPr>
              <w:t>元）</w:t>
            </w:r>
          </w:p>
        </w:tc>
      </w:tr>
      <w:tr>
        <w:trPr>
          <w:trHeight w:val="654" w:hRule="exact"/>
        </w:trPr>
        <w:tc>
          <w:tcPr>
            <w:tcW w:w="3687" w:type="dxa"/>
            <w:vMerge/>
            <w:tcBorders>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left="283" w:right="0"/>
              <w:jc w:val="left"/>
              <w:rPr>
                <w:rFonts w:ascii="宋体" w:hAnsi="宋体" w:cs="宋体" w:eastAsia="宋体" w:hint="default"/>
                <w:sz w:val="21"/>
                <w:szCs w:val="21"/>
              </w:rPr>
            </w:pPr>
            <w:r>
              <w:rPr>
                <w:rFonts w:ascii="宋体" w:hAnsi="宋体" w:cs="宋体" w:eastAsia="宋体" w:hint="default"/>
                <w:sz w:val="21"/>
                <w:szCs w:val="21"/>
              </w:rPr>
              <w:t>项目名称</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4" w:right="14"/>
              <w:jc w:val="left"/>
              <w:rPr>
                <w:rFonts w:ascii="宋体" w:hAnsi="宋体" w:cs="宋体" w:eastAsia="宋体" w:hint="default"/>
                <w:sz w:val="21"/>
                <w:szCs w:val="21"/>
              </w:rPr>
            </w:pPr>
            <w:r>
              <w:rPr>
                <w:rFonts w:ascii="宋体" w:hAnsi="宋体" w:cs="宋体" w:eastAsia="宋体" w:hint="default"/>
                <w:sz w:val="21"/>
                <w:szCs w:val="21"/>
              </w:rPr>
              <w:t>资产负债表项目</w:t>
            </w:r>
            <w:r>
              <w:rPr>
                <w:rFonts w:ascii="宋体" w:hAnsi="宋体" w:cs="宋体" w:eastAsia="宋体" w:hint="default"/>
                <w:sz w:val="21"/>
                <w:szCs w:val="21"/>
              </w:rPr>
              <w:t>2017</w:t>
            </w:r>
            <w:r>
              <w:rPr>
                <w:rFonts w:ascii="宋体" w:hAnsi="宋体" w:cs="宋体" w:eastAsia="宋体" w:hint="default"/>
                <w:sz w:val="21"/>
                <w:szCs w:val="21"/>
              </w:rPr>
              <w:t>年末余 额影响金额增加</w:t>
            </w:r>
            <w:r>
              <w:rPr>
                <w:rFonts w:ascii="宋体" w:hAnsi="宋体" w:cs="宋体" w:eastAsia="宋体" w:hint="default"/>
                <w:sz w:val="21"/>
                <w:szCs w:val="21"/>
              </w:rPr>
              <w:t>+/</w:t>
            </w:r>
            <w:r>
              <w:rPr>
                <w:rFonts w:ascii="宋体" w:hAnsi="宋体" w:cs="宋体" w:eastAsia="宋体" w:hint="default"/>
                <w:sz w:val="21"/>
                <w:szCs w:val="21"/>
              </w:rPr>
              <w:t>减少</w:t>
            </w:r>
            <w:r>
              <w:rPr>
                <w:rFonts w:ascii="宋体" w:hAnsi="宋体" w:cs="宋体" w:eastAsia="宋体" w:hint="default"/>
                <w:sz w:val="21"/>
                <w:szCs w:val="21"/>
              </w:rPr>
              <w:t>-</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6" w:right="77"/>
              <w:jc w:val="left"/>
              <w:rPr>
                <w:rFonts w:ascii="宋体" w:hAnsi="宋体" w:cs="宋体" w:eastAsia="宋体" w:hint="default"/>
                <w:sz w:val="21"/>
                <w:szCs w:val="21"/>
              </w:rPr>
            </w:pPr>
            <w:r>
              <w:rPr>
                <w:rFonts w:ascii="宋体" w:hAnsi="宋体" w:cs="宋体" w:eastAsia="宋体" w:hint="default"/>
                <w:sz w:val="21"/>
                <w:szCs w:val="21"/>
              </w:rPr>
              <w:t>利润表项目</w:t>
            </w:r>
            <w:r>
              <w:rPr>
                <w:rFonts w:ascii="宋体" w:hAnsi="宋体" w:cs="宋体" w:eastAsia="宋体" w:hint="default"/>
                <w:sz w:val="21"/>
                <w:szCs w:val="21"/>
              </w:rPr>
              <w:t>2017</w:t>
            </w:r>
            <w:r>
              <w:rPr>
                <w:rFonts w:ascii="宋体" w:hAnsi="宋体" w:cs="宋体" w:eastAsia="宋体" w:hint="default"/>
                <w:sz w:val="21"/>
                <w:szCs w:val="21"/>
              </w:rPr>
              <w:t>年影 响金额增加</w:t>
            </w:r>
            <w:r>
              <w:rPr>
                <w:rFonts w:ascii="宋体" w:hAnsi="宋体" w:cs="宋体" w:eastAsia="宋体" w:hint="default"/>
                <w:sz w:val="21"/>
                <w:szCs w:val="21"/>
              </w:rPr>
              <w:t>+/</w:t>
            </w:r>
            <w:r>
              <w:rPr>
                <w:rFonts w:ascii="宋体" w:hAnsi="宋体" w:cs="宋体" w:eastAsia="宋体" w:hint="default"/>
                <w:sz w:val="21"/>
                <w:szCs w:val="21"/>
              </w:rPr>
              <w:t>减少</w:t>
            </w:r>
            <w:r>
              <w:rPr>
                <w:rFonts w:ascii="宋体" w:hAnsi="宋体" w:cs="宋体" w:eastAsia="宋体" w:hint="default"/>
                <w:sz w:val="21"/>
                <w:szCs w:val="21"/>
              </w:rPr>
              <w:t>-</w:t>
            </w:r>
          </w:p>
        </w:tc>
      </w:tr>
      <w:tr>
        <w:trPr>
          <w:trHeight w:val="342" w:hRule="exact"/>
        </w:trPr>
        <w:tc>
          <w:tcPr>
            <w:tcW w:w="3687" w:type="dxa"/>
            <w:vMerge w:val="restart"/>
            <w:tcBorders>
              <w:top w:val="single" w:sz="4" w:space="0" w:color="000000"/>
              <w:left w:val="single" w:sz="4" w:space="0" w:color="000000"/>
              <w:right w:val="single" w:sz="4" w:space="0" w:color="000000"/>
            </w:tcBorders>
          </w:tcPr>
          <w:p>
            <w:pPr>
              <w:pStyle w:val="TableParagraph"/>
              <w:spacing w:line="273" w:lineRule="auto"/>
              <w:ind w:left="4" w:right="100"/>
              <w:jc w:val="left"/>
              <w:rPr>
                <w:rFonts w:ascii="宋体" w:hAnsi="宋体" w:cs="宋体" w:eastAsia="宋体" w:hint="default"/>
                <w:sz w:val="21"/>
                <w:szCs w:val="21"/>
              </w:rPr>
            </w:pPr>
            <w:r>
              <w:rPr>
                <w:rFonts w:ascii="宋体" w:hAnsi="宋体" w:cs="宋体" w:eastAsia="宋体" w:hint="default"/>
                <w:sz w:val="21"/>
                <w:szCs w:val="21"/>
              </w:rPr>
              <w:t>与本公司日常活动相关的政府补助，计 入其他收益，不再计入营业外收入</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 w:right="0"/>
              <w:jc w:val="left"/>
              <w:rPr>
                <w:rFonts w:ascii="宋体" w:hAnsi="宋体" w:cs="宋体" w:eastAsia="宋体" w:hint="default"/>
                <w:sz w:val="21"/>
                <w:szCs w:val="21"/>
              </w:rPr>
            </w:pPr>
            <w:r>
              <w:rPr>
                <w:rFonts w:ascii="宋体" w:hAnsi="宋体" w:cs="宋体" w:eastAsia="宋体" w:hint="default"/>
                <w:sz w:val="21"/>
                <w:szCs w:val="21"/>
              </w:rPr>
              <w:t>其他收益</w:t>
            </w:r>
          </w:p>
        </w:tc>
        <w:tc>
          <w:tcPr>
            <w:tcW w:w="2552"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253" w:right="0"/>
              <w:jc w:val="left"/>
              <w:rPr>
                <w:rFonts w:ascii="宋体" w:hAnsi="宋体" w:cs="宋体" w:eastAsia="宋体" w:hint="default"/>
                <w:sz w:val="21"/>
                <w:szCs w:val="21"/>
              </w:rPr>
            </w:pPr>
            <w:r>
              <w:rPr>
                <w:rFonts w:ascii="宋体"/>
                <w:sz w:val="21"/>
              </w:rPr>
              <w:t>+28,561,151.98</w:t>
            </w:r>
          </w:p>
        </w:tc>
      </w:tr>
      <w:tr>
        <w:trPr>
          <w:trHeight w:val="343" w:hRule="exact"/>
        </w:trPr>
        <w:tc>
          <w:tcPr>
            <w:tcW w:w="3687" w:type="dxa"/>
            <w:vMerge/>
            <w:tcBorders>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 w:right="0"/>
              <w:jc w:val="left"/>
              <w:rPr>
                <w:rFonts w:ascii="宋体" w:hAnsi="宋体" w:cs="宋体" w:eastAsia="宋体" w:hint="default"/>
                <w:sz w:val="21"/>
                <w:szCs w:val="21"/>
              </w:rPr>
            </w:pPr>
            <w:r>
              <w:rPr>
                <w:rFonts w:ascii="宋体" w:hAnsi="宋体" w:cs="宋体" w:eastAsia="宋体" w:hint="default"/>
                <w:sz w:val="21"/>
                <w:szCs w:val="21"/>
              </w:rPr>
              <w:t>营业外收入</w:t>
            </w:r>
          </w:p>
        </w:tc>
        <w:tc>
          <w:tcPr>
            <w:tcW w:w="2552"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253" w:right="0"/>
              <w:jc w:val="left"/>
              <w:rPr>
                <w:rFonts w:ascii="宋体" w:hAnsi="宋体" w:cs="宋体" w:eastAsia="宋体" w:hint="default"/>
                <w:sz w:val="21"/>
                <w:szCs w:val="21"/>
              </w:rPr>
            </w:pPr>
            <w:r>
              <w:rPr>
                <w:rFonts w:ascii="宋体"/>
                <w:sz w:val="21"/>
              </w:rPr>
              <w:t>-28,561,151.98</w:t>
            </w:r>
          </w:p>
        </w:tc>
      </w:tr>
    </w:tbl>
    <w:p>
      <w:pPr>
        <w:spacing w:line="240" w:lineRule="auto" w:before="10"/>
        <w:rPr>
          <w:rFonts w:ascii="宋体" w:hAnsi="宋体" w:cs="宋体" w:eastAsia="宋体" w:hint="default"/>
          <w:sz w:val="4"/>
          <w:szCs w:val="4"/>
        </w:rPr>
      </w:pPr>
    </w:p>
    <w:p>
      <w:pPr>
        <w:pStyle w:val="BodyText"/>
        <w:spacing w:line="350" w:lineRule="auto" w:before="26"/>
        <w:ind w:right="1131" w:firstLine="480"/>
        <w:jc w:val="both"/>
      </w:pPr>
      <w:r>
        <w:rPr>
          <w:rFonts w:ascii="宋体" w:hAnsi="宋体" w:cs="宋体" w:eastAsia="宋体" w:hint="default"/>
          <w:spacing w:val="-2"/>
        </w:rPr>
        <w:t>2017</w:t>
      </w:r>
      <w:r>
        <w:rPr>
          <w:spacing w:val="-2"/>
        </w:rPr>
        <w:t>年</w:t>
      </w:r>
      <w:r>
        <w:rPr>
          <w:rFonts w:ascii="宋体" w:hAnsi="宋体" w:cs="宋体" w:eastAsia="宋体" w:hint="default"/>
          <w:spacing w:val="-2"/>
        </w:rPr>
        <w:t>4</w:t>
      </w:r>
      <w:r>
        <w:rPr>
          <w:spacing w:val="-2"/>
        </w:rPr>
        <w:t>月</w:t>
      </w:r>
      <w:r>
        <w:rPr>
          <w:rFonts w:ascii="宋体" w:hAnsi="宋体" w:cs="宋体" w:eastAsia="宋体" w:hint="default"/>
          <w:spacing w:val="-2"/>
        </w:rPr>
        <w:t>28</w:t>
      </w:r>
      <w:r>
        <w:rPr>
          <w:spacing w:val="-2"/>
        </w:rPr>
        <w:t>日，财政部发布了《企业会计准则第</w:t>
      </w:r>
      <w:r>
        <w:rPr>
          <w:rFonts w:ascii="宋体" w:hAnsi="宋体" w:cs="宋体" w:eastAsia="宋体" w:hint="default"/>
          <w:spacing w:val="-2"/>
        </w:rPr>
        <w:t>42</w:t>
      </w:r>
      <w:r>
        <w:rPr>
          <w:spacing w:val="-2"/>
        </w:rPr>
        <w:t>号——持有待售的非流动资产、处置</w:t>
      </w:r>
      <w:r>
        <w:rPr/>
        <w:t> </w:t>
      </w:r>
      <w:r>
        <w:rPr>
          <w:spacing w:val="-2"/>
        </w:rPr>
        <w:t>组和终止经营》，该准则自</w:t>
      </w:r>
      <w:r>
        <w:rPr>
          <w:rFonts w:ascii="宋体" w:hAnsi="宋体" w:cs="宋体" w:eastAsia="宋体" w:hint="default"/>
          <w:spacing w:val="-2"/>
        </w:rPr>
        <w:t>2017</w:t>
      </w:r>
      <w:r>
        <w:rPr>
          <w:spacing w:val="-2"/>
        </w:rPr>
        <w:t>年</w:t>
      </w:r>
      <w:r>
        <w:rPr>
          <w:rFonts w:ascii="宋体" w:hAnsi="宋体" w:cs="宋体" w:eastAsia="宋体" w:hint="default"/>
          <w:spacing w:val="-2"/>
        </w:rPr>
        <w:t>5</w:t>
      </w:r>
      <w:r>
        <w:rPr>
          <w:spacing w:val="-2"/>
        </w:rPr>
        <w:t>月</w:t>
      </w:r>
      <w:r>
        <w:rPr>
          <w:rFonts w:ascii="宋体" w:hAnsi="宋体" w:cs="宋体" w:eastAsia="宋体" w:hint="default"/>
          <w:spacing w:val="-2"/>
        </w:rPr>
        <w:t>28</w:t>
      </w:r>
      <w:r>
        <w:rPr>
          <w:spacing w:val="-2"/>
        </w:rPr>
        <w:t>日起施行。本公司根据该准则及财政部《关于修订印</w:t>
      </w:r>
      <w:r>
        <w:rPr>
          <w:spacing w:val="-116"/>
        </w:rPr>
        <w:t> </w:t>
      </w:r>
      <w:r>
        <w:rPr>
          <w:spacing w:val="-116"/>
        </w:rPr>
      </w:r>
      <w:r>
        <w:rPr/>
        <w:t>发一般企业财务报表格式的通知》（财会〔</w:t>
      </w:r>
      <w:r>
        <w:rPr>
          <w:rFonts w:ascii="宋体" w:hAnsi="宋体" w:cs="宋体" w:eastAsia="宋体" w:hint="default"/>
        </w:rPr>
        <w:t>2017</w:t>
      </w:r>
      <w:r>
        <w:rPr/>
        <w:t>〕</w:t>
      </w:r>
      <w:r>
        <w:rPr>
          <w:rFonts w:ascii="宋体" w:hAnsi="宋体" w:cs="宋体" w:eastAsia="宋体" w:hint="default"/>
        </w:rPr>
        <w:t>30</w:t>
      </w:r>
      <w:r>
        <w:rPr/>
        <w:t>号的规定，在利润表中新增了“资产处 置收益”项目，并对净利润按经营持续性进行分类列报。本公司按照《企业会计准则第</w:t>
      </w:r>
      <w:r>
        <w:rPr>
          <w:rFonts w:ascii="宋体" w:hAnsi="宋体" w:cs="宋体" w:eastAsia="宋体" w:hint="default"/>
        </w:rPr>
        <w:t>30</w:t>
      </w:r>
      <w:r>
        <w:rPr/>
        <w:t>号</w:t>
      </w:r>
    </w:p>
    <w:p>
      <w:pPr>
        <w:pStyle w:val="BodyText"/>
        <w:spacing w:line="350" w:lineRule="auto" w:before="35"/>
        <w:ind w:left="633" w:right="3313" w:hanging="480"/>
        <w:jc w:val="left"/>
      </w:pPr>
      <w:r>
        <w:rPr/>
        <w:pict>
          <v:shape style="position:absolute;margin-left:56.459999pt;margin-top:43.36562pt;width:447.4pt;height:68.9pt;mso-position-horizontal-relative:page;mso-position-vertical-relative:paragraph;z-index:191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402"/>
                    <w:gridCol w:w="3119"/>
                    <w:gridCol w:w="2411"/>
                  </w:tblGrid>
                  <w:tr>
                    <w:trPr>
                      <w:trHeight w:val="342"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4" w:right="0"/>
                          <w:jc w:val="left"/>
                          <w:rPr>
                            <w:rFonts w:ascii="宋体" w:hAnsi="宋体" w:cs="宋体" w:eastAsia="宋体" w:hint="default"/>
                            <w:sz w:val="21"/>
                            <w:szCs w:val="21"/>
                          </w:rPr>
                        </w:pPr>
                        <w:r>
                          <w:rPr>
                            <w:rFonts w:ascii="宋体" w:hAnsi="宋体" w:cs="宋体" w:eastAsia="宋体" w:hint="default"/>
                            <w:sz w:val="21"/>
                            <w:szCs w:val="21"/>
                          </w:rPr>
                          <w:t>利润表影响项目</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0"/>
                          <w:jc w:val="center"/>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z w:val="21"/>
                            <w:szCs w:val="21"/>
                          </w:rPr>
                          <w:t>年度影响金额</w:t>
                        </w:r>
                        <w:r>
                          <w:rPr>
                            <w:rFonts w:ascii="宋体" w:hAnsi="宋体" w:cs="宋体" w:eastAsia="宋体" w:hint="default"/>
                            <w:sz w:val="21"/>
                            <w:szCs w:val="21"/>
                          </w:rPr>
                          <w:t>(</w:t>
                        </w:r>
                        <w:r>
                          <w:rPr>
                            <w:rFonts w:ascii="宋体" w:hAnsi="宋体" w:cs="宋体" w:eastAsia="宋体" w:hint="default"/>
                            <w:sz w:val="21"/>
                            <w:szCs w:val="21"/>
                          </w:rPr>
                          <w:t>元）</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1" w:right="0"/>
                          <w:jc w:val="center"/>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z w:val="21"/>
                            <w:szCs w:val="21"/>
                          </w:rPr>
                          <w:t>年度调整金额</w:t>
                        </w:r>
                        <w:r>
                          <w:rPr>
                            <w:rFonts w:ascii="宋体" w:hAnsi="宋体" w:cs="宋体" w:eastAsia="宋体" w:hint="default"/>
                            <w:sz w:val="21"/>
                            <w:szCs w:val="21"/>
                          </w:rPr>
                          <w:t>(</w:t>
                        </w:r>
                        <w:r>
                          <w:rPr>
                            <w:rFonts w:ascii="宋体" w:hAnsi="宋体" w:cs="宋体" w:eastAsia="宋体" w:hint="default"/>
                            <w:sz w:val="21"/>
                            <w:szCs w:val="21"/>
                          </w:rPr>
                          <w:t>元）</w:t>
                        </w:r>
                      </w:p>
                    </w:tc>
                  </w:tr>
                  <w:tr>
                    <w:trPr>
                      <w:trHeight w:val="342"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4" w:right="0"/>
                          <w:jc w:val="left"/>
                          <w:rPr>
                            <w:rFonts w:ascii="宋体" w:hAnsi="宋体" w:cs="宋体" w:eastAsia="宋体" w:hint="default"/>
                            <w:sz w:val="21"/>
                            <w:szCs w:val="21"/>
                          </w:rPr>
                        </w:pPr>
                        <w:r>
                          <w:rPr>
                            <w:rFonts w:ascii="宋体" w:hAnsi="宋体" w:cs="宋体" w:eastAsia="宋体" w:hint="default"/>
                            <w:sz w:val="21"/>
                            <w:szCs w:val="21"/>
                          </w:rPr>
                          <w:t>资产处置收益</w:t>
                        </w:r>
                      </w:p>
                    </w:tc>
                    <w:tc>
                      <w:tcPr>
                        <w:tcW w:w="3119" w:type="dxa"/>
                        <w:tcBorders>
                          <w:top w:val="single" w:sz="4" w:space="0" w:color="000000"/>
                          <w:left w:val="single" w:sz="4" w:space="0" w:color="000000"/>
                          <w:bottom w:val="single" w:sz="4" w:space="0" w:color="000000"/>
                          <w:right w:val="single" w:sz="4" w:space="0" w:color="000000"/>
                        </w:tcBorders>
                      </w:tcPr>
                      <w:p>
                        <w:pP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1" w:right="0"/>
                          <w:jc w:val="center"/>
                          <w:rPr>
                            <w:rFonts w:ascii="宋体" w:hAnsi="宋体" w:cs="宋体" w:eastAsia="宋体" w:hint="default"/>
                            <w:sz w:val="21"/>
                            <w:szCs w:val="21"/>
                          </w:rPr>
                        </w:pPr>
                        <w:r>
                          <w:rPr>
                            <w:rFonts w:ascii="宋体"/>
                            <w:sz w:val="21"/>
                          </w:rPr>
                          <w:t>75,639.04</w:t>
                        </w:r>
                      </w:p>
                    </w:tc>
                  </w:tr>
                  <w:tr>
                    <w:trPr>
                      <w:trHeight w:val="342"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4" w:right="0"/>
                          <w:jc w:val="left"/>
                          <w:rPr>
                            <w:rFonts w:ascii="宋体" w:hAnsi="宋体" w:cs="宋体" w:eastAsia="宋体" w:hint="default"/>
                            <w:sz w:val="21"/>
                            <w:szCs w:val="21"/>
                          </w:rPr>
                        </w:pPr>
                        <w:r>
                          <w:rPr>
                            <w:rFonts w:ascii="宋体" w:hAnsi="宋体" w:cs="宋体" w:eastAsia="宋体" w:hint="default"/>
                            <w:sz w:val="21"/>
                            <w:szCs w:val="21"/>
                          </w:rPr>
                          <w:t>营业外收入</w:t>
                        </w:r>
                      </w:p>
                    </w:tc>
                    <w:tc>
                      <w:tcPr>
                        <w:tcW w:w="3119" w:type="dxa"/>
                        <w:tcBorders>
                          <w:top w:val="single" w:sz="4" w:space="0" w:color="000000"/>
                          <w:left w:val="single" w:sz="4" w:space="0" w:color="000000"/>
                          <w:bottom w:val="single" w:sz="4" w:space="0" w:color="000000"/>
                          <w:right w:val="single" w:sz="4" w:space="0" w:color="000000"/>
                        </w:tcBorders>
                      </w:tcPr>
                      <w:p>
                        <w:pP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1" w:right="0"/>
                          <w:jc w:val="center"/>
                          <w:rPr>
                            <w:rFonts w:ascii="宋体" w:hAnsi="宋体" w:cs="宋体" w:eastAsia="宋体" w:hint="default"/>
                            <w:sz w:val="21"/>
                            <w:szCs w:val="21"/>
                          </w:rPr>
                        </w:pPr>
                        <w:r>
                          <w:rPr>
                            <w:rFonts w:ascii="宋体"/>
                            <w:sz w:val="21"/>
                          </w:rPr>
                          <w:t>-75,639.04</w:t>
                        </w:r>
                      </w:p>
                    </w:tc>
                  </w:tr>
                  <w:tr>
                    <w:trPr>
                      <w:trHeight w:val="342"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4" w:right="0"/>
                          <w:jc w:val="left"/>
                          <w:rPr>
                            <w:rFonts w:ascii="宋体" w:hAnsi="宋体" w:cs="宋体" w:eastAsia="宋体" w:hint="default"/>
                            <w:sz w:val="21"/>
                            <w:szCs w:val="21"/>
                          </w:rPr>
                        </w:pPr>
                        <w:r>
                          <w:rPr>
                            <w:rFonts w:ascii="宋体" w:hAnsi="宋体" w:cs="宋体" w:eastAsia="宋体" w:hint="default"/>
                            <w:sz w:val="21"/>
                            <w:szCs w:val="21"/>
                          </w:rPr>
                          <w:t>对利润表整体影响</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1"/>
                          <w:jc w:val="center"/>
                          <w:rPr>
                            <w:rFonts w:ascii="宋体" w:hAnsi="宋体" w:cs="宋体" w:eastAsia="宋体" w:hint="default"/>
                            <w:sz w:val="21"/>
                            <w:szCs w:val="21"/>
                          </w:rPr>
                        </w:pPr>
                        <w:r>
                          <w:rPr>
                            <w:rFonts w:ascii="宋体" w:hAnsi="宋体" w:cs="宋体" w:eastAsia="宋体" w:hint="default"/>
                            <w:sz w:val="21"/>
                            <w:szCs w:val="21"/>
                          </w:rPr>
                          <w:t>无影响</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0"/>
                          <w:jc w:val="center"/>
                          <w:rPr>
                            <w:rFonts w:ascii="宋体" w:hAnsi="宋体" w:cs="宋体" w:eastAsia="宋体" w:hint="default"/>
                            <w:sz w:val="21"/>
                            <w:szCs w:val="21"/>
                          </w:rPr>
                        </w:pPr>
                        <w:r>
                          <w:rPr>
                            <w:rFonts w:ascii="宋体" w:hAnsi="宋体" w:cs="宋体" w:eastAsia="宋体" w:hint="default"/>
                            <w:sz w:val="21"/>
                            <w:szCs w:val="21"/>
                          </w:rPr>
                          <w:t>无影响</w:t>
                        </w:r>
                      </w:p>
                    </w:tc>
                  </w:tr>
                </w:tbl>
                <w:p>
                  <w:pPr/>
                </w:p>
              </w:txbxContent>
            </v:textbox>
            <w10:wrap type="none"/>
          </v:shape>
        </w:pict>
      </w:r>
      <w:r>
        <w:rPr/>
        <w:t>——财务报表列报》等的相关规定，对可比期间的比较数据进行调整。 本公司执行上述准则的主要影响如下：</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6"/>
          <w:szCs w:val="26"/>
        </w:rPr>
      </w:pPr>
    </w:p>
    <w:p>
      <w:pPr>
        <w:pStyle w:val="Heading2"/>
        <w:spacing w:line="240" w:lineRule="auto"/>
        <w:ind w:right="996"/>
        <w:jc w:val="left"/>
        <w:rPr>
          <w:b w:val="0"/>
          <w:bCs w:val="0"/>
        </w:rPr>
      </w:pPr>
      <w:bookmarkStart w:name="（2）重要会计估计变更" w:id="241"/>
      <w:bookmarkEnd w:id="241"/>
      <w:r>
        <w:rPr>
          <w:b w:val="0"/>
          <w:bCs w:val="0"/>
        </w:rPr>
      </w:r>
      <w:r>
        <w:rPr/>
        <w:t>（</w:t>
      </w:r>
      <w:r>
        <w:rPr>
          <w:rFonts w:ascii="宋体" w:hAnsi="宋体" w:cs="宋体" w:eastAsia="宋体" w:hint="default"/>
        </w:rPr>
        <w:t>2</w:t>
      </w:r>
      <w:r>
        <w:rPr/>
        <w:t>）重要会计估计变更</w:t>
      </w:r>
      <w:r>
        <w:rPr>
          <w:b w:val="0"/>
          <w:bCs w:val="0"/>
        </w:rPr>
      </w:r>
    </w:p>
    <w:p>
      <w:pPr>
        <w:pStyle w:val="BodyText"/>
        <w:spacing w:line="240" w:lineRule="auto" w:before="145"/>
        <w:ind w:left="633" w:right="996"/>
        <w:jc w:val="left"/>
      </w:pPr>
      <w:r>
        <w:rPr/>
        <w:t>□ 适用 √ 不适用</w:t>
      </w:r>
    </w:p>
    <w:p>
      <w:pPr>
        <w:spacing w:after="0" w:line="240" w:lineRule="auto"/>
        <w:jc w:val="left"/>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spacing w:before="35"/>
        <w:ind w:left="153" w:right="996" w:firstLine="0"/>
        <w:jc w:val="left"/>
        <w:rPr>
          <w:rFonts w:ascii="宋体" w:hAnsi="宋体" w:cs="宋体" w:eastAsia="宋体" w:hint="default"/>
          <w:sz w:val="21"/>
          <w:szCs w:val="21"/>
        </w:rPr>
      </w:pPr>
      <w:bookmarkStart w:name="34、其他" w:id="242"/>
      <w:bookmarkEnd w:id="242"/>
      <w:r>
        <w:rPr/>
      </w:r>
      <w:r>
        <w:rPr>
          <w:rFonts w:ascii="宋体" w:hAnsi="宋体" w:cs="宋体" w:eastAsia="宋体" w:hint="default"/>
          <w:b/>
          <w:bCs/>
          <w:sz w:val="21"/>
          <w:szCs w:val="21"/>
        </w:rPr>
        <w:t>34</w:t>
      </w:r>
      <w:r>
        <w:rPr>
          <w:rFonts w:ascii="宋体" w:hAnsi="宋体" w:cs="宋体" w:eastAsia="宋体" w:hint="default"/>
          <w:b/>
          <w:bCs/>
          <w:sz w:val="21"/>
          <w:szCs w:val="21"/>
        </w:rPr>
        <w:t>、其他</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484" w:lineRule="auto" w:before="178"/>
        <w:ind w:left="153" w:right="9789" w:firstLine="480"/>
        <w:jc w:val="left"/>
        <w:rPr>
          <w:rFonts w:ascii="宋体" w:hAnsi="宋体" w:cs="宋体" w:eastAsia="宋体" w:hint="default"/>
          <w:sz w:val="24"/>
          <w:szCs w:val="24"/>
        </w:rPr>
      </w:pPr>
      <w:r>
        <w:rPr>
          <w:rFonts w:ascii="宋体" w:hAnsi="宋体" w:cs="宋体" w:eastAsia="宋体" w:hint="default"/>
          <w:sz w:val="24"/>
          <w:szCs w:val="24"/>
        </w:rPr>
        <w:t>无 </w:t>
      </w:r>
      <w:bookmarkStart w:name="六、税项" w:id="243"/>
      <w:bookmarkEnd w:id="243"/>
      <w:r>
        <w:rPr>
          <w:rFonts w:ascii="宋体" w:hAnsi="宋体" w:cs="宋体" w:eastAsia="宋体" w:hint="default"/>
          <w:sz w:val="24"/>
          <w:szCs w:val="24"/>
        </w:rPr>
      </w:r>
      <w:r>
        <w:rPr>
          <w:rFonts w:ascii="宋体" w:hAnsi="宋体" w:cs="宋体" w:eastAsia="宋体" w:hint="default"/>
          <w:b/>
          <w:bCs/>
          <w:sz w:val="24"/>
          <w:szCs w:val="24"/>
        </w:rPr>
        <w:t>六、税项</w:t>
      </w:r>
      <w:r>
        <w:rPr>
          <w:rFonts w:ascii="宋体" w:hAnsi="宋体" w:cs="宋体" w:eastAsia="宋体" w:hint="default"/>
          <w:sz w:val="24"/>
          <w:szCs w:val="24"/>
        </w:rPr>
      </w:r>
    </w:p>
    <w:p>
      <w:pPr>
        <w:pStyle w:val="Heading2"/>
        <w:spacing w:line="240" w:lineRule="auto" w:before="179"/>
        <w:ind w:right="996"/>
        <w:jc w:val="left"/>
        <w:rPr>
          <w:b w:val="0"/>
          <w:bCs w:val="0"/>
        </w:rPr>
      </w:pPr>
      <w:bookmarkStart w:name="1、主要税种及税率" w:id="244"/>
      <w:bookmarkEnd w:id="244"/>
      <w:r>
        <w:rPr>
          <w:b w:val="0"/>
          <w:bCs w:val="0"/>
        </w:rPr>
      </w:r>
      <w:r>
        <w:rPr>
          <w:rFonts w:ascii="宋体" w:hAnsi="宋体" w:cs="宋体" w:eastAsia="宋体" w:hint="default"/>
        </w:rPr>
        <w:t>1</w:t>
      </w:r>
      <w:r>
        <w:rPr/>
        <w:t>、主要税种及税率</w:t>
      </w:r>
      <w:r>
        <w:rPr>
          <w:b w:val="0"/>
          <w:bCs w:val="0"/>
        </w:rPr>
      </w:r>
    </w:p>
    <w:p>
      <w:pPr>
        <w:spacing w:line="240" w:lineRule="auto" w:before="5"/>
        <w:rPr>
          <w:rFonts w:ascii="宋体" w:hAnsi="宋体" w:cs="宋体" w:eastAsia="宋体" w:hint="default"/>
          <w:b/>
          <w:bCs/>
          <w:sz w:val="16"/>
          <w:szCs w:val="16"/>
        </w:rPr>
      </w:pPr>
    </w:p>
    <w:tbl>
      <w:tblPr>
        <w:tblW w:w="0" w:type="auto"/>
        <w:jc w:val="left"/>
        <w:tblInd w:w="182" w:type="dxa"/>
        <w:tblLayout w:type="fixed"/>
        <w:tblCellMar>
          <w:top w:w="0" w:type="dxa"/>
          <w:left w:w="0" w:type="dxa"/>
          <w:bottom w:w="0" w:type="dxa"/>
          <w:right w:w="0" w:type="dxa"/>
        </w:tblCellMar>
        <w:tblLook w:val="01E0"/>
      </w:tblPr>
      <w:tblGrid>
        <w:gridCol w:w="2268"/>
        <w:gridCol w:w="5389"/>
        <w:gridCol w:w="1914"/>
      </w:tblGrid>
      <w:tr>
        <w:trPr>
          <w:trHeight w:val="402"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税种</w:t>
            </w:r>
          </w:p>
        </w:tc>
        <w:tc>
          <w:tcPr>
            <w:tcW w:w="5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计税依据</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税率</w:t>
            </w: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4" w:right="0"/>
              <w:jc w:val="left"/>
              <w:rPr>
                <w:rFonts w:ascii="宋体" w:hAnsi="宋体" w:cs="宋体" w:eastAsia="宋体" w:hint="default"/>
                <w:sz w:val="21"/>
                <w:szCs w:val="21"/>
              </w:rPr>
            </w:pPr>
            <w:r>
              <w:rPr>
                <w:rFonts w:ascii="宋体" w:hAnsi="宋体" w:cs="宋体" w:eastAsia="宋体" w:hint="default"/>
                <w:sz w:val="21"/>
                <w:szCs w:val="21"/>
              </w:rPr>
              <w:t>增值税</w:t>
            </w:r>
          </w:p>
        </w:tc>
        <w:tc>
          <w:tcPr>
            <w:tcW w:w="538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left="12" w:right="0"/>
              <w:jc w:val="left"/>
              <w:rPr>
                <w:rFonts w:ascii="宋体" w:hAnsi="宋体" w:cs="宋体" w:eastAsia="宋体" w:hint="default"/>
                <w:sz w:val="21"/>
                <w:szCs w:val="21"/>
              </w:rPr>
            </w:pPr>
            <w:r>
              <w:rPr>
                <w:rFonts w:ascii="宋体" w:hAnsi="宋体" w:cs="宋体" w:eastAsia="宋体" w:hint="default"/>
                <w:sz w:val="21"/>
                <w:szCs w:val="21"/>
              </w:rPr>
              <w:t>销售货物、应税销售服务收入、无形资产或者不动产</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17%</w:t>
            </w:r>
            <w:r>
              <w:rPr>
                <w:rFonts w:ascii="宋体" w:hAnsi="宋体" w:cs="宋体" w:eastAsia="宋体" w:hint="default"/>
                <w:sz w:val="21"/>
                <w:szCs w:val="21"/>
              </w:rPr>
              <w:t>和</w:t>
            </w:r>
            <w:r>
              <w:rPr>
                <w:rFonts w:ascii="宋体" w:hAnsi="宋体" w:cs="宋体" w:eastAsia="宋体" w:hint="default"/>
                <w:spacing w:val="-55"/>
                <w:sz w:val="21"/>
                <w:szCs w:val="21"/>
              </w:rPr>
              <w:t> </w:t>
            </w:r>
            <w:r>
              <w:rPr>
                <w:rFonts w:ascii="宋体" w:hAnsi="宋体" w:cs="宋体" w:eastAsia="宋体" w:hint="default"/>
                <w:sz w:val="21"/>
                <w:szCs w:val="21"/>
              </w:rPr>
              <w:t>6%</w:t>
            </w: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4"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538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left="12" w:right="0"/>
              <w:jc w:val="left"/>
              <w:rPr>
                <w:rFonts w:ascii="宋体" w:hAnsi="宋体" w:cs="宋体" w:eastAsia="宋体" w:hint="default"/>
                <w:sz w:val="21"/>
                <w:szCs w:val="21"/>
              </w:rPr>
            </w:pPr>
            <w:r>
              <w:rPr>
                <w:rFonts w:ascii="宋体" w:hAnsi="宋体" w:cs="宋体" w:eastAsia="宋体" w:hint="default"/>
                <w:sz w:val="21"/>
                <w:szCs w:val="21"/>
              </w:rPr>
              <w:t>应交流转税额</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sz w:val="21"/>
              </w:rPr>
              <w:t>7%</w:t>
            </w: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4" w:right="0"/>
              <w:jc w:val="left"/>
              <w:rPr>
                <w:rFonts w:ascii="宋体" w:hAnsi="宋体" w:cs="宋体" w:eastAsia="宋体" w:hint="default"/>
                <w:sz w:val="21"/>
                <w:szCs w:val="21"/>
              </w:rPr>
            </w:pPr>
            <w:r>
              <w:rPr>
                <w:rFonts w:ascii="宋体" w:hAnsi="宋体" w:cs="宋体" w:eastAsia="宋体" w:hint="default"/>
                <w:sz w:val="21"/>
                <w:szCs w:val="21"/>
              </w:rPr>
              <w:t>企业所得税</w:t>
            </w:r>
          </w:p>
        </w:tc>
        <w:tc>
          <w:tcPr>
            <w:tcW w:w="538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left="12" w:right="0"/>
              <w:jc w:val="left"/>
              <w:rPr>
                <w:rFonts w:ascii="宋体" w:hAnsi="宋体" w:cs="宋体" w:eastAsia="宋体" w:hint="default"/>
                <w:sz w:val="21"/>
                <w:szCs w:val="21"/>
              </w:rPr>
            </w:pPr>
            <w:r>
              <w:rPr>
                <w:rFonts w:ascii="宋体" w:hAnsi="宋体" w:cs="宋体" w:eastAsia="宋体" w:hint="default"/>
                <w:sz w:val="21"/>
                <w:szCs w:val="21"/>
              </w:rPr>
              <w:t>应纳税所得额</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参见下表</w:t>
            </w: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26"/>
              <w:ind w:left="24"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5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3" w:right="0"/>
              <w:jc w:val="left"/>
              <w:rPr>
                <w:rFonts w:ascii="宋体" w:hAnsi="宋体" w:cs="宋体" w:eastAsia="宋体" w:hint="default"/>
                <w:sz w:val="21"/>
                <w:szCs w:val="21"/>
              </w:rPr>
            </w:pPr>
            <w:r>
              <w:rPr>
                <w:rFonts w:ascii="宋体" w:hAnsi="宋体" w:cs="宋体" w:eastAsia="宋体" w:hint="default"/>
                <w:sz w:val="21"/>
                <w:szCs w:val="21"/>
              </w:rPr>
              <w:t>应交流转税额</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sz w:val="21"/>
              </w:rPr>
              <w:t>3%</w:t>
            </w: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26"/>
              <w:ind w:left="24" w:right="0"/>
              <w:jc w:val="left"/>
              <w:rPr>
                <w:rFonts w:ascii="宋体" w:hAnsi="宋体" w:cs="宋体" w:eastAsia="宋体" w:hint="default"/>
                <w:sz w:val="21"/>
                <w:szCs w:val="21"/>
              </w:rPr>
            </w:pPr>
            <w:r>
              <w:rPr>
                <w:rFonts w:ascii="宋体" w:hAnsi="宋体" w:cs="宋体" w:eastAsia="宋体" w:hint="default"/>
                <w:sz w:val="21"/>
                <w:szCs w:val="21"/>
              </w:rPr>
              <w:t>地方教育费附加</w:t>
            </w:r>
          </w:p>
        </w:tc>
        <w:tc>
          <w:tcPr>
            <w:tcW w:w="5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3" w:right="0"/>
              <w:jc w:val="left"/>
              <w:rPr>
                <w:rFonts w:ascii="宋体" w:hAnsi="宋体" w:cs="宋体" w:eastAsia="宋体" w:hint="default"/>
                <w:sz w:val="21"/>
                <w:szCs w:val="21"/>
              </w:rPr>
            </w:pPr>
            <w:r>
              <w:rPr>
                <w:rFonts w:ascii="宋体" w:hAnsi="宋体" w:cs="宋体" w:eastAsia="宋体" w:hint="default"/>
                <w:sz w:val="21"/>
                <w:szCs w:val="21"/>
              </w:rPr>
              <w:t>应交流转税额</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sz w:val="21"/>
              </w:rPr>
              <w:t>2%</w:t>
            </w: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26"/>
              <w:ind w:left="24" w:right="0"/>
              <w:jc w:val="left"/>
              <w:rPr>
                <w:rFonts w:ascii="宋体" w:hAnsi="宋体" w:cs="宋体" w:eastAsia="宋体" w:hint="default"/>
                <w:sz w:val="21"/>
                <w:szCs w:val="21"/>
              </w:rPr>
            </w:pPr>
            <w:r>
              <w:rPr>
                <w:rFonts w:ascii="宋体" w:hAnsi="宋体" w:cs="宋体" w:eastAsia="宋体" w:hint="default"/>
                <w:sz w:val="21"/>
                <w:szCs w:val="21"/>
              </w:rPr>
              <w:t>房产税</w:t>
            </w:r>
          </w:p>
        </w:tc>
        <w:tc>
          <w:tcPr>
            <w:tcW w:w="5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3" w:right="0"/>
              <w:jc w:val="left"/>
              <w:rPr>
                <w:rFonts w:ascii="宋体" w:hAnsi="宋体" w:cs="宋体" w:eastAsia="宋体" w:hint="default"/>
                <w:sz w:val="21"/>
                <w:szCs w:val="21"/>
              </w:rPr>
            </w:pPr>
            <w:r>
              <w:rPr>
                <w:rFonts w:ascii="宋体" w:hAnsi="宋体" w:cs="宋体" w:eastAsia="宋体" w:hint="default"/>
                <w:sz w:val="21"/>
                <w:szCs w:val="21"/>
              </w:rPr>
              <w:t>按照房产原值的</w:t>
            </w:r>
            <w:r>
              <w:rPr>
                <w:rFonts w:ascii="宋体" w:hAnsi="宋体" w:cs="宋体" w:eastAsia="宋体" w:hint="default"/>
                <w:spacing w:val="-54"/>
                <w:sz w:val="21"/>
                <w:szCs w:val="21"/>
              </w:rPr>
              <w:t> </w:t>
            </w:r>
            <w:r>
              <w:rPr>
                <w:rFonts w:ascii="宋体" w:hAnsi="宋体" w:cs="宋体" w:eastAsia="宋体" w:hint="default"/>
                <w:sz w:val="21"/>
                <w:szCs w:val="21"/>
              </w:rPr>
              <w:t>70%</w:t>
            </w:r>
            <w:r>
              <w:rPr>
                <w:rFonts w:ascii="宋体" w:hAnsi="宋体" w:cs="宋体" w:eastAsia="宋体" w:hint="default"/>
                <w:sz w:val="21"/>
                <w:szCs w:val="21"/>
              </w:rPr>
              <w:t>为纳税基准</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sz w:val="21"/>
              </w:rPr>
              <w:t>1.2%</w:t>
            </w:r>
          </w:p>
        </w:tc>
      </w:tr>
    </w:tbl>
    <w:p>
      <w:pPr>
        <w:spacing w:line="240" w:lineRule="auto" w:before="10"/>
        <w:rPr>
          <w:rFonts w:ascii="宋体" w:hAnsi="宋体" w:cs="宋体" w:eastAsia="宋体" w:hint="default"/>
          <w:b/>
          <w:bCs/>
          <w:sz w:val="4"/>
          <w:szCs w:val="4"/>
        </w:rPr>
      </w:pPr>
    </w:p>
    <w:p>
      <w:pPr>
        <w:pStyle w:val="BodyText"/>
        <w:spacing w:line="240" w:lineRule="auto" w:before="26"/>
        <w:ind w:left="634" w:right="996"/>
        <w:jc w:val="left"/>
      </w:pPr>
      <w:r>
        <w:rPr/>
        <w:t>存在不同企业所得税税率纳税主体的，披露情况说明</w:t>
      </w:r>
    </w:p>
    <w:p>
      <w:pPr>
        <w:spacing w:line="240" w:lineRule="auto" w:before="6"/>
        <w:rPr>
          <w:rFonts w:ascii="宋体" w:hAnsi="宋体" w:cs="宋体" w:eastAsia="宋体" w:hint="default"/>
          <w:sz w:val="4"/>
          <w:szCs w:val="4"/>
        </w:rPr>
      </w:pPr>
    </w:p>
    <w:tbl>
      <w:tblPr>
        <w:tblW w:w="0" w:type="auto"/>
        <w:jc w:val="left"/>
        <w:tblInd w:w="183" w:type="dxa"/>
        <w:tblLayout w:type="fixed"/>
        <w:tblCellMar>
          <w:top w:w="0" w:type="dxa"/>
          <w:left w:w="0" w:type="dxa"/>
          <w:bottom w:w="0" w:type="dxa"/>
          <w:right w:w="0" w:type="dxa"/>
        </w:tblCellMar>
        <w:tblLook w:val="01E0"/>
      </w:tblPr>
      <w:tblGrid>
        <w:gridCol w:w="7090"/>
        <w:gridCol w:w="2480"/>
      </w:tblGrid>
      <w:tr>
        <w:trPr>
          <w:trHeight w:val="401" w:hRule="exact"/>
        </w:trPr>
        <w:tc>
          <w:tcPr>
            <w:tcW w:w="70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纳税主体名称</w:t>
            </w:r>
          </w:p>
        </w:tc>
        <w:tc>
          <w:tcPr>
            <w:tcW w:w="24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709" w:right="0"/>
              <w:jc w:val="left"/>
              <w:rPr>
                <w:rFonts w:ascii="宋体" w:hAnsi="宋体" w:cs="宋体" w:eastAsia="宋体" w:hint="default"/>
                <w:sz w:val="21"/>
                <w:szCs w:val="21"/>
              </w:rPr>
            </w:pPr>
            <w:r>
              <w:rPr>
                <w:rFonts w:ascii="宋体" w:hAnsi="宋体" w:cs="宋体" w:eastAsia="宋体" w:hint="default"/>
                <w:sz w:val="21"/>
                <w:szCs w:val="21"/>
              </w:rPr>
              <w:t>所得税税率</w:t>
            </w:r>
          </w:p>
        </w:tc>
      </w:tr>
      <w:tr>
        <w:trPr>
          <w:trHeight w:val="402" w:hRule="exact"/>
        </w:trPr>
        <w:tc>
          <w:tcPr>
            <w:tcW w:w="7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河南辉煌科技股份有限公司</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sz w:val="21"/>
              </w:rPr>
              <w:t>15%</w:t>
            </w:r>
          </w:p>
        </w:tc>
      </w:tr>
      <w:tr>
        <w:trPr>
          <w:trHeight w:val="402" w:hRule="exact"/>
        </w:trPr>
        <w:tc>
          <w:tcPr>
            <w:tcW w:w="7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河南辉煌软件有限公司（简称：辉煌软件）</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sz w:val="21"/>
              </w:rPr>
              <w:t>15%</w:t>
            </w:r>
          </w:p>
        </w:tc>
      </w:tr>
      <w:tr>
        <w:trPr>
          <w:trHeight w:val="402" w:hRule="exact"/>
        </w:trPr>
        <w:tc>
          <w:tcPr>
            <w:tcW w:w="7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河南辉煌信通软件有限公司（简称：辉煌信通软件）</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sz w:val="21"/>
              </w:rPr>
              <w:t>25%</w:t>
            </w:r>
          </w:p>
        </w:tc>
      </w:tr>
      <w:tr>
        <w:trPr>
          <w:trHeight w:val="402" w:hRule="exact"/>
        </w:trPr>
        <w:tc>
          <w:tcPr>
            <w:tcW w:w="7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北京全路信通软件科技有限公司（简称：全路信通软件）</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sz w:val="21"/>
              </w:rPr>
              <w:t>25%</w:t>
            </w:r>
          </w:p>
        </w:tc>
      </w:tr>
      <w:tr>
        <w:trPr>
          <w:trHeight w:val="402" w:hRule="exact"/>
        </w:trPr>
        <w:tc>
          <w:tcPr>
            <w:tcW w:w="7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河南辉煌城轨科技有限公司（简称：城轨科技）</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sz w:val="21"/>
              </w:rPr>
              <w:t>25%</w:t>
            </w:r>
          </w:p>
        </w:tc>
      </w:tr>
      <w:tr>
        <w:trPr>
          <w:trHeight w:val="402" w:hRule="exact"/>
        </w:trPr>
        <w:tc>
          <w:tcPr>
            <w:tcW w:w="7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天津智信源科技有限公司（简称：智信源科技）</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sz w:val="21"/>
              </w:rPr>
              <w:t>25%</w:t>
            </w:r>
          </w:p>
        </w:tc>
      </w:tr>
      <w:tr>
        <w:trPr>
          <w:trHeight w:val="402" w:hRule="exact"/>
        </w:trPr>
        <w:tc>
          <w:tcPr>
            <w:tcW w:w="7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北京国铁路阳技术有限公司（简称：国铁路阳）</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sz w:val="21"/>
              </w:rPr>
              <w:t>15%</w:t>
            </w:r>
          </w:p>
        </w:tc>
      </w:tr>
      <w:tr>
        <w:trPr>
          <w:trHeight w:val="402" w:hRule="exact"/>
        </w:trPr>
        <w:tc>
          <w:tcPr>
            <w:tcW w:w="7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天津信通铁路电气技术有限公司（简称：天津信通）</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sz w:val="21"/>
              </w:rPr>
              <w:t>20%</w:t>
            </w:r>
          </w:p>
        </w:tc>
      </w:tr>
      <w:tr>
        <w:trPr>
          <w:trHeight w:val="402" w:hRule="exact"/>
        </w:trPr>
        <w:tc>
          <w:tcPr>
            <w:tcW w:w="7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北京国铁路阳软件有限公司（简称：路阳软件）</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sz w:val="21"/>
              </w:rPr>
              <w:t>25%</w:t>
            </w:r>
          </w:p>
        </w:tc>
      </w:tr>
      <w:tr>
        <w:trPr>
          <w:trHeight w:val="402" w:hRule="exact"/>
        </w:trPr>
        <w:tc>
          <w:tcPr>
            <w:tcW w:w="7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天津辉煌路阳科技有限公司（简称：辉煌路阳）</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sz w:val="21"/>
              </w:rPr>
              <w:t>15%</w:t>
            </w:r>
          </w:p>
        </w:tc>
      </w:tr>
      <w:tr>
        <w:trPr>
          <w:trHeight w:val="402" w:hRule="exact"/>
        </w:trPr>
        <w:tc>
          <w:tcPr>
            <w:tcW w:w="7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成都西南交大驱动技术有限责任公司（简称：交大驱动）</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sz w:val="21"/>
              </w:rPr>
              <w:t>15%</w:t>
            </w:r>
          </w:p>
        </w:tc>
      </w:tr>
      <w:tr>
        <w:trPr>
          <w:trHeight w:val="403" w:hRule="exact"/>
        </w:trPr>
        <w:tc>
          <w:tcPr>
            <w:tcW w:w="7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成都新一驱动科技有限责任公司（简称：新一驱动）</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sz w:val="21"/>
              </w:rPr>
              <w:t>25%</w:t>
            </w:r>
          </w:p>
        </w:tc>
      </w:tr>
    </w:tbl>
    <w:p>
      <w:pPr>
        <w:spacing w:line="240" w:lineRule="auto" w:before="10"/>
        <w:rPr>
          <w:rFonts w:ascii="宋体" w:hAnsi="宋体" w:cs="宋体" w:eastAsia="宋体" w:hint="default"/>
          <w:sz w:val="4"/>
          <w:szCs w:val="4"/>
        </w:rPr>
      </w:pPr>
    </w:p>
    <w:p>
      <w:pPr>
        <w:pStyle w:val="Heading2"/>
        <w:spacing w:line="240" w:lineRule="auto"/>
        <w:ind w:right="996"/>
        <w:jc w:val="left"/>
        <w:rPr>
          <w:b w:val="0"/>
          <w:bCs w:val="0"/>
        </w:rPr>
      </w:pPr>
      <w:bookmarkStart w:name="2、税收优惠" w:id="245"/>
      <w:bookmarkEnd w:id="245"/>
      <w:r>
        <w:rPr>
          <w:b w:val="0"/>
          <w:bCs w:val="0"/>
        </w:rPr>
      </w:r>
      <w:r>
        <w:rPr>
          <w:rFonts w:ascii="宋体" w:hAnsi="宋体" w:cs="宋体" w:eastAsia="宋体" w:hint="default"/>
        </w:rPr>
        <w:t>2</w:t>
      </w:r>
      <w:r>
        <w:rPr/>
        <w:t>、税收优惠</w:t>
      </w:r>
      <w:r>
        <w:rPr>
          <w:b w:val="0"/>
          <w:bCs w:val="0"/>
        </w:rPr>
      </w:r>
    </w:p>
    <w:p>
      <w:pPr>
        <w:spacing w:line="240" w:lineRule="auto" w:before="1"/>
        <w:rPr>
          <w:rFonts w:ascii="宋体" w:hAnsi="宋体" w:cs="宋体" w:eastAsia="宋体" w:hint="default"/>
          <w:b/>
          <w:bCs/>
          <w:sz w:val="23"/>
          <w:szCs w:val="23"/>
        </w:rPr>
      </w:pPr>
    </w:p>
    <w:p>
      <w:pPr>
        <w:pStyle w:val="BodyText"/>
        <w:spacing w:line="350" w:lineRule="auto" w:before="0"/>
        <w:ind w:right="1131" w:firstLine="480"/>
        <w:jc w:val="left"/>
      </w:pPr>
      <w:r>
        <w:rPr>
          <w:spacing w:val="-3"/>
        </w:rPr>
        <w:t>增值税：按应税销售收入适用</w:t>
      </w:r>
      <w:r>
        <w:rPr>
          <w:rFonts w:ascii="宋体" w:hAnsi="宋体" w:cs="宋体" w:eastAsia="宋体" w:hint="default"/>
          <w:spacing w:val="-3"/>
        </w:rPr>
        <w:t>17%</w:t>
      </w:r>
      <w:r>
        <w:rPr>
          <w:spacing w:val="-3"/>
        </w:rPr>
        <w:t>的销项税率，扣除可以抵扣的进项税后缴纳。①本公司</w:t>
      </w:r>
      <w:r>
        <w:rPr/>
        <w:t> 经河南省软件服务业协会评定为软件企业，取得编号为豫</w:t>
      </w:r>
      <w:r>
        <w:rPr>
          <w:rFonts w:ascii="宋体" w:hAnsi="宋体" w:cs="宋体" w:eastAsia="宋体" w:hint="default"/>
        </w:rPr>
        <w:t>RQ-2017-0133</w:t>
      </w:r>
      <w:r>
        <w:rPr/>
        <w:t>的软件企业认定证书</w:t>
      </w:r>
    </w:p>
    <w:p>
      <w:pPr>
        <w:pStyle w:val="BodyText"/>
        <w:spacing w:line="350" w:lineRule="auto"/>
        <w:ind w:right="1153" w:firstLine="420"/>
        <w:jc w:val="left"/>
      </w:pPr>
      <w:r>
        <w:rPr/>
        <w:t>；②辉煌软件由河南省软件服务业协会评定为软件企业，并取得编号为豫</w:t>
      </w:r>
      <w:r>
        <w:rPr>
          <w:rFonts w:ascii="宋体" w:hAnsi="宋体" w:cs="宋体" w:eastAsia="宋体" w:hint="default"/>
        </w:rPr>
        <w:t>RQ-2017-0330 </w:t>
      </w:r>
      <w:r>
        <w:rPr/>
        <w:t>的软件企业认定证书；③辉煌信通软件由河南省软件服务业协会评定为软件企业，并取得编</w:t>
      </w:r>
    </w:p>
    <w:p>
      <w:pPr>
        <w:spacing w:after="0" w:line="35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350" w:lineRule="auto" w:before="199"/>
        <w:ind w:right="1131"/>
        <w:jc w:val="both"/>
      </w:pPr>
      <w:r>
        <w:rPr/>
        <w:t>号为豫</w:t>
      </w:r>
      <w:r>
        <w:rPr>
          <w:rFonts w:ascii="宋体" w:hAnsi="宋体" w:cs="宋体" w:eastAsia="宋体" w:hint="default"/>
        </w:rPr>
        <w:t>RQ-2017-0329</w:t>
      </w:r>
      <w:r>
        <w:rPr/>
        <w:t>的软件企业认定证书；④辉煌城轨由河南省软件服务业协会评定为软件 企业，并取得编号为豫</w:t>
      </w:r>
      <w:r>
        <w:rPr>
          <w:rFonts w:ascii="宋体" w:hAnsi="宋体" w:cs="宋体" w:eastAsia="宋体" w:hint="default"/>
        </w:rPr>
        <w:t>RQ-2017-0357</w:t>
      </w:r>
      <w:r>
        <w:rPr/>
        <w:t>的软件企业认定证书；⑤全路信通软件由北京市经济和 </w:t>
      </w:r>
      <w:r>
        <w:rPr>
          <w:spacing w:val="-2"/>
        </w:rPr>
        <w:t>信息化委员会认定为软件企业，并取得编号为京</w:t>
      </w:r>
      <w:r>
        <w:rPr>
          <w:rFonts w:ascii="宋体" w:hAnsi="宋体" w:cs="宋体" w:eastAsia="宋体" w:hint="default"/>
          <w:spacing w:val="-2"/>
        </w:rPr>
        <w:t>R-2014-0617</w:t>
      </w:r>
      <w:r>
        <w:rPr>
          <w:spacing w:val="-2"/>
        </w:rPr>
        <w:t>的软件企业认定证书；以上公司</w:t>
      </w:r>
      <w:r>
        <w:rPr>
          <w:spacing w:val="-110"/>
        </w:rPr>
        <w:t> </w:t>
      </w:r>
      <w:r>
        <w:rPr>
          <w:spacing w:val="-110"/>
        </w:rPr>
      </w:r>
      <w:r>
        <w:rPr/>
        <w:t>根据国务院国发</w:t>
      </w:r>
      <w:r>
        <w:rPr>
          <w:rFonts w:ascii="宋体" w:hAnsi="宋体" w:cs="宋体" w:eastAsia="宋体" w:hint="default"/>
        </w:rPr>
        <w:t>[2011]4 </w:t>
      </w:r>
      <w:r>
        <w:rPr/>
        <w:t>号《国务院关于印发进一步鼓励软件产业和集成电路产业发展若干 </w:t>
      </w:r>
      <w:r>
        <w:rPr>
          <w:spacing w:val="-2"/>
        </w:rPr>
        <w:t>政策的通知》及财政部、国家税务总局下发的财税</w:t>
      </w:r>
      <w:r>
        <w:rPr>
          <w:rFonts w:ascii="宋体" w:hAnsi="宋体" w:cs="宋体" w:eastAsia="宋体" w:hint="default"/>
          <w:spacing w:val="-2"/>
        </w:rPr>
        <w:t>[2011]100</w:t>
      </w:r>
      <w:r>
        <w:rPr>
          <w:spacing w:val="-2"/>
        </w:rPr>
        <w:t>号《关于软件产品增值税政策的</w:t>
      </w:r>
      <w:r>
        <w:rPr>
          <w:spacing w:val="-114"/>
        </w:rPr>
        <w:t> </w:t>
      </w:r>
      <w:r>
        <w:rPr>
          <w:spacing w:val="-114"/>
        </w:rPr>
      </w:r>
      <w:r>
        <w:rPr/>
        <w:t>通知》的规定，对增值税一般纳税人销售其自行开发生产的软件产品，实际税负超过</w:t>
      </w:r>
      <w:r>
        <w:rPr>
          <w:rFonts w:ascii="宋体" w:hAnsi="宋体" w:cs="宋体" w:eastAsia="宋体" w:hint="default"/>
        </w:rPr>
        <w:t>3%</w:t>
      </w:r>
      <w:r>
        <w:rPr/>
        <w:t>的部 分即征即退。</w:t>
      </w:r>
    </w:p>
    <w:p>
      <w:pPr>
        <w:pStyle w:val="BodyText"/>
        <w:spacing w:line="352" w:lineRule="auto" w:before="35"/>
        <w:ind w:right="1130" w:firstLine="480"/>
        <w:jc w:val="both"/>
      </w:pPr>
      <w:r>
        <w:rPr/>
        <w:t>根据《财政部国家税务总局关于在全国开展交通运输业和部分现代服务业营业税改征增 </w:t>
      </w:r>
      <w:r>
        <w:rPr>
          <w:spacing w:val="-2"/>
        </w:rPr>
        <w:t>值税试点税收政策的通知》（财税〔</w:t>
      </w:r>
      <w:r>
        <w:rPr>
          <w:rFonts w:ascii="宋体" w:hAnsi="宋体" w:cs="宋体" w:eastAsia="宋体" w:hint="default"/>
          <w:spacing w:val="-2"/>
        </w:rPr>
        <w:t>2013</w:t>
      </w:r>
      <w:r>
        <w:rPr>
          <w:spacing w:val="-2"/>
        </w:rPr>
        <w:t>〕</w:t>
      </w:r>
      <w:r>
        <w:rPr>
          <w:rFonts w:ascii="宋体" w:hAnsi="宋体" w:cs="宋体" w:eastAsia="宋体" w:hint="default"/>
          <w:spacing w:val="-2"/>
        </w:rPr>
        <w:t>37</w:t>
      </w:r>
      <w:r>
        <w:rPr>
          <w:spacing w:val="-2"/>
        </w:rPr>
        <w:t>号）</w:t>
      </w:r>
      <w:r>
        <w:rPr>
          <w:rFonts w:ascii="宋体" w:hAnsi="宋体" w:cs="宋体" w:eastAsia="宋体" w:hint="default"/>
          <w:spacing w:val="-2"/>
        </w:rPr>
        <w:t>,</w:t>
      </w:r>
      <w:r>
        <w:rPr>
          <w:spacing w:val="-2"/>
        </w:rPr>
        <w:t>本公司从</w:t>
      </w:r>
      <w:r>
        <w:rPr>
          <w:rFonts w:ascii="宋体" w:hAnsi="宋体" w:cs="宋体" w:eastAsia="宋体" w:hint="default"/>
          <w:spacing w:val="-2"/>
        </w:rPr>
        <w:t>2013</w:t>
      </w:r>
      <w:r>
        <w:rPr>
          <w:spacing w:val="-2"/>
        </w:rPr>
        <w:t>年</w:t>
      </w:r>
      <w:r>
        <w:rPr>
          <w:rFonts w:ascii="宋体" w:hAnsi="宋体" w:cs="宋体" w:eastAsia="宋体" w:hint="default"/>
          <w:spacing w:val="-2"/>
        </w:rPr>
        <w:t>8</w:t>
      </w:r>
      <w:r>
        <w:rPr>
          <w:spacing w:val="-2"/>
        </w:rPr>
        <w:t>月</w:t>
      </w:r>
      <w:r>
        <w:rPr>
          <w:rFonts w:ascii="宋体" w:hAnsi="宋体" w:cs="宋体" w:eastAsia="宋体" w:hint="default"/>
          <w:spacing w:val="-2"/>
        </w:rPr>
        <w:t>1</w:t>
      </w:r>
      <w:r>
        <w:rPr>
          <w:spacing w:val="-2"/>
        </w:rPr>
        <w:t>日起技术服务收入由</w:t>
      </w:r>
      <w:r>
        <w:rPr>
          <w:spacing w:val="-109"/>
        </w:rPr>
        <w:t> </w:t>
      </w:r>
      <w:r>
        <w:rPr/>
        <w:t>原征收</w:t>
      </w:r>
      <w:r>
        <w:rPr>
          <w:rFonts w:ascii="宋体" w:hAnsi="宋体" w:cs="宋体" w:eastAsia="宋体" w:hint="default"/>
        </w:rPr>
        <w:t>5%</w:t>
      </w:r>
      <w:r>
        <w:rPr/>
        <w:t>营业税改征</w:t>
      </w:r>
      <w:r>
        <w:rPr>
          <w:rFonts w:ascii="宋体" w:hAnsi="宋体" w:cs="宋体" w:eastAsia="宋体" w:hint="default"/>
        </w:rPr>
        <w:t>6%</w:t>
      </w:r>
      <w:r>
        <w:rPr/>
        <w:t>增值税。</w:t>
      </w:r>
    </w:p>
    <w:p>
      <w:pPr>
        <w:pStyle w:val="BodyText"/>
        <w:spacing w:line="352" w:lineRule="auto" w:before="32"/>
        <w:ind w:right="2251" w:firstLine="480"/>
        <w:jc w:val="left"/>
      </w:pPr>
      <w:r>
        <w:rPr/>
        <w:t>所得税：根据豫科</w:t>
      </w:r>
      <w:r>
        <w:rPr>
          <w:rFonts w:ascii="宋体" w:hAnsi="宋体" w:cs="宋体" w:eastAsia="宋体" w:hint="default"/>
        </w:rPr>
        <w:t>[2018]9</w:t>
      </w:r>
      <w:r>
        <w:rPr/>
        <w:t>号文，本公司被认定为高新技术企业，证书编号： </w:t>
      </w:r>
      <w:r>
        <w:rPr>
          <w:rFonts w:ascii="宋体" w:hAnsi="宋体" w:cs="宋体" w:eastAsia="宋体" w:hint="default"/>
        </w:rPr>
        <w:t>GR201741000758</w:t>
      </w:r>
      <w:r>
        <w:rPr/>
        <w:t>，本公司</w:t>
      </w:r>
      <w:r>
        <w:rPr>
          <w:rFonts w:ascii="宋体" w:hAnsi="宋体" w:cs="宋体" w:eastAsia="宋体" w:hint="default"/>
        </w:rPr>
        <w:t>2017-2019</w:t>
      </w:r>
      <w:r>
        <w:rPr/>
        <w:t>年度所得税税率为</w:t>
      </w:r>
      <w:r>
        <w:rPr>
          <w:rFonts w:ascii="宋体" w:hAnsi="宋体" w:cs="宋体" w:eastAsia="宋体" w:hint="default"/>
        </w:rPr>
        <w:t>15%</w:t>
      </w:r>
      <w:r>
        <w:rPr/>
        <w:t>。</w:t>
      </w:r>
    </w:p>
    <w:p>
      <w:pPr>
        <w:pStyle w:val="BodyText"/>
        <w:spacing w:line="352" w:lineRule="auto" w:before="32"/>
        <w:ind w:right="997" w:firstLine="480"/>
        <w:jc w:val="left"/>
      </w:pPr>
      <w:r>
        <w:rPr>
          <w:spacing w:val="-4"/>
        </w:rPr>
        <w:t>根据豫科</w:t>
      </w:r>
      <w:r>
        <w:rPr>
          <w:rFonts w:ascii="宋体" w:hAnsi="宋体" w:cs="宋体" w:eastAsia="宋体" w:hint="default"/>
          <w:spacing w:val="-4"/>
        </w:rPr>
        <w:t>[2016]-27</w:t>
      </w:r>
      <w:r>
        <w:rPr>
          <w:spacing w:val="-4"/>
        </w:rPr>
        <w:t>号文，辉煌软件被认定为高新技术企业，证书编号：</w:t>
      </w:r>
      <w:r>
        <w:rPr>
          <w:rFonts w:ascii="宋体" w:hAnsi="宋体" w:cs="宋体" w:eastAsia="宋体" w:hint="default"/>
          <w:spacing w:val="-4"/>
        </w:rPr>
        <w:t>GR201541000316</w:t>
      </w:r>
      <w:r>
        <w:rPr>
          <w:spacing w:val="-4"/>
        </w:rPr>
        <w:t>，</w:t>
      </w:r>
      <w:r>
        <w:rPr/>
        <w:t> 根据《中华人民共和国企业所得税法》的规定，辉煌软件</w:t>
      </w:r>
      <w:r>
        <w:rPr>
          <w:rFonts w:ascii="宋体" w:hAnsi="宋体" w:cs="宋体" w:eastAsia="宋体" w:hint="default"/>
        </w:rPr>
        <w:t>2015</w:t>
      </w:r>
      <w:r>
        <w:rPr/>
        <w:t>年－</w:t>
      </w:r>
      <w:r>
        <w:rPr>
          <w:rFonts w:ascii="宋体" w:hAnsi="宋体" w:cs="宋体" w:eastAsia="宋体" w:hint="default"/>
        </w:rPr>
        <w:t>2017</w:t>
      </w:r>
      <w:r>
        <w:rPr/>
        <w:t>年所得税适用税率为 </w:t>
      </w:r>
      <w:r>
        <w:rPr>
          <w:rFonts w:ascii="宋体" w:hAnsi="宋体" w:cs="宋体" w:eastAsia="宋体" w:hint="default"/>
        </w:rPr>
        <w:t>15%</w:t>
      </w:r>
      <w:r>
        <w:rPr/>
        <w:t>。</w:t>
      </w:r>
    </w:p>
    <w:p>
      <w:pPr>
        <w:pStyle w:val="BodyText"/>
        <w:spacing w:line="352" w:lineRule="auto" w:before="33"/>
        <w:ind w:right="1132" w:firstLine="480"/>
        <w:jc w:val="both"/>
      </w:pPr>
      <w:r>
        <w:rPr/>
        <w:t>国铁路阳</w:t>
      </w:r>
      <w:r>
        <w:rPr>
          <w:rFonts w:ascii="宋体" w:hAnsi="宋体" w:cs="宋体" w:eastAsia="宋体" w:hint="default"/>
        </w:rPr>
        <w:t>2017</w:t>
      </w:r>
      <w:r>
        <w:rPr/>
        <w:t>年</w:t>
      </w:r>
      <w:r>
        <w:rPr>
          <w:rFonts w:ascii="宋体" w:hAnsi="宋体" w:cs="宋体" w:eastAsia="宋体" w:hint="default"/>
        </w:rPr>
        <w:t>10</w:t>
      </w:r>
      <w:r>
        <w:rPr/>
        <w:t>月</w:t>
      </w:r>
      <w:r>
        <w:rPr>
          <w:rFonts w:ascii="宋体" w:hAnsi="宋体" w:cs="宋体" w:eastAsia="宋体" w:hint="default"/>
        </w:rPr>
        <w:t>25</w:t>
      </w:r>
      <w:r>
        <w:rPr/>
        <w:t>日经北京市科学技术委员会认证为高新技术企业，高新技术企业 </w:t>
      </w:r>
      <w:r>
        <w:rPr>
          <w:spacing w:val="-11"/>
        </w:rPr>
        <w:t>证书编号：</w:t>
      </w:r>
      <w:r>
        <w:rPr>
          <w:rFonts w:ascii="宋体" w:hAnsi="宋体" w:cs="宋体" w:eastAsia="宋体" w:hint="default"/>
          <w:spacing w:val="-11"/>
        </w:rPr>
        <w:t>GR201711003418</w:t>
      </w:r>
      <w:r>
        <w:rPr>
          <w:spacing w:val="-11"/>
        </w:rPr>
        <w:t>。根据《中华人民共和国企业所得税法》的规定，国铁路阳</w:t>
      </w:r>
      <w:r>
        <w:rPr>
          <w:rFonts w:ascii="宋体" w:hAnsi="宋体" w:cs="宋体" w:eastAsia="宋体" w:hint="default"/>
          <w:spacing w:val="-11"/>
        </w:rPr>
        <w:t>2017-2019</w:t>
      </w:r>
      <w:r>
        <w:rPr>
          <w:rFonts w:ascii="宋体" w:hAnsi="宋体" w:cs="宋体" w:eastAsia="宋体" w:hint="default"/>
          <w:spacing w:val="-91"/>
        </w:rPr>
        <w:t> </w:t>
      </w:r>
      <w:r>
        <w:rPr/>
        <w:t>年度所得税适用税率为</w:t>
      </w:r>
      <w:r>
        <w:rPr>
          <w:rFonts w:ascii="宋体" w:hAnsi="宋体" w:cs="宋体" w:eastAsia="宋体" w:hint="default"/>
        </w:rPr>
        <w:t>15%</w:t>
      </w:r>
      <w:r>
        <w:rPr/>
        <w:t>。</w:t>
      </w:r>
    </w:p>
    <w:p>
      <w:pPr>
        <w:pStyle w:val="BodyText"/>
        <w:spacing w:line="350" w:lineRule="auto" w:before="32"/>
        <w:ind w:left="154" w:right="1170" w:firstLine="480"/>
        <w:jc w:val="both"/>
      </w:pPr>
      <w:r>
        <w:rPr/>
        <w:t>天津信通为符合条件的小型微利企业，根据《中华人民共和国企业所得税法》的规定， 所得税适用税率为 </w:t>
      </w:r>
      <w:r>
        <w:rPr>
          <w:rFonts w:ascii="宋体" w:hAnsi="宋体" w:cs="宋体" w:eastAsia="宋体" w:hint="default"/>
        </w:rPr>
        <w:t>20%</w:t>
      </w:r>
      <w:r>
        <w:rPr/>
        <w:t>。</w:t>
      </w:r>
    </w:p>
    <w:p>
      <w:pPr>
        <w:pStyle w:val="BodyText"/>
        <w:spacing w:line="350" w:lineRule="auto"/>
        <w:ind w:right="998" w:firstLine="480"/>
        <w:jc w:val="left"/>
      </w:pPr>
      <w:r>
        <w:rPr>
          <w:spacing w:val="-7"/>
        </w:rPr>
        <w:t>根据国科火字〔</w:t>
      </w:r>
      <w:r>
        <w:rPr>
          <w:rFonts w:ascii="宋体" w:hAnsi="宋体" w:cs="宋体" w:eastAsia="宋体" w:hint="default"/>
          <w:spacing w:val="-7"/>
        </w:rPr>
        <w:t>2016</w:t>
      </w:r>
      <w:r>
        <w:rPr>
          <w:spacing w:val="-7"/>
        </w:rPr>
        <w:t>〕</w:t>
      </w:r>
      <w:r>
        <w:rPr>
          <w:rFonts w:ascii="宋体" w:hAnsi="宋体" w:cs="宋体" w:eastAsia="宋体" w:hint="default"/>
          <w:spacing w:val="-7"/>
        </w:rPr>
        <w:t>14</w:t>
      </w:r>
      <w:r>
        <w:rPr>
          <w:spacing w:val="-7"/>
        </w:rPr>
        <w:t>号</w:t>
      </w:r>
      <w:r>
        <w:rPr>
          <w:spacing w:val="8"/>
        </w:rPr>
        <w:t> </w:t>
      </w:r>
      <w:r>
        <w:rPr>
          <w:spacing w:val="-4"/>
        </w:rPr>
        <w:t>，辉煌路阳被认定为高新技术企业，高新技术企业证书编号：</w:t>
      </w:r>
      <w:r>
        <w:rPr/>
        <w:t> </w:t>
      </w:r>
      <w:r>
        <w:rPr>
          <w:rFonts w:ascii="宋体" w:hAnsi="宋体" w:cs="宋体" w:eastAsia="宋体" w:hint="default"/>
        </w:rPr>
        <w:t>GR201512000849</w:t>
      </w:r>
      <w:r>
        <w:rPr/>
        <w:t>。根据 《中华人民共和国企业所得税法》的规定，辉煌路阳</w:t>
      </w:r>
      <w:r>
        <w:rPr>
          <w:rFonts w:ascii="宋体" w:hAnsi="宋体" w:cs="宋体" w:eastAsia="宋体" w:hint="default"/>
        </w:rPr>
        <w:t>2015-2017</w:t>
      </w:r>
      <w:r>
        <w:rPr/>
        <w:t>年度 所得税适用税率为</w:t>
      </w:r>
      <w:r>
        <w:rPr>
          <w:rFonts w:ascii="宋体" w:hAnsi="宋体" w:cs="宋体" w:eastAsia="宋体" w:hint="default"/>
        </w:rPr>
        <w:t>15%</w:t>
      </w:r>
      <w:r>
        <w:rPr/>
        <w:t>。</w:t>
      </w:r>
    </w:p>
    <w:p>
      <w:pPr>
        <w:pStyle w:val="BodyText"/>
        <w:spacing w:line="350" w:lineRule="auto"/>
        <w:ind w:right="1130" w:firstLine="480"/>
        <w:jc w:val="both"/>
      </w:pPr>
      <w:r>
        <w:rPr/>
        <w:t>交大驱动：根据成都高新技术产业开发区国家税务局高国家税</w:t>
      </w:r>
      <w:r>
        <w:rPr>
          <w:spacing w:val="-31"/>
        </w:rPr>
        <w:t> </w:t>
      </w:r>
      <w:r>
        <w:rPr>
          <w:spacing w:val="-3"/>
        </w:rPr>
        <w:t>通</w:t>
      </w:r>
      <w:r>
        <w:rPr>
          <w:rFonts w:ascii="宋体" w:hAnsi="宋体" w:cs="宋体" w:eastAsia="宋体" w:hint="default"/>
          <w:spacing w:val="-3"/>
        </w:rPr>
        <w:t>[2017]9156</w:t>
      </w:r>
      <w:r>
        <w:rPr>
          <w:spacing w:val="-3"/>
        </w:rPr>
        <w:t>号文件，交</w:t>
      </w:r>
      <w:r>
        <w:rPr/>
        <w:t> 大驱动被认定为高新技术企业，证书编号：</w:t>
      </w:r>
      <w:r>
        <w:rPr>
          <w:rFonts w:ascii="宋体" w:hAnsi="宋体" w:cs="宋体" w:eastAsia="宋体" w:hint="default"/>
        </w:rPr>
        <w:t>GR201651000093</w:t>
      </w:r>
      <w:r>
        <w:rPr/>
        <w:t>。根据《中华人民共和国企业所 得税法》的规定，交大驱动</w:t>
      </w:r>
      <w:r>
        <w:rPr>
          <w:rFonts w:ascii="宋体" w:hAnsi="宋体" w:cs="宋体" w:eastAsia="宋体" w:hint="default"/>
        </w:rPr>
        <w:t>2016-2018</w:t>
      </w:r>
      <w:r>
        <w:rPr/>
        <w:t>年度所得税适用税率为</w:t>
      </w:r>
      <w:r>
        <w:rPr>
          <w:rFonts w:ascii="宋体" w:hAnsi="宋体" w:cs="宋体" w:eastAsia="宋体" w:hint="default"/>
        </w:rPr>
        <w:t>15%</w:t>
      </w:r>
      <w:r>
        <w:rPr/>
        <w:t>。</w:t>
      </w:r>
    </w:p>
    <w:p>
      <w:pPr>
        <w:pStyle w:val="Heading2"/>
        <w:spacing w:line="470" w:lineRule="auto" w:before="36"/>
        <w:ind w:left="633" w:right="9427" w:firstLine="2"/>
        <w:jc w:val="left"/>
        <w:rPr>
          <w:rFonts w:ascii="宋体" w:hAnsi="宋体" w:cs="宋体" w:eastAsia="宋体" w:hint="default"/>
          <w:b w:val="0"/>
          <w:bCs w:val="0"/>
        </w:rPr>
      </w:pPr>
      <w:bookmarkStart w:name="3、其他" w:id="246"/>
      <w:bookmarkEnd w:id="246"/>
      <w:r>
        <w:rPr>
          <w:b w:val="0"/>
          <w:bCs w:val="0"/>
        </w:rPr>
      </w:r>
      <w:r>
        <w:rPr>
          <w:rFonts w:ascii="宋体" w:hAnsi="宋体" w:cs="宋体" w:eastAsia="宋体" w:hint="default"/>
        </w:rPr>
        <w:t>3</w:t>
      </w:r>
      <w:r>
        <w:rPr/>
        <w:t>、其他</w:t>
      </w:r>
      <w:r>
        <w:rPr>
          <w:spacing w:val="1"/>
          <w:w w:val="99"/>
        </w:rPr>
        <w:t> </w:t>
      </w:r>
      <w:r>
        <w:rPr>
          <w:rFonts w:ascii="宋体" w:hAnsi="宋体" w:cs="宋体" w:eastAsia="宋体" w:hint="default"/>
          <w:b w:val="0"/>
          <w:bCs w:val="0"/>
        </w:rPr>
        <w:t>无</w:t>
      </w:r>
    </w:p>
    <w:p>
      <w:pPr>
        <w:spacing w:after="0" w:line="470" w:lineRule="auto"/>
        <w:jc w:val="left"/>
        <w:rPr>
          <w:rFonts w:ascii="宋体" w:hAnsi="宋体" w:cs="宋体" w:eastAsia="宋体" w:hint="default"/>
        </w:rPr>
        <w:sectPr>
          <w:pgSz w:w="11910" w:h="16840"/>
          <w:pgMar w:header="747" w:footer="979" w:top="1060" w:bottom="1160" w:left="980" w:right="0"/>
        </w:sectPr>
      </w:pPr>
    </w:p>
    <w:p>
      <w:pPr>
        <w:spacing w:line="240" w:lineRule="auto" w:before="9"/>
        <w:rPr>
          <w:rFonts w:ascii="宋体" w:hAnsi="宋体" w:cs="宋体" w:eastAsia="宋体" w:hint="default"/>
          <w:sz w:val="23"/>
          <w:szCs w:val="23"/>
        </w:rPr>
      </w:pPr>
    </w:p>
    <w:p>
      <w:pPr>
        <w:pStyle w:val="Heading2"/>
        <w:spacing w:line="240" w:lineRule="auto"/>
        <w:ind w:left="153" w:right="996"/>
        <w:jc w:val="left"/>
        <w:rPr>
          <w:b w:val="0"/>
          <w:bCs w:val="0"/>
        </w:rPr>
      </w:pPr>
      <w:bookmarkStart w:name="七、合并财务报表项目注释" w:id="247"/>
      <w:bookmarkEnd w:id="247"/>
      <w:r>
        <w:rPr>
          <w:b w:val="0"/>
          <w:bCs w:val="0"/>
        </w:rPr>
      </w:r>
      <w:r>
        <w:rPr/>
        <w:t>七、合并财务报表项目注释</w:t>
      </w:r>
      <w:r>
        <w:rPr>
          <w:b w:val="0"/>
          <w:bCs w:val="0"/>
        </w:rPr>
      </w:r>
    </w:p>
    <w:p>
      <w:pPr>
        <w:spacing w:line="240" w:lineRule="auto" w:before="5"/>
        <w:rPr>
          <w:rFonts w:ascii="宋体" w:hAnsi="宋体" w:cs="宋体" w:eastAsia="宋体" w:hint="default"/>
          <w:b/>
          <w:bCs/>
          <w:sz w:val="32"/>
          <w:szCs w:val="32"/>
        </w:rPr>
      </w:pPr>
    </w:p>
    <w:p>
      <w:pPr>
        <w:spacing w:line="350" w:lineRule="auto" w:before="0"/>
        <w:ind w:left="636" w:right="5233" w:hanging="3"/>
        <w:jc w:val="left"/>
        <w:rPr>
          <w:rFonts w:ascii="宋体" w:hAnsi="宋体" w:cs="宋体" w:eastAsia="宋体" w:hint="default"/>
          <w:sz w:val="24"/>
          <w:szCs w:val="24"/>
        </w:rPr>
      </w:pPr>
      <w:r>
        <w:rPr>
          <w:rFonts w:ascii="宋体" w:hAnsi="宋体" w:cs="宋体" w:eastAsia="宋体" w:hint="default"/>
          <w:sz w:val="24"/>
          <w:szCs w:val="24"/>
        </w:rPr>
        <w:t>（以下金额单位若未特别注明者均为人民币元） </w:t>
      </w:r>
      <w:bookmarkStart w:name="1、货币资金" w:id="248"/>
      <w:bookmarkEnd w:id="248"/>
      <w:r>
        <w:rPr>
          <w:rFonts w:ascii="宋体" w:hAnsi="宋体" w:cs="宋体" w:eastAsia="宋体" w:hint="default"/>
          <w:sz w:val="24"/>
          <w:szCs w:val="24"/>
        </w:rPr>
      </w:r>
      <w:r>
        <w:rPr>
          <w:rFonts w:ascii="宋体" w:hAnsi="宋体" w:cs="宋体" w:eastAsia="宋体" w:hint="default"/>
          <w:b/>
          <w:bCs/>
          <w:sz w:val="24"/>
          <w:szCs w:val="24"/>
        </w:rPr>
        <w:t>1</w:t>
      </w:r>
      <w:r>
        <w:rPr>
          <w:rFonts w:ascii="宋体" w:hAnsi="宋体" w:cs="宋体" w:eastAsia="宋体" w:hint="default"/>
          <w:b/>
          <w:bCs/>
          <w:sz w:val="24"/>
          <w:szCs w:val="24"/>
        </w:rPr>
        <w:t>、货币资金</w:t>
      </w:r>
      <w:r>
        <w:rPr>
          <w:rFonts w:ascii="宋体" w:hAnsi="宋体" w:cs="宋体" w:eastAsia="宋体" w:hint="default"/>
          <w:sz w:val="24"/>
          <w:szCs w:val="24"/>
        </w:rPr>
      </w:r>
    </w:p>
    <w:p>
      <w:pPr>
        <w:spacing w:before="90"/>
        <w:ind w:left="0" w:right="1594" w:firstLine="0"/>
        <w:jc w:val="righ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2"/>
          <w:sz w:val="21"/>
          <w:szCs w:val="21"/>
        </w:rPr>
        <w:t> </w:t>
      </w:r>
      <w:r>
        <w:rPr>
          <w:rFonts w:ascii="宋体" w:hAnsi="宋体" w:cs="宋体" w:eastAsia="宋体" w:hint="default"/>
          <w:sz w:val="21"/>
          <w:szCs w:val="21"/>
        </w:rPr>
        <w:t>元</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库存现金</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sz w:val="21"/>
              </w:rPr>
              <w:t>150,031.69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sz w:val="21"/>
              </w:rPr>
              <w:t>67,344.49</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银行存款</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sz w:val="21"/>
              </w:rPr>
              <w:t>874,919,611.35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 w:right="0"/>
              <w:jc w:val="center"/>
              <w:rPr>
                <w:rFonts w:ascii="宋体" w:hAnsi="宋体" w:cs="宋体" w:eastAsia="宋体" w:hint="default"/>
                <w:sz w:val="21"/>
                <w:szCs w:val="21"/>
              </w:rPr>
            </w:pPr>
            <w:r>
              <w:rPr>
                <w:rFonts w:ascii="宋体"/>
                <w:sz w:val="21"/>
              </w:rPr>
              <w:t>820,615,253.63</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其他货币资金</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sz w:val="21"/>
              </w:rPr>
              <w:t>13,864,603.88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sz w:val="21"/>
              </w:rPr>
              <w:t>11,404,632.53</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left="1" w:right="0"/>
              <w:jc w:val="center"/>
              <w:rPr>
                <w:rFonts w:ascii="宋体" w:hAnsi="宋体" w:cs="宋体" w:eastAsia="宋体" w:hint="default"/>
                <w:sz w:val="21"/>
                <w:szCs w:val="21"/>
              </w:rPr>
            </w:pPr>
            <w:r>
              <w:rPr>
                <w:rFonts w:ascii="宋体"/>
                <w:sz w:val="21"/>
              </w:rPr>
              <w:t>888,934,246.92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 w:right="0"/>
              <w:jc w:val="center"/>
              <w:rPr>
                <w:rFonts w:ascii="宋体" w:hAnsi="宋体" w:cs="宋体" w:eastAsia="宋体" w:hint="default"/>
                <w:sz w:val="21"/>
                <w:szCs w:val="21"/>
              </w:rPr>
            </w:pPr>
            <w:r>
              <w:rPr>
                <w:rFonts w:ascii="宋体"/>
                <w:sz w:val="21"/>
              </w:rPr>
              <w:t>832,087,230.65</w:t>
            </w:r>
          </w:p>
        </w:tc>
      </w:tr>
    </w:tbl>
    <w:p>
      <w:pPr>
        <w:spacing w:line="240" w:lineRule="auto" w:before="10"/>
        <w:rPr>
          <w:rFonts w:ascii="宋体" w:hAnsi="宋体" w:cs="宋体" w:eastAsia="宋体" w:hint="default"/>
          <w:sz w:val="4"/>
          <w:szCs w:val="4"/>
        </w:rPr>
      </w:pPr>
    </w:p>
    <w:p>
      <w:pPr>
        <w:pStyle w:val="BodyText"/>
        <w:spacing w:line="352" w:lineRule="auto" w:before="26"/>
        <w:ind w:left="633" w:right="2113"/>
        <w:jc w:val="left"/>
      </w:pPr>
      <w:r>
        <w:rPr/>
        <w:pict>
          <v:shape style="position:absolute;margin-left:84.260002pt;margin-top:65.89563pt;width:427.15pt;height:68.95pt;mso-position-horizontal-relative:page;mso-position-vertical-relative:paragraph;z-index:193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652"/>
                    <w:gridCol w:w="2438"/>
                    <w:gridCol w:w="2438"/>
                  </w:tblGrid>
                  <w:tr>
                    <w:trPr>
                      <w:trHeight w:val="342" w:hRule="exact"/>
                    </w:trPr>
                    <w:tc>
                      <w:tcPr>
                        <w:tcW w:w="3652"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1611"/>
                          <w:jc w:val="right"/>
                          <w:rPr>
                            <w:rFonts w:ascii="宋体" w:hAnsi="宋体" w:cs="宋体" w:eastAsia="宋体" w:hint="default"/>
                            <w:sz w:val="21"/>
                            <w:szCs w:val="21"/>
                          </w:rPr>
                        </w:pPr>
                        <w:r>
                          <w:rPr>
                            <w:rFonts w:ascii="宋体" w:hAnsi="宋体" w:cs="宋体" w:eastAsia="宋体" w:hint="default"/>
                            <w:sz w:val="21"/>
                            <w:szCs w:val="21"/>
                          </w:rPr>
                          <w:t>项目</w:t>
                        </w:r>
                      </w:p>
                    </w:tc>
                    <w:tc>
                      <w:tcPr>
                        <w:tcW w:w="2438"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438"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342" w:hRule="exact"/>
                    </w:trPr>
                    <w:tc>
                      <w:tcPr>
                        <w:tcW w:w="3652"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 w:right="0"/>
                          <w:jc w:val="left"/>
                          <w:rPr>
                            <w:rFonts w:ascii="宋体" w:hAnsi="宋体" w:cs="宋体" w:eastAsia="宋体" w:hint="default"/>
                            <w:sz w:val="21"/>
                            <w:szCs w:val="21"/>
                          </w:rPr>
                        </w:pPr>
                        <w:r>
                          <w:rPr>
                            <w:rFonts w:ascii="宋体" w:hAnsi="宋体" w:cs="宋体" w:eastAsia="宋体" w:hint="default"/>
                            <w:sz w:val="21"/>
                            <w:szCs w:val="21"/>
                          </w:rPr>
                          <w:t>银行承兑汇票保证金</w:t>
                        </w:r>
                      </w:p>
                    </w:tc>
                    <w:tc>
                      <w:tcPr>
                        <w:tcW w:w="2438" w:type="dxa"/>
                        <w:tcBorders>
                          <w:top w:val="single" w:sz="4" w:space="0" w:color="000000"/>
                          <w:left w:val="single" w:sz="4" w:space="0" w:color="000000"/>
                          <w:bottom w:val="single" w:sz="4" w:space="0" w:color="000000"/>
                          <w:right w:val="single" w:sz="4" w:space="0" w:color="000000"/>
                        </w:tcBorders>
                      </w:tcPr>
                      <w:p>
                        <w:pPr/>
                      </w:p>
                    </w:tc>
                    <w:tc>
                      <w:tcPr>
                        <w:tcW w:w="2438"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0"/>
                          <w:jc w:val="center"/>
                          <w:rPr>
                            <w:rFonts w:ascii="宋体" w:hAnsi="宋体" w:cs="宋体" w:eastAsia="宋体" w:hint="default"/>
                            <w:sz w:val="21"/>
                            <w:szCs w:val="21"/>
                          </w:rPr>
                        </w:pPr>
                        <w:r>
                          <w:rPr>
                            <w:rFonts w:ascii="宋体"/>
                            <w:sz w:val="21"/>
                          </w:rPr>
                          <w:t>373,476.80</w:t>
                        </w:r>
                      </w:p>
                    </w:tc>
                  </w:tr>
                  <w:tr>
                    <w:trPr>
                      <w:trHeight w:val="342" w:hRule="exact"/>
                    </w:trPr>
                    <w:tc>
                      <w:tcPr>
                        <w:tcW w:w="3652"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 w:right="0"/>
                          <w:jc w:val="left"/>
                          <w:rPr>
                            <w:rFonts w:ascii="宋体" w:hAnsi="宋体" w:cs="宋体" w:eastAsia="宋体" w:hint="default"/>
                            <w:sz w:val="21"/>
                            <w:szCs w:val="21"/>
                          </w:rPr>
                        </w:pPr>
                        <w:r>
                          <w:rPr>
                            <w:rFonts w:ascii="宋体" w:hAnsi="宋体" w:cs="宋体" w:eastAsia="宋体" w:hint="default"/>
                            <w:sz w:val="21"/>
                            <w:szCs w:val="21"/>
                          </w:rPr>
                          <w:t>保函保证金</w:t>
                        </w:r>
                      </w:p>
                    </w:tc>
                    <w:tc>
                      <w:tcPr>
                        <w:tcW w:w="2438"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0"/>
                          <w:jc w:val="center"/>
                          <w:rPr>
                            <w:rFonts w:ascii="宋体" w:hAnsi="宋体" w:cs="宋体" w:eastAsia="宋体" w:hint="default"/>
                            <w:sz w:val="21"/>
                            <w:szCs w:val="21"/>
                          </w:rPr>
                        </w:pPr>
                        <w:r>
                          <w:rPr>
                            <w:rFonts w:ascii="宋体"/>
                            <w:sz w:val="21"/>
                          </w:rPr>
                          <w:t>13,864,603.88</w:t>
                        </w:r>
                      </w:p>
                    </w:tc>
                    <w:tc>
                      <w:tcPr>
                        <w:tcW w:w="2438"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1" w:right="0"/>
                          <w:jc w:val="center"/>
                          <w:rPr>
                            <w:rFonts w:ascii="宋体" w:hAnsi="宋体" w:cs="宋体" w:eastAsia="宋体" w:hint="default"/>
                            <w:sz w:val="21"/>
                            <w:szCs w:val="21"/>
                          </w:rPr>
                        </w:pPr>
                        <w:r>
                          <w:rPr>
                            <w:rFonts w:ascii="宋体"/>
                            <w:sz w:val="21"/>
                          </w:rPr>
                          <w:t>11,031,155.73</w:t>
                        </w:r>
                      </w:p>
                    </w:tc>
                  </w:tr>
                  <w:tr>
                    <w:trPr>
                      <w:trHeight w:val="343" w:hRule="exact"/>
                    </w:trPr>
                    <w:tc>
                      <w:tcPr>
                        <w:tcW w:w="3652"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1611"/>
                          <w:jc w:val="right"/>
                          <w:rPr>
                            <w:rFonts w:ascii="宋体" w:hAnsi="宋体" w:cs="宋体" w:eastAsia="宋体" w:hint="default"/>
                            <w:sz w:val="21"/>
                            <w:szCs w:val="21"/>
                          </w:rPr>
                        </w:pPr>
                        <w:r>
                          <w:rPr>
                            <w:rFonts w:ascii="宋体" w:hAnsi="宋体" w:cs="宋体" w:eastAsia="宋体" w:hint="default"/>
                            <w:sz w:val="21"/>
                            <w:szCs w:val="21"/>
                          </w:rPr>
                          <w:t>合计</w:t>
                        </w:r>
                      </w:p>
                    </w:tc>
                    <w:tc>
                      <w:tcPr>
                        <w:tcW w:w="2438"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0"/>
                          <w:jc w:val="center"/>
                          <w:rPr>
                            <w:rFonts w:ascii="宋体" w:hAnsi="宋体" w:cs="宋体" w:eastAsia="宋体" w:hint="default"/>
                            <w:sz w:val="21"/>
                            <w:szCs w:val="21"/>
                          </w:rPr>
                        </w:pPr>
                        <w:r>
                          <w:rPr>
                            <w:rFonts w:ascii="宋体"/>
                            <w:sz w:val="21"/>
                          </w:rPr>
                          <w:t>13,864,603.88</w:t>
                        </w:r>
                      </w:p>
                    </w:tc>
                    <w:tc>
                      <w:tcPr>
                        <w:tcW w:w="2438"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1" w:right="0"/>
                          <w:jc w:val="center"/>
                          <w:rPr>
                            <w:rFonts w:ascii="宋体" w:hAnsi="宋体" w:cs="宋体" w:eastAsia="宋体" w:hint="default"/>
                            <w:sz w:val="21"/>
                            <w:szCs w:val="21"/>
                          </w:rPr>
                        </w:pPr>
                        <w:r>
                          <w:rPr>
                            <w:rFonts w:ascii="宋体"/>
                            <w:sz w:val="21"/>
                          </w:rPr>
                          <w:t>11,404,632.53</w:t>
                        </w:r>
                      </w:p>
                    </w:tc>
                  </w:tr>
                </w:tbl>
                <w:p>
                  <w:pPr/>
                </w:p>
              </w:txbxContent>
            </v:textbox>
            <w10:wrap type="none"/>
          </v:shape>
        </w:pict>
      </w:r>
      <w:r>
        <w:rPr/>
        <w:t>其他说明 截止</w:t>
      </w:r>
      <w:r>
        <w:rPr>
          <w:rFonts w:ascii="宋体" w:hAnsi="宋体" w:cs="宋体" w:eastAsia="宋体" w:hint="default"/>
        </w:rPr>
        <w:t>2017</w:t>
      </w:r>
      <w:r>
        <w:rPr/>
        <w:t>年</w:t>
      </w:r>
      <w:r>
        <w:rPr>
          <w:rFonts w:ascii="宋体" w:hAnsi="宋体" w:cs="宋体" w:eastAsia="宋体" w:hint="default"/>
        </w:rPr>
        <w:t>12</w:t>
      </w:r>
      <w:r>
        <w:rPr/>
        <w:t>月</w:t>
      </w:r>
      <w:r>
        <w:rPr>
          <w:rFonts w:ascii="宋体" w:hAnsi="宋体" w:cs="宋体" w:eastAsia="宋体" w:hint="default"/>
        </w:rPr>
        <w:t>31</w:t>
      </w:r>
      <w:r>
        <w:rPr/>
        <w:t>日，本公司不存在质押、冻结，或有潜在收回风险的款项。 其中受限制的货币资金明细如下：</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5"/>
          <w:szCs w:val="25"/>
        </w:rPr>
      </w:pPr>
    </w:p>
    <w:p>
      <w:pPr>
        <w:pStyle w:val="Heading2"/>
        <w:spacing w:line="240" w:lineRule="auto"/>
        <w:ind w:right="996"/>
        <w:jc w:val="left"/>
        <w:rPr>
          <w:b w:val="0"/>
          <w:bCs w:val="0"/>
        </w:rPr>
      </w:pPr>
      <w:bookmarkStart w:name="2、以公允价值计量且其变动计入当期损益的金融资产" w:id="249"/>
      <w:bookmarkEnd w:id="249"/>
      <w:r>
        <w:rPr>
          <w:b w:val="0"/>
          <w:bCs w:val="0"/>
        </w:rPr>
      </w:r>
      <w:r>
        <w:rPr>
          <w:rFonts w:ascii="宋体" w:hAnsi="宋体" w:cs="宋体" w:eastAsia="宋体" w:hint="default"/>
        </w:rPr>
        <w:t>2</w:t>
      </w:r>
      <w:r>
        <w:rPr/>
        <w:t>、以公允价值计量且其变动计入当期损益的金融资产</w:t>
      </w:r>
      <w:r>
        <w:rPr>
          <w:b w:val="0"/>
          <w:bCs w:val="0"/>
        </w:rPr>
      </w:r>
    </w:p>
    <w:p>
      <w:pPr>
        <w:spacing w:line="240" w:lineRule="auto" w:before="1"/>
        <w:rPr>
          <w:rFonts w:ascii="宋体" w:hAnsi="宋体" w:cs="宋体" w:eastAsia="宋体" w:hint="default"/>
          <w:b/>
          <w:bCs/>
          <w:sz w:val="23"/>
          <w:szCs w:val="23"/>
        </w:rPr>
      </w:pPr>
    </w:p>
    <w:p>
      <w:pPr>
        <w:pStyle w:val="Heading2"/>
        <w:spacing w:line="350" w:lineRule="auto" w:before="0"/>
        <w:ind w:right="8462" w:hanging="3"/>
        <w:jc w:val="left"/>
        <w:rPr>
          <w:b w:val="0"/>
          <w:bCs w:val="0"/>
        </w:rPr>
      </w:pPr>
      <w:r>
        <w:rPr>
          <w:rFonts w:ascii="宋体" w:hAnsi="宋体" w:cs="宋体" w:eastAsia="宋体" w:hint="default"/>
          <w:b w:val="0"/>
          <w:bCs w:val="0"/>
        </w:rPr>
        <w:t>无 </w:t>
      </w:r>
      <w:bookmarkStart w:name="3、衍生金融资产" w:id="250"/>
      <w:bookmarkEnd w:id="250"/>
      <w:r>
        <w:rPr>
          <w:rFonts w:ascii="宋体" w:hAnsi="宋体" w:cs="宋体" w:eastAsia="宋体" w:hint="default"/>
          <w:b w:val="0"/>
          <w:bCs w:val="0"/>
        </w:rPr>
      </w:r>
      <w:r>
        <w:rPr>
          <w:rFonts w:ascii="宋体" w:hAnsi="宋体" w:cs="宋体" w:eastAsia="宋体" w:hint="default"/>
        </w:rPr>
        <w:t>3</w:t>
      </w:r>
      <w:r>
        <w:rPr/>
        <w:t>、衍生金融资产</w:t>
      </w:r>
      <w:r>
        <w:rPr>
          <w:b w:val="0"/>
          <w:bCs w:val="0"/>
        </w:rPr>
      </w:r>
    </w:p>
    <w:p>
      <w:pPr>
        <w:spacing w:line="350" w:lineRule="auto" w:before="192"/>
        <w:ind w:left="636" w:right="8233" w:hanging="3"/>
        <w:jc w:val="left"/>
        <w:rPr>
          <w:rFonts w:ascii="宋体" w:hAnsi="宋体" w:cs="宋体" w:eastAsia="宋体" w:hint="default"/>
          <w:sz w:val="24"/>
          <w:szCs w:val="24"/>
        </w:rPr>
      </w:pPr>
      <w:r>
        <w:rPr>
          <w:rFonts w:ascii="宋体" w:hAnsi="宋体" w:cs="宋体" w:eastAsia="宋体" w:hint="default"/>
          <w:sz w:val="24"/>
          <w:szCs w:val="24"/>
        </w:rPr>
        <w:t>□ 适用 √ 不适用 </w:t>
      </w:r>
      <w:bookmarkStart w:name="4、应收票据" w:id="251"/>
      <w:bookmarkEnd w:id="251"/>
      <w:r>
        <w:rPr>
          <w:rFonts w:ascii="宋体" w:hAnsi="宋体" w:cs="宋体" w:eastAsia="宋体" w:hint="default"/>
          <w:sz w:val="24"/>
          <w:szCs w:val="24"/>
        </w:rPr>
      </w:r>
      <w:r>
        <w:rPr>
          <w:rFonts w:ascii="宋体" w:hAnsi="宋体" w:cs="宋体" w:eastAsia="宋体" w:hint="default"/>
          <w:b/>
          <w:bCs/>
          <w:sz w:val="24"/>
          <w:szCs w:val="24"/>
        </w:rPr>
        <w:t>4</w:t>
      </w:r>
      <w:r>
        <w:rPr>
          <w:rFonts w:ascii="宋体" w:hAnsi="宋体" w:cs="宋体" w:eastAsia="宋体" w:hint="default"/>
          <w:b/>
          <w:bCs/>
          <w:sz w:val="24"/>
          <w:szCs w:val="24"/>
        </w:rPr>
        <w:t>、应收票据</w:t>
      </w:r>
      <w:r>
        <w:rPr>
          <w:rFonts w:ascii="宋体" w:hAnsi="宋体" w:cs="宋体" w:eastAsia="宋体" w:hint="default"/>
          <w:sz w:val="24"/>
          <w:szCs w:val="24"/>
        </w:rPr>
      </w:r>
    </w:p>
    <w:p>
      <w:pPr>
        <w:pStyle w:val="Heading2"/>
        <w:spacing w:line="240" w:lineRule="auto" w:before="191"/>
        <w:ind w:right="996"/>
        <w:jc w:val="left"/>
        <w:rPr>
          <w:b w:val="0"/>
          <w:bCs w:val="0"/>
        </w:rPr>
      </w:pPr>
      <w:bookmarkStart w:name="（1）应收票据分类列示" w:id="252"/>
      <w:bookmarkEnd w:id="252"/>
      <w:r>
        <w:rPr>
          <w:b w:val="0"/>
          <w:bCs w:val="0"/>
        </w:rPr>
      </w:r>
      <w:r>
        <w:rPr/>
        <w:t>（</w:t>
      </w:r>
      <w:r>
        <w:rPr>
          <w:rFonts w:ascii="宋体" w:hAnsi="宋体" w:cs="宋体" w:eastAsia="宋体" w:hint="default"/>
        </w:rPr>
        <w:t>1</w:t>
      </w:r>
      <w:r>
        <w:rPr/>
        <w:t>）应收票据分类列示</w:t>
      </w:r>
      <w:r>
        <w:rPr>
          <w:b w:val="0"/>
          <w:bCs w:val="0"/>
        </w:rPr>
      </w:r>
    </w:p>
    <w:p>
      <w:pPr>
        <w:spacing w:line="240" w:lineRule="auto" w:before="9"/>
        <w:rPr>
          <w:rFonts w:ascii="宋体" w:hAnsi="宋体" w:cs="宋体" w:eastAsia="宋体" w:hint="default"/>
          <w:b/>
          <w:bCs/>
          <w:sz w:val="12"/>
          <w:szCs w:val="12"/>
        </w:rPr>
      </w:pPr>
    </w:p>
    <w:p>
      <w:pPr>
        <w:spacing w:before="35"/>
        <w:ind w:left="0" w:right="1219" w:firstLine="0"/>
        <w:jc w:val="right"/>
        <w:rPr>
          <w:rFonts w:ascii="宋体" w:hAnsi="宋体" w:cs="宋体" w:eastAsia="宋体" w:hint="default"/>
          <w:sz w:val="21"/>
          <w:szCs w:val="21"/>
        </w:rPr>
      </w:pPr>
      <w:r>
        <w:rPr>
          <w:rFonts w:ascii="宋体" w:hAnsi="宋体" w:cs="宋体" w:eastAsia="宋体" w:hint="default"/>
          <w:sz w:val="21"/>
          <w:szCs w:val="21"/>
        </w:rPr>
        <w:t>单位： 元</w:t>
      </w:r>
    </w:p>
    <w:p>
      <w:pPr>
        <w:spacing w:line="240" w:lineRule="auto" w:before="12"/>
        <w:rPr>
          <w:rFonts w:ascii="宋体" w:hAnsi="宋体" w:cs="宋体" w:eastAsia="宋体" w:hint="default"/>
          <w:sz w:val="6"/>
          <w:szCs w:val="6"/>
        </w:rPr>
      </w:pPr>
    </w:p>
    <w:tbl>
      <w:tblPr>
        <w:tblW w:w="0" w:type="auto"/>
        <w:jc w:val="left"/>
        <w:tblInd w:w="284" w:type="dxa"/>
        <w:tblLayout w:type="fixed"/>
        <w:tblCellMar>
          <w:top w:w="0" w:type="dxa"/>
          <w:left w:w="0" w:type="dxa"/>
          <w:bottom w:w="0" w:type="dxa"/>
          <w:right w:w="0" w:type="dxa"/>
        </w:tblCellMar>
        <w:tblLook w:val="01E0"/>
      </w:tblPr>
      <w:tblGrid>
        <w:gridCol w:w="3058"/>
        <w:gridCol w:w="3027"/>
        <w:gridCol w:w="3294"/>
      </w:tblGrid>
      <w:tr>
        <w:trPr>
          <w:trHeight w:val="402" w:hRule="exact"/>
        </w:trPr>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0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402" w:hRule="exact"/>
        </w:trPr>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2" w:right="0"/>
              <w:jc w:val="left"/>
              <w:rPr>
                <w:rFonts w:ascii="宋体" w:hAnsi="宋体" w:cs="宋体" w:eastAsia="宋体" w:hint="default"/>
                <w:sz w:val="21"/>
                <w:szCs w:val="21"/>
              </w:rPr>
            </w:pPr>
            <w:r>
              <w:rPr>
                <w:rFonts w:ascii="宋体" w:hAnsi="宋体" w:cs="宋体" w:eastAsia="宋体" w:hint="default"/>
                <w:sz w:val="21"/>
                <w:szCs w:val="21"/>
              </w:rPr>
              <w:t>银行承兑票据</w:t>
            </w:r>
          </w:p>
        </w:tc>
        <w:tc>
          <w:tcPr>
            <w:tcW w:w="30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15,677,565.47</w:t>
            </w:r>
          </w:p>
        </w:tc>
        <w:tc>
          <w:tcPr>
            <w:tcW w:w="3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9"/>
              <w:jc w:val="right"/>
              <w:rPr>
                <w:rFonts w:ascii="宋体" w:hAnsi="宋体" w:cs="宋体" w:eastAsia="宋体" w:hint="default"/>
                <w:sz w:val="21"/>
                <w:szCs w:val="21"/>
              </w:rPr>
            </w:pPr>
            <w:r>
              <w:rPr>
                <w:rFonts w:ascii="宋体"/>
                <w:sz w:val="21"/>
              </w:rPr>
              <w:t>6,051,538.50</w:t>
            </w:r>
          </w:p>
        </w:tc>
      </w:tr>
      <w:tr>
        <w:trPr>
          <w:trHeight w:val="402" w:hRule="exact"/>
        </w:trPr>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2" w:right="0"/>
              <w:jc w:val="left"/>
              <w:rPr>
                <w:rFonts w:ascii="宋体" w:hAnsi="宋体" w:cs="宋体" w:eastAsia="宋体" w:hint="default"/>
                <w:sz w:val="21"/>
                <w:szCs w:val="21"/>
              </w:rPr>
            </w:pPr>
            <w:r>
              <w:rPr>
                <w:rFonts w:ascii="宋体" w:hAnsi="宋体" w:cs="宋体" w:eastAsia="宋体" w:hint="default"/>
                <w:sz w:val="21"/>
                <w:szCs w:val="21"/>
              </w:rPr>
              <w:t>商业承兑票据</w:t>
            </w:r>
          </w:p>
        </w:tc>
        <w:tc>
          <w:tcPr>
            <w:tcW w:w="30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14,965,568.60</w:t>
            </w:r>
          </w:p>
        </w:tc>
        <w:tc>
          <w:tcPr>
            <w:tcW w:w="3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23,380,715.10</w:t>
            </w:r>
          </w:p>
        </w:tc>
      </w:tr>
      <w:tr>
        <w:trPr>
          <w:trHeight w:val="402" w:hRule="exact"/>
        </w:trPr>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0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30,643,134.07</w:t>
            </w:r>
          </w:p>
        </w:tc>
        <w:tc>
          <w:tcPr>
            <w:tcW w:w="3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29,432,253.60</w:t>
            </w:r>
          </w:p>
        </w:tc>
      </w:tr>
    </w:tbl>
    <w:p>
      <w:pPr>
        <w:spacing w:line="240" w:lineRule="auto" w:before="10"/>
        <w:rPr>
          <w:rFonts w:ascii="宋体" w:hAnsi="宋体" w:cs="宋体" w:eastAsia="宋体" w:hint="default"/>
          <w:sz w:val="4"/>
          <w:szCs w:val="4"/>
        </w:rPr>
      </w:pPr>
    </w:p>
    <w:p>
      <w:pPr>
        <w:pStyle w:val="Heading2"/>
        <w:spacing w:line="240" w:lineRule="auto"/>
        <w:ind w:right="996"/>
        <w:jc w:val="left"/>
        <w:rPr>
          <w:b w:val="0"/>
          <w:bCs w:val="0"/>
        </w:rPr>
      </w:pPr>
      <w:bookmarkStart w:name="（2）期末公司已质押的应收票据" w:id="253"/>
      <w:bookmarkEnd w:id="253"/>
      <w:r>
        <w:rPr>
          <w:b w:val="0"/>
          <w:bCs w:val="0"/>
        </w:rPr>
      </w:r>
      <w:r>
        <w:rPr/>
        <w:t>（</w:t>
      </w:r>
      <w:r>
        <w:rPr>
          <w:rFonts w:ascii="宋体" w:hAnsi="宋体" w:cs="宋体" w:eastAsia="宋体" w:hint="default"/>
        </w:rPr>
        <w:t>2</w:t>
      </w:r>
      <w:r>
        <w:rPr/>
        <w:t>）期末公司已质押的应收票据</w:t>
      </w:r>
      <w:r>
        <w:rPr>
          <w:b w:val="0"/>
          <w:bCs w:val="0"/>
        </w:rPr>
      </w:r>
    </w:p>
    <w:p>
      <w:pPr>
        <w:spacing w:line="240" w:lineRule="auto" w:before="9"/>
        <w:rPr>
          <w:rFonts w:ascii="宋体" w:hAnsi="宋体" w:cs="宋体" w:eastAsia="宋体" w:hint="default"/>
          <w:b/>
          <w:bCs/>
          <w:sz w:val="12"/>
          <w:szCs w:val="12"/>
        </w:rPr>
      </w:pPr>
    </w:p>
    <w:p>
      <w:pPr>
        <w:spacing w:before="35"/>
        <w:ind w:left="0" w:right="1129" w:firstLine="0"/>
        <w:jc w:val="right"/>
        <w:rPr>
          <w:rFonts w:ascii="宋体" w:hAnsi="宋体" w:cs="宋体" w:eastAsia="宋体" w:hint="default"/>
          <w:sz w:val="21"/>
          <w:szCs w:val="21"/>
        </w:rPr>
      </w:pPr>
      <w:r>
        <w:rPr>
          <w:rFonts w:ascii="宋体" w:hAnsi="宋体" w:cs="宋体" w:eastAsia="宋体" w:hint="default"/>
          <w:sz w:val="21"/>
          <w:szCs w:val="21"/>
        </w:rPr>
        <w:t>单位： 元</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4762"/>
        <w:gridCol w:w="4796"/>
      </w:tblGrid>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4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0" w:right="0"/>
              <w:jc w:val="center"/>
              <w:rPr>
                <w:rFonts w:ascii="宋体" w:hAnsi="宋体" w:cs="宋体" w:eastAsia="宋体" w:hint="default"/>
                <w:sz w:val="21"/>
                <w:szCs w:val="21"/>
              </w:rPr>
            </w:pPr>
            <w:r>
              <w:rPr>
                <w:rFonts w:ascii="宋体" w:hAnsi="宋体" w:cs="宋体" w:eastAsia="宋体" w:hint="default"/>
                <w:sz w:val="21"/>
                <w:szCs w:val="21"/>
              </w:rPr>
              <w:t>期末已质押金额</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银行承兑票据</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0.00</w:t>
            </w:r>
          </w:p>
        </w:tc>
      </w:tr>
    </w:tbl>
    <w:p>
      <w:pPr>
        <w:spacing w:after="0" w:line="240" w:lineRule="auto"/>
        <w:jc w:val="right"/>
        <w:rPr>
          <w:rFonts w:ascii="宋体" w:hAnsi="宋体" w:cs="宋体" w:eastAsia="宋体" w:hint="default"/>
          <w:sz w:val="21"/>
          <w:szCs w:val="21"/>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商业承兑票据</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0.00</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0.00</w:t>
            </w:r>
          </w:p>
        </w:tc>
      </w:tr>
    </w:tbl>
    <w:p>
      <w:pPr>
        <w:spacing w:line="240" w:lineRule="auto" w:before="10"/>
        <w:rPr>
          <w:rFonts w:ascii="宋体" w:hAnsi="宋体" w:cs="宋体" w:eastAsia="宋体" w:hint="default"/>
          <w:sz w:val="4"/>
          <w:szCs w:val="4"/>
        </w:rPr>
      </w:pPr>
    </w:p>
    <w:p>
      <w:pPr>
        <w:pStyle w:val="Heading2"/>
        <w:spacing w:line="240" w:lineRule="auto"/>
        <w:ind w:right="996"/>
        <w:jc w:val="left"/>
        <w:rPr>
          <w:b w:val="0"/>
          <w:bCs w:val="0"/>
        </w:rPr>
      </w:pPr>
      <w:bookmarkStart w:name="（3）期末公司已背书或贴现且在资产负债表日尚未到期的应收票据" w:id="254"/>
      <w:bookmarkEnd w:id="254"/>
      <w:r>
        <w:rPr>
          <w:b w:val="0"/>
          <w:bCs w:val="0"/>
        </w:rPr>
      </w:r>
      <w:r>
        <w:rPr/>
        <w:t>（</w:t>
      </w:r>
      <w:r>
        <w:rPr>
          <w:rFonts w:ascii="宋体" w:hAnsi="宋体" w:cs="宋体" w:eastAsia="宋体" w:hint="default"/>
        </w:rPr>
        <w:t>3</w:t>
      </w:r>
      <w:r>
        <w:rPr/>
        <w:t>）期末公司已背书或贴现且在资产负债表日尚未到期的应收票据</w:t>
      </w:r>
      <w:r>
        <w:rPr>
          <w:b w:val="0"/>
          <w:bCs w:val="0"/>
        </w:rPr>
      </w:r>
    </w:p>
    <w:p>
      <w:pPr>
        <w:spacing w:line="240" w:lineRule="auto" w:before="9"/>
        <w:rPr>
          <w:rFonts w:ascii="宋体" w:hAnsi="宋体" w:cs="宋体" w:eastAsia="宋体" w:hint="default"/>
          <w:b/>
          <w:bCs/>
          <w:sz w:val="12"/>
          <w:szCs w:val="12"/>
        </w:rPr>
      </w:pPr>
    </w:p>
    <w:p>
      <w:pPr>
        <w:spacing w:before="35"/>
        <w:ind w:left="0" w:right="1129" w:firstLine="0"/>
        <w:jc w:val="right"/>
        <w:rPr>
          <w:rFonts w:ascii="宋体" w:hAnsi="宋体" w:cs="宋体" w:eastAsia="宋体" w:hint="default"/>
          <w:sz w:val="21"/>
          <w:szCs w:val="21"/>
        </w:rPr>
      </w:pPr>
      <w:r>
        <w:rPr>
          <w:rFonts w:ascii="宋体" w:hAnsi="宋体" w:cs="宋体" w:eastAsia="宋体" w:hint="default"/>
          <w:sz w:val="21"/>
          <w:szCs w:val="21"/>
        </w:rPr>
        <w:t>单位： 元</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762" w:right="0"/>
              <w:jc w:val="left"/>
              <w:rPr>
                <w:rFonts w:ascii="宋体" w:hAnsi="宋体" w:cs="宋体" w:eastAsia="宋体" w:hint="default"/>
                <w:sz w:val="21"/>
                <w:szCs w:val="21"/>
              </w:rPr>
            </w:pPr>
            <w:r>
              <w:rPr>
                <w:rFonts w:ascii="宋体" w:hAnsi="宋体" w:cs="宋体" w:eastAsia="宋体" w:hint="default"/>
                <w:sz w:val="21"/>
                <w:szCs w:val="21"/>
              </w:rPr>
              <w:t>期末终止确认金额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644" w:right="0"/>
              <w:jc w:val="left"/>
              <w:rPr>
                <w:rFonts w:ascii="宋体" w:hAnsi="宋体" w:cs="宋体" w:eastAsia="宋体" w:hint="default"/>
                <w:sz w:val="21"/>
                <w:szCs w:val="21"/>
              </w:rPr>
            </w:pPr>
            <w:r>
              <w:rPr>
                <w:rFonts w:ascii="宋体" w:hAnsi="宋体" w:cs="宋体" w:eastAsia="宋体" w:hint="default"/>
                <w:sz w:val="21"/>
                <w:szCs w:val="21"/>
              </w:rPr>
              <w:t>期末未终止确认金额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银行承兑票据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19"/>
              <w:jc w:val="right"/>
              <w:rPr>
                <w:rFonts w:ascii="宋体" w:hAnsi="宋体" w:cs="宋体" w:eastAsia="宋体" w:hint="default"/>
                <w:sz w:val="21"/>
                <w:szCs w:val="21"/>
              </w:rPr>
            </w:pPr>
            <w:r>
              <w:rPr>
                <w:rFonts w:ascii="宋体"/>
                <w:sz w:val="21"/>
              </w:rPr>
              <w:t>7,544,050.54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商业承兑票据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19"/>
              <w:jc w:val="right"/>
              <w:rPr>
                <w:rFonts w:ascii="宋体" w:hAnsi="宋体" w:cs="宋体" w:eastAsia="宋体" w:hint="default"/>
                <w:sz w:val="21"/>
                <w:szCs w:val="21"/>
              </w:rPr>
            </w:pPr>
            <w:r>
              <w:rPr>
                <w:rFonts w:ascii="宋体"/>
                <w:sz w:val="21"/>
              </w:rPr>
              <w:t>4,871,764.10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12,415,814.64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0.00</w:t>
            </w:r>
          </w:p>
        </w:tc>
      </w:tr>
    </w:tbl>
    <w:p>
      <w:pPr>
        <w:spacing w:line="240" w:lineRule="auto" w:before="10"/>
        <w:rPr>
          <w:rFonts w:ascii="宋体" w:hAnsi="宋体" w:cs="宋体" w:eastAsia="宋体" w:hint="default"/>
          <w:sz w:val="4"/>
          <w:szCs w:val="4"/>
        </w:rPr>
      </w:pPr>
    </w:p>
    <w:p>
      <w:pPr>
        <w:pStyle w:val="Heading2"/>
        <w:spacing w:line="240" w:lineRule="auto"/>
        <w:ind w:right="996"/>
        <w:jc w:val="left"/>
        <w:rPr>
          <w:b w:val="0"/>
          <w:bCs w:val="0"/>
        </w:rPr>
      </w:pPr>
      <w:bookmarkStart w:name="（4）期末公司因出票人未履约而将其转应收账款的票据" w:id="255"/>
      <w:bookmarkEnd w:id="255"/>
      <w:r>
        <w:rPr>
          <w:b w:val="0"/>
          <w:bCs w:val="0"/>
        </w:rPr>
      </w:r>
      <w:r>
        <w:rPr/>
        <w:t>（</w:t>
      </w:r>
      <w:r>
        <w:rPr>
          <w:rFonts w:ascii="宋体" w:hAnsi="宋体" w:cs="宋体" w:eastAsia="宋体" w:hint="default"/>
        </w:rPr>
        <w:t>4</w:t>
      </w:r>
      <w:r>
        <w:rPr/>
        <w:t>）期末公司因出票人未履约而将其转应收账款的票据</w:t>
      </w:r>
      <w:r>
        <w:rPr>
          <w:b w:val="0"/>
          <w:bCs w:val="0"/>
        </w:rPr>
      </w:r>
    </w:p>
    <w:p>
      <w:pPr>
        <w:spacing w:line="240" w:lineRule="auto" w:before="9"/>
        <w:rPr>
          <w:rFonts w:ascii="宋体" w:hAnsi="宋体" w:cs="宋体" w:eastAsia="宋体" w:hint="default"/>
          <w:b/>
          <w:bCs/>
          <w:sz w:val="12"/>
          <w:szCs w:val="12"/>
        </w:rPr>
      </w:pPr>
    </w:p>
    <w:p>
      <w:pPr>
        <w:spacing w:before="35"/>
        <w:ind w:left="0" w:right="1129" w:firstLine="0"/>
        <w:jc w:val="right"/>
        <w:rPr>
          <w:rFonts w:ascii="宋体" w:hAnsi="宋体" w:cs="宋体" w:eastAsia="宋体" w:hint="default"/>
          <w:sz w:val="21"/>
          <w:szCs w:val="21"/>
        </w:rPr>
      </w:pPr>
      <w:r>
        <w:rPr>
          <w:rFonts w:ascii="宋体" w:hAnsi="宋体" w:cs="宋体" w:eastAsia="宋体" w:hint="default"/>
          <w:sz w:val="21"/>
          <w:szCs w:val="21"/>
        </w:rPr>
        <w:t>单位： 元</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4762"/>
        <w:gridCol w:w="4796"/>
      </w:tblGrid>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4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453" w:right="0"/>
              <w:jc w:val="left"/>
              <w:rPr>
                <w:rFonts w:ascii="宋体" w:hAnsi="宋体" w:cs="宋体" w:eastAsia="宋体" w:hint="default"/>
                <w:sz w:val="21"/>
                <w:szCs w:val="21"/>
              </w:rPr>
            </w:pPr>
            <w:r>
              <w:rPr>
                <w:rFonts w:ascii="宋体" w:hAnsi="宋体" w:cs="宋体" w:eastAsia="宋体" w:hint="default"/>
                <w:sz w:val="21"/>
                <w:szCs w:val="21"/>
              </w:rPr>
              <w:t>期末转应收账款金额</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商业承兑票据</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0.00</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0.00</w:t>
            </w:r>
          </w:p>
        </w:tc>
      </w:tr>
    </w:tbl>
    <w:p>
      <w:pPr>
        <w:spacing w:line="240" w:lineRule="auto" w:before="10"/>
        <w:rPr>
          <w:rFonts w:ascii="宋体" w:hAnsi="宋体" w:cs="宋体" w:eastAsia="宋体" w:hint="default"/>
          <w:sz w:val="4"/>
          <w:szCs w:val="4"/>
        </w:rPr>
      </w:pPr>
    </w:p>
    <w:p>
      <w:pPr>
        <w:pStyle w:val="BodyText"/>
        <w:spacing w:line="352" w:lineRule="auto" w:before="26"/>
        <w:ind w:left="633" w:right="1153"/>
        <w:jc w:val="left"/>
      </w:pPr>
      <w:r>
        <w:rPr/>
        <w:t>其他说明 期末应收票据中无持本公司</w:t>
      </w:r>
      <w:r>
        <w:rPr>
          <w:rFonts w:ascii="宋体" w:hAnsi="宋体" w:cs="宋体" w:eastAsia="宋体" w:hint="default"/>
        </w:rPr>
        <w:t>5</w:t>
      </w:r>
      <w:r>
        <w:rPr/>
        <w:t>％以上（含</w:t>
      </w:r>
      <w:r>
        <w:rPr>
          <w:rFonts w:ascii="宋体" w:hAnsi="宋体" w:cs="宋体" w:eastAsia="宋体" w:hint="default"/>
        </w:rPr>
        <w:t>5</w:t>
      </w:r>
      <w:r>
        <w:rPr/>
        <w:t>％）表决权股份的股东单位欠款，无应收其他</w:t>
      </w:r>
    </w:p>
    <w:p>
      <w:pPr>
        <w:pStyle w:val="BodyText"/>
        <w:spacing w:line="240" w:lineRule="auto" w:before="32"/>
        <w:ind w:left="154" w:right="996"/>
        <w:jc w:val="left"/>
      </w:pPr>
      <w:r>
        <w:rPr/>
        <w:t>关联方款项。</w:t>
      </w:r>
    </w:p>
    <w:p>
      <w:pPr>
        <w:pStyle w:val="Heading2"/>
        <w:spacing w:line="240" w:lineRule="auto" w:before="146"/>
        <w:ind w:right="996"/>
        <w:jc w:val="left"/>
        <w:rPr>
          <w:b w:val="0"/>
          <w:bCs w:val="0"/>
        </w:rPr>
      </w:pPr>
      <w:bookmarkStart w:name="5、应收账款" w:id="256"/>
      <w:bookmarkEnd w:id="256"/>
      <w:r>
        <w:rPr>
          <w:b w:val="0"/>
          <w:bCs w:val="0"/>
        </w:rPr>
      </w:r>
      <w:r>
        <w:rPr>
          <w:rFonts w:ascii="宋体" w:hAnsi="宋体" w:cs="宋体" w:eastAsia="宋体" w:hint="default"/>
        </w:rPr>
        <w:t>5</w:t>
      </w:r>
      <w:r>
        <w:rPr/>
        <w:t>、应收账款</w:t>
      </w:r>
      <w:r>
        <w:rPr>
          <w:b w:val="0"/>
          <w:bCs w:val="0"/>
        </w:rPr>
      </w:r>
    </w:p>
    <w:p>
      <w:pPr>
        <w:spacing w:line="240" w:lineRule="auto" w:before="2"/>
        <w:rPr>
          <w:rFonts w:ascii="宋体" w:hAnsi="宋体" w:cs="宋体" w:eastAsia="宋体" w:hint="default"/>
          <w:b/>
          <w:bCs/>
          <w:sz w:val="23"/>
          <w:szCs w:val="23"/>
        </w:rPr>
      </w:pPr>
    </w:p>
    <w:p>
      <w:pPr>
        <w:pStyle w:val="Heading2"/>
        <w:spacing w:line="240" w:lineRule="auto" w:before="0"/>
        <w:ind w:right="996"/>
        <w:jc w:val="left"/>
        <w:rPr>
          <w:b w:val="0"/>
          <w:bCs w:val="0"/>
        </w:rPr>
      </w:pPr>
      <w:bookmarkStart w:name="（1）应收账款分类披露" w:id="257"/>
      <w:bookmarkEnd w:id="257"/>
      <w:r>
        <w:rPr>
          <w:b w:val="0"/>
          <w:bCs w:val="0"/>
        </w:rPr>
      </w:r>
      <w:r>
        <w:rPr/>
        <w:t>（</w:t>
      </w:r>
      <w:r>
        <w:rPr>
          <w:rFonts w:ascii="宋体" w:hAnsi="宋体" w:cs="宋体" w:eastAsia="宋体" w:hint="default"/>
        </w:rPr>
        <w:t>1</w:t>
      </w:r>
      <w:r>
        <w:rPr/>
        <w:t>）应收账款分类披露</w:t>
      </w:r>
      <w:r>
        <w:rPr>
          <w:b w:val="0"/>
          <w:bCs w:val="0"/>
        </w:rPr>
      </w:r>
    </w:p>
    <w:p>
      <w:pPr>
        <w:spacing w:before="199"/>
        <w:ind w:left="0" w:right="1129" w:firstLine="0"/>
        <w:jc w:val="right"/>
        <w:rPr>
          <w:rFonts w:ascii="宋体" w:hAnsi="宋体" w:cs="宋体" w:eastAsia="宋体" w:hint="default"/>
          <w:sz w:val="21"/>
          <w:szCs w:val="21"/>
        </w:rPr>
      </w:pPr>
      <w:r>
        <w:rPr>
          <w:rFonts w:ascii="宋体" w:hAnsi="宋体" w:cs="宋体" w:eastAsia="宋体" w:hint="default"/>
          <w:sz w:val="21"/>
          <w:szCs w:val="21"/>
        </w:rPr>
        <w:t>单位： 元</w:t>
      </w:r>
    </w:p>
    <w:p>
      <w:pPr>
        <w:spacing w:line="240" w:lineRule="auto" w:before="12"/>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1549"/>
        <w:gridCol w:w="1004"/>
        <w:gridCol w:w="566"/>
        <w:gridCol w:w="994"/>
        <w:gridCol w:w="425"/>
        <w:gridCol w:w="992"/>
        <w:gridCol w:w="991"/>
        <w:gridCol w:w="568"/>
        <w:gridCol w:w="992"/>
        <w:gridCol w:w="426"/>
        <w:gridCol w:w="1134"/>
      </w:tblGrid>
      <w:tr>
        <w:trPr>
          <w:trHeight w:val="403" w:hRule="exact"/>
        </w:trPr>
        <w:tc>
          <w:tcPr>
            <w:tcW w:w="1549" w:type="dxa"/>
            <w:vMerge w:val="restart"/>
            <w:tcBorders>
              <w:top w:val="single" w:sz="4" w:space="0" w:color="000000"/>
              <w:left w:val="single" w:sz="4" w:space="0" w:color="000000"/>
              <w:right w:val="single" w:sz="4" w:space="0" w:color="000000"/>
            </w:tcBorders>
            <w:shd w:val="clear" w:color="auto" w:fill="D2D2D2"/>
          </w:tcPr>
          <w:p>
            <w:pPr/>
          </w:p>
        </w:tc>
        <w:tc>
          <w:tcPr>
            <w:tcW w:w="398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8"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4112"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right="1"/>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402" w:hRule="exact"/>
        </w:trPr>
        <w:tc>
          <w:tcPr>
            <w:tcW w:w="1549" w:type="dxa"/>
            <w:vMerge/>
            <w:tcBorders>
              <w:left w:val="single" w:sz="4" w:space="0" w:color="000000"/>
              <w:bottom w:val="nil" w:sz="6" w:space="0" w:color="auto"/>
              <w:right w:val="single" w:sz="4" w:space="0" w:color="000000"/>
            </w:tcBorders>
            <w:shd w:val="clear" w:color="auto" w:fill="D2D2D2"/>
          </w:tcPr>
          <w:p>
            <w:pPr/>
          </w:p>
        </w:tc>
        <w:tc>
          <w:tcPr>
            <w:tcW w:w="157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365"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41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84"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992" w:type="dxa"/>
            <w:vMerge w:val="restart"/>
            <w:tcBorders>
              <w:top w:val="single" w:sz="4" w:space="0" w:color="000000"/>
              <w:left w:val="single" w:sz="4" w:space="0" w:color="000000"/>
              <w:right w:val="single" w:sz="4" w:space="0" w:color="000000"/>
            </w:tcBorders>
            <w:shd w:val="clear" w:color="auto" w:fill="D2D2D2"/>
          </w:tcPr>
          <w:p>
            <w:pPr/>
          </w:p>
        </w:tc>
        <w:tc>
          <w:tcPr>
            <w:tcW w:w="15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353"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41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83"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134" w:type="dxa"/>
            <w:vMerge w:val="restart"/>
            <w:tcBorders>
              <w:top w:val="single" w:sz="4" w:space="0" w:color="000000"/>
              <w:left w:val="single" w:sz="4" w:space="0" w:color="000000"/>
              <w:right w:val="single" w:sz="4" w:space="0" w:color="000000"/>
            </w:tcBorders>
            <w:shd w:val="clear" w:color="auto" w:fill="D2D2D2"/>
          </w:tcPr>
          <w:p>
            <w:pPr/>
          </w:p>
        </w:tc>
      </w:tr>
      <w:tr>
        <w:trPr>
          <w:trHeight w:val="236" w:hRule="exact"/>
        </w:trPr>
        <w:tc>
          <w:tcPr>
            <w:tcW w:w="154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97"/>
              <w:ind w:left="9" w:right="0"/>
              <w:jc w:val="center"/>
              <w:rPr>
                <w:rFonts w:ascii="宋体" w:hAnsi="宋体" w:cs="宋体" w:eastAsia="宋体" w:hint="default"/>
                <w:sz w:val="21"/>
                <w:szCs w:val="21"/>
              </w:rPr>
            </w:pPr>
            <w:r>
              <w:rPr>
                <w:rFonts w:ascii="宋体" w:hAnsi="宋体" w:cs="宋体" w:eastAsia="宋体" w:hint="default"/>
                <w:sz w:val="21"/>
                <w:szCs w:val="21"/>
              </w:rPr>
              <w:t>类别</w:t>
            </w:r>
          </w:p>
        </w:tc>
        <w:tc>
          <w:tcPr>
            <w:tcW w:w="1004" w:type="dxa"/>
            <w:vMerge w:val="restart"/>
            <w:tcBorders>
              <w:top w:val="single" w:sz="4" w:space="0" w:color="000000"/>
              <w:left w:val="single" w:sz="4" w:space="0" w:color="000000"/>
              <w:right w:val="single" w:sz="4" w:space="0" w:color="000000"/>
            </w:tcBorders>
            <w:shd w:val="clear" w:color="auto" w:fill="D2D2D2"/>
          </w:tcPr>
          <w:p>
            <w:pPr/>
          </w:p>
        </w:tc>
        <w:tc>
          <w:tcPr>
            <w:tcW w:w="566" w:type="dxa"/>
            <w:vMerge w:val="restart"/>
            <w:tcBorders>
              <w:top w:val="single" w:sz="4" w:space="0" w:color="000000"/>
              <w:left w:val="single" w:sz="4" w:space="0" w:color="000000"/>
              <w:right w:val="single" w:sz="4" w:space="0" w:color="000000"/>
            </w:tcBorders>
            <w:shd w:val="clear" w:color="auto" w:fill="D2D2D2"/>
          </w:tcPr>
          <w:p>
            <w:pPr/>
          </w:p>
        </w:tc>
        <w:tc>
          <w:tcPr>
            <w:tcW w:w="994" w:type="dxa"/>
            <w:vMerge w:val="restart"/>
            <w:tcBorders>
              <w:top w:val="single" w:sz="4" w:space="0" w:color="000000"/>
              <w:left w:val="single" w:sz="4" w:space="0" w:color="000000"/>
              <w:right w:val="single" w:sz="4" w:space="0" w:color="000000"/>
            </w:tcBorders>
            <w:shd w:val="clear" w:color="auto" w:fill="D2D2D2"/>
          </w:tcPr>
          <w:p>
            <w:pPr/>
          </w:p>
        </w:tc>
        <w:tc>
          <w:tcPr>
            <w:tcW w:w="425"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26"/>
              <w:ind w:left="101" w:right="101"/>
              <w:jc w:val="both"/>
              <w:rPr>
                <w:rFonts w:ascii="宋体" w:hAnsi="宋体" w:cs="宋体" w:eastAsia="宋体" w:hint="default"/>
                <w:sz w:val="21"/>
                <w:szCs w:val="21"/>
              </w:rPr>
            </w:pPr>
            <w:r>
              <w:rPr>
                <w:rFonts w:ascii="宋体" w:hAnsi="宋体" w:cs="宋体" w:eastAsia="宋体" w:hint="default"/>
                <w:sz w:val="21"/>
                <w:szCs w:val="21"/>
              </w:rPr>
              <w:t>计 提 比 例</w:t>
            </w:r>
          </w:p>
        </w:tc>
        <w:tc>
          <w:tcPr>
            <w:tcW w:w="992" w:type="dxa"/>
            <w:vMerge/>
            <w:tcBorders>
              <w:left w:val="single" w:sz="4" w:space="0" w:color="000000"/>
              <w:bottom w:val="nil" w:sz="6" w:space="0" w:color="auto"/>
              <w:right w:val="single" w:sz="4" w:space="0" w:color="000000"/>
            </w:tcBorders>
            <w:shd w:val="clear" w:color="auto" w:fill="D2D2D2"/>
          </w:tcPr>
          <w:p>
            <w:pPr/>
          </w:p>
        </w:tc>
        <w:tc>
          <w:tcPr>
            <w:tcW w:w="991" w:type="dxa"/>
            <w:vMerge w:val="restart"/>
            <w:tcBorders>
              <w:top w:val="single" w:sz="4" w:space="0" w:color="000000"/>
              <w:left w:val="single" w:sz="4" w:space="0" w:color="000000"/>
              <w:right w:val="single" w:sz="4" w:space="0" w:color="000000"/>
            </w:tcBorders>
            <w:shd w:val="clear" w:color="auto" w:fill="D2D2D2"/>
          </w:tcPr>
          <w:p>
            <w:pPr/>
          </w:p>
        </w:tc>
        <w:tc>
          <w:tcPr>
            <w:tcW w:w="568" w:type="dxa"/>
            <w:vMerge w:val="restart"/>
            <w:tcBorders>
              <w:top w:val="single" w:sz="4" w:space="0" w:color="000000"/>
              <w:left w:val="single" w:sz="4" w:space="0" w:color="000000"/>
              <w:right w:val="single" w:sz="4" w:space="0" w:color="000000"/>
            </w:tcBorders>
            <w:shd w:val="clear" w:color="auto" w:fill="D2D2D2"/>
          </w:tcPr>
          <w:p>
            <w:pPr/>
          </w:p>
        </w:tc>
        <w:tc>
          <w:tcPr>
            <w:tcW w:w="992" w:type="dxa"/>
            <w:vMerge w:val="restart"/>
            <w:tcBorders>
              <w:top w:val="single" w:sz="4" w:space="0" w:color="000000"/>
              <w:left w:val="single" w:sz="4" w:space="0" w:color="000000"/>
              <w:right w:val="single" w:sz="4" w:space="0" w:color="000000"/>
            </w:tcBorders>
            <w:shd w:val="clear" w:color="auto" w:fill="D2D2D2"/>
          </w:tcPr>
          <w:p>
            <w:pPr/>
          </w:p>
        </w:tc>
        <w:tc>
          <w:tcPr>
            <w:tcW w:w="426"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ind w:left="103" w:right="101"/>
              <w:jc w:val="both"/>
              <w:rPr>
                <w:rFonts w:ascii="宋体" w:hAnsi="宋体" w:cs="宋体" w:eastAsia="宋体" w:hint="default"/>
                <w:sz w:val="21"/>
                <w:szCs w:val="21"/>
              </w:rPr>
            </w:pPr>
            <w:r>
              <w:rPr>
                <w:rFonts w:ascii="宋体" w:hAnsi="宋体" w:cs="宋体" w:eastAsia="宋体" w:hint="default"/>
                <w:sz w:val="21"/>
                <w:szCs w:val="21"/>
              </w:rPr>
              <w:t>计 提 比 例</w:t>
            </w:r>
          </w:p>
        </w:tc>
        <w:tc>
          <w:tcPr>
            <w:tcW w:w="1134" w:type="dxa"/>
            <w:vMerge/>
            <w:tcBorders>
              <w:left w:val="single" w:sz="4" w:space="0" w:color="000000"/>
              <w:bottom w:val="nil" w:sz="6" w:space="0" w:color="auto"/>
              <w:right w:val="single" w:sz="4" w:space="0" w:color="000000"/>
            </w:tcBorders>
            <w:shd w:val="clear" w:color="auto" w:fill="D2D2D2"/>
          </w:tcPr>
          <w:p>
            <w:pPr/>
          </w:p>
        </w:tc>
      </w:tr>
      <w:tr>
        <w:trPr>
          <w:trHeight w:val="199" w:hRule="exact"/>
        </w:trPr>
        <w:tc>
          <w:tcPr>
            <w:tcW w:w="1549" w:type="dxa"/>
            <w:vMerge/>
            <w:tcBorders>
              <w:left w:val="single" w:sz="4" w:space="0" w:color="000000"/>
              <w:bottom w:val="single" w:sz="4" w:space="0" w:color="FFFFFF"/>
              <w:right w:val="single" w:sz="4" w:space="0" w:color="000000"/>
            </w:tcBorders>
            <w:shd w:val="clear" w:color="auto" w:fill="D2D2D2"/>
          </w:tcPr>
          <w:p>
            <w:pPr/>
          </w:p>
        </w:tc>
        <w:tc>
          <w:tcPr>
            <w:tcW w:w="1004" w:type="dxa"/>
            <w:vMerge/>
            <w:tcBorders>
              <w:left w:val="single" w:sz="4" w:space="0" w:color="000000"/>
              <w:bottom w:val="single" w:sz="4" w:space="0" w:color="FFFFFF"/>
              <w:right w:val="single" w:sz="4" w:space="0" w:color="000000"/>
            </w:tcBorders>
            <w:shd w:val="clear" w:color="auto" w:fill="D2D2D2"/>
          </w:tcPr>
          <w:p>
            <w:pPr/>
          </w:p>
        </w:tc>
        <w:tc>
          <w:tcPr>
            <w:tcW w:w="566" w:type="dxa"/>
            <w:vMerge/>
            <w:tcBorders>
              <w:left w:val="single" w:sz="4" w:space="0" w:color="000000"/>
              <w:bottom w:val="single" w:sz="4" w:space="0" w:color="FFFFFF"/>
              <w:right w:val="single" w:sz="4" w:space="0" w:color="000000"/>
            </w:tcBorders>
            <w:shd w:val="clear" w:color="auto" w:fill="D2D2D2"/>
          </w:tcPr>
          <w:p>
            <w:pPr/>
          </w:p>
        </w:tc>
        <w:tc>
          <w:tcPr>
            <w:tcW w:w="994" w:type="dxa"/>
            <w:vMerge/>
            <w:tcBorders>
              <w:left w:val="single" w:sz="4" w:space="0" w:color="000000"/>
              <w:bottom w:val="single" w:sz="4" w:space="0" w:color="FFFFFF"/>
              <w:right w:val="single" w:sz="4" w:space="0" w:color="000000"/>
            </w:tcBorders>
            <w:shd w:val="clear" w:color="auto" w:fill="D2D2D2"/>
          </w:tcPr>
          <w:p>
            <w:pPr/>
          </w:p>
        </w:tc>
        <w:tc>
          <w:tcPr>
            <w:tcW w:w="425" w:type="dxa"/>
            <w:vMerge/>
            <w:tcBorders>
              <w:left w:val="single" w:sz="4" w:space="0" w:color="000000"/>
              <w:right w:val="single" w:sz="4" w:space="0" w:color="000000"/>
            </w:tcBorders>
            <w:shd w:val="clear" w:color="auto" w:fill="D2D2D2"/>
          </w:tcPr>
          <w:p>
            <w:pPr/>
          </w:p>
        </w:tc>
        <w:tc>
          <w:tcPr>
            <w:tcW w:w="992" w:type="dxa"/>
            <w:vMerge w:val="restart"/>
            <w:tcBorders>
              <w:top w:val="nil" w:sz="6" w:space="0" w:color="auto"/>
              <w:left w:val="single" w:sz="22" w:space="0" w:color="D2D2D2"/>
              <w:right w:val="single" w:sz="9" w:space="0" w:color="D2D2D2"/>
            </w:tcBorders>
          </w:tcPr>
          <w:p>
            <w:pPr>
              <w:pStyle w:val="TableParagraph"/>
              <w:spacing w:line="240" w:lineRule="auto" w:before="26"/>
              <w:ind w:left="48" w:right="0"/>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shd w:fill="D2D2D2" w:color="auto" w:val="clear"/>
              </w:rPr>
              <w:t>账面价值</w:t>
            </w:r>
            <w:r>
              <w:rPr>
                <w:rFonts w:ascii="宋体" w:hAnsi="宋体" w:cs="宋体" w:eastAsia="宋体" w:hint="default"/>
                <w:sz w:val="21"/>
                <w:szCs w:val="21"/>
              </w:rPr>
            </w:r>
          </w:p>
        </w:tc>
        <w:tc>
          <w:tcPr>
            <w:tcW w:w="991" w:type="dxa"/>
            <w:vMerge/>
            <w:tcBorders>
              <w:left w:val="single" w:sz="4" w:space="0" w:color="000000"/>
              <w:bottom w:val="nil" w:sz="6" w:space="0" w:color="auto"/>
              <w:right w:val="single" w:sz="4" w:space="0" w:color="000000"/>
            </w:tcBorders>
            <w:shd w:val="clear" w:color="auto" w:fill="D2D2D2"/>
          </w:tcPr>
          <w:p>
            <w:pPr/>
          </w:p>
        </w:tc>
        <w:tc>
          <w:tcPr>
            <w:tcW w:w="568" w:type="dxa"/>
            <w:vMerge/>
            <w:tcBorders>
              <w:left w:val="single" w:sz="4" w:space="0" w:color="000000"/>
              <w:bottom w:val="nil" w:sz="6" w:space="0" w:color="auto"/>
              <w:right w:val="single" w:sz="4" w:space="0" w:color="000000"/>
            </w:tcBorders>
            <w:shd w:val="clear" w:color="auto" w:fill="D2D2D2"/>
          </w:tcPr>
          <w:p>
            <w:pPr/>
          </w:p>
        </w:tc>
        <w:tc>
          <w:tcPr>
            <w:tcW w:w="992" w:type="dxa"/>
            <w:vMerge/>
            <w:tcBorders>
              <w:left w:val="single" w:sz="4" w:space="0" w:color="000000"/>
              <w:bottom w:val="nil" w:sz="6" w:space="0" w:color="auto"/>
              <w:right w:val="single" w:sz="4" w:space="0" w:color="000000"/>
            </w:tcBorders>
            <w:shd w:val="clear" w:color="auto" w:fill="D2D2D2"/>
          </w:tcPr>
          <w:p>
            <w:pPr/>
          </w:p>
        </w:tc>
        <w:tc>
          <w:tcPr>
            <w:tcW w:w="426" w:type="dxa"/>
            <w:vMerge/>
            <w:tcBorders>
              <w:left w:val="single" w:sz="4" w:space="0" w:color="000000"/>
              <w:right w:val="single" w:sz="4" w:space="0" w:color="000000"/>
            </w:tcBorders>
            <w:shd w:val="clear" w:color="auto" w:fill="D2D2D2"/>
          </w:tcPr>
          <w:p>
            <w:pPr/>
          </w:p>
        </w:tc>
        <w:tc>
          <w:tcPr>
            <w:tcW w:w="113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6"/>
              <w:ind w:left="141" w:right="0"/>
              <w:jc w:val="left"/>
              <w:rPr>
                <w:rFonts w:ascii="宋体" w:hAnsi="宋体" w:cs="宋体" w:eastAsia="宋体" w:hint="default"/>
                <w:sz w:val="21"/>
                <w:szCs w:val="21"/>
              </w:rPr>
            </w:pPr>
            <w:r>
              <w:rPr>
                <w:rFonts w:ascii="宋体" w:hAnsi="宋体" w:cs="宋体" w:eastAsia="宋体" w:hint="default"/>
                <w:sz w:val="21"/>
                <w:szCs w:val="21"/>
              </w:rPr>
              <w:t>账面价值</w:t>
            </w:r>
          </w:p>
        </w:tc>
      </w:tr>
      <w:tr>
        <w:trPr>
          <w:trHeight w:val="194" w:hRule="exact"/>
        </w:trPr>
        <w:tc>
          <w:tcPr>
            <w:tcW w:w="1549" w:type="dxa"/>
            <w:vMerge w:val="restart"/>
            <w:tcBorders>
              <w:top w:val="single" w:sz="4" w:space="0" w:color="FFFFFF"/>
              <w:left w:val="single" w:sz="4" w:space="0" w:color="000000"/>
              <w:right w:val="single" w:sz="4" w:space="0" w:color="000000"/>
            </w:tcBorders>
            <w:shd w:val="clear" w:color="auto" w:fill="D2D2D2"/>
          </w:tcPr>
          <w:p>
            <w:pPr/>
          </w:p>
        </w:tc>
        <w:tc>
          <w:tcPr>
            <w:tcW w:w="1004"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23"/>
              <w:ind w:left="292"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566"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23"/>
              <w:ind w:left="68" w:right="0"/>
              <w:jc w:val="left"/>
              <w:rPr>
                <w:rFonts w:ascii="宋体" w:hAnsi="宋体" w:cs="宋体" w:eastAsia="宋体" w:hint="default"/>
                <w:sz w:val="21"/>
                <w:szCs w:val="21"/>
              </w:rPr>
            </w:pPr>
            <w:r>
              <w:rPr>
                <w:rFonts w:ascii="宋体" w:hAnsi="宋体" w:cs="宋体" w:eastAsia="宋体" w:hint="default"/>
                <w:sz w:val="21"/>
                <w:szCs w:val="21"/>
              </w:rPr>
              <w:t>比例</w:t>
            </w:r>
          </w:p>
        </w:tc>
        <w:tc>
          <w:tcPr>
            <w:tcW w:w="994"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23"/>
              <w:ind w:left="281"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425" w:type="dxa"/>
            <w:vMerge/>
            <w:tcBorders>
              <w:left w:val="single" w:sz="4" w:space="0" w:color="000000"/>
              <w:right w:val="single" w:sz="4" w:space="0" w:color="000000"/>
            </w:tcBorders>
            <w:shd w:val="clear" w:color="auto" w:fill="D2D2D2"/>
          </w:tcPr>
          <w:p>
            <w:pPr/>
          </w:p>
        </w:tc>
        <w:tc>
          <w:tcPr>
            <w:tcW w:w="992" w:type="dxa"/>
            <w:vMerge/>
            <w:tcBorders>
              <w:left w:val="single" w:sz="22" w:space="0" w:color="D2D2D2"/>
              <w:bottom w:val="nil" w:sz="6" w:space="0" w:color="auto"/>
              <w:right w:val="single" w:sz="9" w:space="0" w:color="D2D2D2"/>
            </w:tcBorders>
          </w:tcPr>
          <w:p>
            <w:pPr/>
          </w:p>
        </w:tc>
        <w:tc>
          <w:tcPr>
            <w:tcW w:w="99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8"/>
              <w:ind w:left="280"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5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8"/>
              <w:ind w:left="69" w:right="0"/>
              <w:jc w:val="left"/>
              <w:rPr>
                <w:rFonts w:ascii="宋体" w:hAnsi="宋体" w:cs="宋体" w:eastAsia="宋体" w:hint="default"/>
                <w:sz w:val="21"/>
                <w:szCs w:val="21"/>
              </w:rPr>
            </w:pPr>
            <w:r>
              <w:rPr>
                <w:rFonts w:ascii="宋体" w:hAnsi="宋体" w:cs="宋体" w:eastAsia="宋体" w:hint="default"/>
                <w:sz w:val="21"/>
                <w:szCs w:val="21"/>
              </w:rPr>
              <w:t>比例</w:t>
            </w:r>
          </w:p>
        </w:tc>
        <w:tc>
          <w:tcPr>
            <w:tcW w:w="99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8"/>
              <w:ind w:left="280"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426" w:type="dxa"/>
            <w:vMerge/>
            <w:tcBorders>
              <w:left w:val="single" w:sz="4" w:space="0" w:color="000000"/>
              <w:right w:val="single" w:sz="4" w:space="0" w:color="000000"/>
            </w:tcBorders>
            <w:shd w:val="clear" w:color="auto" w:fill="D2D2D2"/>
          </w:tcPr>
          <w:p>
            <w:pPr/>
          </w:p>
        </w:tc>
        <w:tc>
          <w:tcPr>
            <w:tcW w:w="1134" w:type="dxa"/>
            <w:vMerge/>
            <w:tcBorders>
              <w:left w:val="single" w:sz="4" w:space="0" w:color="000000"/>
              <w:bottom w:val="nil" w:sz="6" w:space="0" w:color="auto"/>
              <w:right w:val="single" w:sz="4" w:space="0" w:color="000000"/>
            </w:tcBorders>
            <w:shd w:val="clear" w:color="auto" w:fill="D2D2D2"/>
          </w:tcPr>
          <w:p>
            <w:pPr/>
          </w:p>
        </w:tc>
      </w:tr>
      <w:tr>
        <w:trPr>
          <w:trHeight w:val="200" w:hRule="exact"/>
        </w:trPr>
        <w:tc>
          <w:tcPr>
            <w:tcW w:w="1549" w:type="dxa"/>
            <w:vMerge/>
            <w:tcBorders>
              <w:left w:val="single" w:sz="4" w:space="0" w:color="000000"/>
              <w:right w:val="single" w:sz="4" w:space="0" w:color="000000"/>
            </w:tcBorders>
            <w:shd w:val="clear" w:color="auto" w:fill="D2D2D2"/>
          </w:tcPr>
          <w:p>
            <w:pPr/>
          </w:p>
        </w:tc>
        <w:tc>
          <w:tcPr>
            <w:tcW w:w="1004" w:type="dxa"/>
            <w:vMerge/>
            <w:tcBorders>
              <w:left w:val="single" w:sz="4" w:space="0" w:color="000000"/>
              <w:bottom w:val="nil" w:sz="6" w:space="0" w:color="auto"/>
              <w:right w:val="single" w:sz="4" w:space="0" w:color="000000"/>
            </w:tcBorders>
            <w:shd w:val="clear" w:color="auto" w:fill="D2D2D2"/>
          </w:tcPr>
          <w:p>
            <w:pPr/>
          </w:p>
        </w:tc>
        <w:tc>
          <w:tcPr>
            <w:tcW w:w="566" w:type="dxa"/>
            <w:vMerge/>
            <w:tcBorders>
              <w:left w:val="single" w:sz="4" w:space="0" w:color="000000"/>
              <w:bottom w:val="nil" w:sz="6" w:space="0" w:color="auto"/>
              <w:right w:val="single" w:sz="4" w:space="0" w:color="000000"/>
            </w:tcBorders>
            <w:shd w:val="clear" w:color="auto" w:fill="D2D2D2"/>
          </w:tcPr>
          <w:p>
            <w:pPr/>
          </w:p>
        </w:tc>
        <w:tc>
          <w:tcPr>
            <w:tcW w:w="994" w:type="dxa"/>
            <w:vMerge/>
            <w:tcBorders>
              <w:left w:val="single" w:sz="4" w:space="0" w:color="000000"/>
              <w:bottom w:val="nil" w:sz="6" w:space="0" w:color="auto"/>
              <w:right w:val="single" w:sz="4" w:space="0" w:color="000000"/>
            </w:tcBorders>
            <w:shd w:val="clear" w:color="auto" w:fill="D2D2D2"/>
          </w:tcPr>
          <w:p>
            <w:pPr/>
          </w:p>
        </w:tc>
        <w:tc>
          <w:tcPr>
            <w:tcW w:w="425" w:type="dxa"/>
            <w:vMerge/>
            <w:tcBorders>
              <w:left w:val="single" w:sz="4" w:space="0" w:color="000000"/>
              <w:right w:val="single" w:sz="4" w:space="0" w:color="000000"/>
            </w:tcBorders>
            <w:shd w:val="clear" w:color="auto" w:fill="D2D2D2"/>
          </w:tcPr>
          <w:p>
            <w:pPr/>
          </w:p>
        </w:tc>
        <w:tc>
          <w:tcPr>
            <w:tcW w:w="992" w:type="dxa"/>
            <w:vMerge w:val="restart"/>
            <w:tcBorders>
              <w:top w:val="nil" w:sz="6" w:space="0" w:color="auto"/>
              <w:left w:val="single" w:sz="4" w:space="0" w:color="000000"/>
              <w:right w:val="single" w:sz="4" w:space="0" w:color="000000"/>
            </w:tcBorders>
            <w:shd w:val="clear" w:color="auto" w:fill="D2D2D2"/>
          </w:tcPr>
          <w:p>
            <w:pPr/>
          </w:p>
        </w:tc>
        <w:tc>
          <w:tcPr>
            <w:tcW w:w="991" w:type="dxa"/>
            <w:vMerge/>
            <w:tcBorders>
              <w:left w:val="single" w:sz="4" w:space="0" w:color="000000"/>
              <w:bottom w:val="nil" w:sz="6" w:space="0" w:color="auto"/>
              <w:right w:val="single" w:sz="4" w:space="0" w:color="000000"/>
            </w:tcBorders>
            <w:shd w:val="clear" w:color="auto" w:fill="D2D2D2"/>
          </w:tcPr>
          <w:p>
            <w:pPr/>
          </w:p>
        </w:tc>
        <w:tc>
          <w:tcPr>
            <w:tcW w:w="568" w:type="dxa"/>
            <w:vMerge/>
            <w:tcBorders>
              <w:left w:val="single" w:sz="4" w:space="0" w:color="000000"/>
              <w:bottom w:val="nil" w:sz="6" w:space="0" w:color="auto"/>
              <w:right w:val="single" w:sz="4" w:space="0" w:color="000000"/>
            </w:tcBorders>
            <w:shd w:val="clear" w:color="auto" w:fill="D2D2D2"/>
          </w:tcPr>
          <w:p>
            <w:pPr/>
          </w:p>
        </w:tc>
        <w:tc>
          <w:tcPr>
            <w:tcW w:w="992" w:type="dxa"/>
            <w:vMerge/>
            <w:tcBorders>
              <w:left w:val="single" w:sz="4" w:space="0" w:color="000000"/>
              <w:bottom w:val="nil" w:sz="6" w:space="0" w:color="auto"/>
              <w:right w:val="single" w:sz="4" w:space="0" w:color="000000"/>
            </w:tcBorders>
            <w:shd w:val="clear" w:color="auto" w:fill="D2D2D2"/>
          </w:tcPr>
          <w:p>
            <w:pPr/>
          </w:p>
        </w:tc>
        <w:tc>
          <w:tcPr>
            <w:tcW w:w="426" w:type="dxa"/>
            <w:vMerge/>
            <w:tcBorders>
              <w:left w:val="single" w:sz="4" w:space="0" w:color="000000"/>
              <w:right w:val="single" w:sz="4" w:space="0" w:color="000000"/>
            </w:tcBorders>
            <w:shd w:val="clear" w:color="auto" w:fill="D2D2D2"/>
          </w:tcPr>
          <w:p>
            <w:pPr/>
          </w:p>
        </w:tc>
        <w:tc>
          <w:tcPr>
            <w:tcW w:w="1134" w:type="dxa"/>
            <w:vMerge w:val="restart"/>
            <w:tcBorders>
              <w:top w:val="nil" w:sz="6" w:space="0" w:color="auto"/>
              <w:left w:val="single" w:sz="4" w:space="0" w:color="000000"/>
              <w:right w:val="single" w:sz="4" w:space="0" w:color="000000"/>
            </w:tcBorders>
            <w:shd w:val="clear" w:color="auto" w:fill="D2D2D2"/>
          </w:tcPr>
          <w:p>
            <w:pPr/>
          </w:p>
        </w:tc>
      </w:tr>
      <w:tr>
        <w:trPr>
          <w:trHeight w:val="473" w:hRule="exact"/>
        </w:trPr>
        <w:tc>
          <w:tcPr>
            <w:tcW w:w="1549" w:type="dxa"/>
            <w:vMerge/>
            <w:tcBorders>
              <w:left w:val="single" w:sz="4" w:space="0" w:color="000000"/>
              <w:bottom w:val="single" w:sz="4" w:space="0" w:color="000000"/>
              <w:right w:val="single" w:sz="4" w:space="0" w:color="000000"/>
            </w:tcBorders>
            <w:shd w:val="clear" w:color="auto" w:fill="D2D2D2"/>
          </w:tcPr>
          <w:p>
            <w:pPr/>
          </w:p>
        </w:tc>
        <w:tc>
          <w:tcPr>
            <w:tcW w:w="1004" w:type="dxa"/>
            <w:tcBorders>
              <w:top w:val="nil" w:sz="6" w:space="0" w:color="auto"/>
              <w:left w:val="single" w:sz="4" w:space="0" w:color="000000"/>
              <w:bottom w:val="single" w:sz="4" w:space="0" w:color="000000"/>
              <w:right w:val="single" w:sz="4" w:space="0" w:color="000000"/>
            </w:tcBorders>
            <w:shd w:val="clear" w:color="auto" w:fill="D2D2D2"/>
          </w:tcPr>
          <w:p>
            <w:pPr/>
          </w:p>
        </w:tc>
        <w:tc>
          <w:tcPr>
            <w:tcW w:w="566" w:type="dxa"/>
            <w:tcBorders>
              <w:top w:val="nil" w:sz="6" w:space="0" w:color="auto"/>
              <w:left w:val="single" w:sz="4" w:space="0" w:color="000000"/>
              <w:bottom w:val="single" w:sz="4" w:space="0" w:color="000000"/>
              <w:right w:val="single" w:sz="4" w:space="0" w:color="000000"/>
            </w:tcBorders>
            <w:shd w:val="clear" w:color="auto" w:fill="D2D2D2"/>
          </w:tcPr>
          <w:p>
            <w:pPr/>
          </w:p>
        </w:tc>
        <w:tc>
          <w:tcPr>
            <w:tcW w:w="994" w:type="dxa"/>
            <w:tcBorders>
              <w:top w:val="nil" w:sz="6" w:space="0" w:color="auto"/>
              <w:left w:val="single" w:sz="4" w:space="0" w:color="000000"/>
              <w:bottom w:val="single" w:sz="4" w:space="0" w:color="000000"/>
              <w:right w:val="single" w:sz="4" w:space="0" w:color="000000"/>
            </w:tcBorders>
            <w:shd w:val="clear" w:color="auto" w:fill="D2D2D2"/>
          </w:tcPr>
          <w:p>
            <w:pPr/>
          </w:p>
        </w:tc>
        <w:tc>
          <w:tcPr>
            <w:tcW w:w="425" w:type="dxa"/>
            <w:vMerge/>
            <w:tcBorders>
              <w:left w:val="single" w:sz="4" w:space="0" w:color="000000"/>
              <w:bottom w:val="single" w:sz="4" w:space="0" w:color="000000"/>
              <w:right w:val="single" w:sz="4" w:space="0" w:color="000000"/>
            </w:tcBorders>
            <w:shd w:val="clear" w:color="auto" w:fill="D2D2D2"/>
          </w:tcPr>
          <w:p>
            <w:pPr/>
          </w:p>
        </w:tc>
        <w:tc>
          <w:tcPr>
            <w:tcW w:w="992" w:type="dxa"/>
            <w:vMerge/>
            <w:tcBorders>
              <w:left w:val="single" w:sz="4" w:space="0" w:color="000000"/>
              <w:bottom w:val="single" w:sz="4" w:space="0" w:color="000000"/>
              <w:right w:val="single" w:sz="4" w:space="0" w:color="000000"/>
            </w:tcBorders>
            <w:shd w:val="clear" w:color="auto" w:fill="D2D2D2"/>
          </w:tcPr>
          <w:p>
            <w:pPr/>
          </w:p>
        </w:tc>
        <w:tc>
          <w:tcPr>
            <w:tcW w:w="991" w:type="dxa"/>
            <w:tcBorders>
              <w:top w:val="nil" w:sz="6" w:space="0" w:color="auto"/>
              <w:left w:val="single" w:sz="4" w:space="0" w:color="000000"/>
              <w:bottom w:val="single" w:sz="4" w:space="0" w:color="000000"/>
              <w:right w:val="single" w:sz="4" w:space="0" w:color="000000"/>
            </w:tcBorders>
            <w:shd w:val="clear" w:color="auto" w:fill="D2D2D2"/>
          </w:tcPr>
          <w:p>
            <w:pPr/>
          </w:p>
        </w:tc>
        <w:tc>
          <w:tcPr>
            <w:tcW w:w="568" w:type="dxa"/>
            <w:tcBorders>
              <w:top w:val="nil" w:sz="6" w:space="0" w:color="auto"/>
              <w:left w:val="single" w:sz="4" w:space="0" w:color="000000"/>
              <w:bottom w:val="single" w:sz="4" w:space="0" w:color="000000"/>
              <w:right w:val="single" w:sz="4" w:space="0" w:color="000000"/>
            </w:tcBorders>
            <w:shd w:val="clear" w:color="auto" w:fill="D2D2D2"/>
          </w:tcPr>
          <w:p>
            <w:pPr/>
          </w:p>
        </w:tc>
        <w:tc>
          <w:tcPr>
            <w:tcW w:w="992" w:type="dxa"/>
            <w:tcBorders>
              <w:top w:val="nil" w:sz="6" w:space="0" w:color="auto"/>
              <w:left w:val="single" w:sz="4" w:space="0" w:color="000000"/>
              <w:bottom w:val="single" w:sz="4" w:space="0" w:color="000000"/>
              <w:right w:val="single" w:sz="4" w:space="0" w:color="000000"/>
            </w:tcBorders>
            <w:shd w:val="clear" w:color="auto" w:fill="D2D2D2"/>
          </w:tcPr>
          <w:p>
            <w:pPr/>
          </w:p>
        </w:tc>
        <w:tc>
          <w:tcPr>
            <w:tcW w:w="426" w:type="dxa"/>
            <w:vMerge/>
            <w:tcBorders>
              <w:left w:val="single" w:sz="4" w:space="0" w:color="000000"/>
              <w:bottom w:val="single" w:sz="4" w:space="0" w:color="000000"/>
              <w:right w:val="single" w:sz="4" w:space="0" w:color="000000"/>
            </w:tcBorders>
            <w:shd w:val="clear" w:color="auto" w:fill="D2D2D2"/>
          </w:tcPr>
          <w:p>
            <w:pPr/>
          </w:p>
        </w:tc>
        <w:tc>
          <w:tcPr>
            <w:tcW w:w="1134"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5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7"/>
              <w:ind w:left="22" w:right="44"/>
              <w:jc w:val="both"/>
              <w:rPr>
                <w:rFonts w:ascii="宋体" w:hAnsi="宋体" w:cs="宋体" w:eastAsia="宋体" w:hint="default"/>
                <w:sz w:val="21"/>
                <w:szCs w:val="21"/>
              </w:rPr>
            </w:pPr>
            <w:r>
              <w:rPr>
                <w:rFonts w:ascii="宋体" w:hAnsi="宋体" w:cs="宋体" w:eastAsia="宋体" w:hint="default"/>
                <w:sz w:val="21"/>
                <w:szCs w:val="21"/>
              </w:rPr>
              <w:t>按信用风险特征 组合计提坏账准 备的应收账款</w:t>
            </w:r>
          </w:p>
        </w:tc>
        <w:tc>
          <w:tcPr>
            <w:tcW w:w="100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123" w:right="0"/>
              <w:jc w:val="left"/>
              <w:rPr>
                <w:rFonts w:ascii="宋体" w:hAnsi="宋体" w:cs="宋体" w:eastAsia="宋体" w:hint="default"/>
                <w:sz w:val="21"/>
                <w:szCs w:val="21"/>
              </w:rPr>
            </w:pPr>
            <w:r>
              <w:rPr>
                <w:rFonts w:ascii="宋体"/>
                <w:sz w:val="21"/>
              </w:rPr>
              <w:t>674,670,</w:t>
            </w:r>
          </w:p>
          <w:p>
            <w:pPr>
              <w:pStyle w:val="TableParagraph"/>
              <w:spacing w:line="240" w:lineRule="auto" w:before="37"/>
              <w:ind w:left="333" w:right="0"/>
              <w:jc w:val="left"/>
              <w:rPr>
                <w:rFonts w:ascii="宋体" w:hAnsi="宋体" w:cs="宋体" w:eastAsia="宋体" w:hint="default"/>
                <w:sz w:val="21"/>
                <w:szCs w:val="21"/>
              </w:rPr>
            </w:pPr>
            <w:r>
              <w:rPr>
                <w:rFonts w:ascii="宋体"/>
                <w:sz w:val="21"/>
              </w:rPr>
              <w:t>353.86</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91" w:right="0"/>
              <w:jc w:val="center"/>
              <w:rPr>
                <w:rFonts w:ascii="宋体" w:hAnsi="宋体" w:cs="宋体" w:eastAsia="宋体" w:hint="default"/>
                <w:sz w:val="21"/>
                <w:szCs w:val="21"/>
              </w:rPr>
            </w:pPr>
            <w:r>
              <w:rPr>
                <w:rFonts w:ascii="宋体"/>
                <w:sz w:val="21"/>
              </w:rPr>
              <w:t>100.</w:t>
            </w:r>
          </w:p>
          <w:p>
            <w:pPr>
              <w:pStyle w:val="TableParagraph"/>
              <w:spacing w:line="240" w:lineRule="auto" w:before="37"/>
              <w:ind w:left="197" w:right="0"/>
              <w:jc w:val="center"/>
              <w:rPr>
                <w:rFonts w:ascii="宋体" w:hAnsi="宋体" w:cs="宋体" w:eastAsia="宋体" w:hint="default"/>
                <w:sz w:val="21"/>
                <w:szCs w:val="21"/>
              </w:rPr>
            </w:pPr>
            <w:r>
              <w:rPr>
                <w:rFonts w:ascii="宋体"/>
                <w:sz w:val="21"/>
              </w:rPr>
              <w:t>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121" w:right="0"/>
              <w:jc w:val="left"/>
              <w:rPr>
                <w:rFonts w:ascii="宋体" w:hAnsi="宋体" w:cs="宋体" w:eastAsia="宋体" w:hint="default"/>
                <w:sz w:val="21"/>
                <w:szCs w:val="21"/>
              </w:rPr>
            </w:pPr>
            <w:r>
              <w:rPr>
                <w:rFonts w:ascii="宋体"/>
                <w:sz w:val="21"/>
              </w:rPr>
              <w:t>107,181,</w:t>
            </w:r>
          </w:p>
          <w:p>
            <w:pPr>
              <w:pStyle w:val="TableParagraph"/>
              <w:spacing w:line="240" w:lineRule="auto" w:before="37"/>
              <w:ind w:left="331" w:right="0"/>
              <w:jc w:val="left"/>
              <w:rPr>
                <w:rFonts w:ascii="宋体" w:hAnsi="宋体" w:cs="宋体" w:eastAsia="宋体" w:hint="default"/>
                <w:sz w:val="21"/>
                <w:szCs w:val="21"/>
              </w:rPr>
            </w:pPr>
            <w:r>
              <w:rPr>
                <w:rFonts w:ascii="宋体"/>
                <w:sz w:val="21"/>
              </w:rPr>
              <w:t>135.44</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76" w:right="0"/>
              <w:jc w:val="left"/>
              <w:rPr>
                <w:rFonts w:ascii="宋体" w:hAnsi="宋体" w:cs="宋体" w:eastAsia="宋体" w:hint="default"/>
                <w:sz w:val="21"/>
                <w:szCs w:val="21"/>
              </w:rPr>
            </w:pPr>
            <w:r>
              <w:rPr>
                <w:rFonts w:ascii="宋体"/>
                <w:sz w:val="21"/>
              </w:rPr>
              <w:t>15.</w:t>
            </w:r>
          </w:p>
          <w:p>
            <w:pPr>
              <w:pStyle w:val="TableParagraph"/>
              <w:spacing w:line="240" w:lineRule="auto" w:before="37"/>
              <w:ind w:left="76" w:right="0"/>
              <w:jc w:val="left"/>
              <w:rPr>
                <w:rFonts w:ascii="宋体" w:hAnsi="宋体" w:cs="宋体" w:eastAsia="宋体" w:hint="default"/>
                <w:sz w:val="21"/>
                <w:szCs w:val="21"/>
              </w:rPr>
            </w:pPr>
            <w:r>
              <w:rPr>
                <w:rFonts w:ascii="宋体"/>
                <w:sz w:val="21"/>
              </w:rPr>
              <w:t>89%</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118" w:right="0"/>
              <w:jc w:val="left"/>
              <w:rPr>
                <w:rFonts w:ascii="宋体" w:hAnsi="宋体" w:cs="宋体" w:eastAsia="宋体" w:hint="default"/>
                <w:sz w:val="21"/>
                <w:szCs w:val="21"/>
              </w:rPr>
            </w:pPr>
            <w:r>
              <w:rPr>
                <w:rFonts w:ascii="宋体"/>
                <w:sz w:val="21"/>
              </w:rPr>
              <w:t>567,489,</w:t>
            </w:r>
          </w:p>
          <w:p>
            <w:pPr>
              <w:pStyle w:val="TableParagraph"/>
              <w:spacing w:line="240" w:lineRule="auto" w:before="37"/>
              <w:ind w:left="328" w:right="0"/>
              <w:jc w:val="left"/>
              <w:rPr>
                <w:rFonts w:ascii="宋体" w:hAnsi="宋体" w:cs="宋体" w:eastAsia="宋体" w:hint="default"/>
                <w:sz w:val="21"/>
                <w:szCs w:val="21"/>
              </w:rPr>
            </w:pPr>
            <w:r>
              <w:rPr>
                <w:rFonts w:ascii="宋体"/>
                <w:sz w:val="21"/>
              </w:rPr>
              <w:t>218.42</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118" w:right="0"/>
              <w:jc w:val="left"/>
              <w:rPr>
                <w:rFonts w:ascii="宋体" w:hAnsi="宋体" w:cs="宋体" w:eastAsia="宋体" w:hint="default"/>
                <w:sz w:val="21"/>
                <w:szCs w:val="21"/>
              </w:rPr>
            </w:pPr>
            <w:r>
              <w:rPr>
                <w:rFonts w:ascii="宋体"/>
                <w:sz w:val="21"/>
              </w:rPr>
              <w:t>558,878,</w:t>
            </w:r>
          </w:p>
          <w:p>
            <w:pPr>
              <w:pStyle w:val="TableParagraph"/>
              <w:spacing w:line="240" w:lineRule="auto" w:before="37"/>
              <w:ind w:left="328" w:right="0"/>
              <w:jc w:val="left"/>
              <w:rPr>
                <w:rFonts w:ascii="宋体" w:hAnsi="宋体" w:cs="宋体" w:eastAsia="宋体" w:hint="default"/>
                <w:sz w:val="21"/>
                <w:szCs w:val="21"/>
              </w:rPr>
            </w:pPr>
            <w:r>
              <w:rPr>
                <w:rFonts w:ascii="宋体"/>
                <w:sz w:val="21"/>
              </w:rPr>
              <w:t>547.75</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92" w:right="0"/>
              <w:jc w:val="center"/>
              <w:rPr>
                <w:rFonts w:ascii="宋体" w:hAnsi="宋体" w:cs="宋体" w:eastAsia="宋体" w:hint="default"/>
                <w:sz w:val="21"/>
                <w:szCs w:val="21"/>
              </w:rPr>
            </w:pPr>
            <w:r>
              <w:rPr>
                <w:rFonts w:ascii="宋体"/>
                <w:sz w:val="21"/>
              </w:rPr>
              <w:t>100.</w:t>
            </w:r>
          </w:p>
          <w:p>
            <w:pPr>
              <w:pStyle w:val="TableParagraph"/>
              <w:spacing w:line="240" w:lineRule="auto" w:before="37"/>
              <w:ind w:left="198" w:right="0"/>
              <w:jc w:val="center"/>
              <w:rPr>
                <w:rFonts w:ascii="宋体" w:hAnsi="宋体" w:cs="宋体" w:eastAsia="宋体" w:hint="default"/>
                <w:sz w:val="21"/>
                <w:szCs w:val="21"/>
              </w:rPr>
            </w:pPr>
            <w:r>
              <w:rPr>
                <w:rFonts w:ascii="宋体"/>
                <w:sz w:val="21"/>
              </w:rPr>
              <w:t>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120" w:right="0"/>
              <w:jc w:val="left"/>
              <w:rPr>
                <w:rFonts w:ascii="宋体" w:hAnsi="宋体" w:cs="宋体" w:eastAsia="宋体" w:hint="default"/>
                <w:sz w:val="21"/>
                <w:szCs w:val="21"/>
              </w:rPr>
            </w:pPr>
            <w:r>
              <w:rPr>
                <w:rFonts w:ascii="宋体"/>
                <w:sz w:val="21"/>
              </w:rPr>
              <w:t>93,088,9</w:t>
            </w:r>
          </w:p>
          <w:p>
            <w:pPr>
              <w:pStyle w:val="TableParagraph"/>
              <w:spacing w:line="240" w:lineRule="auto" w:before="37"/>
              <w:ind w:left="435" w:right="0"/>
              <w:jc w:val="left"/>
              <w:rPr>
                <w:rFonts w:ascii="宋体" w:hAnsi="宋体" w:cs="宋体" w:eastAsia="宋体" w:hint="default"/>
                <w:sz w:val="21"/>
                <w:szCs w:val="21"/>
              </w:rPr>
            </w:pPr>
            <w:r>
              <w:rPr>
                <w:rFonts w:ascii="宋体"/>
                <w:sz w:val="21"/>
              </w:rPr>
              <w:t>64.05</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77" w:right="0"/>
              <w:jc w:val="left"/>
              <w:rPr>
                <w:rFonts w:ascii="宋体" w:hAnsi="宋体" w:cs="宋体" w:eastAsia="宋体" w:hint="default"/>
                <w:sz w:val="21"/>
                <w:szCs w:val="21"/>
              </w:rPr>
            </w:pPr>
            <w:r>
              <w:rPr>
                <w:rFonts w:ascii="宋体"/>
                <w:sz w:val="21"/>
              </w:rPr>
              <w:t>16.</w:t>
            </w:r>
          </w:p>
          <w:p>
            <w:pPr>
              <w:pStyle w:val="TableParagraph"/>
              <w:spacing w:line="240" w:lineRule="auto" w:before="37"/>
              <w:ind w:left="77" w:right="0"/>
              <w:jc w:val="left"/>
              <w:rPr>
                <w:rFonts w:ascii="宋体" w:hAnsi="宋体" w:cs="宋体" w:eastAsia="宋体" w:hint="default"/>
                <w:sz w:val="21"/>
                <w:szCs w:val="21"/>
              </w:rPr>
            </w:pPr>
            <w:r>
              <w:rPr>
                <w:rFonts w:ascii="宋体"/>
                <w:sz w:val="21"/>
              </w:rPr>
              <w:t>66%</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50" w:right="0"/>
              <w:jc w:val="left"/>
              <w:rPr>
                <w:rFonts w:ascii="宋体" w:hAnsi="宋体" w:cs="宋体" w:eastAsia="宋体" w:hint="default"/>
                <w:sz w:val="21"/>
                <w:szCs w:val="21"/>
              </w:rPr>
            </w:pPr>
            <w:r>
              <w:rPr>
                <w:rFonts w:ascii="宋体"/>
                <w:sz w:val="21"/>
              </w:rPr>
              <w:t>465,789,58</w:t>
            </w:r>
          </w:p>
          <w:p>
            <w:pPr>
              <w:pStyle w:val="TableParagraph"/>
              <w:spacing w:line="240" w:lineRule="auto" w:before="37"/>
              <w:ind w:left="680" w:right="0"/>
              <w:jc w:val="left"/>
              <w:rPr>
                <w:rFonts w:ascii="宋体" w:hAnsi="宋体" w:cs="宋体" w:eastAsia="宋体" w:hint="default"/>
                <w:sz w:val="21"/>
                <w:szCs w:val="21"/>
              </w:rPr>
            </w:pPr>
            <w:r>
              <w:rPr>
                <w:rFonts w:ascii="宋体"/>
                <w:sz w:val="21"/>
              </w:rPr>
              <w:t>3.70</w:t>
            </w:r>
          </w:p>
        </w:tc>
      </w:tr>
      <w:tr>
        <w:trPr>
          <w:trHeight w:val="162" w:hRule="exact"/>
        </w:trPr>
        <w:tc>
          <w:tcPr>
            <w:tcW w:w="1549" w:type="dxa"/>
            <w:tcBorders>
              <w:top w:val="single" w:sz="4" w:space="0" w:color="000000"/>
              <w:left w:val="single" w:sz="4" w:space="0" w:color="000000"/>
              <w:bottom w:val="nil" w:sz="6" w:space="0" w:color="auto"/>
              <w:right w:val="single" w:sz="4" w:space="0" w:color="000000"/>
            </w:tcBorders>
            <w:shd w:val="clear" w:color="auto" w:fill="D2D2D2"/>
          </w:tcPr>
          <w:p>
            <w:pPr/>
          </w:p>
        </w:tc>
        <w:tc>
          <w:tcPr>
            <w:tcW w:w="1004" w:type="dxa"/>
            <w:vMerge w:val="restart"/>
            <w:tcBorders>
              <w:top w:val="single" w:sz="4" w:space="0" w:color="000000"/>
              <w:left w:val="single" w:sz="9" w:space="0" w:color="D2D2D2"/>
              <w:right w:val="single" w:sz="4" w:space="0" w:color="000000"/>
            </w:tcBorders>
          </w:tcPr>
          <w:p>
            <w:pPr>
              <w:pStyle w:val="TableParagraph"/>
              <w:spacing w:line="240" w:lineRule="auto" w:before="27"/>
              <w:ind w:left="123" w:right="0"/>
              <w:jc w:val="left"/>
              <w:rPr>
                <w:rFonts w:ascii="宋体" w:hAnsi="宋体" w:cs="宋体" w:eastAsia="宋体" w:hint="default"/>
                <w:sz w:val="21"/>
                <w:szCs w:val="21"/>
              </w:rPr>
            </w:pPr>
            <w:r>
              <w:rPr>
                <w:rFonts w:ascii="宋体"/>
                <w:sz w:val="21"/>
              </w:rPr>
              <w:t>674,670,</w:t>
            </w:r>
          </w:p>
          <w:p>
            <w:pPr>
              <w:pStyle w:val="TableParagraph"/>
              <w:spacing w:line="240" w:lineRule="auto" w:before="37"/>
              <w:ind w:left="333" w:right="0"/>
              <w:jc w:val="left"/>
              <w:rPr>
                <w:rFonts w:ascii="宋体" w:hAnsi="宋体" w:cs="宋体" w:eastAsia="宋体" w:hint="default"/>
                <w:sz w:val="21"/>
                <w:szCs w:val="21"/>
              </w:rPr>
            </w:pPr>
            <w:r>
              <w:rPr>
                <w:rFonts w:ascii="宋体"/>
                <w:sz w:val="21"/>
              </w:rPr>
              <w:t>353.86</w:t>
            </w:r>
          </w:p>
        </w:tc>
        <w:tc>
          <w:tcPr>
            <w:tcW w:w="566" w:type="dxa"/>
            <w:vMerge w:val="restart"/>
            <w:tcBorders>
              <w:top w:val="single" w:sz="4" w:space="0" w:color="000000"/>
              <w:left w:val="single" w:sz="4" w:space="0" w:color="000000"/>
              <w:right w:val="single" w:sz="4" w:space="0" w:color="000000"/>
            </w:tcBorders>
          </w:tcPr>
          <w:p>
            <w:pPr>
              <w:pStyle w:val="TableParagraph"/>
              <w:spacing w:line="240" w:lineRule="auto" w:before="27"/>
              <w:ind w:left="91" w:right="0"/>
              <w:jc w:val="center"/>
              <w:rPr>
                <w:rFonts w:ascii="宋体" w:hAnsi="宋体" w:cs="宋体" w:eastAsia="宋体" w:hint="default"/>
                <w:sz w:val="21"/>
                <w:szCs w:val="21"/>
              </w:rPr>
            </w:pPr>
            <w:r>
              <w:rPr>
                <w:rFonts w:ascii="宋体"/>
                <w:sz w:val="21"/>
              </w:rPr>
              <w:t>100.</w:t>
            </w:r>
          </w:p>
          <w:p>
            <w:pPr>
              <w:pStyle w:val="TableParagraph"/>
              <w:spacing w:line="240" w:lineRule="auto" w:before="37"/>
              <w:ind w:left="197" w:right="0"/>
              <w:jc w:val="center"/>
              <w:rPr>
                <w:rFonts w:ascii="宋体" w:hAnsi="宋体" w:cs="宋体" w:eastAsia="宋体" w:hint="default"/>
                <w:sz w:val="21"/>
                <w:szCs w:val="21"/>
              </w:rPr>
            </w:pPr>
            <w:r>
              <w:rPr>
                <w:rFonts w:ascii="宋体"/>
                <w:sz w:val="21"/>
              </w:rPr>
              <w:t>00%</w:t>
            </w:r>
          </w:p>
        </w:tc>
        <w:tc>
          <w:tcPr>
            <w:tcW w:w="994" w:type="dxa"/>
            <w:vMerge w:val="restart"/>
            <w:tcBorders>
              <w:top w:val="single" w:sz="4" w:space="0" w:color="000000"/>
              <w:left w:val="single" w:sz="4" w:space="0" w:color="000000"/>
              <w:right w:val="single" w:sz="4" w:space="0" w:color="000000"/>
            </w:tcBorders>
          </w:tcPr>
          <w:p>
            <w:pPr>
              <w:pStyle w:val="TableParagraph"/>
              <w:spacing w:line="240" w:lineRule="auto" w:before="27"/>
              <w:ind w:left="121" w:right="0"/>
              <w:jc w:val="left"/>
              <w:rPr>
                <w:rFonts w:ascii="宋体" w:hAnsi="宋体" w:cs="宋体" w:eastAsia="宋体" w:hint="default"/>
                <w:sz w:val="21"/>
                <w:szCs w:val="21"/>
              </w:rPr>
            </w:pPr>
            <w:r>
              <w:rPr>
                <w:rFonts w:ascii="宋体"/>
                <w:sz w:val="21"/>
              </w:rPr>
              <w:t>107,181,</w:t>
            </w:r>
          </w:p>
          <w:p>
            <w:pPr>
              <w:pStyle w:val="TableParagraph"/>
              <w:spacing w:line="240" w:lineRule="auto" w:before="37"/>
              <w:ind w:left="331" w:right="0"/>
              <w:jc w:val="left"/>
              <w:rPr>
                <w:rFonts w:ascii="宋体" w:hAnsi="宋体" w:cs="宋体" w:eastAsia="宋体" w:hint="default"/>
                <w:sz w:val="21"/>
                <w:szCs w:val="21"/>
              </w:rPr>
            </w:pPr>
            <w:r>
              <w:rPr>
                <w:rFonts w:ascii="宋体"/>
                <w:sz w:val="21"/>
              </w:rPr>
              <w:t>135.44</w:t>
            </w:r>
          </w:p>
        </w:tc>
        <w:tc>
          <w:tcPr>
            <w:tcW w:w="425" w:type="dxa"/>
            <w:vMerge w:val="restart"/>
            <w:tcBorders>
              <w:top w:val="single" w:sz="4" w:space="0" w:color="000000"/>
              <w:left w:val="single" w:sz="4" w:space="0" w:color="000000"/>
              <w:right w:val="single" w:sz="4" w:space="0" w:color="000000"/>
            </w:tcBorders>
          </w:tcPr>
          <w:p>
            <w:pPr>
              <w:pStyle w:val="TableParagraph"/>
              <w:spacing w:line="240" w:lineRule="auto" w:before="27"/>
              <w:ind w:left="76" w:right="0"/>
              <w:jc w:val="left"/>
              <w:rPr>
                <w:rFonts w:ascii="宋体" w:hAnsi="宋体" w:cs="宋体" w:eastAsia="宋体" w:hint="default"/>
                <w:sz w:val="21"/>
                <w:szCs w:val="21"/>
              </w:rPr>
            </w:pPr>
            <w:r>
              <w:rPr>
                <w:rFonts w:ascii="宋体"/>
                <w:sz w:val="21"/>
              </w:rPr>
              <w:t>15.</w:t>
            </w:r>
          </w:p>
          <w:p>
            <w:pPr>
              <w:pStyle w:val="TableParagraph"/>
              <w:spacing w:line="240" w:lineRule="auto" w:before="37"/>
              <w:ind w:left="76" w:right="0"/>
              <w:jc w:val="left"/>
              <w:rPr>
                <w:rFonts w:ascii="宋体" w:hAnsi="宋体" w:cs="宋体" w:eastAsia="宋体" w:hint="default"/>
                <w:sz w:val="21"/>
                <w:szCs w:val="21"/>
              </w:rPr>
            </w:pPr>
            <w:r>
              <w:rPr>
                <w:rFonts w:ascii="宋体"/>
                <w:sz w:val="21"/>
              </w:rPr>
              <w:t>89%</w:t>
            </w:r>
          </w:p>
        </w:tc>
        <w:tc>
          <w:tcPr>
            <w:tcW w:w="992" w:type="dxa"/>
            <w:vMerge w:val="restart"/>
            <w:tcBorders>
              <w:top w:val="single" w:sz="4" w:space="0" w:color="000000"/>
              <w:left w:val="single" w:sz="4" w:space="0" w:color="000000"/>
              <w:right w:val="single" w:sz="4" w:space="0" w:color="000000"/>
            </w:tcBorders>
          </w:tcPr>
          <w:p>
            <w:pPr>
              <w:pStyle w:val="TableParagraph"/>
              <w:spacing w:line="240" w:lineRule="auto" w:before="27"/>
              <w:ind w:left="118" w:right="0"/>
              <w:jc w:val="left"/>
              <w:rPr>
                <w:rFonts w:ascii="宋体" w:hAnsi="宋体" w:cs="宋体" w:eastAsia="宋体" w:hint="default"/>
                <w:sz w:val="21"/>
                <w:szCs w:val="21"/>
              </w:rPr>
            </w:pPr>
            <w:r>
              <w:rPr>
                <w:rFonts w:ascii="宋体"/>
                <w:sz w:val="21"/>
              </w:rPr>
              <w:t>567,489,</w:t>
            </w:r>
          </w:p>
          <w:p>
            <w:pPr>
              <w:pStyle w:val="TableParagraph"/>
              <w:spacing w:line="240" w:lineRule="auto" w:before="37"/>
              <w:ind w:left="328" w:right="0"/>
              <w:jc w:val="left"/>
              <w:rPr>
                <w:rFonts w:ascii="宋体" w:hAnsi="宋体" w:cs="宋体" w:eastAsia="宋体" w:hint="default"/>
                <w:sz w:val="21"/>
                <w:szCs w:val="21"/>
              </w:rPr>
            </w:pPr>
            <w:r>
              <w:rPr>
                <w:rFonts w:ascii="宋体"/>
                <w:sz w:val="21"/>
              </w:rPr>
              <w:t>218.42</w:t>
            </w:r>
          </w:p>
        </w:tc>
        <w:tc>
          <w:tcPr>
            <w:tcW w:w="991" w:type="dxa"/>
            <w:vMerge w:val="restart"/>
            <w:tcBorders>
              <w:top w:val="single" w:sz="4" w:space="0" w:color="000000"/>
              <w:left w:val="single" w:sz="4" w:space="0" w:color="000000"/>
              <w:right w:val="single" w:sz="4" w:space="0" w:color="000000"/>
            </w:tcBorders>
          </w:tcPr>
          <w:p>
            <w:pPr>
              <w:pStyle w:val="TableParagraph"/>
              <w:spacing w:line="240" w:lineRule="auto" w:before="27"/>
              <w:ind w:left="118" w:right="0"/>
              <w:jc w:val="left"/>
              <w:rPr>
                <w:rFonts w:ascii="宋体" w:hAnsi="宋体" w:cs="宋体" w:eastAsia="宋体" w:hint="default"/>
                <w:sz w:val="21"/>
                <w:szCs w:val="21"/>
              </w:rPr>
            </w:pPr>
            <w:r>
              <w:rPr>
                <w:rFonts w:ascii="宋体"/>
                <w:sz w:val="21"/>
              </w:rPr>
              <w:t>558,878,</w:t>
            </w:r>
          </w:p>
          <w:p>
            <w:pPr>
              <w:pStyle w:val="TableParagraph"/>
              <w:spacing w:line="240" w:lineRule="auto" w:before="37"/>
              <w:ind w:left="328" w:right="0"/>
              <w:jc w:val="left"/>
              <w:rPr>
                <w:rFonts w:ascii="宋体" w:hAnsi="宋体" w:cs="宋体" w:eastAsia="宋体" w:hint="default"/>
                <w:sz w:val="21"/>
                <w:szCs w:val="21"/>
              </w:rPr>
            </w:pPr>
            <w:r>
              <w:rPr>
                <w:rFonts w:ascii="宋体"/>
                <w:sz w:val="21"/>
              </w:rPr>
              <w:t>547.75</w:t>
            </w:r>
          </w:p>
        </w:tc>
        <w:tc>
          <w:tcPr>
            <w:tcW w:w="568" w:type="dxa"/>
            <w:vMerge w:val="restart"/>
            <w:tcBorders>
              <w:top w:val="single" w:sz="4" w:space="0" w:color="000000"/>
              <w:left w:val="single" w:sz="4" w:space="0" w:color="000000"/>
              <w:right w:val="single" w:sz="4" w:space="0" w:color="000000"/>
            </w:tcBorders>
          </w:tcPr>
          <w:p>
            <w:pPr>
              <w:pStyle w:val="TableParagraph"/>
              <w:spacing w:line="240" w:lineRule="auto" w:before="27"/>
              <w:ind w:left="92" w:right="0"/>
              <w:jc w:val="center"/>
              <w:rPr>
                <w:rFonts w:ascii="宋体" w:hAnsi="宋体" w:cs="宋体" w:eastAsia="宋体" w:hint="default"/>
                <w:sz w:val="21"/>
                <w:szCs w:val="21"/>
              </w:rPr>
            </w:pPr>
            <w:r>
              <w:rPr>
                <w:rFonts w:ascii="宋体"/>
                <w:sz w:val="21"/>
              </w:rPr>
              <w:t>100.</w:t>
            </w:r>
          </w:p>
          <w:p>
            <w:pPr>
              <w:pStyle w:val="TableParagraph"/>
              <w:spacing w:line="240" w:lineRule="auto" w:before="37"/>
              <w:ind w:left="198" w:right="0"/>
              <w:jc w:val="center"/>
              <w:rPr>
                <w:rFonts w:ascii="宋体" w:hAnsi="宋体" w:cs="宋体" w:eastAsia="宋体" w:hint="default"/>
                <w:sz w:val="21"/>
                <w:szCs w:val="21"/>
              </w:rPr>
            </w:pPr>
            <w:r>
              <w:rPr>
                <w:rFonts w:ascii="宋体"/>
                <w:sz w:val="21"/>
              </w:rPr>
              <w:t>00%</w:t>
            </w:r>
          </w:p>
        </w:tc>
        <w:tc>
          <w:tcPr>
            <w:tcW w:w="992" w:type="dxa"/>
            <w:vMerge w:val="restart"/>
            <w:tcBorders>
              <w:top w:val="single" w:sz="4" w:space="0" w:color="000000"/>
              <w:left w:val="single" w:sz="4" w:space="0" w:color="000000"/>
              <w:right w:val="single" w:sz="4" w:space="0" w:color="000000"/>
            </w:tcBorders>
          </w:tcPr>
          <w:p>
            <w:pPr>
              <w:pStyle w:val="TableParagraph"/>
              <w:spacing w:line="240" w:lineRule="auto" w:before="27"/>
              <w:ind w:left="120" w:right="0"/>
              <w:jc w:val="left"/>
              <w:rPr>
                <w:rFonts w:ascii="宋体" w:hAnsi="宋体" w:cs="宋体" w:eastAsia="宋体" w:hint="default"/>
                <w:sz w:val="21"/>
                <w:szCs w:val="21"/>
              </w:rPr>
            </w:pPr>
            <w:r>
              <w:rPr>
                <w:rFonts w:ascii="宋体"/>
                <w:sz w:val="21"/>
              </w:rPr>
              <w:t>93,088,9</w:t>
            </w:r>
          </w:p>
          <w:p>
            <w:pPr>
              <w:pStyle w:val="TableParagraph"/>
              <w:spacing w:line="240" w:lineRule="auto" w:before="37"/>
              <w:ind w:left="435" w:right="0"/>
              <w:jc w:val="left"/>
              <w:rPr>
                <w:rFonts w:ascii="宋体" w:hAnsi="宋体" w:cs="宋体" w:eastAsia="宋体" w:hint="default"/>
                <w:sz w:val="21"/>
                <w:szCs w:val="21"/>
              </w:rPr>
            </w:pPr>
            <w:r>
              <w:rPr>
                <w:rFonts w:ascii="宋体"/>
                <w:sz w:val="21"/>
              </w:rPr>
              <w:t>64.05</w:t>
            </w:r>
          </w:p>
        </w:tc>
        <w:tc>
          <w:tcPr>
            <w:tcW w:w="426" w:type="dxa"/>
            <w:vMerge w:val="restart"/>
            <w:tcBorders>
              <w:top w:val="single" w:sz="4" w:space="0" w:color="000000"/>
              <w:left w:val="single" w:sz="4" w:space="0" w:color="000000"/>
              <w:right w:val="single" w:sz="4" w:space="0" w:color="000000"/>
            </w:tcBorders>
          </w:tcPr>
          <w:p>
            <w:pPr>
              <w:pStyle w:val="TableParagraph"/>
              <w:spacing w:line="240" w:lineRule="auto" w:before="27"/>
              <w:ind w:left="77" w:right="0"/>
              <w:jc w:val="left"/>
              <w:rPr>
                <w:rFonts w:ascii="宋体" w:hAnsi="宋体" w:cs="宋体" w:eastAsia="宋体" w:hint="default"/>
                <w:sz w:val="21"/>
                <w:szCs w:val="21"/>
              </w:rPr>
            </w:pPr>
            <w:r>
              <w:rPr>
                <w:rFonts w:ascii="宋体"/>
                <w:sz w:val="21"/>
              </w:rPr>
              <w:t>16.</w:t>
            </w:r>
          </w:p>
          <w:p>
            <w:pPr>
              <w:pStyle w:val="TableParagraph"/>
              <w:spacing w:line="240" w:lineRule="auto" w:before="37"/>
              <w:ind w:left="77" w:right="0"/>
              <w:jc w:val="left"/>
              <w:rPr>
                <w:rFonts w:ascii="宋体" w:hAnsi="宋体" w:cs="宋体" w:eastAsia="宋体" w:hint="default"/>
                <w:sz w:val="21"/>
                <w:szCs w:val="21"/>
              </w:rPr>
            </w:pPr>
            <w:r>
              <w:rPr>
                <w:rFonts w:ascii="宋体"/>
                <w:sz w:val="21"/>
              </w:rPr>
              <w:t>66%</w:t>
            </w:r>
          </w:p>
        </w:tc>
        <w:tc>
          <w:tcPr>
            <w:tcW w:w="1134" w:type="dxa"/>
            <w:vMerge w:val="restart"/>
            <w:tcBorders>
              <w:top w:val="single" w:sz="4" w:space="0" w:color="000000"/>
              <w:left w:val="single" w:sz="4" w:space="0" w:color="000000"/>
              <w:right w:val="single" w:sz="4" w:space="0" w:color="000000"/>
            </w:tcBorders>
          </w:tcPr>
          <w:p>
            <w:pPr>
              <w:pStyle w:val="TableParagraph"/>
              <w:spacing w:line="240" w:lineRule="auto" w:before="27"/>
              <w:ind w:left="50" w:right="0"/>
              <w:jc w:val="left"/>
              <w:rPr>
                <w:rFonts w:ascii="宋体" w:hAnsi="宋体" w:cs="宋体" w:eastAsia="宋体" w:hint="default"/>
                <w:sz w:val="21"/>
                <w:szCs w:val="21"/>
              </w:rPr>
            </w:pPr>
            <w:r>
              <w:rPr>
                <w:rFonts w:ascii="宋体"/>
                <w:sz w:val="21"/>
              </w:rPr>
              <w:t>465,789,58</w:t>
            </w:r>
          </w:p>
          <w:p>
            <w:pPr>
              <w:pStyle w:val="TableParagraph"/>
              <w:spacing w:line="240" w:lineRule="auto" w:before="37"/>
              <w:ind w:left="680" w:right="0"/>
              <w:jc w:val="left"/>
              <w:rPr>
                <w:rFonts w:ascii="宋体" w:hAnsi="宋体" w:cs="宋体" w:eastAsia="宋体" w:hint="default"/>
                <w:sz w:val="21"/>
                <w:szCs w:val="21"/>
              </w:rPr>
            </w:pPr>
            <w:r>
              <w:rPr>
                <w:rFonts w:ascii="宋体"/>
                <w:sz w:val="21"/>
              </w:rPr>
              <w:t>3.70</w:t>
            </w:r>
          </w:p>
        </w:tc>
      </w:tr>
      <w:tr>
        <w:trPr>
          <w:trHeight w:val="391" w:hRule="exact"/>
        </w:trPr>
        <w:tc>
          <w:tcPr>
            <w:tcW w:w="154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004" w:type="dxa"/>
            <w:vMerge/>
            <w:tcBorders>
              <w:left w:val="single" w:sz="9" w:space="0" w:color="D2D2D2"/>
              <w:right w:val="single" w:sz="4" w:space="0" w:color="000000"/>
            </w:tcBorders>
          </w:tcPr>
          <w:p>
            <w:pPr/>
          </w:p>
        </w:tc>
        <w:tc>
          <w:tcPr>
            <w:tcW w:w="566"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425"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568"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426"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r>
      <w:tr>
        <w:trPr>
          <w:trHeight w:val="162" w:hRule="exact"/>
        </w:trPr>
        <w:tc>
          <w:tcPr>
            <w:tcW w:w="1549" w:type="dxa"/>
            <w:tcBorders>
              <w:top w:val="nil" w:sz="6" w:space="0" w:color="auto"/>
              <w:left w:val="single" w:sz="4" w:space="0" w:color="000000"/>
              <w:bottom w:val="single" w:sz="4" w:space="0" w:color="000000"/>
              <w:right w:val="single" w:sz="4" w:space="0" w:color="000000"/>
            </w:tcBorders>
            <w:shd w:val="clear" w:color="auto" w:fill="D2D2D2"/>
          </w:tcPr>
          <w:p>
            <w:pPr/>
          </w:p>
        </w:tc>
        <w:tc>
          <w:tcPr>
            <w:tcW w:w="1004" w:type="dxa"/>
            <w:vMerge/>
            <w:tcBorders>
              <w:left w:val="single" w:sz="9" w:space="0" w:color="D2D2D2"/>
              <w:bottom w:val="single" w:sz="4" w:space="0" w:color="000000"/>
              <w:right w:val="single" w:sz="4" w:space="0" w:color="000000"/>
            </w:tcBorders>
          </w:tcPr>
          <w:p>
            <w:pPr/>
          </w:p>
        </w:tc>
        <w:tc>
          <w:tcPr>
            <w:tcW w:w="566" w:type="dxa"/>
            <w:vMerge/>
            <w:tcBorders>
              <w:left w:val="single" w:sz="4" w:space="0" w:color="000000"/>
              <w:bottom w:val="single" w:sz="4" w:space="0" w:color="000000"/>
              <w:right w:val="single" w:sz="4" w:space="0" w:color="000000"/>
            </w:tcBorders>
          </w:tcPr>
          <w:p>
            <w:pPr/>
          </w:p>
        </w:tc>
        <w:tc>
          <w:tcPr>
            <w:tcW w:w="994" w:type="dxa"/>
            <w:vMerge/>
            <w:tcBorders>
              <w:left w:val="single" w:sz="4" w:space="0" w:color="000000"/>
              <w:bottom w:val="single" w:sz="4" w:space="0" w:color="000000"/>
              <w:right w:val="single" w:sz="4" w:space="0" w:color="000000"/>
            </w:tcBorders>
          </w:tcPr>
          <w:p>
            <w:pPr/>
          </w:p>
        </w:tc>
        <w:tc>
          <w:tcPr>
            <w:tcW w:w="425" w:type="dxa"/>
            <w:vMerge/>
            <w:tcBorders>
              <w:left w:val="single" w:sz="4" w:space="0" w:color="000000"/>
              <w:bottom w:val="single" w:sz="4" w:space="0" w:color="000000"/>
              <w:right w:val="single" w:sz="4" w:space="0" w:color="000000"/>
            </w:tcBorders>
          </w:tcPr>
          <w:p>
            <w:pPr/>
          </w:p>
        </w:tc>
        <w:tc>
          <w:tcPr>
            <w:tcW w:w="992" w:type="dxa"/>
            <w:vMerge/>
            <w:tcBorders>
              <w:left w:val="single" w:sz="4" w:space="0" w:color="000000"/>
              <w:bottom w:val="single" w:sz="4" w:space="0" w:color="000000"/>
              <w:right w:val="single" w:sz="4" w:space="0" w:color="000000"/>
            </w:tcBorders>
          </w:tcPr>
          <w:p>
            <w:pPr/>
          </w:p>
        </w:tc>
        <w:tc>
          <w:tcPr>
            <w:tcW w:w="991" w:type="dxa"/>
            <w:vMerge/>
            <w:tcBorders>
              <w:left w:val="single" w:sz="4" w:space="0" w:color="000000"/>
              <w:bottom w:val="single" w:sz="4" w:space="0" w:color="000000"/>
              <w:right w:val="single" w:sz="4" w:space="0" w:color="000000"/>
            </w:tcBorders>
          </w:tcPr>
          <w:p>
            <w:pPr/>
          </w:p>
        </w:tc>
        <w:tc>
          <w:tcPr>
            <w:tcW w:w="568" w:type="dxa"/>
            <w:vMerge/>
            <w:tcBorders>
              <w:left w:val="single" w:sz="4" w:space="0" w:color="000000"/>
              <w:bottom w:val="single" w:sz="4" w:space="0" w:color="000000"/>
              <w:right w:val="single" w:sz="4" w:space="0" w:color="000000"/>
            </w:tcBorders>
          </w:tcPr>
          <w:p>
            <w:pPr/>
          </w:p>
        </w:tc>
        <w:tc>
          <w:tcPr>
            <w:tcW w:w="992" w:type="dxa"/>
            <w:vMerge/>
            <w:tcBorders>
              <w:left w:val="single" w:sz="4" w:space="0" w:color="000000"/>
              <w:bottom w:val="single" w:sz="4" w:space="0" w:color="000000"/>
              <w:right w:val="single" w:sz="4" w:space="0" w:color="000000"/>
            </w:tcBorders>
          </w:tcPr>
          <w:p>
            <w:pPr/>
          </w:p>
        </w:tc>
        <w:tc>
          <w:tcPr>
            <w:tcW w:w="426" w:type="dxa"/>
            <w:vMerge/>
            <w:tcBorders>
              <w:left w:val="single" w:sz="4" w:space="0" w:color="000000"/>
              <w:bottom w:val="single" w:sz="4" w:space="0" w:color="000000"/>
              <w:right w:val="single" w:sz="4" w:space="0" w:color="000000"/>
            </w:tcBorders>
          </w:tcPr>
          <w:p>
            <w:pPr/>
          </w:p>
        </w:tc>
        <w:tc>
          <w:tcPr>
            <w:tcW w:w="1134" w:type="dxa"/>
            <w:vMerge/>
            <w:tcBorders>
              <w:left w:val="single" w:sz="4" w:space="0" w:color="000000"/>
              <w:bottom w:val="single" w:sz="4" w:space="0" w:color="000000"/>
              <w:right w:val="single" w:sz="4" w:space="0" w:color="000000"/>
            </w:tcBorders>
          </w:tcPr>
          <w:p>
            <w:pPr/>
          </w:p>
        </w:tc>
      </w:tr>
    </w:tbl>
    <w:p>
      <w:pPr>
        <w:spacing w:line="240" w:lineRule="auto" w:before="10"/>
        <w:rPr>
          <w:rFonts w:ascii="宋体" w:hAnsi="宋体" w:cs="宋体" w:eastAsia="宋体" w:hint="default"/>
          <w:sz w:val="4"/>
          <w:szCs w:val="4"/>
        </w:rPr>
      </w:pPr>
    </w:p>
    <w:p>
      <w:pPr>
        <w:pStyle w:val="BodyText"/>
        <w:spacing w:line="240" w:lineRule="auto" w:before="26"/>
        <w:ind w:left="634" w:right="996"/>
        <w:jc w:val="left"/>
      </w:pPr>
      <w:r>
        <w:rPr/>
        <w:t>期末单项金额重大并单项计提坏账准备的应收账款：</w:t>
      </w:r>
    </w:p>
    <w:p>
      <w:pPr>
        <w:pStyle w:val="BodyText"/>
        <w:spacing w:line="350" w:lineRule="auto" w:before="145"/>
        <w:ind w:left="634" w:right="4992"/>
        <w:jc w:val="left"/>
      </w:pPr>
      <w:r>
        <w:rPr/>
        <w:t>□ 适用 √ 不适用 组合中，按账龄分析法计提坏账准备的应收账款：</w:t>
      </w:r>
    </w:p>
    <w:p>
      <w:pPr>
        <w:spacing w:after="0" w:line="350" w:lineRule="auto"/>
        <w:jc w:val="left"/>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spacing w:before="35"/>
        <w:ind w:left="0" w:right="1129" w:firstLine="0"/>
        <w:jc w:val="right"/>
        <w:rPr>
          <w:rFonts w:ascii="宋体" w:hAnsi="宋体" w:cs="宋体" w:eastAsia="宋体" w:hint="default"/>
          <w:sz w:val="21"/>
          <w:szCs w:val="21"/>
        </w:rPr>
      </w:pPr>
      <w:r>
        <w:rPr>
          <w:rFonts w:ascii="宋体" w:hAnsi="宋体" w:cs="宋体" w:eastAsia="宋体" w:hint="default"/>
          <w:sz w:val="21"/>
          <w:szCs w:val="21"/>
        </w:rPr>
        <w:t>单位： 元</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717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402" w:hRule="exact"/>
        </w:trPr>
        <w:tc>
          <w:tcPr>
            <w:tcW w:w="2392" w:type="dxa"/>
            <w:vMerge/>
            <w:tcBorders>
              <w:left w:val="single" w:sz="4" w:space="0" w:color="000000"/>
              <w:bottom w:val="single" w:sz="4" w:space="0" w:color="000000"/>
              <w:right w:val="single" w:sz="4" w:space="0" w:color="000000"/>
            </w:tcBorders>
            <w:shd w:val="clear" w:color="auto" w:fill="D2D2D2"/>
          </w:tcPr>
          <w:p>
            <w:pP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771"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770"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770" w:right="0"/>
              <w:jc w:val="left"/>
              <w:rPr>
                <w:rFonts w:ascii="宋体" w:hAnsi="宋体" w:cs="宋体" w:eastAsia="宋体" w:hint="default"/>
                <w:sz w:val="21"/>
                <w:szCs w:val="21"/>
              </w:rPr>
            </w:pPr>
            <w:r>
              <w:rPr>
                <w:rFonts w:ascii="宋体" w:hAnsi="宋体" w:cs="宋体" w:eastAsia="宋体" w:hint="default"/>
                <w:sz w:val="21"/>
                <w:szCs w:val="21"/>
              </w:rPr>
              <w:t>计提比例</w:t>
            </w:r>
          </w:p>
        </w:tc>
      </w:tr>
      <w:tr>
        <w:trPr>
          <w:trHeight w:val="402" w:hRule="exact"/>
        </w:trPr>
        <w:tc>
          <w:tcPr>
            <w:tcW w:w="956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年以内分项</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1"/>
              <w:jc w:val="right"/>
              <w:rPr>
                <w:rFonts w:ascii="宋体" w:hAnsi="宋体" w:cs="宋体" w:eastAsia="宋体" w:hint="default"/>
                <w:sz w:val="21"/>
                <w:szCs w:val="21"/>
              </w:rPr>
            </w:pPr>
            <w:r>
              <w:rPr>
                <w:rFonts w:ascii="宋体"/>
                <w:sz w:val="21"/>
              </w:rPr>
              <w:t>386,006,010.35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0"/>
              <w:jc w:val="right"/>
              <w:rPr>
                <w:rFonts w:ascii="宋体" w:hAnsi="宋体" w:cs="宋体" w:eastAsia="宋体" w:hint="default"/>
                <w:sz w:val="21"/>
                <w:szCs w:val="21"/>
              </w:rPr>
            </w:pPr>
            <w:r>
              <w:rPr>
                <w:rFonts w:ascii="宋体"/>
                <w:sz w:val="21"/>
              </w:rPr>
              <w:t>19,300,300.52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0"/>
              <w:jc w:val="right"/>
              <w:rPr>
                <w:rFonts w:ascii="宋体" w:hAnsi="宋体" w:cs="宋体" w:eastAsia="宋体" w:hint="default"/>
                <w:sz w:val="21"/>
                <w:szCs w:val="21"/>
              </w:rPr>
            </w:pPr>
            <w:r>
              <w:rPr>
                <w:rFonts w:ascii="宋体"/>
                <w:sz w:val="21"/>
              </w:rPr>
              <w:t>5.00%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1"/>
              <w:jc w:val="right"/>
              <w:rPr>
                <w:rFonts w:ascii="宋体" w:hAnsi="宋体" w:cs="宋体" w:eastAsia="宋体" w:hint="default"/>
                <w:sz w:val="21"/>
                <w:szCs w:val="21"/>
              </w:rPr>
            </w:pPr>
            <w:r>
              <w:rPr>
                <w:rFonts w:ascii="宋体"/>
                <w:sz w:val="21"/>
              </w:rPr>
              <w:t>386,006,010.35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0"/>
              <w:jc w:val="right"/>
              <w:rPr>
                <w:rFonts w:ascii="宋体" w:hAnsi="宋体" w:cs="宋体" w:eastAsia="宋体" w:hint="default"/>
                <w:sz w:val="21"/>
                <w:szCs w:val="21"/>
              </w:rPr>
            </w:pPr>
            <w:r>
              <w:rPr>
                <w:rFonts w:ascii="宋体"/>
                <w:sz w:val="21"/>
              </w:rPr>
              <w:t>19,300,300.52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0"/>
              <w:jc w:val="right"/>
              <w:rPr>
                <w:rFonts w:ascii="宋体" w:hAnsi="宋体" w:cs="宋体" w:eastAsia="宋体" w:hint="default"/>
                <w:sz w:val="21"/>
                <w:szCs w:val="21"/>
              </w:rPr>
            </w:pPr>
            <w:r>
              <w:rPr>
                <w:rFonts w:ascii="宋体"/>
                <w:sz w:val="21"/>
              </w:rPr>
              <w:t>5.00%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1"/>
              <w:jc w:val="right"/>
              <w:rPr>
                <w:rFonts w:ascii="宋体" w:hAnsi="宋体" w:cs="宋体" w:eastAsia="宋体" w:hint="default"/>
                <w:sz w:val="21"/>
                <w:szCs w:val="21"/>
              </w:rPr>
            </w:pPr>
            <w:r>
              <w:rPr>
                <w:rFonts w:ascii="宋体"/>
                <w:sz w:val="21"/>
              </w:rPr>
              <w:t>154,902,803.32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0"/>
              <w:jc w:val="right"/>
              <w:rPr>
                <w:rFonts w:ascii="宋体" w:hAnsi="宋体" w:cs="宋体" w:eastAsia="宋体" w:hint="default"/>
                <w:sz w:val="21"/>
                <w:szCs w:val="21"/>
              </w:rPr>
            </w:pPr>
            <w:r>
              <w:rPr>
                <w:rFonts w:ascii="宋体"/>
                <w:sz w:val="21"/>
              </w:rPr>
              <w:t>15,490,280.34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0"/>
              <w:jc w:val="right"/>
              <w:rPr>
                <w:rFonts w:ascii="宋体" w:hAnsi="宋体" w:cs="宋体" w:eastAsia="宋体" w:hint="default"/>
                <w:sz w:val="21"/>
                <w:szCs w:val="21"/>
              </w:rPr>
            </w:pPr>
            <w:r>
              <w:rPr>
                <w:rFonts w:ascii="宋体"/>
                <w:sz w:val="21"/>
              </w:rPr>
              <w:t>10.00%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0"/>
              <w:jc w:val="right"/>
              <w:rPr>
                <w:rFonts w:ascii="宋体" w:hAnsi="宋体" w:cs="宋体" w:eastAsia="宋体" w:hint="default"/>
                <w:sz w:val="21"/>
                <w:szCs w:val="21"/>
              </w:rPr>
            </w:pPr>
            <w:r>
              <w:rPr>
                <w:rFonts w:ascii="宋体"/>
                <w:sz w:val="21"/>
              </w:rPr>
              <w:t>65,576,189.20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0"/>
              <w:jc w:val="right"/>
              <w:rPr>
                <w:rFonts w:ascii="宋体" w:hAnsi="宋体" w:cs="宋体" w:eastAsia="宋体" w:hint="default"/>
                <w:sz w:val="21"/>
                <w:szCs w:val="21"/>
              </w:rPr>
            </w:pPr>
            <w:r>
              <w:rPr>
                <w:rFonts w:ascii="宋体"/>
                <w:sz w:val="21"/>
              </w:rPr>
              <w:t>19,672,856.76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0"/>
              <w:jc w:val="right"/>
              <w:rPr>
                <w:rFonts w:ascii="宋体" w:hAnsi="宋体" w:cs="宋体" w:eastAsia="宋体" w:hint="default"/>
                <w:sz w:val="21"/>
                <w:szCs w:val="21"/>
              </w:rPr>
            </w:pPr>
            <w:r>
              <w:rPr>
                <w:rFonts w:ascii="宋体"/>
                <w:sz w:val="21"/>
              </w:rPr>
              <w:t>30.00%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0"/>
              <w:jc w:val="right"/>
              <w:rPr>
                <w:rFonts w:ascii="宋体" w:hAnsi="宋体" w:cs="宋体" w:eastAsia="宋体" w:hint="default"/>
                <w:sz w:val="21"/>
                <w:szCs w:val="21"/>
              </w:rPr>
            </w:pPr>
            <w:r>
              <w:rPr>
                <w:rFonts w:ascii="宋体"/>
                <w:sz w:val="21"/>
              </w:rPr>
              <w:t>25,581,440.32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0"/>
              <w:jc w:val="right"/>
              <w:rPr>
                <w:rFonts w:ascii="宋体" w:hAnsi="宋体" w:cs="宋体" w:eastAsia="宋体" w:hint="default"/>
                <w:sz w:val="21"/>
                <w:szCs w:val="21"/>
              </w:rPr>
            </w:pPr>
            <w:r>
              <w:rPr>
                <w:rFonts w:ascii="宋体"/>
                <w:sz w:val="21"/>
              </w:rPr>
              <w:t>15,348,864.19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0"/>
              <w:jc w:val="right"/>
              <w:rPr>
                <w:rFonts w:ascii="宋体" w:hAnsi="宋体" w:cs="宋体" w:eastAsia="宋体" w:hint="default"/>
                <w:sz w:val="21"/>
                <w:szCs w:val="21"/>
              </w:rPr>
            </w:pPr>
            <w:r>
              <w:rPr>
                <w:rFonts w:ascii="宋体"/>
                <w:sz w:val="21"/>
              </w:rPr>
              <w:t>60.00%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0"/>
              <w:jc w:val="right"/>
              <w:rPr>
                <w:rFonts w:ascii="宋体" w:hAnsi="宋体" w:cs="宋体" w:eastAsia="宋体" w:hint="default"/>
                <w:sz w:val="21"/>
                <w:szCs w:val="21"/>
              </w:rPr>
            </w:pPr>
            <w:r>
              <w:rPr>
                <w:rFonts w:ascii="宋体"/>
                <w:sz w:val="21"/>
              </w:rPr>
              <w:t>26,175,385.22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0"/>
              <w:jc w:val="right"/>
              <w:rPr>
                <w:rFonts w:ascii="宋体" w:hAnsi="宋体" w:cs="宋体" w:eastAsia="宋体" w:hint="default"/>
                <w:sz w:val="21"/>
                <w:szCs w:val="21"/>
              </w:rPr>
            </w:pPr>
            <w:r>
              <w:rPr>
                <w:rFonts w:ascii="宋体"/>
                <w:sz w:val="21"/>
              </w:rPr>
              <w:t>20,940,308.18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0"/>
              <w:jc w:val="right"/>
              <w:rPr>
                <w:rFonts w:ascii="宋体" w:hAnsi="宋体" w:cs="宋体" w:eastAsia="宋体" w:hint="default"/>
                <w:sz w:val="21"/>
                <w:szCs w:val="21"/>
              </w:rPr>
            </w:pPr>
            <w:r>
              <w:rPr>
                <w:rFonts w:ascii="宋体"/>
                <w:sz w:val="21"/>
              </w:rPr>
              <w:t>80.00%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0"/>
              <w:jc w:val="right"/>
              <w:rPr>
                <w:rFonts w:ascii="宋体" w:hAnsi="宋体" w:cs="宋体" w:eastAsia="宋体" w:hint="default"/>
                <w:sz w:val="21"/>
                <w:szCs w:val="21"/>
              </w:rPr>
            </w:pPr>
            <w:r>
              <w:rPr>
                <w:rFonts w:ascii="宋体"/>
                <w:sz w:val="21"/>
              </w:rPr>
              <w:t>16,428,525.45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0"/>
              <w:jc w:val="right"/>
              <w:rPr>
                <w:rFonts w:ascii="宋体" w:hAnsi="宋体" w:cs="宋体" w:eastAsia="宋体" w:hint="default"/>
                <w:sz w:val="21"/>
                <w:szCs w:val="21"/>
              </w:rPr>
            </w:pPr>
            <w:r>
              <w:rPr>
                <w:rFonts w:ascii="宋体"/>
                <w:sz w:val="21"/>
              </w:rPr>
              <w:t>16,428,525.45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0"/>
              <w:jc w:val="right"/>
              <w:rPr>
                <w:rFonts w:ascii="宋体" w:hAnsi="宋体" w:cs="宋体" w:eastAsia="宋体" w:hint="default"/>
                <w:sz w:val="21"/>
                <w:szCs w:val="21"/>
              </w:rPr>
            </w:pPr>
            <w:r>
              <w:rPr>
                <w:rFonts w:ascii="宋体"/>
                <w:sz w:val="21"/>
              </w:rPr>
              <w:t>100.00%</w:t>
            </w:r>
          </w:p>
        </w:tc>
      </w:tr>
      <w:tr>
        <w:trPr>
          <w:trHeight w:val="403"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9"/>
              <w:jc w:val="right"/>
              <w:rPr>
                <w:rFonts w:ascii="宋体" w:hAnsi="宋体" w:cs="宋体" w:eastAsia="宋体" w:hint="default"/>
                <w:sz w:val="21"/>
                <w:szCs w:val="21"/>
              </w:rPr>
            </w:pPr>
            <w:r>
              <w:rPr>
                <w:rFonts w:ascii="宋体"/>
                <w:sz w:val="21"/>
              </w:rPr>
              <w:t>674,670,353.86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1"/>
              <w:jc w:val="right"/>
              <w:rPr>
                <w:rFonts w:ascii="宋体" w:hAnsi="宋体" w:cs="宋体" w:eastAsia="宋体" w:hint="default"/>
                <w:sz w:val="21"/>
                <w:szCs w:val="21"/>
              </w:rPr>
            </w:pPr>
            <w:r>
              <w:rPr>
                <w:rFonts w:ascii="宋体"/>
                <w:sz w:val="21"/>
              </w:rPr>
              <w:t>107,181,135.44</w:t>
            </w:r>
          </w:p>
        </w:tc>
        <w:tc>
          <w:tcPr>
            <w:tcW w:w="2392"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0"/>
        <w:rPr>
          <w:rFonts w:ascii="宋体" w:hAnsi="宋体" w:cs="宋体" w:eastAsia="宋体" w:hint="default"/>
          <w:sz w:val="4"/>
          <w:szCs w:val="4"/>
        </w:rPr>
      </w:pPr>
    </w:p>
    <w:p>
      <w:pPr>
        <w:pStyle w:val="BodyText"/>
        <w:spacing w:line="350" w:lineRule="auto" w:before="26"/>
        <w:ind w:left="634" w:right="7632"/>
        <w:jc w:val="left"/>
      </w:pPr>
      <w:r>
        <w:rPr/>
        <w:t>确定该组合依据的说明： 无</w:t>
      </w:r>
    </w:p>
    <w:p>
      <w:pPr>
        <w:pStyle w:val="BodyText"/>
        <w:spacing w:line="240" w:lineRule="auto" w:before="35"/>
        <w:ind w:left="634" w:right="996"/>
        <w:jc w:val="left"/>
      </w:pPr>
      <w:r>
        <w:rPr/>
        <w:t>组合中，采用余额百分比法计提坏账准备的应收账款：</w:t>
      </w:r>
    </w:p>
    <w:p>
      <w:pPr>
        <w:pStyle w:val="BodyText"/>
        <w:spacing w:line="350" w:lineRule="auto" w:before="146"/>
        <w:ind w:left="633" w:right="4993"/>
        <w:jc w:val="left"/>
      </w:pPr>
      <w:r>
        <w:rPr/>
        <w:t>□ 适用 √ 不适用 组合中，采用其他方法计提坏账准备的应收账款： 无</w:t>
      </w:r>
    </w:p>
    <w:p>
      <w:pPr>
        <w:pStyle w:val="Heading2"/>
        <w:spacing w:line="240" w:lineRule="auto" w:before="36"/>
        <w:ind w:right="996"/>
        <w:jc w:val="left"/>
        <w:rPr>
          <w:b w:val="0"/>
          <w:bCs w:val="0"/>
        </w:rPr>
      </w:pPr>
      <w:bookmarkStart w:name="（2）本期计提、收回或转回的坏账准备情况" w:id="258"/>
      <w:bookmarkEnd w:id="258"/>
      <w:r>
        <w:rPr>
          <w:b w:val="0"/>
          <w:bCs w:val="0"/>
        </w:rPr>
      </w:r>
      <w:r>
        <w:rPr/>
        <w:t>（</w:t>
      </w:r>
      <w:r>
        <w:rPr>
          <w:rFonts w:ascii="宋体" w:hAnsi="宋体" w:cs="宋体" w:eastAsia="宋体" w:hint="default"/>
        </w:rPr>
        <w:t>2</w:t>
      </w:r>
      <w:r>
        <w:rPr/>
        <w:t>）本期计提、收回或转回的坏账准备情况</w:t>
      </w:r>
      <w:r>
        <w:rPr>
          <w:b w:val="0"/>
          <w:bCs w:val="0"/>
        </w:rPr>
      </w:r>
    </w:p>
    <w:p>
      <w:pPr>
        <w:spacing w:line="240" w:lineRule="auto" w:before="1"/>
        <w:rPr>
          <w:rFonts w:ascii="宋体" w:hAnsi="宋体" w:cs="宋体" w:eastAsia="宋体" w:hint="default"/>
          <w:b/>
          <w:bCs/>
          <w:sz w:val="23"/>
          <w:szCs w:val="23"/>
        </w:rPr>
      </w:pPr>
    </w:p>
    <w:p>
      <w:pPr>
        <w:pStyle w:val="BodyText"/>
        <w:spacing w:line="350" w:lineRule="auto" w:before="0"/>
        <w:ind w:left="633" w:right="1753"/>
        <w:jc w:val="left"/>
      </w:pPr>
      <w:r>
        <w:rPr/>
        <w:t>本期计提坏账准备金额</w:t>
      </w:r>
      <w:r>
        <w:rPr>
          <w:rFonts w:ascii="宋体" w:hAnsi="宋体" w:cs="宋体" w:eastAsia="宋体" w:hint="default"/>
        </w:rPr>
        <w:t>14,092,171.39</w:t>
      </w:r>
      <w:r>
        <w:rPr/>
        <w:t>元；本期收回或转回坏账准备金额</w:t>
      </w:r>
      <w:r>
        <w:rPr>
          <w:rFonts w:ascii="宋体" w:hAnsi="宋体" w:cs="宋体" w:eastAsia="宋体" w:hint="default"/>
        </w:rPr>
        <w:t>0.00</w:t>
      </w:r>
      <w:r>
        <w:rPr/>
        <w:t>元。 其中本期坏账准备收回或转回金额重要的：无</w:t>
      </w:r>
    </w:p>
    <w:p>
      <w:pPr>
        <w:pStyle w:val="Heading2"/>
        <w:spacing w:line="240" w:lineRule="auto" w:before="36"/>
        <w:ind w:right="996"/>
        <w:jc w:val="left"/>
        <w:rPr>
          <w:b w:val="0"/>
          <w:bCs w:val="0"/>
        </w:rPr>
      </w:pPr>
      <w:bookmarkStart w:name="（3）本期实际核销的应收账款情况" w:id="259"/>
      <w:bookmarkEnd w:id="259"/>
      <w:r>
        <w:rPr>
          <w:b w:val="0"/>
          <w:bCs w:val="0"/>
        </w:rPr>
      </w:r>
      <w:r>
        <w:rPr/>
        <w:t>（</w:t>
      </w:r>
      <w:r>
        <w:rPr>
          <w:rFonts w:ascii="宋体" w:hAnsi="宋体" w:cs="宋体" w:eastAsia="宋体" w:hint="default"/>
        </w:rPr>
        <w:t>3</w:t>
      </w:r>
      <w:r>
        <w:rPr/>
        <w:t>）本期实际核销的应收账款情况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0"/>
        <w:ind w:left="634" w:right="996"/>
        <w:jc w:val="left"/>
      </w:pPr>
      <w:r>
        <w:rPr/>
        <w:t>无</w:t>
      </w:r>
    </w:p>
    <w:p>
      <w:pPr>
        <w:pStyle w:val="Heading2"/>
        <w:spacing w:line="240" w:lineRule="auto" w:before="145"/>
        <w:ind w:right="996"/>
        <w:jc w:val="left"/>
        <w:rPr>
          <w:b w:val="0"/>
          <w:bCs w:val="0"/>
        </w:rPr>
      </w:pPr>
      <w:bookmarkStart w:name="（4）按欠款方归集的期末余额前五名的应收账款情况" w:id="260"/>
      <w:bookmarkEnd w:id="260"/>
      <w:r>
        <w:rPr>
          <w:b w:val="0"/>
          <w:bCs w:val="0"/>
        </w:rPr>
      </w:r>
      <w:r>
        <w:rPr/>
        <w:t>（</w:t>
      </w:r>
      <w:r>
        <w:rPr>
          <w:rFonts w:ascii="宋体" w:hAnsi="宋体" w:cs="宋体" w:eastAsia="宋体" w:hint="default"/>
        </w:rPr>
        <w:t>4</w:t>
      </w:r>
      <w:r>
        <w:rPr/>
        <w:t>）按欠款方归集的期末余额前五名的应收账款情况</w:t>
      </w:r>
      <w:r>
        <w:rPr>
          <w:b w:val="0"/>
          <w:bCs w:val="0"/>
        </w:rPr>
      </w:r>
    </w:p>
    <w:p>
      <w:pPr>
        <w:spacing w:line="240" w:lineRule="auto" w:before="5"/>
        <w:rPr>
          <w:rFonts w:ascii="宋体" w:hAnsi="宋体" w:cs="宋体" w:eastAsia="宋体" w:hint="default"/>
          <w:b/>
          <w:bCs/>
          <w:sz w:val="16"/>
          <w:szCs w:val="16"/>
        </w:rPr>
      </w:pPr>
    </w:p>
    <w:tbl>
      <w:tblPr>
        <w:tblW w:w="0" w:type="auto"/>
        <w:jc w:val="left"/>
        <w:tblInd w:w="502" w:type="dxa"/>
        <w:tblLayout w:type="fixed"/>
        <w:tblCellMar>
          <w:top w:w="0" w:type="dxa"/>
          <w:left w:w="0" w:type="dxa"/>
          <w:bottom w:w="0" w:type="dxa"/>
          <w:right w:w="0" w:type="dxa"/>
        </w:tblCellMar>
        <w:tblLook w:val="01E0"/>
      </w:tblPr>
      <w:tblGrid>
        <w:gridCol w:w="3262"/>
        <w:gridCol w:w="1667"/>
        <w:gridCol w:w="1559"/>
        <w:gridCol w:w="2445"/>
      </w:tblGrid>
      <w:tr>
        <w:trPr>
          <w:trHeight w:val="654"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3"/>
                <w:szCs w:val="23"/>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1667"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408"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91" w:right="38" w:hanging="53"/>
              <w:jc w:val="left"/>
              <w:rPr>
                <w:rFonts w:ascii="宋体" w:hAnsi="宋体" w:cs="宋体" w:eastAsia="宋体" w:hint="default"/>
                <w:sz w:val="21"/>
                <w:szCs w:val="21"/>
              </w:rPr>
            </w:pPr>
            <w:r>
              <w:rPr>
                <w:rFonts w:ascii="宋体" w:hAnsi="宋体" w:cs="宋体" w:eastAsia="宋体" w:hint="default"/>
                <w:sz w:val="21"/>
                <w:szCs w:val="21"/>
              </w:rPr>
              <w:t>占应收账款期末 余额的比例</w:t>
            </w:r>
            <w:r>
              <w:rPr>
                <w:rFonts w:ascii="宋体" w:hAnsi="宋体" w:cs="宋体" w:eastAsia="宋体" w:hint="default"/>
                <w:sz w:val="21"/>
                <w:szCs w:val="21"/>
              </w:rPr>
              <w:t>(%)</w:t>
            </w:r>
          </w:p>
        </w:tc>
        <w:tc>
          <w:tcPr>
            <w:tcW w:w="2445"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481" w:right="0"/>
              <w:jc w:val="left"/>
              <w:rPr>
                <w:rFonts w:ascii="宋体" w:hAnsi="宋体" w:cs="宋体" w:eastAsia="宋体" w:hint="default"/>
                <w:sz w:val="21"/>
                <w:szCs w:val="21"/>
              </w:rPr>
            </w:pPr>
            <w:r>
              <w:rPr>
                <w:rFonts w:ascii="宋体" w:hAnsi="宋体" w:cs="宋体" w:eastAsia="宋体" w:hint="default"/>
                <w:sz w:val="21"/>
                <w:szCs w:val="21"/>
              </w:rPr>
              <w:t>已计提坏账准备</w:t>
            </w:r>
          </w:p>
        </w:tc>
      </w:tr>
      <w:tr>
        <w:trPr>
          <w:trHeight w:val="342"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4" w:right="0"/>
              <w:jc w:val="left"/>
              <w:rPr>
                <w:rFonts w:ascii="宋体" w:hAnsi="宋体" w:cs="宋体" w:eastAsia="宋体" w:hint="default"/>
                <w:sz w:val="21"/>
                <w:szCs w:val="21"/>
              </w:rPr>
            </w:pPr>
            <w:r>
              <w:rPr>
                <w:rFonts w:ascii="宋体" w:hAnsi="宋体" w:cs="宋体" w:eastAsia="宋体" w:hint="default"/>
                <w:sz w:val="21"/>
                <w:szCs w:val="21"/>
              </w:rPr>
              <w:t>中国铁建电气化局集团有限公司</w:t>
            </w:r>
          </w:p>
        </w:tc>
        <w:tc>
          <w:tcPr>
            <w:tcW w:w="1667"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2"/>
              <w:jc w:val="right"/>
              <w:rPr>
                <w:rFonts w:ascii="宋体" w:hAnsi="宋体" w:cs="宋体" w:eastAsia="宋体" w:hint="default"/>
                <w:sz w:val="21"/>
                <w:szCs w:val="21"/>
              </w:rPr>
            </w:pPr>
            <w:r>
              <w:rPr>
                <w:rFonts w:ascii="宋体"/>
                <w:sz w:val="21"/>
              </w:rPr>
              <w:t>51,610,308.05</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4"/>
              <w:jc w:val="right"/>
              <w:rPr>
                <w:rFonts w:ascii="宋体" w:hAnsi="宋体" w:cs="宋体" w:eastAsia="宋体" w:hint="default"/>
                <w:sz w:val="21"/>
                <w:szCs w:val="21"/>
              </w:rPr>
            </w:pPr>
            <w:r>
              <w:rPr>
                <w:rFonts w:ascii="宋体"/>
                <w:sz w:val="21"/>
              </w:rPr>
              <w:t>7.65</w:t>
            </w:r>
          </w:p>
        </w:tc>
        <w:tc>
          <w:tcPr>
            <w:tcW w:w="2445"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2"/>
              <w:jc w:val="right"/>
              <w:rPr>
                <w:rFonts w:ascii="宋体" w:hAnsi="宋体" w:cs="宋体" w:eastAsia="宋体" w:hint="default"/>
                <w:sz w:val="21"/>
                <w:szCs w:val="21"/>
              </w:rPr>
            </w:pPr>
            <w:r>
              <w:rPr>
                <w:rFonts w:ascii="宋体"/>
                <w:sz w:val="21"/>
              </w:rPr>
              <w:t>5,547,885.37</w:t>
            </w:r>
          </w:p>
        </w:tc>
      </w:tr>
      <w:tr>
        <w:trPr>
          <w:trHeight w:val="342"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4" w:right="0"/>
              <w:jc w:val="left"/>
              <w:rPr>
                <w:rFonts w:ascii="宋体" w:hAnsi="宋体" w:cs="宋体" w:eastAsia="宋体" w:hint="default"/>
                <w:sz w:val="21"/>
                <w:szCs w:val="21"/>
              </w:rPr>
            </w:pPr>
            <w:r>
              <w:rPr>
                <w:rFonts w:ascii="宋体" w:hAnsi="宋体" w:cs="宋体" w:eastAsia="宋体" w:hint="default"/>
                <w:sz w:val="21"/>
                <w:szCs w:val="21"/>
              </w:rPr>
              <w:t>广州铁路物资有限公司</w:t>
            </w:r>
          </w:p>
        </w:tc>
        <w:tc>
          <w:tcPr>
            <w:tcW w:w="1667"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2"/>
              <w:jc w:val="right"/>
              <w:rPr>
                <w:rFonts w:ascii="宋体" w:hAnsi="宋体" w:cs="宋体" w:eastAsia="宋体" w:hint="default"/>
                <w:sz w:val="21"/>
                <w:szCs w:val="21"/>
              </w:rPr>
            </w:pPr>
            <w:r>
              <w:rPr>
                <w:rFonts w:ascii="宋体"/>
                <w:sz w:val="21"/>
              </w:rPr>
              <w:t>25,920,054.49</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4"/>
              <w:jc w:val="right"/>
              <w:rPr>
                <w:rFonts w:ascii="宋体" w:hAnsi="宋体" w:cs="宋体" w:eastAsia="宋体" w:hint="default"/>
                <w:sz w:val="21"/>
                <w:szCs w:val="21"/>
              </w:rPr>
            </w:pPr>
            <w:r>
              <w:rPr>
                <w:rFonts w:ascii="宋体"/>
                <w:sz w:val="21"/>
              </w:rPr>
              <w:t>3.84</w:t>
            </w:r>
          </w:p>
        </w:tc>
        <w:tc>
          <w:tcPr>
            <w:tcW w:w="2445"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2"/>
              <w:jc w:val="right"/>
              <w:rPr>
                <w:rFonts w:ascii="宋体" w:hAnsi="宋体" w:cs="宋体" w:eastAsia="宋体" w:hint="default"/>
                <w:sz w:val="21"/>
                <w:szCs w:val="21"/>
              </w:rPr>
            </w:pPr>
            <w:r>
              <w:rPr>
                <w:rFonts w:ascii="宋体"/>
                <w:sz w:val="21"/>
              </w:rPr>
              <w:t>2,585,169.79</w:t>
            </w:r>
          </w:p>
        </w:tc>
      </w:tr>
      <w:tr>
        <w:trPr>
          <w:trHeight w:val="342"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4" w:right="0"/>
              <w:jc w:val="left"/>
              <w:rPr>
                <w:rFonts w:ascii="宋体" w:hAnsi="宋体" w:cs="宋体" w:eastAsia="宋体" w:hint="default"/>
                <w:sz w:val="21"/>
                <w:szCs w:val="21"/>
              </w:rPr>
            </w:pPr>
            <w:r>
              <w:rPr>
                <w:rFonts w:ascii="宋体" w:hAnsi="宋体" w:cs="宋体" w:eastAsia="宋体" w:hint="default"/>
                <w:sz w:val="21"/>
                <w:szCs w:val="21"/>
              </w:rPr>
              <w:t>青藏铁路公司西宁通信段</w:t>
            </w:r>
          </w:p>
        </w:tc>
        <w:tc>
          <w:tcPr>
            <w:tcW w:w="1667"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2"/>
              <w:jc w:val="right"/>
              <w:rPr>
                <w:rFonts w:ascii="宋体" w:hAnsi="宋体" w:cs="宋体" w:eastAsia="宋体" w:hint="default"/>
                <w:sz w:val="21"/>
                <w:szCs w:val="21"/>
              </w:rPr>
            </w:pPr>
            <w:r>
              <w:rPr>
                <w:rFonts w:ascii="宋体"/>
                <w:sz w:val="21"/>
              </w:rPr>
              <w:t>19,545,982.00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4"/>
              <w:jc w:val="right"/>
              <w:rPr>
                <w:rFonts w:ascii="宋体" w:hAnsi="宋体" w:cs="宋体" w:eastAsia="宋体" w:hint="default"/>
                <w:sz w:val="21"/>
                <w:szCs w:val="21"/>
              </w:rPr>
            </w:pPr>
            <w:r>
              <w:rPr>
                <w:rFonts w:ascii="宋体"/>
                <w:sz w:val="21"/>
              </w:rPr>
              <w:t>2.90</w:t>
            </w:r>
          </w:p>
        </w:tc>
        <w:tc>
          <w:tcPr>
            <w:tcW w:w="2445"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2"/>
              <w:jc w:val="right"/>
              <w:rPr>
                <w:rFonts w:ascii="宋体" w:hAnsi="宋体" w:cs="宋体" w:eastAsia="宋体" w:hint="default"/>
                <w:sz w:val="21"/>
                <w:szCs w:val="21"/>
              </w:rPr>
            </w:pPr>
            <w:r>
              <w:rPr>
                <w:rFonts w:ascii="宋体"/>
                <w:sz w:val="21"/>
              </w:rPr>
              <w:t>1,069,356.60</w:t>
            </w:r>
          </w:p>
        </w:tc>
      </w:tr>
      <w:tr>
        <w:trPr>
          <w:trHeight w:val="342"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4" w:right="0"/>
              <w:jc w:val="left"/>
              <w:rPr>
                <w:rFonts w:ascii="宋体" w:hAnsi="宋体" w:cs="宋体" w:eastAsia="宋体" w:hint="default"/>
                <w:sz w:val="21"/>
                <w:szCs w:val="21"/>
              </w:rPr>
            </w:pPr>
            <w:r>
              <w:rPr>
                <w:rFonts w:ascii="宋体" w:hAnsi="宋体" w:cs="宋体" w:eastAsia="宋体" w:hint="default"/>
                <w:sz w:val="21"/>
                <w:szCs w:val="21"/>
              </w:rPr>
              <w:t>方正国际软件（北京）有限公司</w:t>
            </w:r>
          </w:p>
        </w:tc>
        <w:tc>
          <w:tcPr>
            <w:tcW w:w="1667"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2"/>
              <w:jc w:val="right"/>
              <w:rPr>
                <w:rFonts w:ascii="宋体" w:hAnsi="宋体" w:cs="宋体" w:eastAsia="宋体" w:hint="default"/>
                <w:sz w:val="21"/>
                <w:szCs w:val="21"/>
              </w:rPr>
            </w:pPr>
            <w:r>
              <w:rPr>
                <w:rFonts w:ascii="宋体"/>
                <w:sz w:val="21"/>
              </w:rPr>
              <w:t>18,590,068.40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4"/>
              <w:jc w:val="right"/>
              <w:rPr>
                <w:rFonts w:ascii="宋体" w:hAnsi="宋体" w:cs="宋体" w:eastAsia="宋体" w:hint="default"/>
                <w:sz w:val="21"/>
                <w:szCs w:val="21"/>
              </w:rPr>
            </w:pPr>
            <w:r>
              <w:rPr>
                <w:rFonts w:ascii="宋体"/>
                <w:sz w:val="21"/>
              </w:rPr>
              <w:t>2.76</w:t>
            </w:r>
          </w:p>
        </w:tc>
        <w:tc>
          <w:tcPr>
            <w:tcW w:w="2445"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5"/>
              <w:jc w:val="right"/>
              <w:rPr>
                <w:rFonts w:ascii="宋体" w:hAnsi="宋体" w:cs="宋体" w:eastAsia="宋体" w:hint="default"/>
                <w:sz w:val="21"/>
                <w:szCs w:val="21"/>
              </w:rPr>
            </w:pPr>
            <w:r>
              <w:rPr>
                <w:rFonts w:ascii="宋体"/>
                <w:sz w:val="21"/>
              </w:rPr>
              <w:t>929,503.42</w:t>
            </w:r>
          </w:p>
        </w:tc>
      </w:tr>
      <w:tr>
        <w:trPr>
          <w:trHeight w:val="654"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4" w:right="95"/>
              <w:jc w:val="left"/>
              <w:rPr>
                <w:rFonts w:ascii="宋体" w:hAnsi="宋体" w:cs="宋体" w:eastAsia="宋体" w:hint="default"/>
                <w:sz w:val="21"/>
                <w:szCs w:val="21"/>
              </w:rPr>
            </w:pPr>
            <w:r>
              <w:rPr>
                <w:rFonts w:ascii="宋体" w:hAnsi="宋体" w:cs="宋体" w:eastAsia="宋体" w:hint="default"/>
                <w:sz w:val="21"/>
                <w:szCs w:val="21"/>
              </w:rPr>
              <w:t>北京全路通信信号研究设计院集团 有限公司</w:t>
            </w:r>
          </w:p>
        </w:tc>
        <w:tc>
          <w:tcPr>
            <w:tcW w:w="1667"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2"/>
              <w:jc w:val="right"/>
              <w:rPr>
                <w:rFonts w:ascii="宋体" w:hAnsi="宋体" w:cs="宋体" w:eastAsia="宋体" w:hint="default"/>
                <w:sz w:val="21"/>
                <w:szCs w:val="21"/>
              </w:rPr>
            </w:pPr>
            <w:r>
              <w:rPr>
                <w:rFonts w:ascii="宋体"/>
                <w:sz w:val="21"/>
              </w:rPr>
              <w:t>13,898,115.81</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4"/>
              <w:jc w:val="right"/>
              <w:rPr>
                <w:rFonts w:ascii="宋体" w:hAnsi="宋体" w:cs="宋体" w:eastAsia="宋体" w:hint="default"/>
                <w:sz w:val="21"/>
                <w:szCs w:val="21"/>
              </w:rPr>
            </w:pPr>
            <w:r>
              <w:rPr>
                <w:rFonts w:ascii="宋体"/>
                <w:sz w:val="21"/>
              </w:rPr>
              <w:t>2.06</w:t>
            </w:r>
          </w:p>
        </w:tc>
        <w:tc>
          <w:tcPr>
            <w:tcW w:w="2445"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2"/>
              <w:jc w:val="right"/>
              <w:rPr>
                <w:rFonts w:ascii="宋体" w:hAnsi="宋体" w:cs="宋体" w:eastAsia="宋体" w:hint="default"/>
                <w:sz w:val="21"/>
                <w:szCs w:val="21"/>
              </w:rPr>
            </w:pPr>
            <w:r>
              <w:rPr>
                <w:rFonts w:ascii="宋体"/>
                <w:sz w:val="21"/>
              </w:rPr>
              <w:t>1,086,506.03</w:t>
            </w:r>
          </w:p>
        </w:tc>
      </w:tr>
      <w:tr>
        <w:trPr>
          <w:trHeight w:val="342"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667"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1"/>
              <w:jc w:val="right"/>
              <w:rPr>
                <w:rFonts w:ascii="宋体" w:hAnsi="宋体" w:cs="宋体" w:eastAsia="宋体" w:hint="default"/>
                <w:sz w:val="21"/>
                <w:szCs w:val="21"/>
              </w:rPr>
            </w:pPr>
            <w:r>
              <w:rPr>
                <w:rFonts w:ascii="宋体"/>
                <w:sz w:val="21"/>
              </w:rPr>
              <w:t>129,564,528.75</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3"/>
              <w:jc w:val="right"/>
              <w:rPr>
                <w:rFonts w:ascii="宋体" w:hAnsi="宋体" w:cs="宋体" w:eastAsia="宋体" w:hint="default"/>
                <w:sz w:val="21"/>
                <w:szCs w:val="21"/>
              </w:rPr>
            </w:pPr>
            <w:r>
              <w:rPr>
                <w:rFonts w:ascii="宋体"/>
                <w:sz w:val="21"/>
              </w:rPr>
              <w:t>19.20</w:t>
            </w:r>
          </w:p>
        </w:tc>
        <w:tc>
          <w:tcPr>
            <w:tcW w:w="2445"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3"/>
              <w:jc w:val="right"/>
              <w:rPr>
                <w:rFonts w:ascii="宋体" w:hAnsi="宋体" w:cs="宋体" w:eastAsia="宋体" w:hint="default"/>
                <w:sz w:val="21"/>
                <w:szCs w:val="21"/>
              </w:rPr>
            </w:pPr>
            <w:r>
              <w:rPr>
                <w:rFonts w:ascii="宋体"/>
                <w:sz w:val="21"/>
              </w:rPr>
              <w:t>11,218,421.21</w:t>
            </w:r>
          </w:p>
        </w:tc>
      </w:tr>
    </w:tbl>
    <w:p>
      <w:pPr>
        <w:spacing w:after="0" w:line="270" w:lineRule="exact"/>
        <w:jc w:val="right"/>
        <w:rPr>
          <w:rFonts w:ascii="宋体" w:hAnsi="宋体" w:cs="宋体" w:eastAsia="宋体" w:hint="default"/>
          <w:sz w:val="21"/>
          <w:szCs w:val="21"/>
        </w:rPr>
        <w:sectPr>
          <w:pgSz w:w="11910" w:h="16840"/>
          <w:pgMar w:header="747" w:footer="979" w:top="1060" w:bottom="1160" w:left="98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7"/>
          <w:szCs w:val="17"/>
        </w:rPr>
      </w:pPr>
    </w:p>
    <w:p>
      <w:pPr>
        <w:pStyle w:val="Heading2"/>
        <w:spacing w:line="240" w:lineRule="auto"/>
        <w:ind w:right="996"/>
        <w:jc w:val="left"/>
        <w:rPr>
          <w:b w:val="0"/>
          <w:bCs w:val="0"/>
        </w:rPr>
      </w:pPr>
      <w:bookmarkStart w:name="（5）因金融资产转移而终止确认的应收账款" w:id="261"/>
      <w:bookmarkEnd w:id="261"/>
      <w:r>
        <w:rPr>
          <w:b w:val="0"/>
          <w:bCs w:val="0"/>
        </w:rPr>
      </w:r>
      <w:r>
        <w:rPr/>
        <w:t>（</w:t>
      </w:r>
      <w:r>
        <w:rPr>
          <w:rFonts w:ascii="宋体" w:hAnsi="宋体" w:cs="宋体" w:eastAsia="宋体" w:hint="default"/>
        </w:rPr>
        <w:t>5</w:t>
      </w:r>
      <w:r>
        <w:rPr/>
        <w:t>）因金融资产转移而终止确认的应收账款</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0"/>
        <w:ind w:left="633" w:right="996"/>
        <w:jc w:val="left"/>
      </w:pPr>
      <w:r>
        <w:rPr/>
        <w:t>无</w:t>
      </w:r>
    </w:p>
    <w:p>
      <w:pPr>
        <w:pStyle w:val="Heading2"/>
        <w:spacing w:line="240" w:lineRule="auto" w:before="147"/>
        <w:ind w:right="996"/>
        <w:jc w:val="left"/>
        <w:rPr>
          <w:b w:val="0"/>
          <w:bCs w:val="0"/>
        </w:rPr>
      </w:pPr>
      <w:bookmarkStart w:name="（6）转移应收账款且继续涉入形成的资产、负债金额" w:id="262"/>
      <w:bookmarkEnd w:id="262"/>
      <w:r>
        <w:rPr>
          <w:b w:val="0"/>
          <w:bCs w:val="0"/>
        </w:rPr>
      </w:r>
      <w:r>
        <w:rPr/>
        <w:t>（</w:t>
      </w:r>
      <w:r>
        <w:rPr>
          <w:rFonts w:ascii="宋体" w:hAnsi="宋体" w:cs="宋体" w:eastAsia="宋体" w:hint="default"/>
        </w:rPr>
        <w:t>6</w:t>
      </w:r>
      <w:r>
        <w:rPr/>
        <w:t>）转移应收账款且继续涉入形成的资产、负债金额</w:t>
      </w:r>
      <w:r>
        <w:rPr>
          <w:b w:val="0"/>
          <w:bCs w:val="0"/>
        </w:rPr>
      </w:r>
    </w:p>
    <w:p>
      <w:pPr>
        <w:spacing w:line="240" w:lineRule="auto" w:before="1"/>
        <w:rPr>
          <w:rFonts w:ascii="宋体" w:hAnsi="宋体" w:cs="宋体" w:eastAsia="宋体" w:hint="default"/>
          <w:b/>
          <w:bCs/>
          <w:sz w:val="23"/>
          <w:szCs w:val="23"/>
        </w:rPr>
      </w:pPr>
    </w:p>
    <w:p>
      <w:pPr>
        <w:spacing w:line="350" w:lineRule="auto" w:before="0"/>
        <w:ind w:left="636" w:right="8944" w:hanging="3"/>
        <w:jc w:val="left"/>
        <w:rPr>
          <w:rFonts w:ascii="宋体" w:hAnsi="宋体" w:cs="宋体" w:eastAsia="宋体" w:hint="default"/>
          <w:sz w:val="24"/>
          <w:szCs w:val="24"/>
        </w:rPr>
      </w:pPr>
      <w:r>
        <w:rPr>
          <w:rFonts w:ascii="宋体" w:hAnsi="宋体" w:cs="宋体" w:eastAsia="宋体" w:hint="default"/>
          <w:sz w:val="24"/>
          <w:szCs w:val="24"/>
        </w:rPr>
        <w:t>无 </w:t>
      </w:r>
      <w:bookmarkStart w:name="6、预付款项" w:id="263"/>
      <w:bookmarkEnd w:id="263"/>
      <w:r>
        <w:rPr>
          <w:rFonts w:ascii="宋体" w:hAnsi="宋体" w:cs="宋体" w:eastAsia="宋体" w:hint="default"/>
          <w:sz w:val="24"/>
          <w:szCs w:val="24"/>
        </w:rPr>
      </w:r>
      <w:r>
        <w:rPr>
          <w:rFonts w:ascii="宋体" w:hAnsi="宋体" w:cs="宋体" w:eastAsia="宋体" w:hint="default"/>
          <w:b/>
          <w:bCs/>
          <w:sz w:val="24"/>
          <w:szCs w:val="24"/>
        </w:rPr>
        <w:t>6</w:t>
      </w:r>
      <w:r>
        <w:rPr>
          <w:rFonts w:ascii="宋体" w:hAnsi="宋体" w:cs="宋体" w:eastAsia="宋体" w:hint="default"/>
          <w:b/>
          <w:bCs/>
          <w:sz w:val="24"/>
          <w:szCs w:val="24"/>
        </w:rPr>
        <w:t>、预付款项</w:t>
      </w:r>
      <w:r>
        <w:rPr>
          <w:rFonts w:ascii="宋体" w:hAnsi="宋体" w:cs="宋体" w:eastAsia="宋体" w:hint="default"/>
          <w:sz w:val="24"/>
          <w:szCs w:val="24"/>
        </w:rPr>
      </w:r>
    </w:p>
    <w:p>
      <w:pPr>
        <w:pStyle w:val="Heading2"/>
        <w:spacing w:line="240" w:lineRule="auto" w:before="192"/>
        <w:ind w:right="996"/>
        <w:jc w:val="left"/>
        <w:rPr>
          <w:b w:val="0"/>
          <w:bCs w:val="0"/>
        </w:rPr>
      </w:pPr>
      <w:bookmarkStart w:name="（1）预付款项按账龄列示" w:id="264"/>
      <w:bookmarkEnd w:id="264"/>
      <w:r>
        <w:rPr>
          <w:b w:val="0"/>
          <w:bCs w:val="0"/>
        </w:rPr>
      </w:r>
      <w:r>
        <w:rPr/>
        <w:t>（</w:t>
      </w:r>
      <w:r>
        <w:rPr>
          <w:rFonts w:ascii="宋体" w:hAnsi="宋体" w:cs="宋体" w:eastAsia="宋体" w:hint="default"/>
        </w:rPr>
        <w:t>1</w:t>
      </w:r>
      <w:r>
        <w:rPr/>
        <w:t>）预付款项按账龄列示</w:t>
      </w:r>
      <w:r>
        <w:rPr>
          <w:b w:val="0"/>
          <w:bCs w:val="0"/>
        </w:rPr>
      </w:r>
    </w:p>
    <w:p>
      <w:pPr>
        <w:spacing w:line="240" w:lineRule="auto" w:before="8"/>
        <w:rPr>
          <w:rFonts w:ascii="宋体" w:hAnsi="宋体" w:cs="宋体" w:eastAsia="宋体" w:hint="default"/>
          <w:b/>
          <w:bCs/>
          <w:sz w:val="12"/>
          <w:szCs w:val="12"/>
        </w:rPr>
      </w:pPr>
    </w:p>
    <w:p>
      <w:pPr>
        <w:spacing w:before="35"/>
        <w:ind w:left="0" w:right="1129" w:firstLine="0"/>
        <w:jc w:val="right"/>
        <w:rPr>
          <w:rFonts w:ascii="宋体" w:hAnsi="宋体" w:cs="宋体" w:eastAsia="宋体" w:hint="default"/>
          <w:sz w:val="21"/>
          <w:szCs w:val="21"/>
        </w:rPr>
      </w:pPr>
      <w:r>
        <w:rPr>
          <w:rFonts w:ascii="宋体" w:hAnsi="宋体" w:cs="宋体" w:eastAsia="宋体" w:hint="default"/>
          <w:sz w:val="21"/>
          <w:szCs w:val="21"/>
        </w:rPr>
        <w:t>单位： 元</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1889"/>
        <w:gridCol w:w="1927"/>
        <w:gridCol w:w="1914"/>
        <w:gridCol w:w="1914"/>
        <w:gridCol w:w="1915"/>
      </w:tblGrid>
      <w:tr>
        <w:trPr>
          <w:trHeight w:val="206" w:hRule="exact"/>
        </w:trPr>
        <w:tc>
          <w:tcPr>
            <w:tcW w:w="1889" w:type="dxa"/>
            <w:tcBorders>
              <w:top w:val="single" w:sz="4" w:space="0" w:color="000000"/>
              <w:left w:val="single" w:sz="4" w:space="0" w:color="000000"/>
              <w:bottom w:val="nil" w:sz="6" w:space="0" w:color="auto"/>
              <w:right w:val="single" w:sz="4" w:space="0" w:color="000000"/>
            </w:tcBorders>
            <w:shd w:val="clear" w:color="auto" w:fill="D2D2D2"/>
          </w:tcPr>
          <w:p>
            <w:pPr/>
          </w:p>
        </w:tc>
        <w:tc>
          <w:tcPr>
            <w:tcW w:w="384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7"/>
              <w:ind w:left="1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83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7"/>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196" w:hRule="exact"/>
        </w:trPr>
        <w:tc>
          <w:tcPr>
            <w:tcW w:w="188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3841" w:type="dxa"/>
            <w:gridSpan w:val="2"/>
            <w:vMerge/>
            <w:tcBorders>
              <w:left w:val="single" w:sz="4" w:space="0" w:color="000000"/>
              <w:bottom w:val="single" w:sz="4" w:space="0" w:color="000000"/>
              <w:right w:val="single" w:sz="4" w:space="0" w:color="000000"/>
            </w:tcBorders>
            <w:shd w:val="clear" w:color="auto" w:fill="D2D2D2"/>
          </w:tcPr>
          <w:p>
            <w:pPr/>
          </w:p>
        </w:tc>
        <w:tc>
          <w:tcPr>
            <w:tcW w:w="3830" w:type="dxa"/>
            <w:gridSpan w:val="2"/>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889" w:type="dxa"/>
            <w:vMerge/>
            <w:tcBorders>
              <w:left w:val="single" w:sz="4" w:space="0" w:color="000000"/>
              <w:bottom w:val="nil" w:sz="6" w:space="0" w:color="auto"/>
              <w:right w:val="single" w:sz="4" w:space="0" w:color="000000"/>
            </w:tcBorders>
            <w:shd w:val="clear" w:color="auto" w:fill="D2D2D2"/>
          </w:tcPr>
          <w:p>
            <w:pPr/>
          </w:p>
        </w:tc>
        <w:tc>
          <w:tcPr>
            <w:tcW w:w="192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6"/>
              <w:ind w:left="11"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比例</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191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比例</w:t>
            </w:r>
          </w:p>
        </w:tc>
      </w:tr>
      <w:tr>
        <w:trPr>
          <w:trHeight w:val="205" w:hRule="exact"/>
        </w:trPr>
        <w:tc>
          <w:tcPr>
            <w:tcW w:w="1889" w:type="dxa"/>
            <w:tcBorders>
              <w:top w:val="nil" w:sz="6" w:space="0" w:color="auto"/>
              <w:left w:val="single" w:sz="4" w:space="0" w:color="000000"/>
              <w:bottom w:val="single" w:sz="4" w:space="0" w:color="000000"/>
              <w:right w:val="single" w:sz="4" w:space="0" w:color="000000"/>
            </w:tcBorders>
            <w:shd w:val="clear" w:color="auto" w:fill="D2D2D2"/>
          </w:tcPr>
          <w:p>
            <w:pPr/>
          </w:p>
        </w:tc>
        <w:tc>
          <w:tcPr>
            <w:tcW w:w="192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5"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11"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7"/>
              <w:ind w:right="21"/>
              <w:jc w:val="right"/>
              <w:rPr>
                <w:rFonts w:ascii="宋体" w:hAnsi="宋体" w:cs="宋体" w:eastAsia="宋体" w:hint="default"/>
                <w:sz w:val="21"/>
                <w:szCs w:val="21"/>
              </w:rPr>
            </w:pPr>
            <w:r>
              <w:rPr>
                <w:rFonts w:ascii="宋体"/>
                <w:sz w:val="21"/>
              </w:rPr>
              <w:t>4,667,112.52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1"/>
              <w:jc w:val="right"/>
              <w:rPr>
                <w:rFonts w:ascii="宋体" w:hAnsi="宋体" w:cs="宋体" w:eastAsia="宋体" w:hint="default"/>
                <w:sz w:val="21"/>
                <w:szCs w:val="21"/>
              </w:rPr>
            </w:pPr>
            <w:r>
              <w:rPr>
                <w:rFonts w:ascii="宋体"/>
                <w:sz w:val="21"/>
              </w:rPr>
              <w:t>70.39%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1"/>
              <w:jc w:val="right"/>
              <w:rPr>
                <w:rFonts w:ascii="宋体" w:hAnsi="宋体" w:cs="宋体" w:eastAsia="宋体" w:hint="default"/>
                <w:sz w:val="21"/>
                <w:szCs w:val="21"/>
              </w:rPr>
            </w:pPr>
            <w:r>
              <w:rPr>
                <w:rFonts w:ascii="宋体"/>
                <w:sz w:val="21"/>
              </w:rPr>
              <w:t>6,281,383.91</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3"/>
              <w:jc w:val="right"/>
              <w:rPr>
                <w:rFonts w:ascii="宋体" w:hAnsi="宋体" w:cs="宋体" w:eastAsia="宋体" w:hint="default"/>
                <w:sz w:val="21"/>
                <w:szCs w:val="21"/>
              </w:rPr>
            </w:pPr>
            <w:r>
              <w:rPr>
                <w:rFonts w:ascii="宋体"/>
                <w:sz w:val="21"/>
              </w:rPr>
              <w:t>56.39%</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11"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7"/>
              <w:ind w:right="21"/>
              <w:jc w:val="right"/>
              <w:rPr>
                <w:rFonts w:ascii="宋体" w:hAnsi="宋体" w:cs="宋体" w:eastAsia="宋体" w:hint="default"/>
                <w:sz w:val="21"/>
                <w:szCs w:val="21"/>
              </w:rPr>
            </w:pPr>
            <w:r>
              <w:rPr>
                <w:rFonts w:ascii="宋体"/>
                <w:sz w:val="21"/>
              </w:rPr>
              <w:t>1,420,706.00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3"/>
              <w:jc w:val="right"/>
              <w:rPr>
                <w:rFonts w:ascii="宋体" w:hAnsi="宋体" w:cs="宋体" w:eastAsia="宋体" w:hint="default"/>
                <w:sz w:val="21"/>
                <w:szCs w:val="21"/>
              </w:rPr>
            </w:pPr>
            <w:r>
              <w:rPr>
                <w:rFonts w:ascii="宋体"/>
                <w:sz w:val="21"/>
              </w:rPr>
              <w:t>21.43%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1"/>
              <w:jc w:val="right"/>
              <w:rPr>
                <w:rFonts w:ascii="宋体" w:hAnsi="宋体" w:cs="宋体" w:eastAsia="宋体" w:hint="default"/>
                <w:sz w:val="21"/>
                <w:szCs w:val="21"/>
              </w:rPr>
            </w:pPr>
            <w:r>
              <w:rPr>
                <w:rFonts w:ascii="宋体"/>
                <w:sz w:val="21"/>
              </w:rPr>
              <w:t>3,798,971.00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3"/>
              <w:jc w:val="right"/>
              <w:rPr>
                <w:rFonts w:ascii="宋体" w:hAnsi="宋体" w:cs="宋体" w:eastAsia="宋体" w:hint="default"/>
                <w:sz w:val="21"/>
                <w:szCs w:val="21"/>
              </w:rPr>
            </w:pPr>
            <w:r>
              <w:rPr>
                <w:rFonts w:ascii="宋体"/>
                <w:sz w:val="21"/>
              </w:rPr>
              <w:t>34.10%</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11"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7"/>
              <w:ind w:right="21"/>
              <w:jc w:val="right"/>
              <w:rPr>
                <w:rFonts w:ascii="宋体" w:hAnsi="宋体" w:cs="宋体" w:eastAsia="宋体" w:hint="default"/>
                <w:sz w:val="21"/>
                <w:szCs w:val="21"/>
              </w:rPr>
            </w:pPr>
            <w:r>
              <w:rPr>
                <w:rFonts w:ascii="宋体"/>
                <w:sz w:val="21"/>
              </w:rPr>
              <w:t>418,765.00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1"/>
              <w:jc w:val="right"/>
              <w:rPr>
                <w:rFonts w:ascii="宋体" w:hAnsi="宋体" w:cs="宋体" w:eastAsia="宋体" w:hint="default"/>
                <w:sz w:val="21"/>
                <w:szCs w:val="21"/>
              </w:rPr>
            </w:pPr>
            <w:r>
              <w:rPr>
                <w:rFonts w:ascii="宋体"/>
                <w:sz w:val="21"/>
              </w:rPr>
              <w:t>6.32%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1"/>
              <w:jc w:val="right"/>
              <w:rPr>
                <w:rFonts w:ascii="宋体" w:hAnsi="宋体" w:cs="宋体" w:eastAsia="宋体" w:hint="default"/>
                <w:sz w:val="21"/>
                <w:szCs w:val="21"/>
              </w:rPr>
            </w:pPr>
            <w:r>
              <w:rPr>
                <w:rFonts w:ascii="宋体"/>
                <w:sz w:val="21"/>
              </w:rPr>
              <w:t>1,002,698.00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1"/>
              <w:jc w:val="right"/>
              <w:rPr>
                <w:rFonts w:ascii="宋体" w:hAnsi="宋体" w:cs="宋体" w:eastAsia="宋体" w:hint="default"/>
                <w:sz w:val="21"/>
                <w:szCs w:val="21"/>
              </w:rPr>
            </w:pPr>
            <w:r>
              <w:rPr>
                <w:rFonts w:ascii="宋体"/>
                <w:sz w:val="21"/>
              </w:rPr>
              <w:t>9.00%</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11"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7"/>
              <w:ind w:right="21"/>
              <w:jc w:val="right"/>
              <w:rPr>
                <w:rFonts w:ascii="宋体" w:hAnsi="宋体" w:cs="宋体" w:eastAsia="宋体" w:hint="default"/>
                <w:sz w:val="21"/>
                <w:szCs w:val="21"/>
              </w:rPr>
            </w:pPr>
            <w:r>
              <w:rPr>
                <w:rFonts w:ascii="宋体"/>
                <w:sz w:val="21"/>
              </w:rPr>
              <w:t>122,993.00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1"/>
              <w:jc w:val="right"/>
              <w:rPr>
                <w:rFonts w:ascii="宋体" w:hAnsi="宋体" w:cs="宋体" w:eastAsia="宋体" w:hint="default"/>
                <w:sz w:val="21"/>
                <w:szCs w:val="21"/>
              </w:rPr>
            </w:pPr>
            <w:r>
              <w:rPr>
                <w:rFonts w:ascii="宋体"/>
                <w:sz w:val="21"/>
              </w:rPr>
              <w:t>1.86%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1"/>
              <w:jc w:val="right"/>
              <w:rPr>
                <w:rFonts w:ascii="宋体" w:hAnsi="宋体" w:cs="宋体" w:eastAsia="宋体" w:hint="default"/>
                <w:sz w:val="21"/>
                <w:szCs w:val="21"/>
              </w:rPr>
            </w:pPr>
            <w:r>
              <w:rPr>
                <w:rFonts w:ascii="宋体"/>
                <w:sz w:val="21"/>
              </w:rPr>
              <w:t>56,900.00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1"/>
              <w:jc w:val="right"/>
              <w:rPr>
                <w:rFonts w:ascii="宋体" w:hAnsi="宋体" w:cs="宋体" w:eastAsia="宋体" w:hint="default"/>
                <w:sz w:val="21"/>
                <w:szCs w:val="21"/>
              </w:rPr>
            </w:pPr>
            <w:r>
              <w:rPr>
                <w:rFonts w:ascii="宋体"/>
                <w:sz w:val="21"/>
              </w:rPr>
              <w:t>0.51%</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11"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927"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27"/>
              <w:ind w:right="8"/>
              <w:jc w:val="right"/>
              <w:rPr>
                <w:rFonts w:ascii="宋体" w:hAnsi="宋体" w:cs="宋体" w:eastAsia="宋体" w:hint="default"/>
                <w:sz w:val="21"/>
                <w:szCs w:val="21"/>
              </w:rPr>
            </w:pPr>
            <w:r>
              <w:rPr>
                <w:rFonts w:ascii="宋体"/>
                <w:sz w:val="21"/>
              </w:rPr>
              <w:t>6,629,576.52</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right="1"/>
              <w:jc w:val="center"/>
              <w:rPr>
                <w:rFonts w:ascii="宋体" w:hAnsi="宋体" w:cs="宋体" w:eastAsia="宋体" w:hint="default"/>
                <w:sz w:val="21"/>
                <w:szCs w:val="21"/>
              </w:rPr>
            </w:pPr>
            <w:r>
              <w:rPr>
                <w:rFonts w:ascii="宋体"/>
                <w:sz w:val="21"/>
              </w:rPr>
              <w:t>--</w:t>
            </w:r>
          </w:p>
        </w:tc>
        <w:tc>
          <w:tcPr>
            <w:tcW w:w="19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7"/>
              <w:ind w:right="21"/>
              <w:jc w:val="right"/>
              <w:rPr>
                <w:rFonts w:ascii="宋体" w:hAnsi="宋体" w:cs="宋体" w:eastAsia="宋体" w:hint="default"/>
                <w:sz w:val="21"/>
                <w:szCs w:val="21"/>
              </w:rPr>
            </w:pPr>
            <w:r>
              <w:rPr>
                <w:rFonts w:ascii="宋体"/>
                <w:sz w:val="21"/>
              </w:rPr>
              <w:t>11,139,952.91</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right="0"/>
              <w:jc w:val="center"/>
              <w:rPr>
                <w:rFonts w:ascii="宋体" w:hAnsi="宋体" w:cs="宋体" w:eastAsia="宋体" w:hint="default"/>
                <w:sz w:val="21"/>
                <w:szCs w:val="21"/>
              </w:rPr>
            </w:pPr>
            <w:r>
              <w:rPr>
                <w:rFonts w:ascii="宋体"/>
                <w:sz w:val="21"/>
              </w:rPr>
              <w:t>--</w:t>
            </w:r>
          </w:p>
        </w:tc>
      </w:tr>
    </w:tbl>
    <w:p>
      <w:pPr>
        <w:spacing w:line="240" w:lineRule="auto" w:before="10"/>
        <w:rPr>
          <w:rFonts w:ascii="宋体" w:hAnsi="宋体" w:cs="宋体" w:eastAsia="宋体" w:hint="default"/>
          <w:sz w:val="4"/>
          <w:szCs w:val="4"/>
        </w:rPr>
      </w:pPr>
    </w:p>
    <w:p>
      <w:pPr>
        <w:pStyle w:val="BodyText"/>
        <w:spacing w:line="240" w:lineRule="auto" w:before="26"/>
        <w:ind w:left="634" w:right="996"/>
        <w:jc w:val="left"/>
      </w:pPr>
      <w:r>
        <w:rPr/>
        <w:t>账龄超过</w:t>
      </w:r>
      <w:r>
        <w:rPr>
          <w:rFonts w:ascii="宋体" w:hAnsi="宋体" w:cs="宋体" w:eastAsia="宋体" w:hint="default"/>
        </w:rPr>
        <w:t>1</w:t>
      </w:r>
      <w:r>
        <w:rPr/>
        <w:t>年且金额重要的预付款项未及时结算原因的说明：</w:t>
      </w:r>
    </w:p>
    <w:p>
      <w:pPr>
        <w:spacing w:line="240" w:lineRule="auto" w:before="5"/>
        <w:rPr>
          <w:rFonts w:ascii="宋体" w:hAnsi="宋体" w:cs="宋体" w:eastAsia="宋体" w:hint="default"/>
          <w:sz w:val="4"/>
          <w:szCs w:val="4"/>
        </w:rPr>
      </w:pPr>
    </w:p>
    <w:tbl>
      <w:tblPr>
        <w:tblW w:w="0" w:type="auto"/>
        <w:jc w:val="left"/>
        <w:tblInd w:w="758" w:type="dxa"/>
        <w:tblLayout w:type="fixed"/>
        <w:tblCellMar>
          <w:top w:w="0" w:type="dxa"/>
          <w:left w:w="0" w:type="dxa"/>
          <w:bottom w:w="0" w:type="dxa"/>
          <w:right w:w="0" w:type="dxa"/>
        </w:tblCellMar>
        <w:tblLook w:val="01E0"/>
      </w:tblPr>
      <w:tblGrid>
        <w:gridCol w:w="3828"/>
        <w:gridCol w:w="1559"/>
        <w:gridCol w:w="1418"/>
        <w:gridCol w:w="1616"/>
      </w:tblGrid>
      <w:tr>
        <w:trPr>
          <w:trHeight w:val="342" w:hRule="exact"/>
        </w:trPr>
        <w:tc>
          <w:tcPr>
            <w:tcW w:w="3828"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353"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账龄</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未及时结算原因</w:t>
            </w:r>
          </w:p>
        </w:tc>
      </w:tr>
      <w:tr>
        <w:trPr>
          <w:trHeight w:val="342" w:hRule="exact"/>
        </w:trPr>
        <w:tc>
          <w:tcPr>
            <w:tcW w:w="3828"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 w:right="0"/>
              <w:jc w:val="left"/>
              <w:rPr>
                <w:rFonts w:ascii="宋体" w:hAnsi="宋体" w:cs="宋体" w:eastAsia="宋体" w:hint="default"/>
                <w:sz w:val="21"/>
                <w:szCs w:val="21"/>
              </w:rPr>
            </w:pPr>
            <w:r>
              <w:rPr>
                <w:rFonts w:ascii="宋体" w:hAnsi="宋体" w:cs="宋体" w:eastAsia="宋体" w:hint="default"/>
                <w:sz w:val="21"/>
                <w:szCs w:val="21"/>
              </w:rPr>
              <w:t>河北网来网络科技有限公司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3"/>
              <w:jc w:val="right"/>
              <w:rPr>
                <w:rFonts w:ascii="宋体" w:hAnsi="宋体" w:cs="宋体" w:eastAsia="宋体" w:hint="default"/>
                <w:sz w:val="21"/>
                <w:szCs w:val="21"/>
              </w:rPr>
            </w:pPr>
            <w:r>
              <w:rPr>
                <w:rFonts w:ascii="宋体"/>
                <w:spacing w:val="-1"/>
                <w:sz w:val="21"/>
              </w:rPr>
              <w:t>424,200.00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z w:val="21"/>
                <w:szCs w:val="21"/>
              </w:rPr>
              <w:t>年</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项目未完工</w:t>
            </w:r>
          </w:p>
        </w:tc>
      </w:tr>
      <w:tr>
        <w:trPr>
          <w:trHeight w:val="342" w:hRule="exact"/>
        </w:trPr>
        <w:tc>
          <w:tcPr>
            <w:tcW w:w="3828"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 w:right="0"/>
              <w:jc w:val="left"/>
              <w:rPr>
                <w:rFonts w:ascii="宋体" w:hAnsi="宋体" w:cs="宋体" w:eastAsia="宋体" w:hint="default"/>
                <w:sz w:val="21"/>
                <w:szCs w:val="21"/>
              </w:rPr>
            </w:pPr>
            <w:r>
              <w:rPr>
                <w:rFonts w:ascii="宋体" w:hAnsi="宋体" w:cs="宋体" w:eastAsia="宋体" w:hint="default"/>
                <w:sz w:val="21"/>
                <w:szCs w:val="21"/>
              </w:rPr>
              <w:t>北京市华铁信息技术开发总公司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2"/>
              <w:jc w:val="right"/>
              <w:rPr>
                <w:rFonts w:ascii="宋体" w:hAnsi="宋体" w:cs="宋体" w:eastAsia="宋体" w:hint="default"/>
                <w:sz w:val="21"/>
                <w:szCs w:val="21"/>
              </w:rPr>
            </w:pPr>
            <w:r>
              <w:rPr>
                <w:rFonts w:ascii="宋体"/>
                <w:sz w:val="21"/>
              </w:rPr>
              <w:t>269,003.00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z w:val="21"/>
                <w:szCs w:val="21"/>
              </w:rPr>
              <w:t>年</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项目未完工</w:t>
            </w:r>
          </w:p>
        </w:tc>
      </w:tr>
      <w:tr>
        <w:trPr>
          <w:trHeight w:val="342" w:hRule="exact"/>
        </w:trPr>
        <w:tc>
          <w:tcPr>
            <w:tcW w:w="3828"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 w:right="0"/>
              <w:jc w:val="left"/>
              <w:rPr>
                <w:rFonts w:ascii="宋体" w:hAnsi="宋体" w:cs="宋体" w:eastAsia="宋体" w:hint="default"/>
                <w:sz w:val="21"/>
                <w:szCs w:val="21"/>
              </w:rPr>
            </w:pPr>
            <w:r>
              <w:rPr>
                <w:rFonts w:ascii="宋体" w:hAnsi="宋体" w:cs="宋体" w:eastAsia="宋体" w:hint="default"/>
                <w:sz w:val="21"/>
                <w:szCs w:val="21"/>
              </w:rPr>
              <w:t>河北韦奥通信设备有限公司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2"/>
              <w:jc w:val="right"/>
              <w:rPr>
                <w:rFonts w:ascii="宋体" w:hAnsi="宋体" w:cs="宋体" w:eastAsia="宋体" w:hint="default"/>
                <w:sz w:val="21"/>
                <w:szCs w:val="21"/>
              </w:rPr>
            </w:pPr>
            <w:r>
              <w:rPr>
                <w:rFonts w:ascii="宋体"/>
                <w:sz w:val="21"/>
              </w:rPr>
              <w:t>220,725.00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1-3</w:t>
            </w:r>
            <w:r>
              <w:rPr>
                <w:rFonts w:ascii="宋体" w:hAnsi="宋体" w:cs="宋体" w:eastAsia="宋体" w:hint="default"/>
                <w:sz w:val="21"/>
                <w:szCs w:val="21"/>
              </w:rPr>
              <w:t>年</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项目未完工</w:t>
            </w:r>
          </w:p>
        </w:tc>
      </w:tr>
      <w:tr>
        <w:trPr>
          <w:trHeight w:val="342" w:hRule="exact"/>
        </w:trPr>
        <w:tc>
          <w:tcPr>
            <w:tcW w:w="3828"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 w:right="0"/>
              <w:jc w:val="left"/>
              <w:rPr>
                <w:rFonts w:ascii="宋体" w:hAnsi="宋体" w:cs="宋体" w:eastAsia="宋体" w:hint="default"/>
                <w:sz w:val="21"/>
                <w:szCs w:val="21"/>
              </w:rPr>
            </w:pPr>
            <w:r>
              <w:rPr>
                <w:rFonts w:ascii="宋体" w:hAnsi="宋体" w:cs="宋体" w:eastAsia="宋体" w:hint="default"/>
                <w:sz w:val="21"/>
                <w:szCs w:val="21"/>
              </w:rPr>
              <w:t>北京中讯国创特种电源技术有限公司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2"/>
              <w:jc w:val="right"/>
              <w:rPr>
                <w:rFonts w:ascii="宋体" w:hAnsi="宋体" w:cs="宋体" w:eastAsia="宋体" w:hint="default"/>
                <w:sz w:val="21"/>
                <w:szCs w:val="21"/>
              </w:rPr>
            </w:pPr>
            <w:r>
              <w:rPr>
                <w:rFonts w:ascii="宋体"/>
                <w:sz w:val="21"/>
              </w:rPr>
              <w:t>127,818.00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z w:val="21"/>
                <w:szCs w:val="21"/>
              </w:rPr>
              <w:t>年</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项目未完工</w:t>
            </w:r>
          </w:p>
        </w:tc>
      </w:tr>
      <w:tr>
        <w:trPr>
          <w:trHeight w:val="342" w:hRule="exact"/>
        </w:trPr>
        <w:tc>
          <w:tcPr>
            <w:tcW w:w="3828"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 w:right="0"/>
              <w:jc w:val="left"/>
              <w:rPr>
                <w:rFonts w:ascii="宋体" w:hAnsi="宋体" w:cs="宋体" w:eastAsia="宋体" w:hint="default"/>
                <w:sz w:val="21"/>
                <w:szCs w:val="21"/>
              </w:rPr>
            </w:pPr>
            <w:r>
              <w:rPr>
                <w:rFonts w:ascii="宋体" w:hAnsi="宋体" w:cs="宋体" w:eastAsia="宋体" w:hint="default"/>
                <w:sz w:val="21"/>
                <w:szCs w:val="21"/>
              </w:rPr>
              <w:t>北京中通华茂网络通信技术有限公司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2"/>
              <w:jc w:val="right"/>
              <w:rPr>
                <w:rFonts w:ascii="宋体" w:hAnsi="宋体" w:cs="宋体" w:eastAsia="宋体" w:hint="default"/>
                <w:sz w:val="21"/>
                <w:szCs w:val="21"/>
              </w:rPr>
            </w:pPr>
            <w:r>
              <w:rPr>
                <w:rFonts w:ascii="宋体"/>
                <w:sz w:val="21"/>
              </w:rPr>
              <w:t>117,628.00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z w:val="21"/>
                <w:szCs w:val="21"/>
              </w:rPr>
              <w:t>年</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项目未完工</w:t>
            </w:r>
          </w:p>
        </w:tc>
      </w:tr>
      <w:tr>
        <w:trPr>
          <w:trHeight w:val="342" w:hRule="exact"/>
        </w:trPr>
        <w:tc>
          <w:tcPr>
            <w:tcW w:w="3828"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2"/>
              <w:jc w:val="right"/>
              <w:rPr>
                <w:rFonts w:ascii="宋体" w:hAnsi="宋体" w:cs="宋体" w:eastAsia="宋体" w:hint="default"/>
                <w:sz w:val="21"/>
                <w:szCs w:val="21"/>
              </w:rPr>
            </w:pPr>
            <w:r>
              <w:rPr>
                <w:rFonts w:ascii="宋体"/>
                <w:sz w:val="21"/>
              </w:rPr>
              <w:t>1,159,374.00</w:t>
            </w:r>
          </w:p>
        </w:tc>
        <w:tc>
          <w:tcPr>
            <w:tcW w:w="1418" w:type="dxa"/>
            <w:tcBorders>
              <w:top w:val="single" w:sz="4" w:space="0" w:color="000000"/>
              <w:left w:val="single" w:sz="4" w:space="0" w:color="000000"/>
              <w:bottom w:val="single" w:sz="4" w:space="0" w:color="000000"/>
              <w:right w:val="single" w:sz="4" w:space="0" w:color="000000"/>
            </w:tcBorders>
          </w:tcPr>
          <w:p>
            <w:pPr/>
          </w:p>
        </w:tc>
        <w:tc>
          <w:tcPr>
            <w:tcW w:w="161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0"/>
        <w:rPr>
          <w:rFonts w:ascii="宋体" w:hAnsi="宋体" w:cs="宋体" w:eastAsia="宋体" w:hint="default"/>
          <w:sz w:val="4"/>
          <w:szCs w:val="4"/>
        </w:rPr>
      </w:pPr>
    </w:p>
    <w:p>
      <w:pPr>
        <w:pStyle w:val="Heading2"/>
        <w:spacing w:line="240" w:lineRule="auto"/>
        <w:ind w:right="996"/>
        <w:jc w:val="left"/>
        <w:rPr>
          <w:b w:val="0"/>
          <w:bCs w:val="0"/>
        </w:rPr>
      </w:pPr>
      <w:bookmarkStart w:name="（2）按预付对象归集的期末余额前五名的预付款情况" w:id="265"/>
      <w:bookmarkEnd w:id="265"/>
      <w:r>
        <w:rPr>
          <w:b w:val="0"/>
          <w:bCs w:val="0"/>
        </w:rPr>
      </w:r>
      <w:r>
        <w:rPr/>
        <w:t>（</w:t>
      </w:r>
      <w:r>
        <w:rPr>
          <w:rFonts w:ascii="宋体" w:hAnsi="宋体" w:cs="宋体" w:eastAsia="宋体" w:hint="default"/>
        </w:rPr>
        <w:t>2</w:t>
      </w:r>
      <w:r>
        <w:rPr/>
        <w:t>）按预付对象归集的期末余额前五名的预付款情况</w:t>
      </w:r>
      <w:r>
        <w:rPr>
          <w:b w:val="0"/>
          <w:bCs w:val="0"/>
        </w:rPr>
      </w:r>
    </w:p>
    <w:p>
      <w:pPr>
        <w:spacing w:line="240" w:lineRule="auto" w:before="5"/>
        <w:rPr>
          <w:rFonts w:ascii="宋体" w:hAnsi="宋体" w:cs="宋体" w:eastAsia="宋体" w:hint="default"/>
          <w:b/>
          <w:bCs/>
          <w:sz w:val="16"/>
          <w:szCs w:val="16"/>
        </w:rPr>
      </w:pPr>
    </w:p>
    <w:tbl>
      <w:tblPr>
        <w:tblW w:w="0" w:type="auto"/>
        <w:jc w:val="left"/>
        <w:tblInd w:w="705" w:type="dxa"/>
        <w:tblLayout w:type="fixed"/>
        <w:tblCellMar>
          <w:top w:w="0" w:type="dxa"/>
          <w:left w:w="0" w:type="dxa"/>
          <w:bottom w:w="0" w:type="dxa"/>
          <w:right w:w="0" w:type="dxa"/>
        </w:tblCellMar>
        <w:tblLook w:val="01E0"/>
      </w:tblPr>
      <w:tblGrid>
        <w:gridCol w:w="2976"/>
        <w:gridCol w:w="1560"/>
        <w:gridCol w:w="1560"/>
        <w:gridCol w:w="992"/>
        <w:gridCol w:w="1440"/>
      </w:tblGrid>
      <w:tr>
        <w:trPr>
          <w:trHeight w:val="654" w:hRule="exact"/>
        </w:trPr>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0"/>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355" w:right="0"/>
              <w:jc w:val="left"/>
              <w:rPr>
                <w:rFonts w:ascii="宋体" w:hAnsi="宋体" w:cs="宋体" w:eastAsia="宋体" w:hint="default"/>
                <w:sz w:val="21"/>
                <w:szCs w:val="21"/>
              </w:rPr>
            </w:pPr>
            <w:r>
              <w:rPr>
                <w:rFonts w:ascii="宋体" w:hAnsi="宋体" w:cs="宋体" w:eastAsia="宋体" w:hint="default"/>
                <w:sz w:val="21"/>
                <w:szCs w:val="21"/>
              </w:rPr>
              <w:t>期末金额</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302" w:right="38" w:hanging="263"/>
              <w:jc w:val="left"/>
              <w:rPr>
                <w:rFonts w:ascii="宋体" w:hAnsi="宋体" w:cs="宋体" w:eastAsia="宋体" w:hint="default"/>
                <w:sz w:val="21"/>
                <w:szCs w:val="21"/>
              </w:rPr>
            </w:pPr>
            <w:r>
              <w:rPr>
                <w:rFonts w:ascii="宋体" w:hAnsi="宋体" w:cs="宋体" w:eastAsia="宋体" w:hint="default"/>
                <w:sz w:val="21"/>
                <w:szCs w:val="21"/>
              </w:rPr>
              <w:t>占预付账款总额 的比例</w:t>
            </w:r>
            <w:r>
              <w:rPr>
                <w:rFonts w:ascii="宋体" w:hAnsi="宋体" w:cs="宋体" w:eastAsia="宋体" w:hint="default"/>
                <w:sz w:val="21"/>
                <w:szCs w:val="21"/>
              </w:rPr>
              <w:t>(%)</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80" w:right="174" w:hanging="106"/>
              <w:jc w:val="left"/>
              <w:rPr>
                <w:rFonts w:ascii="宋体" w:hAnsi="宋体" w:cs="宋体" w:eastAsia="宋体" w:hint="default"/>
                <w:sz w:val="21"/>
                <w:szCs w:val="21"/>
              </w:rPr>
            </w:pPr>
            <w:r>
              <w:rPr>
                <w:rFonts w:ascii="宋体" w:hAnsi="宋体" w:cs="宋体" w:eastAsia="宋体" w:hint="default"/>
                <w:sz w:val="21"/>
                <w:szCs w:val="21"/>
              </w:rPr>
              <w:t>预付款 时间</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189" w:right="0"/>
              <w:jc w:val="left"/>
              <w:rPr>
                <w:rFonts w:ascii="宋体" w:hAnsi="宋体" w:cs="宋体" w:eastAsia="宋体" w:hint="default"/>
                <w:sz w:val="21"/>
                <w:szCs w:val="21"/>
              </w:rPr>
            </w:pPr>
            <w:r>
              <w:rPr>
                <w:rFonts w:ascii="宋体" w:hAnsi="宋体" w:cs="宋体" w:eastAsia="宋体" w:hint="default"/>
                <w:sz w:val="21"/>
                <w:szCs w:val="21"/>
              </w:rPr>
              <w:t>未结算原因</w:t>
            </w:r>
          </w:p>
        </w:tc>
      </w:tr>
      <w:tr>
        <w:trPr>
          <w:trHeight w:val="342" w:hRule="exact"/>
        </w:trPr>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4" w:right="0"/>
              <w:jc w:val="left"/>
              <w:rPr>
                <w:rFonts w:ascii="宋体" w:hAnsi="宋体" w:cs="宋体" w:eastAsia="宋体" w:hint="default"/>
                <w:sz w:val="21"/>
                <w:szCs w:val="21"/>
              </w:rPr>
            </w:pPr>
            <w:r>
              <w:rPr>
                <w:rFonts w:ascii="宋体" w:hAnsi="宋体" w:cs="宋体" w:eastAsia="宋体" w:hint="default"/>
                <w:sz w:val="21"/>
                <w:szCs w:val="21"/>
              </w:rPr>
              <w:t>成都继瑜轨道装备有限公司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4"/>
              <w:jc w:val="right"/>
              <w:rPr>
                <w:rFonts w:ascii="宋体" w:hAnsi="宋体" w:cs="宋体" w:eastAsia="宋体" w:hint="default"/>
                <w:sz w:val="21"/>
                <w:szCs w:val="21"/>
              </w:rPr>
            </w:pPr>
            <w:r>
              <w:rPr>
                <w:rFonts w:ascii="宋体"/>
                <w:sz w:val="21"/>
              </w:rPr>
              <w:t>828,400.01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3"/>
              <w:jc w:val="right"/>
              <w:rPr>
                <w:rFonts w:ascii="宋体" w:hAnsi="宋体" w:cs="宋体" w:eastAsia="宋体" w:hint="default"/>
                <w:sz w:val="21"/>
                <w:szCs w:val="21"/>
              </w:rPr>
            </w:pPr>
            <w:r>
              <w:rPr>
                <w:rFonts w:ascii="宋体"/>
                <w:sz w:val="21"/>
              </w:rPr>
              <w:t>12.50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1"/>
              <w:jc w:val="righ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年以内</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189" w:right="0"/>
              <w:jc w:val="left"/>
              <w:rPr>
                <w:rFonts w:ascii="宋体" w:hAnsi="宋体" w:cs="宋体" w:eastAsia="宋体" w:hint="default"/>
                <w:sz w:val="21"/>
                <w:szCs w:val="21"/>
              </w:rPr>
            </w:pPr>
            <w:r>
              <w:rPr>
                <w:rFonts w:ascii="宋体" w:hAnsi="宋体" w:cs="宋体" w:eastAsia="宋体" w:hint="default"/>
                <w:sz w:val="21"/>
                <w:szCs w:val="21"/>
              </w:rPr>
              <w:t>项目未完工</w:t>
            </w:r>
          </w:p>
        </w:tc>
      </w:tr>
      <w:tr>
        <w:trPr>
          <w:trHeight w:val="342" w:hRule="exact"/>
        </w:trPr>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4" w:right="0"/>
              <w:jc w:val="left"/>
              <w:rPr>
                <w:rFonts w:ascii="宋体" w:hAnsi="宋体" w:cs="宋体" w:eastAsia="宋体" w:hint="default"/>
                <w:sz w:val="21"/>
                <w:szCs w:val="21"/>
              </w:rPr>
            </w:pPr>
            <w:r>
              <w:rPr>
                <w:rFonts w:ascii="宋体" w:hAnsi="宋体" w:cs="宋体" w:eastAsia="宋体" w:hint="default"/>
                <w:sz w:val="21"/>
                <w:szCs w:val="21"/>
              </w:rPr>
              <w:t>西安子同铁路工程器材有限公司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4"/>
              <w:jc w:val="right"/>
              <w:rPr>
                <w:rFonts w:ascii="宋体" w:hAnsi="宋体" w:cs="宋体" w:eastAsia="宋体" w:hint="default"/>
                <w:sz w:val="21"/>
                <w:szCs w:val="21"/>
              </w:rPr>
            </w:pPr>
            <w:r>
              <w:rPr>
                <w:rFonts w:ascii="宋体"/>
                <w:sz w:val="21"/>
              </w:rPr>
              <w:t>700,000.00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3"/>
              <w:jc w:val="right"/>
              <w:rPr>
                <w:rFonts w:ascii="宋体" w:hAnsi="宋体" w:cs="宋体" w:eastAsia="宋体" w:hint="default"/>
                <w:sz w:val="21"/>
                <w:szCs w:val="21"/>
              </w:rPr>
            </w:pPr>
            <w:r>
              <w:rPr>
                <w:rFonts w:ascii="宋体"/>
                <w:sz w:val="21"/>
              </w:rPr>
              <w:t>10.56</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1"/>
              <w:jc w:val="righ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年以内</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189" w:right="0"/>
              <w:jc w:val="left"/>
              <w:rPr>
                <w:rFonts w:ascii="宋体" w:hAnsi="宋体" w:cs="宋体" w:eastAsia="宋体" w:hint="default"/>
                <w:sz w:val="21"/>
                <w:szCs w:val="21"/>
              </w:rPr>
            </w:pPr>
            <w:r>
              <w:rPr>
                <w:rFonts w:ascii="宋体" w:hAnsi="宋体" w:cs="宋体" w:eastAsia="宋体" w:hint="default"/>
                <w:sz w:val="21"/>
                <w:szCs w:val="21"/>
              </w:rPr>
              <w:t>项目未完工</w:t>
            </w:r>
          </w:p>
        </w:tc>
      </w:tr>
      <w:tr>
        <w:trPr>
          <w:trHeight w:val="342" w:hRule="exact"/>
        </w:trPr>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4" w:right="0"/>
              <w:jc w:val="left"/>
              <w:rPr>
                <w:rFonts w:ascii="宋体" w:hAnsi="宋体" w:cs="宋体" w:eastAsia="宋体" w:hint="default"/>
                <w:sz w:val="21"/>
                <w:szCs w:val="21"/>
              </w:rPr>
            </w:pPr>
            <w:r>
              <w:rPr>
                <w:rFonts w:ascii="宋体" w:hAnsi="宋体" w:cs="宋体" w:eastAsia="宋体" w:hint="default"/>
                <w:sz w:val="21"/>
                <w:szCs w:val="21"/>
              </w:rPr>
              <w:t>河北网来网络科技有限公司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4"/>
              <w:jc w:val="right"/>
              <w:rPr>
                <w:rFonts w:ascii="宋体" w:hAnsi="宋体" w:cs="宋体" w:eastAsia="宋体" w:hint="default"/>
                <w:sz w:val="21"/>
                <w:szCs w:val="21"/>
              </w:rPr>
            </w:pPr>
            <w:r>
              <w:rPr>
                <w:rFonts w:ascii="宋体"/>
                <w:sz w:val="21"/>
              </w:rPr>
              <w:t>424,200.00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5"/>
              <w:jc w:val="right"/>
              <w:rPr>
                <w:rFonts w:ascii="宋体" w:hAnsi="宋体" w:cs="宋体" w:eastAsia="宋体" w:hint="default"/>
                <w:sz w:val="21"/>
                <w:szCs w:val="21"/>
              </w:rPr>
            </w:pPr>
            <w:r>
              <w:rPr>
                <w:rFonts w:ascii="宋体"/>
                <w:sz w:val="21"/>
              </w:rPr>
              <w:t>6.40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1"/>
              <w:jc w:val="right"/>
              <w:rPr>
                <w:rFonts w:ascii="宋体" w:hAnsi="宋体" w:cs="宋体" w:eastAsia="宋体" w:hint="default"/>
                <w:sz w:val="21"/>
                <w:szCs w:val="21"/>
              </w:rPr>
            </w:pPr>
            <w:r>
              <w:rPr>
                <w:rFonts w:ascii="宋体" w:hAnsi="宋体" w:cs="宋体" w:eastAsia="宋体" w:hint="default"/>
                <w:spacing w:val="-1"/>
                <w:sz w:val="21"/>
                <w:szCs w:val="21"/>
              </w:rPr>
              <w:t>1-2</w:t>
            </w:r>
            <w:r>
              <w:rPr>
                <w:rFonts w:ascii="宋体" w:hAnsi="宋体" w:cs="宋体" w:eastAsia="宋体" w:hint="default"/>
                <w:spacing w:val="-1"/>
                <w:sz w:val="21"/>
                <w:szCs w:val="21"/>
              </w:rPr>
              <w:t>年</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189" w:right="0"/>
              <w:jc w:val="left"/>
              <w:rPr>
                <w:rFonts w:ascii="宋体" w:hAnsi="宋体" w:cs="宋体" w:eastAsia="宋体" w:hint="default"/>
                <w:sz w:val="21"/>
                <w:szCs w:val="21"/>
              </w:rPr>
            </w:pPr>
            <w:r>
              <w:rPr>
                <w:rFonts w:ascii="宋体" w:hAnsi="宋体" w:cs="宋体" w:eastAsia="宋体" w:hint="default"/>
                <w:sz w:val="21"/>
                <w:szCs w:val="21"/>
              </w:rPr>
              <w:t>项目未完工</w:t>
            </w:r>
          </w:p>
        </w:tc>
      </w:tr>
      <w:tr>
        <w:trPr>
          <w:trHeight w:val="654" w:hRule="exact"/>
        </w:trPr>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4" w:right="19"/>
              <w:jc w:val="left"/>
              <w:rPr>
                <w:rFonts w:ascii="宋体" w:hAnsi="宋体" w:cs="宋体" w:eastAsia="宋体" w:hint="default"/>
                <w:sz w:val="21"/>
                <w:szCs w:val="21"/>
              </w:rPr>
            </w:pPr>
            <w:r>
              <w:rPr>
                <w:rFonts w:ascii="宋体" w:hAnsi="宋体" w:cs="宋体" w:eastAsia="宋体" w:hint="default"/>
                <w:sz w:val="21"/>
                <w:szCs w:val="21"/>
              </w:rPr>
              <w:t>佛山市柏克新能科技股份有限公 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4"/>
              <w:jc w:val="right"/>
              <w:rPr>
                <w:rFonts w:ascii="宋体" w:hAnsi="宋体" w:cs="宋体" w:eastAsia="宋体" w:hint="default"/>
                <w:sz w:val="21"/>
                <w:szCs w:val="21"/>
              </w:rPr>
            </w:pPr>
            <w:r>
              <w:rPr>
                <w:rFonts w:ascii="宋体"/>
                <w:sz w:val="21"/>
              </w:rPr>
              <w:t>273,700.00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5"/>
              <w:jc w:val="right"/>
              <w:rPr>
                <w:rFonts w:ascii="宋体" w:hAnsi="宋体" w:cs="宋体" w:eastAsia="宋体" w:hint="default"/>
                <w:sz w:val="21"/>
                <w:szCs w:val="21"/>
              </w:rPr>
            </w:pPr>
            <w:r>
              <w:rPr>
                <w:rFonts w:ascii="宋体"/>
                <w:sz w:val="21"/>
              </w:rPr>
              <w:t>4.13</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1"/>
              <w:jc w:val="righ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年以内</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189" w:right="0"/>
              <w:jc w:val="left"/>
              <w:rPr>
                <w:rFonts w:ascii="宋体" w:hAnsi="宋体" w:cs="宋体" w:eastAsia="宋体" w:hint="default"/>
                <w:sz w:val="21"/>
                <w:szCs w:val="21"/>
              </w:rPr>
            </w:pPr>
            <w:r>
              <w:rPr>
                <w:rFonts w:ascii="宋体" w:hAnsi="宋体" w:cs="宋体" w:eastAsia="宋体" w:hint="default"/>
                <w:sz w:val="21"/>
                <w:szCs w:val="21"/>
              </w:rPr>
              <w:t>项目未完工</w:t>
            </w:r>
          </w:p>
        </w:tc>
      </w:tr>
      <w:tr>
        <w:trPr>
          <w:trHeight w:val="342" w:hRule="exact"/>
        </w:trPr>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4" w:right="0"/>
              <w:jc w:val="left"/>
              <w:rPr>
                <w:rFonts w:ascii="宋体" w:hAnsi="宋体" w:cs="宋体" w:eastAsia="宋体" w:hint="default"/>
                <w:sz w:val="21"/>
                <w:szCs w:val="21"/>
              </w:rPr>
            </w:pPr>
            <w:r>
              <w:rPr>
                <w:rFonts w:ascii="宋体" w:hAnsi="宋体" w:cs="宋体" w:eastAsia="宋体" w:hint="default"/>
                <w:sz w:val="21"/>
                <w:szCs w:val="21"/>
              </w:rPr>
              <w:t>重庆台佳电科技发展有限公司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4"/>
              <w:jc w:val="right"/>
              <w:rPr>
                <w:rFonts w:ascii="宋体" w:hAnsi="宋体" w:cs="宋体" w:eastAsia="宋体" w:hint="default"/>
                <w:sz w:val="21"/>
                <w:szCs w:val="21"/>
              </w:rPr>
            </w:pPr>
            <w:r>
              <w:rPr>
                <w:rFonts w:ascii="宋体"/>
                <w:sz w:val="21"/>
              </w:rPr>
              <w:t>276,240.00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5"/>
              <w:jc w:val="right"/>
              <w:rPr>
                <w:rFonts w:ascii="宋体" w:hAnsi="宋体" w:cs="宋体" w:eastAsia="宋体" w:hint="default"/>
                <w:sz w:val="21"/>
                <w:szCs w:val="21"/>
              </w:rPr>
            </w:pPr>
            <w:r>
              <w:rPr>
                <w:rFonts w:ascii="宋体"/>
                <w:sz w:val="21"/>
              </w:rPr>
              <w:t>4.17</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1"/>
              <w:jc w:val="righ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年以内</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189" w:right="0"/>
              <w:jc w:val="left"/>
              <w:rPr>
                <w:rFonts w:ascii="宋体" w:hAnsi="宋体" w:cs="宋体" w:eastAsia="宋体" w:hint="default"/>
                <w:sz w:val="21"/>
                <w:szCs w:val="21"/>
              </w:rPr>
            </w:pPr>
            <w:r>
              <w:rPr>
                <w:rFonts w:ascii="宋体" w:hAnsi="宋体" w:cs="宋体" w:eastAsia="宋体" w:hint="default"/>
                <w:sz w:val="21"/>
                <w:szCs w:val="21"/>
              </w:rPr>
              <w:t>项目未完工</w:t>
            </w:r>
          </w:p>
        </w:tc>
      </w:tr>
      <w:tr>
        <w:trPr>
          <w:trHeight w:val="342" w:hRule="exact"/>
        </w:trPr>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4"/>
              <w:jc w:val="right"/>
              <w:rPr>
                <w:rFonts w:ascii="宋体" w:hAnsi="宋体" w:cs="宋体" w:eastAsia="宋体" w:hint="default"/>
                <w:sz w:val="21"/>
                <w:szCs w:val="21"/>
              </w:rPr>
            </w:pPr>
            <w:r>
              <w:rPr>
                <w:rFonts w:ascii="宋体"/>
                <w:spacing w:val="-1"/>
                <w:sz w:val="21"/>
              </w:rPr>
              <w:t>2,502,540.01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3"/>
              <w:jc w:val="right"/>
              <w:rPr>
                <w:rFonts w:ascii="宋体" w:hAnsi="宋体" w:cs="宋体" w:eastAsia="宋体" w:hint="default"/>
                <w:sz w:val="21"/>
                <w:szCs w:val="21"/>
              </w:rPr>
            </w:pPr>
            <w:r>
              <w:rPr>
                <w:rFonts w:ascii="宋体"/>
                <w:sz w:val="21"/>
              </w:rPr>
              <w:t>37.76</w:t>
            </w:r>
          </w:p>
        </w:tc>
        <w:tc>
          <w:tcPr>
            <w:tcW w:w="992"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0"/>
        <w:rPr>
          <w:rFonts w:ascii="宋体" w:hAnsi="宋体" w:cs="宋体" w:eastAsia="宋体" w:hint="default"/>
          <w:b/>
          <w:bCs/>
          <w:sz w:val="4"/>
          <w:szCs w:val="4"/>
        </w:rPr>
      </w:pPr>
    </w:p>
    <w:p>
      <w:pPr>
        <w:pStyle w:val="BodyText"/>
        <w:spacing w:line="240" w:lineRule="auto" w:before="26"/>
        <w:ind w:left="634" w:right="996"/>
        <w:jc w:val="left"/>
      </w:pPr>
      <w:r>
        <w:rPr/>
        <w:t>其他说明：</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350" w:lineRule="auto" w:before="199"/>
        <w:ind w:left="334" w:right="1152" w:firstLine="480"/>
        <w:jc w:val="left"/>
      </w:pPr>
      <w:r>
        <w:rPr/>
        <w:t>期末预付款项中无持本公司</w:t>
      </w:r>
      <w:r>
        <w:rPr>
          <w:rFonts w:ascii="宋体" w:hAnsi="宋体" w:cs="宋体" w:eastAsia="宋体" w:hint="default"/>
        </w:rPr>
        <w:t>5</w:t>
      </w:r>
      <w:r>
        <w:rPr/>
        <w:t>％以上（含</w:t>
      </w:r>
      <w:r>
        <w:rPr>
          <w:rFonts w:ascii="宋体" w:hAnsi="宋体" w:cs="宋体" w:eastAsia="宋体" w:hint="default"/>
        </w:rPr>
        <w:t>5</w:t>
      </w:r>
      <w:r>
        <w:rPr/>
        <w:t>％）表决权股份的股东单位欠款，无预付其他 关联方款项。</w:t>
      </w:r>
    </w:p>
    <w:p>
      <w:pPr>
        <w:pStyle w:val="Heading2"/>
        <w:spacing w:line="240" w:lineRule="auto" w:before="36"/>
        <w:ind w:left="816" w:right="1152"/>
        <w:jc w:val="left"/>
        <w:rPr>
          <w:b w:val="0"/>
          <w:bCs w:val="0"/>
        </w:rPr>
      </w:pPr>
      <w:bookmarkStart w:name="7、应收利息" w:id="266"/>
      <w:bookmarkEnd w:id="266"/>
      <w:r>
        <w:rPr>
          <w:b w:val="0"/>
          <w:bCs w:val="0"/>
        </w:rPr>
      </w:r>
      <w:r>
        <w:rPr>
          <w:rFonts w:ascii="宋体" w:hAnsi="宋体" w:cs="宋体" w:eastAsia="宋体" w:hint="default"/>
        </w:rPr>
        <w:t>7</w:t>
      </w:r>
      <w:r>
        <w:rPr/>
        <w:t>、应收利息</w:t>
      </w:r>
      <w:r>
        <w:rPr>
          <w:b w:val="0"/>
          <w:bCs w:val="0"/>
        </w:rPr>
      </w:r>
    </w:p>
    <w:p>
      <w:pPr>
        <w:spacing w:line="240" w:lineRule="auto" w:before="1"/>
        <w:rPr>
          <w:rFonts w:ascii="宋体" w:hAnsi="宋体" w:cs="宋体" w:eastAsia="宋体" w:hint="default"/>
          <w:b/>
          <w:bCs/>
          <w:sz w:val="23"/>
          <w:szCs w:val="23"/>
        </w:rPr>
      </w:pPr>
    </w:p>
    <w:p>
      <w:pPr>
        <w:spacing w:line="350" w:lineRule="auto" w:before="0"/>
        <w:ind w:left="814" w:right="8946" w:firstLine="0"/>
        <w:jc w:val="left"/>
        <w:rPr>
          <w:rFonts w:ascii="宋体" w:hAnsi="宋体" w:cs="宋体" w:eastAsia="宋体" w:hint="default"/>
          <w:sz w:val="24"/>
          <w:szCs w:val="24"/>
        </w:rPr>
      </w:pPr>
      <w:r>
        <w:rPr>
          <w:rFonts w:ascii="宋体" w:hAnsi="宋体" w:cs="宋体" w:eastAsia="宋体" w:hint="default"/>
          <w:sz w:val="24"/>
          <w:szCs w:val="24"/>
        </w:rPr>
        <w:t>无 </w:t>
      </w:r>
      <w:bookmarkStart w:name="8、应收股利" w:id="267"/>
      <w:bookmarkEnd w:id="267"/>
      <w:r>
        <w:rPr>
          <w:rFonts w:ascii="宋体" w:hAnsi="宋体" w:cs="宋体" w:eastAsia="宋体" w:hint="default"/>
          <w:sz w:val="24"/>
          <w:szCs w:val="24"/>
        </w:rPr>
      </w:r>
      <w:r>
        <w:rPr>
          <w:rFonts w:ascii="宋体" w:hAnsi="宋体" w:cs="宋体" w:eastAsia="宋体" w:hint="default"/>
          <w:b/>
          <w:bCs/>
          <w:sz w:val="24"/>
          <w:szCs w:val="24"/>
        </w:rPr>
        <w:t>8</w:t>
      </w:r>
      <w:r>
        <w:rPr>
          <w:rFonts w:ascii="宋体" w:hAnsi="宋体" w:cs="宋体" w:eastAsia="宋体" w:hint="default"/>
          <w:b/>
          <w:bCs/>
          <w:sz w:val="24"/>
          <w:szCs w:val="24"/>
        </w:rPr>
        <w:t>、应收股利</w:t>
      </w:r>
      <w:r>
        <w:rPr>
          <w:rFonts w:ascii="宋体" w:hAnsi="宋体" w:cs="宋体" w:eastAsia="宋体" w:hint="default"/>
          <w:sz w:val="24"/>
          <w:szCs w:val="24"/>
        </w:rPr>
      </w:r>
    </w:p>
    <w:p>
      <w:pPr>
        <w:spacing w:line="350" w:lineRule="auto" w:before="192"/>
        <w:ind w:left="816" w:right="8703" w:hanging="3"/>
        <w:jc w:val="left"/>
        <w:rPr>
          <w:rFonts w:ascii="宋体" w:hAnsi="宋体" w:cs="宋体" w:eastAsia="宋体" w:hint="default"/>
          <w:sz w:val="24"/>
          <w:szCs w:val="24"/>
        </w:rPr>
      </w:pPr>
      <w:r>
        <w:rPr>
          <w:rFonts w:ascii="宋体" w:hAnsi="宋体" w:cs="宋体" w:eastAsia="宋体" w:hint="default"/>
          <w:sz w:val="24"/>
          <w:szCs w:val="24"/>
        </w:rPr>
        <w:t>无 </w:t>
      </w:r>
      <w:bookmarkStart w:name="9、其他应收款" w:id="268"/>
      <w:bookmarkEnd w:id="268"/>
      <w:r>
        <w:rPr>
          <w:rFonts w:ascii="宋体" w:hAnsi="宋体" w:cs="宋体" w:eastAsia="宋体" w:hint="default"/>
          <w:sz w:val="24"/>
          <w:szCs w:val="24"/>
        </w:rPr>
      </w:r>
      <w:r>
        <w:rPr>
          <w:rFonts w:ascii="宋体" w:hAnsi="宋体" w:cs="宋体" w:eastAsia="宋体" w:hint="default"/>
          <w:b/>
          <w:bCs/>
          <w:sz w:val="24"/>
          <w:szCs w:val="24"/>
        </w:rPr>
        <w:t>9</w:t>
      </w:r>
      <w:r>
        <w:rPr>
          <w:rFonts w:ascii="宋体" w:hAnsi="宋体" w:cs="宋体" w:eastAsia="宋体" w:hint="default"/>
          <w:b/>
          <w:bCs/>
          <w:sz w:val="24"/>
          <w:szCs w:val="24"/>
        </w:rPr>
        <w:t>、其他应收款</w:t>
      </w:r>
      <w:r>
        <w:rPr>
          <w:rFonts w:ascii="宋体" w:hAnsi="宋体" w:cs="宋体" w:eastAsia="宋体" w:hint="default"/>
          <w:sz w:val="24"/>
          <w:szCs w:val="24"/>
        </w:rPr>
      </w:r>
    </w:p>
    <w:p>
      <w:pPr>
        <w:pStyle w:val="Heading2"/>
        <w:spacing w:line="240" w:lineRule="auto" w:before="191"/>
        <w:ind w:left="816" w:right="1152"/>
        <w:jc w:val="left"/>
        <w:rPr>
          <w:b w:val="0"/>
          <w:bCs w:val="0"/>
        </w:rPr>
      </w:pPr>
      <w:bookmarkStart w:name="（1）其他应收款分类披露" w:id="269"/>
      <w:bookmarkEnd w:id="269"/>
      <w:r>
        <w:rPr>
          <w:b w:val="0"/>
          <w:bCs w:val="0"/>
        </w:rPr>
      </w:r>
      <w:r>
        <w:rPr/>
        <w:t>（</w:t>
      </w:r>
      <w:r>
        <w:rPr>
          <w:rFonts w:ascii="宋体" w:hAnsi="宋体" w:cs="宋体" w:eastAsia="宋体" w:hint="default"/>
        </w:rPr>
        <w:t>1</w:t>
      </w:r>
      <w:r>
        <w:rPr/>
        <w:t>）其他应收款分类披露</w:t>
      </w:r>
      <w:r>
        <w:rPr>
          <w:b w:val="0"/>
          <w:bCs w:val="0"/>
        </w:rPr>
      </w:r>
    </w:p>
    <w:p>
      <w:pPr>
        <w:spacing w:before="201"/>
        <w:ind w:left="0" w:right="1129" w:firstLine="0"/>
        <w:jc w:val="right"/>
        <w:rPr>
          <w:rFonts w:ascii="宋体" w:hAnsi="宋体" w:cs="宋体" w:eastAsia="宋体" w:hint="default"/>
          <w:sz w:val="21"/>
          <w:szCs w:val="21"/>
        </w:rPr>
      </w:pPr>
      <w:r>
        <w:rPr>
          <w:rFonts w:ascii="宋体" w:hAnsi="宋体" w:cs="宋体" w:eastAsia="宋体" w:hint="default"/>
          <w:sz w:val="21"/>
          <w:szCs w:val="21"/>
        </w:rPr>
        <w:t>单位： 元</w:t>
      </w:r>
    </w:p>
    <w:p>
      <w:pPr>
        <w:spacing w:line="240" w:lineRule="auto" w:before="12"/>
        <w:rPr>
          <w:rFonts w:ascii="宋体" w:hAnsi="宋体" w:cs="宋体" w:eastAsia="宋体" w:hint="default"/>
          <w:sz w:val="6"/>
          <w:szCs w:val="6"/>
        </w:rPr>
      </w:pPr>
    </w:p>
    <w:tbl>
      <w:tblPr>
        <w:tblW w:w="0" w:type="auto"/>
        <w:jc w:val="left"/>
        <w:tblInd w:w="115" w:type="dxa"/>
        <w:tblLayout w:type="fixed"/>
        <w:tblCellMar>
          <w:top w:w="0" w:type="dxa"/>
          <w:left w:w="0" w:type="dxa"/>
          <w:bottom w:w="0" w:type="dxa"/>
          <w:right w:w="0" w:type="dxa"/>
        </w:tblCellMar>
        <w:tblLook w:val="01E0"/>
      </w:tblPr>
      <w:tblGrid>
        <w:gridCol w:w="1622"/>
        <w:gridCol w:w="1072"/>
        <w:gridCol w:w="566"/>
        <w:gridCol w:w="993"/>
        <w:gridCol w:w="431"/>
        <w:gridCol w:w="1128"/>
        <w:gridCol w:w="1276"/>
        <w:gridCol w:w="568"/>
        <w:gridCol w:w="992"/>
        <w:gridCol w:w="425"/>
        <w:gridCol w:w="992"/>
      </w:tblGrid>
      <w:tr>
        <w:trPr>
          <w:trHeight w:val="397" w:hRule="exact"/>
        </w:trPr>
        <w:tc>
          <w:tcPr>
            <w:tcW w:w="1622" w:type="dxa"/>
            <w:vMerge w:val="restart"/>
            <w:tcBorders>
              <w:top w:val="single" w:sz="4" w:space="0" w:color="000000"/>
              <w:left w:val="single" w:sz="4" w:space="0" w:color="000000"/>
              <w:right w:val="single" w:sz="4" w:space="0" w:color="000000"/>
            </w:tcBorders>
            <w:shd w:val="clear" w:color="auto" w:fill="D2D2D2"/>
          </w:tcPr>
          <w:p>
            <w:pPr/>
          </w:p>
        </w:tc>
        <w:tc>
          <w:tcPr>
            <w:tcW w:w="4190"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4253"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407" w:hRule="exact"/>
        </w:trPr>
        <w:tc>
          <w:tcPr>
            <w:tcW w:w="1622" w:type="dxa"/>
            <w:vMerge/>
            <w:tcBorders>
              <w:left w:val="single" w:sz="4" w:space="0" w:color="000000"/>
              <w:bottom w:val="nil" w:sz="6" w:space="0" w:color="auto"/>
              <w:right w:val="single" w:sz="4" w:space="0" w:color="000000"/>
            </w:tcBorders>
            <w:shd w:val="clear" w:color="auto" w:fill="D2D2D2"/>
          </w:tcPr>
          <w:p>
            <w:pPr/>
          </w:p>
        </w:tc>
        <w:tc>
          <w:tcPr>
            <w:tcW w:w="163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00"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4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285"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128" w:type="dxa"/>
            <w:vMerge w:val="restart"/>
            <w:tcBorders>
              <w:top w:val="single" w:sz="4" w:space="0" w:color="000000"/>
              <w:left w:val="single" w:sz="4" w:space="0" w:color="000000"/>
              <w:right w:val="single" w:sz="4" w:space="0" w:color="000000"/>
            </w:tcBorders>
            <w:shd w:val="clear" w:color="auto" w:fill="D2D2D2"/>
          </w:tcPr>
          <w:p>
            <w:pPr/>
          </w:p>
        </w:tc>
        <w:tc>
          <w:tcPr>
            <w:tcW w:w="184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95"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41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283"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992" w:type="dxa"/>
            <w:vMerge w:val="restart"/>
            <w:tcBorders>
              <w:top w:val="single" w:sz="4" w:space="0" w:color="000000"/>
              <w:left w:val="single" w:sz="4" w:space="0" w:color="000000"/>
              <w:right w:val="single" w:sz="4" w:space="0" w:color="000000"/>
            </w:tcBorders>
            <w:shd w:val="clear" w:color="auto" w:fill="D2D2D2"/>
          </w:tcPr>
          <w:p>
            <w:pPr/>
          </w:p>
        </w:tc>
      </w:tr>
      <w:tr>
        <w:trPr>
          <w:trHeight w:val="237" w:hRule="exact"/>
        </w:trPr>
        <w:tc>
          <w:tcPr>
            <w:tcW w:w="162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96"/>
              <w:ind w:left="9" w:right="0"/>
              <w:jc w:val="center"/>
              <w:rPr>
                <w:rFonts w:ascii="宋体" w:hAnsi="宋体" w:cs="宋体" w:eastAsia="宋体" w:hint="default"/>
                <w:sz w:val="21"/>
                <w:szCs w:val="21"/>
              </w:rPr>
            </w:pPr>
            <w:r>
              <w:rPr>
                <w:rFonts w:ascii="宋体" w:hAnsi="宋体" w:cs="宋体" w:eastAsia="宋体" w:hint="default"/>
                <w:sz w:val="21"/>
                <w:szCs w:val="21"/>
              </w:rPr>
              <w:t>类别</w:t>
            </w:r>
          </w:p>
        </w:tc>
        <w:tc>
          <w:tcPr>
            <w:tcW w:w="1072" w:type="dxa"/>
            <w:vMerge w:val="restart"/>
            <w:tcBorders>
              <w:top w:val="single" w:sz="4" w:space="0" w:color="000000"/>
              <w:left w:val="single" w:sz="4" w:space="0" w:color="000000"/>
              <w:right w:val="single" w:sz="4" w:space="0" w:color="000000"/>
            </w:tcBorders>
            <w:shd w:val="clear" w:color="auto" w:fill="D2D2D2"/>
          </w:tcPr>
          <w:p>
            <w:pPr/>
          </w:p>
        </w:tc>
        <w:tc>
          <w:tcPr>
            <w:tcW w:w="566" w:type="dxa"/>
            <w:vMerge w:val="restart"/>
            <w:tcBorders>
              <w:top w:val="single" w:sz="4" w:space="0" w:color="000000"/>
              <w:left w:val="single" w:sz="4" w:space="0" w:color="000000"/>
              <w:right w:val="single" w:sz="4" w:space="0" w:color="000000"/>
            </w:tcBorders>
            <w:shd w:val="clear" w:color="auto" w:fill="D2D2D2"/>
          </w:tcPr>
          <w:p>
            <w:pPr/>
          </w:p>
        </w:tc>
        <w:tc>
          <w:tcPr>
            <w:tcW w:w="993" w:type="dxa"/>
            <w:vMerge w:val="restart"/>
            <w:tcBorders>
              <w:top w:val="single" w:sz="4" w:space="0" w:color="000000"/>
              <w:left w:val="single" w:sz="4" w:space="0" w:color="000000"/>
              <w:right w:val="single" w:sz="4" w:space="0" w:color="000000"/>
            </w:tcBorders>
            <w:shd w:val="clear" w:color="auto" w:fill="D2D2D2"/>
          </w:tcPr>
          <w:p>
            <w:pPr/>
          </w:p>
        </w:tc>
        <w:tc>
          <w:tcPr>
            <w:tcW w:w="431"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26"/>
              <w:ind w:left="105" w:right="103"/>
              <w:jc w:val="both"/>
              <w:rPr>
                <w:rFonts w:ascii="宋体" w:hAnsi="宋体" w:cs="宋体" w:eastAsia="宋体" w:hint="default"/>
                <w:sz w:val="21"/>
                <w:szCs w:val="21"/>
              </w:rPr>
            </w:pPr>
            <w:r>
              <w:rPr>
                <w:rFonts w:ascii="宋体" w:hAnsi="宋体" w:cs="宋体" w:eastAsia="宋体" w:hint="default"/>
                <w:sz w:val="21"/>
                <w:szCs w:val="21"/>
              </w:rPr>
              <w:t>计 提 比 例</w:t>
            </w:r>
          </w:p>
        </w:tc>
        <w:tc>
          <w:tcPr>
            <w:tcW w:w="1128" w:type="dxa"/>
            <w:vMerge/>
            <w:tcBorders>
              <w:left w:val="single" w:sz="4" w:space="0" w:color="000000"/>
              <w:bottom w:val="nil" w:sz="6" w:space="0" w:color="auto"/>
              <w:right w:val="single" w:sz="4" w:space="0" w:color="000000"/>
            </w:tcBorders>
            <w:shd w:val="clear" w:color="auto" w:fill="D2D2D2"/>
          </w:tcPr>
          <w:p>
            <w:pPr/>
          </w:p>
        </w:tc>
        <w:tc>
          <w:tcPr>
            <w:tcW w:w="1276" w:type="dxa"/>
            <w:vMerge w:val="restart"/>
            <w:tcBorders>
              <w:top w:val="single" w:sz="4" w:space="0" w:color="000000"/>
              <w:left w:val="single" w:sz="4" w:space="0" w:color="000000"/>
              <w:right w:val="single" w:sz="4" w:space="0" w:color="000000"/>
            </w:tcBorders>
            <w:shd w:val="clear" w:color="auto" w:fill="D2D2D2"/>
          </w:tcPr>
          <w:p>
            <w:pPr/>
          </w:p>
        </w:tc>
        <w:tc>
          <w:tcPr>
            <w:tcW w:w="568" w:type="dxa"/>
            <w:vMerge w:val="restart"/>
            <w:tcBorders>
              <w:top w:val="single" w:sz="4" w:space="0" w:color="000000"/>
              <w:left w:val="single" w:sz="4" w:space="0" w:color="000000"/>
              <w:right w:val="single" w:sz="4" w:space="0" w:color="000000"/>
            </w:tcBorders>
            <w:shd w:val="clear" w:color="auto" w:fill="D2D2D2"/>
          </w:tcPr>
          <w:p>
            <w:pPr/>
          </w:p>
        </w:tc>
        <w:tc>
          <w:tcPr>
            <w:tcW w:w="992" w:type="dxa"/>
            <w:vMerge w:val="restart"/>
            <w:tcBorders>
              <w:top w:val="single" w:sz="4" w:space="0" w:color="000000"/>
              <w:left w:val="single" w:sz="4" w:space="0" w:color="000000"/>
              <w:right w:val="single" w:sz="4" w:space="0" w:color="000000"/>
            </w:tcBorders>
            <w:shd w:val="clear" w:color="auto" w:fill="D2D2D2"/>
          </w:tcPr>
          <w:p>
            <w:pPr/>
          </w:p>
        </w:tc>
        <w:tc>
          <w:tcPr>
            <w:tcW w:w="425"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ind w:left="101" w:right="101"/>
              <w:jc w:val="both"/>
              <w:rPr>
                <w:rFonts w:ascii="宋体" w:hAnsi="宋体" w:cs="宋体" w:eastAsia="宋体" w:hint="default"/>
                <w:sz w:val="21"/>
                <w:szCs w:val="21"/>
              </w:rPr>
            </w:pPr>
            <w:r>
              <w:rPr>
                <w:rFonts w:ascii="宋体" w:hAnsi="宋体" w:cs="宋体" w:eastAsia="宋体" w:hint="default"/>
                <w:sz w:val="21"/>
                <w:szCs w:val="21"/>
              </w:rPr>
              <w:t>计 提 比 例</w:t>
            </w:r>
          </w:p>
        </w:tc>
        <w:tc>
          <w:tcPr>
            <w:tcW w:w="992" w:type="dxa"/>
            <w:vMerge/>
            <w:tcBorders>
              <w:left w:val="single" w:sz="4" w:space="0" w:color="000000"/>
              <w:bottom w:val="nil" w:sz="6" w:space="0" w:color="auto"/>
              <w:right w:val="single" w:sz="4" w:space="0" w:color="000000"/>
            </w:tcBorders>
            <w:shd w:val="clear" w:color="auto" w:fill="D2D2D2"/>
          </w:tcPr>
          <w:p>
            <w:pPr/>
          </w:p>
        </w:tc>
      </w:tr>
      <w:tr>
        <w:trPr>
          <w:trHeight w:val="198" w:hRule="exact"/>
        </w:trPr>
        <w:tc>
          <w:tcPr>
            <w:tcW w:w="1622" w:type="dxa"/>
            <w:vMerge/>
            <w:tcBorders>
              <w:left w:val="single" w:sz="4" w:space="0" w:color="000000"/>
              <w:bottom w:val="single" w:sz="4" w:space="0" w:color="FFFFFF"/>
              <w:right w:val="single" w:sz="4" w:space="0" w:color="000000"/>
            </w:tcBorders>
            <w:shd w:val="clear" w:color="auto" w:fill="D2D2D2"/>
          </w:tcPr>
          <w:p>
            <w:pPr/>
          </w:p>
        </w:tc>
        <w:tc>
          <w:tcPr>
            <w:tcW w:w="1072" w:type="dxa"/>
            <w:vMerge/>
            <w:tcBorders>
              <w:left w:val="single" w:sz="4" w:space="0" w:color="000000"/>
              <w:bottom w:val="single" w:sz="4" w:space="0" w:color="FFFFFF"/>
              <w:right w:val="single" w:sz="4" w:space="0" w:color="000000"/>
            </w:tcBorders>
            <w:shd w:val="clear" w:color="auto" w:fill="D2D2D2"/>
          </w:tcPr>
          <w:p>
            <w:pPr/>
          </w:p>
        </w:tc>
        <w:tc>
          <w:tcPr>
            <w:tcW w:w="566" w:type="dxa"/>
            <w:vMerge/>
            <w:tcBorders>
              <w:left w:val="single" w:sz="4" w:space="0" w:color="000000"/>
              <w:bottom w:val="single" w:sz="4" w:space="0" w:color="FFFFFF"/>
              <w:right w:val="single" w:sz="4" w:space="0" w:color="000000"/>
            </w:tcBorders>
            <w:shd w:val="clear" w:color="auto" w:fill="D2D2D2"/>
          </w:tcPr>
          <w:p>
            <w:pPr/>
          </w:p>
        </w:tc>
        <w:tc>
          <w:tcPr>
            <w:tcW w:w="993" w:type="dxa"/>
            <w:vMerge/>
            <w:tcBorders>
              <w:left w:val="single" w:sz="4" w:space="0" w:color="000000"/>
              <w:bottom w:val="single" w:sz="4" w:space="0" w:color="FFFFFF"/>
              <w:right w:val="single" w:sz="4" w:space="0" w:color="000000"/>
            </w:tcBorders>
            <w:shd w:val="clear" w:color="auto" w:fill="D2D2D2"/>
          </w:tcPr>
          <w:p>
            <w:pPr/>
          </w:p>
        </w:tc>
        <w:tc>
          <w:tcPr>
            <w:tcW w:w="431" w:type="dxa"/>
            <w:vMerge/>
            <w:tcBorders>
              <w:left w:val="single" w:sz="4" w:space="0" w:color="000000"/>
              <w:right w:val="single" w:sz="4" w:space="0" w:color="000000"/>
            </w:tcBorders>
            <w:shd w:val="clear" w:color="auto" w:fill="D2D2D2"/>
          </w:tcPr>
          <w:p>
            <w:pPr/>
          </w:p>
        </w:tc>
        <w:tc>
          <w:tcPr>
            <w:tcW w:w="112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6"/>
              <w:ind w:left="137"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1276" w:type="dxa"/>
            <w:vMerge/>
            <w:tcBorders>
              <w:left w:val="single" w:sz="4" w:space="0" w:color="000000"/>
              <w:bottom w:val="nil" w:sz="6" w:space="0" w:color="auto"/>
              <w:right w:val="single" w:sz="4" w:space="0" w:color="000000"/>
            </w:tcBorders>
            <w:shd w:val="clear" w:color="auto" w:fill="D2D2D2"/>
          </w:tcPr>
          <w:p>
            <w:pPr/>
          </w:p>
        </w:tc>
        <w:tc>
          <w:tcPr>
            <w:tcW w:w="568" w:type="dxa"/>
            <w:vMerge/>
            <w:tcBorders>
              <w:left w:val="single" w:sz="4" w:space="0" w:color="000000"/>
              <w:bottom w:val="nil" w:sz="6" w:space="0" w:color="auto"/>
              <w:right w:val="single" w:sz="4" w:space="0" w:color="000000"/>
            </w:tcBorders>
            <w:shd w:val="clear" w:color="auto" w:fill="D2D2D2"/>
          </w:tcPr>
          <w:p>
            <w:pPr/>
          </w:p>
        </w:tc>
        <w:tc>
          <w:tcPr>
            <w:tcW w:w="992" w:type="dxa"/>
            <w:vMerge/>
            <w:tcBorders>
              <w:left w:val="single" w:sz="4" w:space="0" w:color="000000"/>
              <w:bottom w:val="nil" w:sz="6" w:space="0" w:color="auto"/>
              <w:right w:val="single" w:sz="4" w:space="0" w:color="000000"/>
            </w:tcBorders>
            <w:shd w:val="clear" w:color="auto" w:fill="D2D2D2"/>
          </w:tcPr>
          <w:p>
            <w:pPr/>
          </w:p>
        </w:tc>
        <w:tc>
          <w:tcPr>
            <w:tcW w:w="425" w:type="dxa"/>
            <w:vMerge/>
            <w:tcBorders>
              <w:left w:val="single" w:sz="4" w:space="0" w:color="000000"/>
              <w:right w:val="single" w:sz="4" w:space="0" w:color="000000"/>
            </w:tcBorders>
            <w:shd w:val="clear" w:color="auto" w:fill="D2D2D2"/>
          </w:tcPr>
          <w:p>
            <w:pPr/>
          </w:p>
        </w:tc>
        <w:tc>
          <w:tcPr>
            <w:tcW w:w="992" w:type="dxa"/>
            <w:vMerge w:val="restart"/>
            <w:tcBorders>
              <w:top w:val="nil" w:sz="6" w:space="0" w:color="auto"/>
              <w:left w:val="single" w:sz="9" w:space="0" w:color="D2D2D2"/>
              <w:right w:val="single" w:sz="13" w:space="0" w:color="D2D2D2"/>
            </w:tcBorders>
          </w:tcPr>
          <w:p>
            <w:pPr>
              <w:pStyle w:val="TableParagraph"/>
              <w:spacing w:line="240" w:lineRule="auto" w:before="26"/>
              <w:ind w:left="64" w:right="0"/>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shd w:fill="D2D2D2" w:color="auto" w:val="clear"/>
              </w:rPr>
              <w:t>账面价值</w:t>
            </w:r>
            <w:r>
              <w:rPr>
                <w:rFonts w:ascii="宋体" w:hAnsi="宋体" w:cs="宋体" w:eastAsia="宋体" w:hint="default"/>
                <w:sz w:val="21"/>
                <w:szCs w:val="21"/>
              </w:rPr>
            </w:r>
          </w:p>
        </w:tc>
      </w:tr>
      <w:tr>
        <w:trPr>
          <w:trHeight w:val="193" w:hRule="exact"/>
        </w:trPr>
        <w:tc>
          <w:tcPr>
            <w:tcW w:w="1622" w:type="dxa"/>
            <w:vMerge w:val="restart"/>
            <w:tcBorders>
              <w:top w:val="single" w:sz="4" w:space="0" w:color="FFFFFF"/>
              <w:left w:val="single" w:sz="4" w:space="0" w:color="000000"/>
              <w:right w:val="single" w:sz="4" w:space="0" w:color="000000"/>
            </w:tcBorders>
            <w:shd w:val="clear" w:color="auto" w:fill="D2D2D2"/>
          </w:tcPr>
          <w:p>
            <w:pPr/>
          </w:p>
        </w:tc>
        <w:tc>
          <w:tcPr>
            <w:tcW w:w="107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23"/>
              <w:ind w:left="326"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566"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23"/>
              <w:ind w:left="68" w:right="0"/>
              <w:jc w:val="left"/>
              <w:rPr>
                <w:rFonts w:ascii="宋体" w:hAnsi="宋体" w:cs="宋体" w:eastAsia="宋体" w:hint="default"/>
                <w:sz w:val="21"/>
                <w:szCs w:val="21"/>
              </w:rPr>
            </w:pPr>
            <w:r>
              <w:rPr>
                <w:rFonts w:ascii="宋体" w:hAnsi="宋体" w:cs="宋体" w:eastAsia="宋体" w:hint="default"/>
                <w:sz w:val="21"/>
                <w:szCs w:val="21"/>
              </w:rPr>
              <w:t>比例</w:t>
            </w:r>
          </w:p>
        </w:tc>
        <w:tc>
          <w:tcPr>
            <w:tcW w:w="99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23"/>
              <w:ind w:left="280"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431" w:type="dxa"/>
            <w:vMerge/>
            <w:tcBorders>
              <w:left w:val="single" w:sz="4" w:space="0" w:color="000000"/>
              <w:right w:val="single" w:sz="4" w:space="0" w:color="000000"/>
            </w:tcBorders>
            <w:shd w:val="clear" w:color="auto" w:fill="D2D2D2"/>
          </w:tcPr>
          <w:p>
            <w:pPr/>
          </w:p>
        </w:tc>
        <w:tc>
          <w:tcPr>
            <w:tcW w:w="1128" w:type="dxa"/>
            <w:vMerge/>
            <w:tcBorders>
              <w:left w:val="single" w:sz="4" w:space="0" w:color="000000"/>
              <w:bottom w:val="nil" w:sz="6" w:space="0" w:color="auto"/>
              <w:right w:val="single" w:sz="4" w:space="0" w:color="000000"/>
            </w:tcBorders>
            <w:shd w:val="clear" w:color="auto" w:fill="D2D2D2"/>
          </w:tcPr>
          <w:p>
            <w:pPr/>
          </w:p>
        </w:tc>
        <w:tc>
          <w:tcPr>
            <w:tcW w:w="127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8"/>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5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8"/>
              <w:ind w:left="69" w:right="0"/>
              <w:jc w:val="left"/>
              <w:rPr>
                <w:rFonts w:ascii="宋体" w:hAnsi="宋体" w:cs="宋体" w:eastAsia="宋体" w:hint="default"/>
                <w:sz w:val="21"/>
                <w:szCs w:val="21"/>
              </w:rPr>
            </w:pPr>
            <w:r>
              <w:rPr>
                <w:rFonts w:ascii="宋体" w:hAnsi="宋体" w:cs="宋体" w:eastAsia="宋体" w:hint="default"/>
                <w:sz w:val="21"/>
                <w:szCs w:val="21"/>
              </w:rPr>
              <w:t>比例</w:t>
            </w:r>
          </w:p>
        </w:tc>
        <w:tc>
          <w:tcPr>
            <w:tcW w:w="99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8"/>
              <w:ind w:left="280"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425" w:type="dxa"/>
            <w:vMerge/>
            <w:tcBorders>
              <w:left w:val="single" w:sz="4" w:space="0" w:color="000000"/>
              <w:right w:val="single" w:sz="4" w:space="0" w:color="000000"/>
            </w:tcBorders>
            <w:shd w:val="clear" w:color="auto" w:fill="D2D2D2"/>
          </w:tcPr>
          <w:p>
            <w:pPr/>
          </w:p>
        </w:tc>
        <w:tc>
          <w:tcPr>
            <w:tcW w:w="992" w:type="dxa"/>
            <w:vMerge/>
            <w:tcBorders>
              <w:left w:val="single" w:sz="9" w:space="0" w:color="D2D2D2"/>
              <w:bottom w:val="nil" w:sz="6" w:space="0" w:color="auto"/>
              <w:right w:val="single" w:sz="13" w:space="0" w:color="D2D2D2"/>
            </w:tcBorders>
          </w:tcPr>
          <w:p>
            <w:pPr/>
          </w:p>
        </w:tc>
      </w:tr>
      <w:tr>
        <w:trPr>
          <w:trHeight w:val="202" w:hRule="exact"/>
        </w:trPr>
        <w:tc>
          <w:tcPr>
            <w:tcW w:w="1622" w:type="dxa"/>
            <w:vMerge/>
            <w:tcBorders>
              <w:left w:val="single" w:sz="4" w:space="0" w:color="000000"/>
              <w:right w:val="single" w:sz="4" w:space="0" w:color="000000"/>
            </w:tcBorders>
            <w:shd w:val="clear" w:color="auto" w:fill="D2D2D2"/>
          </w:tcPr>
          <w:p>
            <w:pPr/>
          </w:p>
        </w:tc>
        <w:tc>
          <w:tcPr>
            <w:tcW w:w="1072" w:type="dxa"/>
            <w:vMerge/>
            <w:tcBorders>
              <w:left w:val="single" w:sz="4" w:space="0" w:color="000000"/>
              <w:bottom w:val="nil" w:sz="6" w:space="0" w:color="auto"/>
              <w:right w:val="single" w:sz="4" w:space="0" w:color="000000"/>
            </w:tcBorders>
            <w:shd w:val="clear" w:color="auto" w:fill="D2D2D2"/>
          </w:tcPr>
          <w:p>
            <w:pPr/>
          </w:p>
        </w:tc>
        <w:tc>
          <w:tcPr>
            <w:tcW w:w="566" w:type="dxa"/>
            <w:vMerge/>
            <w:tcBorders>
              <w:left w:val="single" w:sz="4" w:space="0" w:color="000000"/>
              <w:bottom w:val="nil" w:sz="6" w:space="0" w:color="auto"/>
              <w:right w:val="single" w:sz="4" w:space="0" w:color="000000"/>
            </w:tcBorders>
            <w:shd w:val="clear" w:color="auto" w:fill="D2D2D2"/>
          </w:tcPr>
          <w:p>
            <w:pPr/>
          </w:p>
        </w:tc>
        <w:tc>
          <w:tcPr>
            <w:tcW w:w="993" w:type="dxa"/>
            <w:vMerge/>
            <w:tcBorders>
              <w:left w:val="single" w:sz="4" w:space="0" w:color="000000"/>
              <w:bottom w:val="nil" w:sz="6" w:space="0" w:color="auto"/>
              <w:right w:val="single" w:sz="4" w:space="0" w:color="000000"/>
            </w:tcBorders>
            <w:shd w:val="clear" w:color="auto" w:fill="D2D2D2"/>
          </w:tcPr>
          <w:p>
            <w:pPr/>
          </w:p>
        </w:tc>
        <w:tc>
          <w:tcPr>
            <w:tcW w:w="431" w:type="dxa"/>
            <w:vMerge/>
            <w:tcBorders>
              <w:left w:val="single" w:sz="4" w:space="0" w:color="000000"/>
              <w:right w:val="single" w:sz="4" w:space="0" w:color="000000"/>
            </w:tcBorders>
            <w:shd w:val="clear" w:color="auto" w:fill="D2D2D2"/>
          </w:tcPr>
          <w:p>
            <w:pPr/>
          </w:p>
        </w:tc>
        <w:tc>
          <w:tcPr>
            <w:tcW w:w="1128" w:type="dxa"/>
            <w:vMerge w:val="restart"/>
            <w:tcBorders>
              <w:top w:val="nil" w:sz="6" w:space="0" w:color="auto"/>
              <w:left w:val="single" w:sz="4" w:space="0" w:color="000000"/>
              <w:right w:val="single" w:sz="4" w:space="0" w:color="000000"/>
            </w:tcBorders>
            <w:shd w:val="clear" w:color="auto" w:fill="D2D2D2"/>
          </w:tcPr>
          <w:p>
            <w:pPr/>
          </w:p>
        </w:tc>
        <w:tc>
          <w:tcPr>
            <w:tcW w:w="1276" w:type="dxa"/>
            <w:vMerge/>
            <w:tcBorders>
              <w:left w:val="single" w:sz="4" w:space="0" w:color="000000"/>
              <w:bottom w:val="nil" w:sz="6" w:space="0" w:color="auto"/>
              <w:right w:val="single" w:sz="4" w:space="0" w:color="000000"/>
            </w:tcBorders>
            <w:shd w:val="clear" w:color="auto" w:fill="D2D2D2"/>
          </w:tcPr>
          <w:p>
            <w:pPr/>
          </w:p>
        </w:tc>
        <w:tc>
          <w:tcPr>
            <w:tcW w:w="568" w:type="dxa"/>
            <w:vMerge/>
            <w:tcBorders>
              <w:left w:val="single" w:sz="4" w:space="0" w:color="000000"/>
              <w:bottom w:val="nil" w:sz="6" w:space="0" w:color="auto"/>
              <w:right w:val="single" w:sz="4" w:space="0" w:color="000000"/>
            </w:tcBorders>
            <w:shd w:val="clear" w:color="auto" w:fill="D2D2D2"/>
          </w:tcPr>
          <w:p>
            <w:pPr/>
          </w:p>
        </w:tc>
        <w:tc>
          <w:tcPr>
            <w:tcW w:w="992" w:type="dxa"/>
            <w:vMerge/>
            <w:tcBorders>
              <w:left w:val="single" w:sz="4" w:space="0" w:color="000000"/>
              <w:bottom w:val="nil" w:sz="6" w:space="0" w:color="auto"/>
              <w:right w:val="single" w:sz="4" w:space="0" w:color="000000"/>
            </w:tcBorders>
            <w:shd w:val="clear" w:color="auto" w:fill="D2D2D2"/>
          </w:tcPr>
          <w:p>
            <w:pPr/>
          </w:p>
        </w:tc>
        <w:tc>
          <w:tcPr>
            <w:tcW w:w="425" w:type="dxa"/>
            <w:vMerge/>
            <w:tcBorders>
              <w:left w:val="single" w:sz="4" w:space="0" w:color="000000"/>
              <w:right w:val="single" w:sz="4" w:space="0" w:color="000000"/>
            </w:tcBorders>
            <w:shd w:val="clear" w:color="auto" w:fill="D2D2D2"/>
          </w:tcPr>
          <w:p>
            <w:pPr/>
          </w:p>
        </w:tc>
        <w:tc>
          <w:tcPr>
            <w:tcW w:w="992" w:type="dxa"/>
            <w:vMerge w:val="restart"/>
            <w:tcBorders>
              <w:top w:val="nil" w:sz="6" w:space="0" w:color="auto"/>
              <w:left w:val="single" w:sz="4" w:space="0" w:color="000000"/>
              <w:right w:val="single" w:sz="4" w:space="0" w:color="000000"/>
            </w:tcBorders>
            <w:shd w:val="clear" w:color="auto" w:fill="D2D2D2"/>
          </w:tcPr>
          <w:p>
            <w:pPr/>
          </w:p>
        </w:tc>
      </w:tr>
      <w:tr>
        <w:trPr>
          <w:trHeight w:val="473" w:hRule="exact"/>
        </w:trPr>
        <w:tc>
          <w:tcPr>
            <w:tcW w:w="1622" w:type="dxa"/>
            <w:vMerge/>
            <w:tcBorders>
              <w:left w:val="single" w:sz="4" w:space="0" w:color="000000"/>
              <w:bottom w:val="single" w:sz="4" w:space="0" w:color="000000"/>
              <w:right w:val="single" w:sz="4" w:space="0" w:color="000000"/>
            </w:tcBorders>
            <w:shd w:val="clear" w:color="auto" w:fill="D2D2D2"/>
          </w:tcPr>
          <w:p>
            <w:pPr/>
          </w:p>
        </w:tc>
        <w:tc>
          <w:tcPr>
            <w:tcW w:w="1072" w:type="dxa"/>
            <w:tcBorders>
              <w:top w:val="nil" w:sz="6" w:space="0" w:color="auto"/>
              <w:left w:val="single" w:sz="4" w:space="0" w:color="000000"/>
              <w:bottom w:val="single" w:sz="4" w:space="0" w:color="000000"/>
              <w:right w:val="single" w:sz="4" w:space="0" w:color="000000"/>
            </w:tcBorders>
            <w:shd w:val="clear" w:color="auto" w:fill="D2D2D2"/>
          </w:tcPr>
          <w:p>
            <w:pPr/>
          </w:p>
        </w:tc>
        <w:tc>
          <w:tcPr>
            <w:tcW w:w="566" w:type="dxa"/>
            <w:tcBorders>
              <w:top w:val="nil" w:sz="6" w:space="0" w:color="auto"/>
              <w:left w:val="single" w:sz="4" w:space="0" w:color="000000"/>
              <w:bottom w:val="single" w:sz="4" w:space="0" w:color="000000"/>
              <w:right w:val="single" w:sz="4" w:space="0" w:color="000000"/>
            </w:tcBorders>
            <w:shd w:val="clear" w:color="auto" w:fill="D2D2D2"/>
          </w:tcPr>
          <w:p>
            <w:pPr/>
          </w:p>
        </w:tc>
        <w:tc>
          <w:tcPr>
            <w:tcW w:w="993" w:type="dxa"/>
            <w:tcBorders>
              <w:top w:val="nil" w:sz="6" w:space="0" w:color="auto"/>
              <w:left w:val="single" w:sz="4" w:space="0" w:color="000000"/>
              <w:bottom w:val="single" w:sz="4" w:space="0" w:color="000000"/>
              <w:right w:val="single" w:sz="4" w:space="0" w:color="000000"/>
            </w:tcBorders>
            <w:shd w:val="clear" w:color="auto" w:fill="D2D2D2"/>
          </w:tcPr>
          <w:p>
            <w:pPr/>
          </w:p>
        </w:tc>
        <w:tc>
          <w:tcPr>
            <w:tcW w:w="431" w:type="dxa"/>
            <w:vMerge/>
            <w:tcBorders>
              <w:left w:val="single" w:sz="4" w:space="0" w:color="000000"/>
              <w:bottom w:val="single" w:sz="4" w:space="0" w:color="000000"/>
              <w:right w:val="single" w:sz="4" w:space="0" w:color="000000"/>
            </w:tcBorders>
            <w:shd w:val="clear" w:color="auto" w:fill="D2D2D2"/>
          </w:tcPr>
          <w:p>
            <w:pPr/>
          </w:p>
        </w:tc>
        <w:tc>
          <w:tcPr>
            <w:tcW w:w="1128" w:type="dxa"/>
            <w:vMerge/>
            <w:tcBorders>
              <w:left w:val="single" w:sz="4" w:space="0" w:color="000000"/>
              <w:bottom w:val="single" w:sz="4" w:space="0" w:color="000000"/>
              <w:right w:val="single" w:sz="4" w:space="0" w:color="000000"/>
            </w:tcBorders>
            <w:shd w:val="clear" w:color="auto" w:fill="D2D2D2"/>
          </w:tcPr>
          <w:p>
            <w:pPr/>
          </w:p>
        </w:tc>
        <w:tc>
          <w:tcPr>
            <w:tcW w:w="1276" w:type="dxa"/>
            <w:tcBorders>
              <w:top w:val="nil" w:sz="6" w:space="0" w:color="auto"/>
              <w:left w:val="single" w:sz="4" w:space="0" w:color="000000"/>
              <w:bottom w:val="single" w:sz="4" w:space="0" w:color="000000"/>
              <w:right w:val="single" w:sz="4" w:space="0" w:color="000000"/>
            </w:tcBorders>
            <w:shd w:val="clear" w:color="auto" w:fill="D2D2D2"/>
          </w:tcPr>
          <w:p>
            <w:pPr/>
          </w:p>
        </w:tc>
        <w:tc>
          <w:tcPr>
            <w:tcW w:w="568" w:type="dxa"/>
            <w:tcBorders>
              <w:top w:val="nil" w:sz="6" w:space="0" w:color="auto"/>
              <w:left w:val="single" w:sz="4" w:space="0" w:color="000000"/>
              <w:bottom w:val="single" w:sz="4" w:space="0" w:color="000000"/>
              <w:right w:val="single" w:sz="4" w:space="0" w:color="000000"/>
            </w:tcBorders>
            <w:shd w:val="clear" w:color="auto" w:fill="D2D2D2"/>
          </w:tcPr>
          <w:p>
            <w:pPr/>
          </w:p>
        </w:tc>
        <w:tc>
          <w:tcPr>
            <w:tcW w:w="992" w:type="dxa"/>
            <w:tcBorders>
              <w:top w:val="nil" w:sz="6" w:space="0" w:color="auto"/>
              <w:left w:val="single" w:sz="4" w:space="0" w:color="000000"/>
              <w:bottom w:val="single" w:sz="4" w:space="0" w:color="000000"/>
              <w:right w:val="single" w:sz="4" w:space="0" w:color="000000"/>
            </w:tcBorders>
            <w:shd w:val="clear" w:color="auto" w:fill="D2D2D2"/>
          </w:tcPr>
          <w:p>
            <w:pPr/>
          </w:p>
        </w:tc>
        <w:tc>
          <w:tcPr>
            <w:tcW w:w="425" w:type="dxa"/>
            <w:vMerge/>
            <w:tcBorders>
              <w:left w:val="single" w:sz="4" w:space="0" w:color="000000"/>
              <w:bottom w:val="single" w:sz="4" w:space="0" w:color="000000"/>
              <w:right w:val="single" w:sz="4" w:space="0" w:color="000000"/>
            </w:tcBorders>
            <w:shd w:val="clear" w:color="auto" w:fill="D2D2D2"/>
          </w:tcPr>
          <w:p>
            <w:pPr/>
          </w:p>
        </w:tc>
        <w:tc>
          <w:tcPr>
            <w:tcW w:w="99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22" w:right="117"/>
              <w:jc w:val="both"/>
              <w:rPr>
                <w:rFonts w:ascii="宋体" w:hAnsi="宋体" w:cs="宋体" w:eastAsia="宋体" w:hint="default"/>
                <w:sz w:val="21"/>
                <w:szCs w:val="21"/>
              </w:rPr>
            </w:pPr>
            <w:r>
              <w:rPr>
                <w:rFonts w:ascii="宋体" w:hAnsi="宋体" w:cs="宋体" w:eastAsia="宋体" w:hint="default"/>
                <w:sz w:val="21"/>
                <w:szCs w:val="21"/>
              </w:rPr>
              <w:t>按信用风险特征 组合计提坏账准 备的其他应收款</w:t>
            </w:r>
          </w:p>
        </w:tc>
        <w:tc>
          <w:tcPr>
            <w:tcW w:w="107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83" w:right="0"/>
              <w:jc w:val="left"/>
              <w:rPr>
                <w:rFonts w:ascii="宋体" w:hAnsi="宋体" w:cs="宋体" w:eastAsia="宋体" w:hint="default"/>
                <w:sz w:val="21"/>
                <w:szCs w:val="21"/>
              </w:rPr>
            </w:pPr>
            <w:r>
              <w:rPr>
                <w:rFonts w:ascii="宋体"/>
                <w:sz w:val="21"/>
              </w:rPr>
              <w:t>24,979,17</w:t>
            </w:r>
          </w:p>
          <w:p>
            <w:pPr>
              <w:pStyle w:val="TableParagraph"/>
              <w:spacing w:line="240" w:lineRule="auto" w:before="38"/>
              <w:ind w:left="608" w:right="0"/>
              <w:jc w:val="left"/>
              <w:rPr>
                <w:rFonts w:ascii="宋体" w:hAnsi="宋体" w:cs="宋体" w:eastAsia="宋体" w:hint="default"/>
                <w:sz w:val="21"/>
                <w:szCs w:val="21"/>
              </w:rPr>
            </w:pPr>
            <w:r>
              <w:rPr>
                <w:rFonts w:ascii="宋体"/>
                <w:sz w:val="21"/>
              </w:rPr>
              <w:t>9.75</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91" w:right="0"/>
              <w:jc w:val="center"/>
              <w:rPr>
                <w:rFonts w:ascii="宋体" w:hAnsi="宋体" w:cs="宋体" w:eastAsia="宋体" w:hint="default"/>
                <w:sz w:val="21"/>
                <w:szCs w:val="21"/>
              </w:rPr>
            </w:pPr>
            <w:r>
              <w:rPr>
                <w:rFonts w:ascii="宋体"/>
                <w:sz w:val="21"/>
              </w:rPr>
              <w:t>100.</w:t>
            </w:r>
          </w:p>
          <w:p>
            <w:pPr>
              <w:pStyle w:val="TableParagraph"/>
              <w:spacing w:line="240" w:lineRule="auto" w:before="38"/>
              <w:ind w:left="197" w:right="0"/>
              <w:jc w:val="center"/>
              <w:rPr>
                <w:rFonts w:ascii="宋体" w:hAnsi="宋体" w:cs="宋体" w:eastAsia="宋体" w:hint="default"/>
                <w:sz w:val="21"/>
                <w:szCs w:val="21"/>
              </w:rPr>
            </w:pPr>
            <w:r>
              <w:rPr>
                <w:rFonts w:ascii="宋体"/>
                <w:sz w:val="21"/>
              </w:rPr>
              <w:t>00%</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118" w:right="0"/>
              <w:jc w:val="left"/>
              <w:rPr>
                <w:rFonts w:ascii="宋体" w:hAnsi="宋体" w:cs="宋体" w:eastAsia="宋体" w:hint="default"/>
                <w:sz w:val="21"/>
                <w:szCs w:val="21"/>
              </w:rPr>
            </w:pPr>
            <w:r>
              <w:rPr>
                <w:rFonts w:ascii="宋体"/>
                <w:sz w:val="21"/>
              </w:rPr>
              <w:t>1,428,54</w:t>
            </w:r>
          </w:p>
          <w:p>
            <w:pPr>
              <w:pStyle w:val="TableParagraph"/>
              <w:spacing w:line="240" w:lineRule="auto" w:before="38"/>
              <w:ind w:left="538" w:right="0"/>
              <w:jc w:val="left"/>
              <w:rPr>
                <w:rFonts w:ascii="宋体" w:hAnsi="宋体" w:cs="宋体" w:eastAsia="宋体" w:hint="default"/>
                <w:sz w:val="21"/>
                <w:szCs w:val="21"/>
              </w:rPr>
            </w:pPr>
            <w:r>
              <w:rPr>
                <w:rFonts w:ascii="宋体"/>
                <w:sz w:val="21"/>
              </w:rPr>
              <w:t>0.77</w:t>
            </w:r>
          </w:p>
        </w:tc>
        <w:tc>
          <w:tcPr>
            <w:tcW w:w="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61" w:right="0"/>
              <w:jc w:val="center"/>
              <w:rPr>
                <w:rFonts w:ascii="宋体" w:hAnsi="宋体" w:cs="宋体" w:eastAsia="宋体" w:hint="default"/>
                <w:sz w:val="21"/>
                <w:szCs w:val="21"/>
              </w:rPr>
            </w:pPr>
            <w:r>
              <w:rPr>
                <w:rFonts w:ascii="宋体"/>
                <w:sz w:val="21"/>
              </w:rPr>
              <w:t>5.7</w:t>
            </w:r>
          </w:p>
          <w:p>
            <w:pPr>
              <w:pStyle w:val="TableParagraph"/>
              <w:spacing w:line="240" w:lineRule="auto" w:before="38"/>
              <w:ind w:left="166" w:right="0"/>
              <w:jc w:val="center"/>
              <w:rPr>
                <w:rFonts w:ascii="宋体" w:hAnsi="宋体" w:cs="宋体" w:eastAsia="宋体" w:hint="default"/>
                <w:sz w:val="21"/>
                <w:szCs w:val="21"/>
              </w:rPr>
            </w:pPr>
            <w:r>
              <w:rPr>
                <w:rFonts w:ascii="宋体"/>
                <w:sz w:val="21"/>
              </w:rPr>
              <w:t>2%</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3"/>
              <w:jc w:val="right"/>
              <w:rPr>
                <w:rFonts w:ascii="宋体" w:hAnsi="宋体" w:cs="宋体" w:eastAsia="宋体" w:hint="default"/>
                <w:sz w:val="21"/>
                <w:szCs w:val="21"/>
              </w:rPr>
            </w:pPr>
            <w:r>
              <w:rPr>
                <w:rFonts w:ascii="宋体"/>
                <w:sz w:val="21"/>
              </w:rPr>
              <w:t>23,550,638</w:t>
            </w:r>
          </w:p>
          <w:p>
            <w:pPr>
              <w:pStyle w:val="TableParagraph"/>
              <w:spacing w:line="240" w:lineRule="auto" w:before="38"/>
              <w:ind w:right="21"/>
              <w:jc w:val="right"/>
              <w:rPr>
                <w:rFonts w:ascii="宋体" w:hAnsi="宋体" w:cs="宋体" w:eastAsia="宋体" w:hint="default"/>
                <w:sz w:val="21"/>
                <w:szCs w:val="21"/>
              </w:rPr>
            </w:pPr>
            <w:r>
              <w:rPr>
                <w:rFonts w:ascii="宋体"/>
                <w:sz w:val="21"/>
              </w:rPr>
              <w:t>.98</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9"/>
              <w:jc w:val="right"/>
              <w:rPr>
                <w:rFonts w:ascii="宋体" w:hAnsi="宋体" w:cs="宋体" w:eastAsia="宋体" w:hint="default"/>
                <w:sz w:val="21"/>
                <w:szCs w:val="21"/>
              </w:rPr>
            </w:pPr>
            <w:r>
              <w:rPr>
                <w:rFonts w:ascii="宋体"/>
                <w:sz w:val="21"/>
              </w:rPr>
              <w:t>19,768,157.</w:t>
            </w:r>
          </w:p>
          <w:p>
            <w:pPr>
              <w:pStyle w:val="TableParagraph"/>
              <w:spacing w:line="240" w:lineRule="auto" w:before="38"/>
              <w:ind w:right="19"/>
              <w:jc w:val="right"/>
              <w:rPr>
                <w:rFonts w:ascii="宋体" w:hAnsi="宋体" w:cs="宋体" w:eastAsia="宋体" w:hint="default"/>
                <w:sz w:val="21"/>
                <w:szCs w:val="21"/>
              </w:rPr>
            </w:pPr>
            <w:r>
              <w:rPr>
                <w:rFonts w:ascii="宋体"/>
                <w:sz w:val="21"/>
              </w:rPr>
              <w:t>97</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92" w:right="0"/>
              <w:jc w:val="center"/>
              <w:rPr>
                <w:rFonts w:ascii="宋体" w:hAnsi="宋体" w:cs="宋体" w:eastAsia="宋体" w:hint="default"/>
                <w:sz w:val="21"/>
                <w:szCs w:val="21"/>
              </w:rPr>
            </w:pPr>
            <w:r>
              <w:rPr>
                <w:rFonts w:ascii="宋体"/>
                <w:sz w:val="21"/>
              </w:rPr>
              <w:t>100.</w:t>
            </w:r>
          </w:p>
          <w:p>
            <w:pPr>
              <w:pStyle w:val="TableParagraph"/>
              <w:spacing w:line="240" w:lineRule="auto" w:before="38"/>
              <w:ind w:left="199" w:right="0"/>
              <w:jc w:val="center"/>
              <w:rPr>
                <w:rFonts w:ascii="宋体" w:hAnsi="宋体" w:cs="宋体" w:eastAsia="宋体" w:hint="default"/>
                <w:sz w:val="21"/>
                <w:szCs w:val="21"/>
              </w:rPr>
            </w:pPr>
            <w:r>
              <w:rPr>
                <w:rFonts w:ascii="宋体"/>
                <w:sz w:val="21"/>
              </w:rPr>
              <w:t>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118" w:right="0"/>
              <w:jc w:val="left"/>
              <w:rPr>
                <w:rFonts w:ascii="宋体" w:hAnsi="宋体" w:cs="宋体" w:eastAsia="宋体" w:hint="default"/>
                <w:sz w:val="21"/>
                <w:szCs w:val="21"/>
              </w:rPr>
            </w:pPr>
            <w:r>
              <w:rPr>
                <w:rFonts w:ascii="宋体"/>
                <w:sz w:val="21"/>
              </w:rPr>
              <w:t>1,198,18</w:t>
            </w:r>
          </w:p>
          <w:p>
            <w:pPr>
              <w:pStyle w:val="TableParagraph"/>
              <w:spacing w:line="240" w:lineRule="auto" w:before="38"/>
              <w:ind w:left="538" w:right="0"/>
              <w:jc w:val="left"/>
              <w:rPr>
                <w:rFonts w:ascii="宋体" w:hAnsi="宋体" w:cs="宋体" w:eastAsia="宋体" w:hint="default"/>
                <w:sz w:val="21"/>
                <w:szCs w:val="21"/>
              </w:rPr>
            </w:pPr>
            <w:r>
              <w:rPr>
                <w:rFonts w:ascii="宋体"/>
                <w:sz w:val="21"/>
              </w:rPr>
              <w:t>9.43</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53" w:right="0"/>
              <w:jc w:val="center"/>
              <w:rPr>
                <w:rFonts w:ascii="宋体" w:hAnsi="宋体" w:cs="宋体" w:eastAsia="宋体" w:hint="default"/>
                <w:sz w:val="21"/>
                <w:szCs w:val="21"/>
              </w:rPr>
            </w:pPr>
            <w:r>
              <w:rPr>
                <w:rFonts w:ascii="宋体"/>
                <w:sz w:val="21"/>
              </w:rPr>
              <w:t>6.0</w:t>
            </w:r>
          </w:p>
          <w:p>
            <w:pPr>
              <w:pStyle w:val="TableParagraph"/>
              <w:spacing w:line="240" w:lineRule="auto" w:before="38"/>
              <w:ind w:left="158" w:right="0"/>
              <w:jc w:val="center"/>
              <w:rPr>
                <w:rFonts w:ascii="宋体" w:hAnsi="宋体" w:cs="宋体" w:eastAsia="宋体" w:hint="default"/>
                <w:sz w:val="21"/>
                <w:szCs w:val="21"/>
              </w:rPr>
            </w:pPr>
            <w:r>
              <w:rPr>
                <w:rFonts w:ascii="宋体"/>
                <w:sz w:val="21"/>
              </w:rPr>
              <w:t>6%</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120" w:right="0"/>
              <w:jc w:val="left"/>
              <w:rPr>
                <w:rFonts w:ascii="宋体" w:hAnsi="宋体" w:cs="宋体" w:eastAsia="宋体" w:hint="default"/>
                <w:sz w:val="21"/>
                <w:szCs w:val="21"/>
              </w:rPr>
            </w:pPr>
            <w:r>
              <w:rPr>
                <w:rFonts w:ascii="宋体"/>
                <w:sz w:val="21"/>
              </w:rPr>
              <w:t>18,569,9</w:t>
            </w:r>
          </w:p>
          <w:p>
            <w:pPr>
              <w:pStyle w:val="TableParagraph"/>
              <w:spacing w:line="240" w:lineRule="auto" w:before="38"/>
              <w:ind w:left="435" w:right="0"/>
              <w:jc w:val="left"/>
              <w:rPr>
                <w:rFonts w:ascii="宋体" w:hAnsi="宋体" w:cs="宋体" w:eastAsia="宋体" w:hint="default"/>
                <w:sz w:val="21"/>
                <w:szCs w:val="21"/>
              </w:rPr>
            </w:pPr>
            <w:r>
              <w:rPr>
                <w:rFonts w:ascii="宋体"/>
                <w:sz w:val="21"/>
              </w:rPr>
              <w:t>68.54</w:t>
            </w:r>
          </w:p>
        </w:tc>
      </w:tr>
      <w:tr>
        <w:trPr>
          <w:trHeight w:val="161" w:hRule="exact"/>
        </w:trPr>
        <w:tc>
          <w:tcPr>
            <w:tcW w:w="1622" w:type="dxa"/>
            <w:tcBorders>
              <w:top w:val="single" w:sz="4" w:space="0" w:color="000000"/>
              <w:left w:val="single" w:sz="4" w:space="0" w:color="000000"/>
              <w:bottom w:val="nil" w:sz="6" w:space="0" w:color="auto"/>
              <w:right w:val="single" w:sz="4" w:space="0" w:color="000000"/>
            </w:tcBorders>
            <w:shd w:val="clear" w:color="auto" w:fill="D2D2D2"/>
          </w:tcPr>
          <w:p>
            <w:pPr/>
          </w:p>
        </w:tc>
        <w:tc>
          <w:tcPr>
            <w:tcW w:w="1072" w:type="dxa"/>
            <w:vMerge w:val="restart"/>
            <w:tcBorders>
              <w:top w:val="single" w:sz="4" w:space="0" w:color="000000"/>
              <w:left w:val="single" w:sz="9" w:space="0" w:color="D2D2D2"/>
              <w:right w:val="single" w:sz="4" w:space="0" w:color="000000"/>
            </w:tcBorders>
          </w:tcPr>
          <w:p>
            <w:pPr>
              <w:pStyle w:val="TableParagraph"/>
              <w:spacing w:line="240" w:lineRule="auto" w:before="26"/>
              <w:ind w:left="88" w:right="0"/>
              <w:jc w:val="left"/>
              <w:rPr>
                <w:rFonts w:ascii="宋体" w:hAnsi="宋体" w:cs="宋体" w:eastAsia="宋体" w:hint="default"/>
                <w:sz w:val="21"/>
                <w:szCs w:val="21"/>
              </w:rPr>
            </w:pPr>
            <w:r>
              <w:rPr>
                <w:rFonts w:ascii="宋体"/>
                <w:sz w:val="21"/>
              </w:rPr>
              <w:t>24,979,17</w:t>
            </w:r>
          </w:p>
          <w:p>
            <w:pPr>
              <w:pStyle w:val="TableParagraph"/>
              <w:spacing w:line="240" w:lineRule="auto" w:before="38"/>
              <w:ind w:left="613" w:right="0"/>
              <w:jc w:val="left"/>
              <w:rPr>
                <w:rFonts w:ascii="宋体" w:hAnsi="宋体" w:cs="宋体" w:eastAsia="宋体" w:hint="default"/>
                <w:sz w:val="21"/>
                <w:szCs w:val="21"/>
              </w:rPr>
            </w:pPr>
            <w:r>
              <w:rPr>
                <w:rFonts w:ascii="宋体"/>
                <w:sz w:val="21"/>
              </w:rPr>
              <w:t>9.75</w:t>
            </w:r>
          </w:p>
        </w:tc>
        <w:tc>
          <w:tcPr>
            <w:tcW w:w="566" w:type="dxa"/>
            <w:vMerge w:val="restart"/>
            <w:tcBorders>
              <w:top w:val="single" w:sz="4" w:space="0" w:color="000000"/>
              <w:left w:val="single" w:sz="4" w:space="0" w:color="000000"/>
              <w:right w:val="single" w:sz="4" w:space="0" w:color="000000"/>
            </w:tcBorders>
          </w:tcPr>
          <w:p>
            <w:pPr>
              <w:pStyle w:val="TableParagraph"/>
              <w:spacing w:line="240" w:lineRule="auto" w:before="26"/>
              <w:ind w:left="91" w:right="0"/>
              <w:jc w:val="center"/>
              <w:rPr>
                <w:rFonts w:ascii="宋体" w:hAnsi="宋体" w:cs="宋体" w:eastAsia="宋体" w:hint="default"/>
                <w:sz w:val="21"/>
                <w:szCs w:val="21"/>
              </w:rPr>
            </w:pPr>
            <w:r>
              <w:rPr>
                <w:rFonts w:ascii="宋体"/>
                <w:sz w:val="21"/>
              </w:rPr>
              <w:t>100.</w:t>
            </w:r>
          </w:p>
          <w:p>
            <w:pPr>
              <w:pStyle w:val="TableParagraph"/>
              <w:spacing w:line="240" w:lineRule="auto" w:before="38"/>
              <w:ind w:left="197" w:right="0"/>
              <w:jc w:val="center"/>
              <w:rPr>
                <w:rFonts w:ascii="宋体" w:hAnsi="宋体" w:cs="宋体" w:eastAsia="宋体" w:hint="default"/>
                <w:sz w:val="21"/>
                <w:szCs w:val="21"/>
              </w:rPr>
            </w:pPr>
            <w:r>
              <w:rPr>
                <w:rFonts w:ascii="宋体"/>
                <w:sz w:val="21"/>
              </w:rPr>
              <w:t>00%</w:t>
            </w:r>
          </w:p>
        </w:tc>
        <w:tc>
          <w:tcPr>
            <w:tcW w:w="993" w:type="dxa"/>
            <w:vMerge w:val="restart"/>
            <w:tcBorders>
              <w:top w:val="single" w:sz="4" w:space="0" w:color="000000"/>
              <w:left w:val="single" w:sz="4" w:space="0" w:color="000000"/>
              <w:right w:val="single" w:sz="4" w:space="0" w:color="000000"/>
            </w:tcBorders>
          </w:tcPr>
          <w:p>
            <w:pPr>
              <w:pStyle w:val="TableParagraph"/>
              <w:spacing w:line="240" w:lineRule="auto" w:before="26"/>
              <w:ind w:left="118" w:right="0"/>
              <w:jc w:val="left"/>
              <w:rPr>
                <w:rFonts w:ascii="宋体" w:hAnsi="宋体" w:cs="宋体" w:eastAsia="宋体" w:hint="default"/>
                <w:sz w:val="21"/>
                <w:szCs w:val="21"/>
              </w:rPr>
            </w:pPr>
            <w:r>
              <w:rPr>
                <w:rFonts w:ascii="宋体"/>
                <w:sz w:val="21"/>
              </w:rPr>
              <w:t>1,428,54</w:t>
            </w:r>
          </w:p>
          <w:p>
            <w:pPr>
              <w:pStyle w:val="TableParagraph"/>
              <w:spacing w:line="240" w:lineRule="auto" w:before="38"/>
              <w:ind w:left="538" w:right="0"/>
              <w:jc w:val="left"/>
              <w:rPr>
                <w:rFonts w:ascii="宋体" w:hAnsi="宋体" w:cs="宋体" w:eastAsia="宋体" w:hint="default"/>
                <w:sz w:val="21"/>
                <w:szCs w:val="21"/>
              </w:rPr>
            </w:pPr>
            <w:r>
              <w:rPr>
                <w:rFonts w:ascii="宋体"/>
                <w:sz w:val="21"/>
              </w:rPr>
              <w:t>0.77</w:t>
            </w:r>
          </w:p>
        </w:tc>
        <w:tc>
          <w:tcPr>
            <w:tcW w:w="431" w:type="dxa"/>
            <w:vMerge w:val="restart"/>
            <w:tcBorders>
              <w:top w:val="single" w:sz="4" w:space="0" w:color="000000"/>
              <w:left w:val="single" w:sz="4" w:space="0" w:color="000000"/>
              <w:right w:val="single" w:sz="4" w:space="0" w:color="000000"/>
            </w:tcBorders>
          </w:tcPr>
          <w:p>
            <w:pPr>
              <w:pStyle w:val="TableParagraph"/>
              <w:spacing w:line="240" w:lineRule="auto" w:before="26"/>
              <w:ind w:left="61" w:right="0"/>
              <w:jc w:val="center"/>
              <w:rPr>
                <w:rFonts w:ascii="宋体" w:hAnsi="宋体" w:cs="宋体" w:eastAsia="宋体" w:hint="default"/>
                <w:sz w:val="21"/>
                <w:szCs w:val="21"/>
              </w:rPr>
            </w:pPr>
            <w:r>
              <w:rPr>
                <w:rFonts w:ascii="宋体"/>
                <w:sz w:val="21"/>
              </w:rPr>
              <w:t>5.7</w:t>
            </w:r>
          </w:p>
          <w:p>
            <w:pPr>
              <w:pStyle w:val="TableParagraph"/>
              <w:spacing w:line="240" w:lineRule="auto" w:before="38"/>
              <w:ind w:left="166" w:right="0"/>
              <w:jc w:val="center"/>
              <w:rPr>
                <w:rFonts w:ascii="宋体" w:hAnsi="宋体" w:cs="宋体" w:eastAsia="宋体" w:hint="default"/>
                <w:sz w:val="21"/>
                <w:szCs w:val="21"/>
              </w:rPr>
            </w:pPr>
            <w:r>
              <w:rPr>
                <w:rFonts w:ascii="宋体"/>
                <w:sz w:val="21"/>
              </w:rPr>
              <w:t>2%</w:t>
            </w:r>
          </w:p>
        </w:tc>
        <w:tc>
          <w:tcPr>
            <w:tcW w:w="1128" w:type="dxa"/>
            <w:vMerge w:val="restart"/>
            <w:tcBorders>
              <w:top w:val="single" w:sz="4" w:space="0" w:color="000000"/>
              <w:left w:val="single" w:sz="4" w:space="0" w:color="000000"/>
              <w:right w:val="single" w:sz="4" w:space="0" w:color="000000"/>
            </w:tcBorders>
          </w:tcPr>
          <w:p>
            <w:pPr>
              <w:pStyle w:val="TableParagraph"/>
              <w:spacing w:line="240" w:lineRule="auto" w:before="26"/>
              <w:ind w:right="23"/>
              <w:jc w:val="right"/>
              <w:rPr>
                <w:rFonts w:ascii="宋体" w:hAnsi="宋体" w:cs="宋体" w:eastAsia="宋体" w:hint="default"/>
                <w:sz w:val="21"/>
                <w:szCs w:val="21"/>
              </w:rPr>
            </w:pPr>
            <w:r>
              <w:rPr>
                <w:rFonts w:ascii="宋体"/>
                <w:sz w:val="21"/>
              </w:rPr>
              <w:t>23,550,638</w:t>
            </w:r>
          </w:p>
          <w:p>
            <w:pPr>
              <w:pStyle w:val="TableParagraph"/>
              <w:spacing w:line="240" w:lineRule="auto" w:before="38"/>
              <w:ind w:right="21"/>
              <w:jc w:val="right"/>
              <w:rPr>
                <w:rFonts w:ascii="宋体" w:hAnsi="宋体" w:cs="宋体" w:eastAsia="宋体" w:hint="default"/>
                <w:sz w:val="21"/>
                <w:szCs w:val="21"/>
              </w:rPr>
            </w:pPr>
            <w:r>
              <w:rPr>
                <w:rFonts w:ascii="宋体"/>
                <w:sz w:val="21"/>
              </w:rPr>
              <w:t>.98</w:t>
            </w:r>
          </w:p>
        </w:tc>
        <w:tc>
          <w:tcPr>
            <w:tcW w:w="1276" w:type="dxa"/>
            <w:vMerge w:val="restart"/>
            <w:tcBorders>
              <w:top w:val="single" w:sz="4" w:space="0" w:color="000000"/>
              <w:left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19,768,157.</w:t>
            </w:r>
          </w:p>
          <w:p>
            <w:pPr>
              <w:pStyle w:val="TableParagraph"/>
              <w:spacing w:line="240" w:lineRule="auto" w:before="38"/>
              <w:ind w:right="19"/>
              <w:jc w:val="right"/>
              <w:rPr>
                <w:rFonts w:ascii="宋体" w:hAnsi="宋体" w:cs="宋体" w:eastAsia="宋体" w:hint="default"/>
                <w:sz w:val="21"/>
                <w:szCs w:val="21"/>
              </w:rPr>
            </w:pPr>
            <w:r>
              <w:rPr>
                <w:rFonts w:ascii="宋体"/>
                <w:sz w:val="21"/>
              </w:rPr>
              <w:t>97</w:t>
            </w:r>
          </w:p>
        </w:tc>
        <w:tc>
          <w:tcPr>
            <w:tcW w:w="568" w:type="dxa"/>
            <w:vMerge w:val="restart"/>
            <w:tcBorders>
              <w:top w:val="single" w:sz="4" w:space="0" w:color="000000"/>
              <w:left w:val="single" w:sz="4" w:space="0" w:color="000000"/>
              <w:right w:val="single" w:sz="4" w:space="0" w:color="000000"/>
            </w:tcBorders>
          </w:tcPr>
          <w:p>
            <w:pPr>
              <w:pStyle w:val="TableParagraph"/>
              <w:spacing w:line="240" w:lineRule="auto" w:before="26"/>
              <w:ind w:left="92" w:right="0"/>
              <w:jc w:val="center"/>
              <w:rPr>
                <w:rFonts w:ascii="宋体" w:hAnsi="宋体" w:cs="宋体" w:eastAsia="宋体" w:hint="default"/>
                <w:sz w:val="21"/>
                <w:szCs w:val="21"/>
              </w:rPr>
            </w:pPr>
            <w:r>
              <w:rPr>
                <w:rFonts w:ascii="宋体"/>
                <w:sz w:val="21"/>
              </w:rPr>
              <w:t>100.</w:t>
            </w:r>
          </w:p>
          <w:p>
            <w:pPr>
              <w:pStyle w:val="TableParagraph"/>
              <w:spacing w:line="240" w:lineRule="auto" w:before="38"/>
              <w:ind w:left="199" w:right="0"/>
              <w:jc w:val="center"/>
              <w:rPr>
                <w:rFonts w:ascii="宋体" w:hAnsi="宋体" w:cs="宋体" w:eastAsia="宋体" w:hint="default"/>
                <w:sz w:val="21"/>
                <w:szCs w:val="21"/>
              </w:rPr>
            </w:pPr>
            <w:r>
              <w:rPr>
                <w:rFonts w:ascii="宋体"/>
                <w:sz w:val="21"/>
              </w:rPr>
              <w:t>00%</w:t>
            </w:r>
          </w:p>
        </w:tc>
        <w:tc>
          <w:tcPr>
            <w:tcW w:w="992" w:type="dxa"/>
            <w:vMerge w:val="restart"/>
            <w:tcBorders>
              <w:top w:val="single" w:sz="4" w:space="0" w:color="000000"/>
              <w:left w:val="single" w:sz="4" w:space="0" w:color="000000"/>
              <w:right w:val="single" w:sz="4" w:space="0" w:color="000000"/>
            </w:tcBorders>
          </w:tcPr>
          <w:p>
            <w:pPr>
              <w:pStyle w:val="TableParagraph"/>
              <w:spacing w:line="240" w:lineRule="auto" w:before="26"/>
              <w:ind w:left="118" w:right="0"/>
              <w:jc w:val="left"/>
              <w:rPr>
                <w:rFonts w:ascii="宋体" w:hAnsi="宋体" w:cs="宋体" w:eastAsia="宋体" w:hint="default"/>
                <w:sz w:val="21"/>
                <w:szCs w:val="21"/>
              </w:rPr>
            </w:pPr>
            <w:r>
              <w:rPr>
                <w:rFonts w:ascii="宋体"/>
                <w:sz w:val="21"/>
              </w:rPr>
              <w:t>1,198,18</w:t>
            </w:r>
          </w:p>
          <w:p>
            <w:pPr>
              <w:pStyle w:val="TableParagraph"/>
              <w:spacing w:line="240" w:lineRule="auto" w:before="38"/>
              <w:ind w:left="538" w:right="0"/>
              <w:jc w:val="left"/>
              <w:rPr>
                <w:rFonts w:ascii="宋体" w:hAnsi="宋体" w:cs="宋体" w:eastAsia="宋体" w:hint="default"/>
                <w:sz w:val="21"/>
                <w:szCs w:val="21"/>
              </w:rPr>
            </w:pPr>
            <w:r>
              <w:rPr>
                <w:rFonts w:ascii="宋体"/>
                <w:sz w:val="21"/>
              </w:rPr>
              <w:t>9.43</w:t>
            </w:r>
          </w:p>
        </w:tc>
        <w:tc>
          <w:tcPr>
            <w:tcW w:w="425" w:type="dxa"/>
            <w:vMerge w:val="restart"/>
            <w:tcBorders>
              <w:top w:val="single" w:sz="4" w:space="0" w:color="000000"/>
              <w:left w:val="single" w:sz="4" w:space="0" w:color="000000"/>
              <w:right w:val="single" w:sz="4" w:space="0" w:color="000000"/>
            </w:tcBorders>
          </w:tcPr>
          <w:p>
            <w:pPr>
              <w:pStyle w:val="TableParagraph"/>
              <w:spacing w:line="240" w:lineRule="auto" w:before="26"/>
              <w:ind w:left="53" w:right="0"/>
              <w:jc w:val="center"/>
              <w:rPr>
                <w:rFonts w:ascii="宋体" w:hAnsi="宋体" w:cs="宋体" w:eastAsia="宋体" w:hint="default"/>
                <w:sz w:val="21"/>
                <w:szCs w:val="21"/>
              </w:rPr>
            </w:pPr>
            <w:r>
              <w:rPr>
                <w:rFonts w:ascii="宋体"/>
                <w:sz w:val="21"/>
              </w:rPr>
              <w:t>6.0</w:t>
            </w:r>
          </w:p>
          <w:p>
            <w:pPr>
              <w:pStyle w:val="TableParagraph"/>
              <w:spacing w:line="240" w:lineRule="auto" w:before="38"/>
              <w:ind w:left="158" w:right="0"/>
              <w:jc w:val="center"/>
              <w:rPr>
                <w:rFonts w:ascii="宋体" w:hAnsi="宋体" w:cs="宋体" w:eastAsia="宋体" w:hint="default"/>
                <w:sz w:val="21"/>
                <w:szCs w:val="21"/>
              </w:rPr>
            </w:pPr>
            <w:r>
              <w:rPr>
                <w:rFonts w:ascii="宋体"/>
                <w:sz w:val="21"/>
              </w:rPr>
              <w:t>6%</w:t>
            </w:r>
          </w:p>
        </w:tc>
        <w:tc>
          <w:tcPr>
            <w:tcW w:w="992" w:type="dxa"/>
            <w:vMerge w:val="restart"/>
            <w:tcBorders>
              <w:top w:val="single" w:sz="4" w:space="0" w:color="000000"/>
              <w:left w:val="single" w:sz="4" w:space="0" w:color="000000"/>
              <w:right w:val="single" w:sz="4" w:space="0" w:color="000000"/>
            </w:tcBorders>
          </w:tcPr>
          <w:p>
            <w:pPr>
              <w:pStyle w:val="TableParagraph"/>
              <w:spacing w:line="240" w:lineRule="auto" w:before="26"/>
              <w:ind w:left="120" w:right="0"/>
              <w:jc w:val="left"/>
              <w:rPr>
                <w:rFonts w:ascii="宋体" w:hAnsi="宋体" w:cs="宋体" w:eastAsia="宋体" w:hint="default"/>
                <w:sz w:val="21"/>
                <w:szCs w:val="21"/>
              </w:rPr>
            </w:pPr>
            <w:r>
              <w:rPr>
                <w:rFonts w:ascii="宋体"/>
                <w:sz w:val="21"/>
              </w:rPr>
              <w:t>18,569,9</w:t>
            </w:r>
          </w:p>
          <w:p>
            <w:pPr>
              <w:pStyle w:val="TableParagraph"/>
              <w:spacing w:line="240" w:lineRule="auto" w:before="38"/>
              <w:ind w:left="435" w:right="0"/>
              <w:jc w:val="left"/>
              <w:rPr>
                <w:rFonts w:ascii="宋体" w:hAnsi="宋体" w:cs="宋体" w:eastAsia="宋体" w:hint="default"/>
                <w:sz w:val="21"/>
                <w:szCs w:val="21"/>
              </w:rPr>
            </w:pPr>
            <w:r>
              <w:rPr>
                <w:rFonts w:ascii="宋体"/>
                <w:sz w:val="21"/>
              </w:rPr>
              <w:t>68.54</w:t>
            </w:r>
          </w:p>
        </w:tc>
      </w:tr>
      <w:tr>
        <w:trPr>
          <w:trHeight w:val="392" w:hRule="exact"/>
        </w:trPr>
        <w:tc>
          <w:tcPr>
            <w:tcW w:w="162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072" w:type="dxa"/>
            <w:vMerge/>
            <w:tcBorders>
              <w:left w:val="single" w:sz="9" w:space="0" w:color="D2D2D2"/>
              <w:right w:val="single" w:sz="4" w:space="0" w:color="000000"/>
            </w:tcBorders>
          </w:tcPr>
          <w:p>
            <w:pPr/>
          </w:p>
        </w:tc>
        <w:tc>
          <w:tcPr>
            <w:tcW w:w="566" w:type="dxa"/>
            <w:vMerge/>
            <w:tcBorders>
              <w:left w:val="single" w:sz="4" w:space="0" w:color="000000"/>
              <w:right w:val="single" w:sz="4" w:space="0" w:color="000000"/>
            </w:tcBorders>
          </w:tcPr>
          <w:p>
            <w:pPr/>
          </w:p>
        </w:tc>
        <w:tc>
          <w:tcPr>
            <w:tcW w:w="993" w:type="dxa"/>
            <w:vMerge/>
            <w:tcBorders>
              <w:left w:val="single" w:sz="4" w:space="0" w:color="000000"/>
              <w:right w:val="single" w:sz="4" w:space="0" w:color="000000"/>
            </w:tcBorders>
          </w:tcPr>
          <w:p>
            <w:pPr/>
          </w:p>
        </w:tc>
        <w:tc>
          <w:tcPr>
            <w:tcW w:w="431"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568"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425"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r>
      <w:tr>
        <w:trPr>
          <w:trHeight w:val="161" w:hRule="exact"/>
        </w:trPr>
        <w:tc>
          <w:tcPr>
            <w:tcW w:w="1622" w:type="dxa"/>
            <w:tcBorders>
              <w:top w:val="nil" w:sz="6" w:space="0" w:color="auto"/>
              <w:left w:val="single" w:sz="4" w:space="0" w:color="000000"/>
              <w:bottom w:val="single" w:sz="4" w:space="0" w:color="000000"/>
              <w:right w:val="single" w:sz="4" w:space="0" w:color="000000"/>
            </w:tcBorders>
            <w:shd w:val="clear" w:color="auto" w:fill="D2D2D2"/>
          </w:tcPr>
          <w:p>
            <w:pPr/>
          </w:p>
        </w:tc>
        <w:tc>
          <w:tcPr>
            <w:tcW w:w="1072" w:type="dxa"/>
            <w:vMerge/>
            <w:tcBorders>
              <w:left w:val="single" w:sz="9" w:space="0" w:color="D2D2D2"/>
              <w:bottom w:val="single" w:sz="4" w:space="0" w:color="000000"/>
              <w:right w:val="single" w:sz="4" w:space="0" w:color="000000"/>
            </w:tcBorders>
          </w:tcPr>
          <w:p>
            <w:pPr/>
          </w:p>
        </w:tc>
        <w:tc>
          <w:tcPr>
            <w:tcW w:w="566" w:type="dxa"/>
            <w:vMerge/>
            <w:tcBorders>
              <w:left w:val="single" w:sz="4" w:space="0" w:color="000000"/>
              <w:bottom w:val="single" w:sz="4" w:space="0" w:color="000000"/>
              <w:right w:val="single" w:sz="4" w:space="0" w:color="000000"/>
            </w:tcBorders>
          </w:tcPr>
          <w:p>
            <w:pPr/>
          </w:p>
        </w:tc>
        <w:tc>
          <w:tcPr>
            <w:tcW w:w="993" w:type="dxa"/>
            <w:vMerge/>
            <w:tcBorders>
              <w:left w:val="single" w:sz="4" w:space="0" w:color="000000"/>
              <w:bottom w:val="single" w:sz="4" w:space="0" w:color="000000"/>
              <w:right w:val="single" w:sz="4" w:space="0" w:color="000000"/>
            </w:tcBorders>
          </w:tcPr>
          <w:p>
            <w:pPr/>
          </w:p>
        </w:tc>
        <w:tc>
          <w:tcPr>
            <w:tcW w:w="431" w:type="dxa"/>
            <w:vMerge/>
            <w:tcBorders>
              <w:left w:val="single" w:sz="4" w:space="0" w:color="000000"/>
              <w:bottom w:val="single" w:sz="4" w:space="0" w:color="000000"/>
              <w:right w:val="single" w:sz="4" w:space="0" w:color="000000"/>
            </w:tcBorders>
          </w:tcPr>
          <w:p>
            <w:pPr/>
          </w:p>
        </w:tc>
        <w:tc>
          <w:tcPr>
            <w:tcW w:w="1128" w:type="dxa"/>
            <w:vMerge/>
            <w:tcBorders>
              <w:left w:val="single" w:sz="4" w:space="0" w:color="000000"/>
              <w:bottom w:val="single" w:sz="4" w:space="0" w:color="000000"/>
              <w:right w:val="single" w:sz="4" w:space="0" w:color="000000"/>
            </w:tcBorders>
          </w:tcPr>
          <w:p>
            <w:pPr/>
          </w:p>
        </w:tc>
        <w:tc>
          <w:tcPr>
            <w:tcW w:w="1276" w:type="dxa"/>
            <w:vMerge/>
            <w:tcBorders>
              <w:left w:val="single" w:sz="4" w:space="0" w:color="000000"/>
              <w:bottom w:val="single" w:sz="4" w:space="0" w:color="000000"/>
              <w:right w:val="single" w:sz="4" w:space="0" w:color="000000"/>
            </w:tcBorders>
          </w:tcPr>
          <w:p>
            <w:pPr/>
          </w:p>
        </w:tc>
        <w:tc>
          <w:tcPr>
            <w:tcW w:w="568" w:type="dxa"/>
            <w:vMerge/>
            <w:tcBorders>
              <w:left w:val="single" w:sz="4" w:space="0" w:color="000000"/>
              <w:bottom w:val="single" w:sz="4" w:space="0" w:color="000000"/>
              <w:right w:val="single" w:sz="4" w:space="0" w:color="000000"/>
            </w:tcBorders>
          </w:tcPr>
          <w:p>
            <w:pPr/>
          </w:p>
        </w:tc>
        <w:tc>
          <w:tcPr>
            <w:tcW w:w="992" w:type="dxa"/>
            <w:vMerge/>
            <w:tcBorders>
              <w:left w:val="single" w:sz="4" w:space="0" w:color="000000"/>
              <w:bottom w:val="single" w:sz="4" w:space="0" w:color="000000"/>
              <w:right w:val="single" w:sz="4" w:space="0" w:color="000000"/>
            </w:tcBorders>
          </w:tcPr>
          <w:p>
            <w:pPr/>
          </w:p>
        </w:tc>
        <w:tc>
          <w:tcPr>
            <w:tcW w:w="425" w:type="dxa"/>
            <w:vMerge/>
            <w:tcBorders>
              <w:left w:val="single" w:sz="4" w:space="0" w:color="000000"/>
              <w:bottom w:val="single" w:sz="4" w:space="0" w:color="000000"/>
              <w:right w:val="single" w:sz="4" w:space="0" w:color="000000"/>
            </w:tcBorders>
          </w:tcPr>
          <w:p>
            <w:pPr/>
          </w:p>
        </w:tc>
        <w:tc>
          <w:tcPr>
            <w:tcW w:w="992" w:type="dxa"/>
            <w:vMerge/>
            <w:tcBorders>
              <w:left w:val="single" w:sz="4" w:space="0" w:color="000000"/>
              <w:bottom w:val="single" w:sz="4" w:space="0" w:color="000000"/>
              <w:right w:val="single" w:sz="4" w:space="0" w:color="000000"/>
            </w:tcBorders>
          </w:tcPr>
          <w:p>
            <w:pPr/>
          </w:p>
        </w:tc>
      </w:tr>
    </w:tbl>
    <w:p>
      <w:pPr>
        <w:spacing w:line="240" w:lineRule="auto" w:before="10"/>
        <w:rPr>
          <w:rFonts w:ascii="宋体" w:hAnsi="宋体" w:cs="宋体" w:eastAsia="宋体" w:hint="default"/>
          <w:sz w:val="4"/>
          <w:szCs w:val="4"/>
        </w:rPr>
      </w:pPr>
    </w:p>
    <w:p>
      <w:pPr>
        <w:spacing w:after="0" w:line="240" w:lineRule="auto"/>
        <w:rPr>
          <w:rFonts w:ascii="宋体" w:hAnsi="宋体" w:cs="宋体" w:eastAsia="宋体" w:hint="default"/>
          <w:sz w:val="4"/>
          <w:szCs w:val="4"/>
        </w:rPr>
        <w:sectPr>
          <w:pgSz w:w="11910" w:h="16840"/>
          <w:pgMar w:header="747" w:footer="979" w:top="1060" w:bottom="1160" w:left="800" w:right="0"/>
        </w:sectPr>
      </w:pPr>
    </w:p>
    <w:p>
      <w:pPr>
        <w:pStyle w:val="BodyText"/>
        <w:spacing w:line="240" w:lineRule="auto" w:before="26"/>
        <w:ind w:left="814" w:right="-20"/>
        <w:jc w:val="left"/>
      </w:pPr>
      <w:r>
        <w:rPr/>
        <w:t>期末单项金额重大并单项计提坏账准备的其他应收款：</w:t>
      </w:r>
    </w:p>
    <w:p>
      <w:pPr>
        <w:pStyle w:val="BodyText"/>
        <w:spacing w:line="350" w:lineRule="auto" w:before="146"/>
        <w:ind w:left="814" w:right="220"/>
        <w:jc w:val="left"/>
      </w:pPr>
      <w:r>
        <w:rPr/>
        <w:t>□ 适用 √ 不适用 组合中，按账龄分析法计提坏账准备的其他应收款：</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2"/>
          <w:szCs w:val="22"/>
        </w:rPr>
      </w:pPr>
    </w:p>
    <w:p>
      <w:pPr>
        <w:spacing w:before="0"/>
        <w:ind w:left="813" w:right="0" w:firstLine="0"/>
        <w:jc w:val="left"/>
        <w:rPr>
          <w:rFonts w:ascii="宋体" w:hAnsi="宋体" w:cs="宋体" w:eastAsia="宋体" w:hint="default"/>
          <w:sz w:val="21"/>
          <w:szCs w:val="21"/>
        </w:rPr>
      </w:pPr>
      <w:r>
        <w:rPr>
          <w:rFonts w:ascii="宋体" w:hAnsi="宋体" w:cs="宋体" w:eastAsia="宋体" w:hint="default"/>
          <w:sz w:val="21"/>
          <w:szCs w:val="21"/>
        </w:rPr>
        <w:t>单位： 元</w:t>
      </w:r>
    </w:p>
    <w:p>
      <w:pPr>
        <w:spacing w:after="0"/>
        <w:jc w:val="left"/>
        <w:rPr>
          <w:rFonts w:ascii="宋体" w:hAnsi="宋体" w:cs="宋体" w:eastAsia="宋体" w:hint="default"/>
          <w:sz w:val="21"/>
          <w:szCs w:val="21"/>
        </w:rPr>
        <w:sectPr>
          <w:type w:val="continuous"/>
          <w:pgSz w:w="11910" w:h="16840"/>
          <w:pgMar w:top="1060" w:bottom="1160" w:left="800" w:right="0"/>
          <w:cols w:num="2" w:equalWidth="0">
            <w:col w:w="6575" w:space="1641"/>
            <w:col w:w="2894"/>
          </w:cols>
        </w:sectPr>
      </w:pPr>
    </w:p>
    <w:p>
      <w:pPr>
        <w:spacing w:line="240" w:lineRule="auto" w:before="0"/>
        <w:rPr>
          <w:rFonts w:ascii="宋体" w:hAnsi="宋体" w:cs="宋体" w:eastAsia="宋体" w:hint="default"/>
          <w:sz w:val="7"/>
          <w:szCs w:val="7"/>
        </w:rPr>
      </w:pPr>
    </w:p>
    <w:tbl>
      <w:tblPr>
        <w:tblW w:w="0" w:type="auto"/>
        <w:jc w:val="left"/>
        <w:tblInd w:w="329" w:type="dxa"/>
        <w:tblLayout w:type="fixed"/>
        <w:tblCellMar>
          <w:top w:w="0" w:type="dxa"/>
          <w:left w:w="0" w:type="dxa"/>
          <w:bottom w:w="0" w:type="dxa"/>
          <w:right w:w="0" w:type="dxa"/>
        </w:tblCellMar>
        <w:tblLook w:val="01E0"/>
      </w:tblPr>
      <w:tblGrid>
        <w:gridCol w:w="2392"/>
        <w:gridCol w:w="2394"/>
        <w:gridCol w:w="2392"/>
        <w:gridCol w:w="2392"/>
      </w:tblGrid>
      <w:tr>
        <w:trPr>
          <w:trHeight w:val="402" w:hRule="exact"/>
        </w:trPr>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717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402" w:hRule="exact"/>
        </w:trPr>
        <w:tc>
          <w:tcPr>
            <w:tcW w:w="2392" w:type="dxa"/>
            <w:vMerge/>
            <w:tcBorders>
              <w:left w:val="single" w:sz="4" w:space="0" w:color="000000"/>
              <w:bottom w:val="single" w:sz="4" w:space="0" w:color="000000"/>
              <w:right w:val="single" w:sz="4" w:space="0" w:color="000000"/>
            </w:tcBorders>
            <w:shd w:val="clear" w:color="auto" w:fill="D2D2D2"/>
          </w:tcPr>
          <w:p>
            <w:pPr/>
          </w:p>
        </w:tc>
        <w:tc>
          <w:tcPr>
            <w:tcW w:w="2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666"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770"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770" w:right="0"/>
              <w:jc w:val="left"/>
              <w:rPr>
                <w:rFonts w:ascii="宋体" w:hAnsi="宋体" w:cs="宋体" w:eastAsia="宋体" w:hint="default"/>
                <w:sz w:val="21"/>
                <w:szCs w:val="21"/>
              </w:rPr>
            </w:pPr>
            <w:r>
              <w:rPr>
                <w:rFonts w:ascii="宋体" w:hAnsi="宋体" w:cs="宋体" w:eastAsia="宋体" w:hint="default"/>
                <w:sz w:val="21"/>
                <w:szCs w:val="21"/>
              </w:rPr>
              <w:t>计提比例</w:t>
            </w:r>
          </w:p>
        </w:tc>
      </w:tr>
      <w:tr>
        <w:trPr>
          <w:trHeight w:val="402" w:hRule="exact"/>
        </w:trPr>
        <w:tc>
          <w:tcPr>
            <w:tcW w:w="956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年以内分项</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16,195,233.86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809,761.69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5.00%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年以内小计</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16,195,233.86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809,761.69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5.00%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2,421,562.38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242,156.24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10.00%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240,237.05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72,071.12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30.00%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425,449.40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304,551.72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71.58%</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291,170.30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174,702.18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60.00%</w:t>
            </w:r>
          </w:p>
        </w:tc>
      </w:tr>
    </w:tbl>
    <w:p>
      <w:pPr>
        <w:spacing w:after="0" w:line="240" w:lineRule="auto"/>
        <w:jc w:val="right"/>
        <w:rPr>
          <w:rFonts w:ascii="宋体" w:hAnsi="宋体" w:cs="宋体" w:eastAsia="宋体" w:hint="default"/>
          <w:sz w:val="21"/>
          <w:szCs w:val="21"/>
        </w:rPr>
        <w:sectPr>
          <w:type w:val="continuous"/>
          <w:pgSz w:w="11910" w:h="16840"/>
          <w:pgMar w:top="1060" w:bottom="1160" w:left="800" w:right="0"/>
        </w:sectPr>
      </w:pPr>
    </w:p>
    <w:p>
      <w:pPr>
        <w:spacing w:line="240" w:lineRule="auto" w:before="6"/>
        <w:rPr>
          <w:rFonts w:ascii="宋体" w:hAnsi="宋体" w:cs="宋体" w:eastAsia="宋体" w:hint="default"/>
          <w:sz w:val="28"/>
          <w:szCs w:val="28"/>
        </w:rPr>
      </w:pPr>
    </w:p>
    <w:tbl>
      <w:tblPr>
        <w:tblW w:w="0" w:type="auto"/>
        <w:jc w:val="left"/>
        <w:tblInd w:w="249" w:type="dxa"/>
        <w:tblLayout w:type="fixed"/>
        <w:tblCellMar>
          <w:top w:w="0" w:type="dxa"/>
          <w:left w:w="0" w:type="dxa"/>
          <w:bottom w:w="0" w:type="dxa"/>
          <w:right w:w="0" w:type="dxa"/>
        </w:tblCellMar>
        <w:tblLook w:val="01E0"/>
      </w:tblPr>
      <w:tblGrid>
        <w:gridCol w:w="2391"/>
        <w:gridCol w:w="2394"/>
        <w:gridCol w:w="2392"/>
        <w:gridCol w:w="2392"/>
      </w:tblGrid>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22,147.80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17,718.24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80.00%</w:t>
            </w:r>
          </w:p>
        </w:tc>
      </w:tr>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112,131.30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112,131.30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100.00%</w:t>
            </w:r>
          </w:p>
        </w:tc>
      </w:tr>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19,282,482.69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1,428,540.77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7.41%</w:t>
            </w:r>
          </w:p>
        </w:tc>
      </w:tr>
    </w:tbl>
    <w:p>
      <w:pPr>
        <w:spacing w:line="240" w:lineRule="auto" w:before="10"/>
        <w:rPr>
          <w:rFonts w:ascii="宋体" w:hAnsi="宋体" w:cs="宋体" w:eastAsia="宋体" w:hint="default"/>
          <w:sz w:val="4"/>
          <w:szCs w:val="4"/>
        </w:rPr>
      </w:pPr>
    </w:p>
    <w:p>
      <w:pPr>
        <w:pStyle w:val="BodyText"/>
        <w:spacing w:line="352" w:lineRule="auto" w:before="26"/>
        <w:ind w:left="734" w:right="7632"/>
        <w:jc w:val="left"/>
      </w:pPr>
      <w:r>
        <w:rPr/>
        <w:t>确定该组合依据的说明： 无</w:t>
      </w:r>
    </w:p>
    <w:p>
      <w:pPr>
        <w:pStyle w:val="BodyText"/>
        <w:spacing w:line="240" w:lineRule="auto" w:before="32"/>
        <w:ind w:left="734" w:right="997"/>
        <w:jc w:val="left"/>
      </w:pPr>
      <w:r>
        <w:rPr/>
        <w:t>组合中，采用余额百分比法计提坏账准备的其他应收款：</w:t>
      </w:r>
    </w:p>
    <w:p>
      <w:pPr>
        <w:pStyle w:val="BodyText"/>
        <w:spacing w:line="352" w:lineRule="auto" w:before="145"/>
        <w:ind w:left="734" w:right="4752"/>
        <w:jc w:val="left"/>
      </w:pPr>
      <w:r>
        <w:rPr/>
        <w:t>□ 适用 √ 不适用 组合中，采用其他方法计提坏账准备的其他应收款：</w:t>
      </w:r>
    </w:p>
    <w:p>
      <w:pPr>
        <w:pStyle w:val="BodyText"/>
        <w:spacing w:line="240" w:lineRule="auto" w:before="32"/>
        <w:ind w:left="733" w:right="997"/>
        <w:jc w:val="left"/>
      </w:pPr>
      <w:r>
        <w:rPr/>
        <w:t>□ 适用 √ 不适用</w:t>
      </w:r>
    </w:p>
    <w:p>
      <w:pPr>
        <w:pStyle w:val="Heading2"/>
        <w:spacing w:line="240" w:lineRule="auto" w:before="145"/>
        <w:ind w:left="736" w:right="997"/>
        <w:jc w:val="left"/>
        <w:rPr>
          <w:b w:val="0"/>
          <w:bCs w:val="0"/>
        </w:rPr>
      </w:pPr>
      <w:bookmarkStart w:name="（2）本期计提、收回或转回的坏账准备情况" w:id="270"/>
      <w:bookmarkEnd w:id="270"/>
      <w:r>
        <w:rPr>
          <w:b w:val="0"/>
          <w:bCs w:val="0"/>
        </w:rPr>
      </w:r>
      <w:r>
        <w:rPr/>
        <w:t>（</w:t>
      </w:r>
      <w:r>
        <w:rPr>
          <w:rFonts w:ascii="宋体" w:hAnsi="宋体" w:cs="宋体" w:eastAsia="宋体" w:hint="default"/>
        </w:rPr>
        <w:t>2</w:t>
      </w:r>
      <w:r>
        <w:rPr/>
        <w:t>）本期计提、收回或转回的坏账准备情况</w:t>
      </w:r>
      <w:r>
        <w:rPr>
          <w:b w:val="0"/>
          <w:bCs w:val="0"/>
        </w:rPr>
      </w:r>
    </w:p>
    <w:p>
      <w:pPr>
        <w:spacing w:line="240" w:lineRule="auto" w:before="2"/>
        <w:rPr>
          <w:rFonts w:ascii="宋体" w:hAnsi="宋体" w:cs="宋体" w:eastAsia="宋体" w:hint="default"/>
          <w:b/>
          <w:bCs/>
          <w:sz w:val="23"/>
          <w:szCs w:val="23"/>
        </w:rPr>
      </w:pPr>
    </w:p>
    <w:p>
      <w:pPr>
        <w:pStyle w:val="BodyText"/>
        <w:spacing w:line="350" w:lineRule="auto" w:before="0"/>
        <w:ind w:left="733" w:right="2113"/>
        <w:jc w:val="left"/>
      </w:pPr>
      <w:r>
        <w:rPr/>
        <w:t>本期计提坏账准备金额</w:t>
      </w:r>
      <w:r>
        <w:rPr>
          <w:rFonts w:ascii="宋体" w:hAnsi="宋体" w:cs="宋体" w:eastAsia="宋体" w:hint="default"/>
        </w:rPr>
        <w:t>230,351.34</w:t>
      </w:r>
      <w:r>
        <w:rPr/>
        <w:t>元；本期收回或转回坏账准备金额</w:t>
      </w:r>
      <w:r>
        <w:rPr>
          <w:rFonts w:ascii="宋体" w:hAnsi="宋体" w:cs="宋体" w:eastAsia="宋体" w:hint="default"/>
        </w:rPr>
        <w:t>0.00</w:t>
      </w:r>
      <w:r>
        <w:rPr/>
        <w:t>元。 其中本期坏账准备转回或收回金额重要的：</w:t>
      </w:r>
    </w:p>
    <w:p>
      <w:pPr>
        <w:pStyle w:val="BodyText"/>
        <w:spacing w:line="240" w:lineRule="auto" w:before="35"/>
        <w:ind w:left="734" w:right="997"/>
        <w:jc w:val="left"/>
      </w:pPr>
      <w:r>
        <w:rPr/>
        <w:t>无</w:t>
      </w:r>
    </w:p>
    <w:p>
      <w:pPr>
        <w:pStyle w:val="Heading2"/>
        <w:spacing w:line="240" w:lineRule="auto" w:before="146"/>
        <w:ind w:left="736" w:right="997"/>
        <w:jc w:val="left"/>
        <w:rPr>
          <w:b w:val="0"/>
          <w:bCs w:val="0"/>
        </w:rPr>
      </w:pPr>
      <w:bookmarkStart w:name="（3）本期实际核销的其他应收款情况" w:id="271"/>
      <w:bookmarkEnd w:id="271"/>
      <w:r>
        <w:rPr>
          <w:b w:val="0"/>
          <w:bCs w:val="0"/>
        </w:rPr>
      </w:r>
      <w:r>
        <w:rPr/>
        <w:t>（</w:t>
      </w:r>
      <w:r>
        <w:rPr>
          <w:rFonts w:ascii="宋体" w:hAnsi="宋体" w:cs="宋体" w:eastAsia="宋体" w:hint="default"/>
        </w:rPr>
        <w:t>3</w:t>
      </w:r>
      <w:r>
        <w:rPr/>
        <w:t>）本期实际核销的其他应收款情况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0"/>
        <w:ind w:left="734" w:right="997"/>
        <w:jc w:val="left"/>
      </w:pPr>
      <w:r>
        <w:rPr/>
        <w:t>无</w:t>
      </w:r>
    </w:p>
    <w:p>
      <w:pPr>
        <w:pStyle w:val="Heading2"/>
        <w:spacing w:line="240" w:lineRule="auto" w:before="146"/>
        <w:ind w:left="736" w:right="997"/>
        <w:jc w:val="left"/>
        <w:rPr>
          <w:b w:val="0"/>
          <w:bCs w:val="0"/>
        </w:rPr>
      </w:pPr>
      <w:bookmarkStart w:name="（4）其他应收款按款项性质分类情况" w:id="272"/>
      <w:bookmarkEnd w:id="272"/>
      <w:r>
        <w:rPr>
          <w:b w:val="0"/>
          <w:bCs w:val="0"/>
        </w:rPr>
      </w:r>
      <w:r>
        <w:rPr/>
        <w:t>（</w:t>
      </w:r>
      <w:r>
        <w:rPr>
          <w:rFonts w:ascii="宋体" w:hAnsi="宋体" w:cs="宋体" w:eastAsia="宋体" w:hint="default"/>
        </w:rPr>
        <w:t>4</w:t>
      </w:r>
      <w:r>
        <w:rPr/>
        <w:t>）其他应收款按款项性质分类情况</w:t>
      </w:r>
      <w:r>
        <w:rPr>
          <w:b w:val="0"/>
          <w:bCs w:val="0"/>
        </w:rPr>
      </w:r>
    </w:p>
    <w:p>
      <w:pPr>
        <w:spacing w:line="240" w:lineRule="auto" w:before="9"/>
        <w:rPr>
          <w:rFonts w:ascii="宋体" w:hAnsi="宋体" w:cs="宋体" w:eastAsia="宋体" w:hint="default"/>
          <w:b/>
          <w:bCs/>
          <w:sz w:val="12"/>
          <w:szCs w:val="12"/>
        </w:rPr>
      </w:pPr>
    </w:p>
    <w:p>
      <w:pPr>
        <w:spacing w:before="35"/>
        <w:ind w:left="0" w:right="1129" w:firstLine="0"/>
        <w:jc w:val="right"/>
        <w:rPr>
          <w:rFonts w:ascii="宋体" w:hAnsi="宋体" w:cs="宋体" w:eastAsia="宋体" w:hint="default"/>
          <w:sz w:val="21"/>
          <w:szCs w:val="21"/>
        </w:rPr>
      </w:pPr>
      <w:r>
        <w:rPr>
          <w:rFonts w:ascii="宋体" w:hAnsi="宋体" w:cs="宋体" w:eastAsia="宋体" w:hint="default"/>
          <w:sz w:val="21"/>
          <w:szCs w:val="21"/>
        </w:rPr>
        <w:t>单位： 元</w:t>
      </w:r>
    </w:p>
    <w:p>
      <w:pPr>
        <w:spacing w:line="240" w:lineRule="auto" w:before="12"/>
        <w:rPr>
          <w:rFonts w:ascii="宋体" w:hAnsi="宋体" w:cs="宋体" w:eastAsia="宋体" w:hint="default"/>
          <w:sz w:val="6"/>
          <w:szCs w:val="6"/>
        </w:rPr>
      </w:pPr>
    </w:p>
    <w:tbl>
      <w:tblPr>
        <w:tblW w:w="0" w:type="auto"/>
        <w:jc w:val="left"/>
        <w:tblInd w:w="249" w:type="dxa"/>
        <w:tblLayout w:type="fixed"/>
        <w:tblCellMar>
          <w:top w:w="0" w:type="dxa"/>
          <w:left w:w="0" w:type="dxa"/>
          <w:bottom w:w="0" w:type="dxa"/>
          <w:right w:w="0" w:type="dxa"/>
        </w:tblCellMar>
        <w:tblLook w:val="01E0"/>
      </w:tblPr>
      <w:tblGrid>
        <w:gridCol w:w="3188"/>
        <w:gridCol w:w="3191"/>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款项性质</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960" w:right="0"/>
              <w:jc w:val="left"/>
              <w:rPr>
                <w:rFonts w:ascii="宋体" w:hAnsi="宋体" w:cs="宋体" w:eastAsia="宋体" w:hint="default"/>
                <w:sz w:val="21"/>
                <w:szCs w:val="21"/>
              </w:rPr>
            </w:pPr>
            <w:r>
              <w:rPr>
                <w:rFonts w:ascii="宋体" w:hAnsi="宋体" w:cs="宋体" w:eastAsia="宋体" w:hint="default"/>
                <w:sz w:val="21"/>
                <w:szCs w:val="21"/>
              </w:rPr>
              <w:t>期末账面余额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960" w:right="0"/>
              <w:jc w:val="left"/>
              <w:rPr>
                <w:rFonts w:ascii="宋体" w:hAnsi="宋体" w:cs="宋体" w:eastAsia="宋体" w:hint="default"/>
                <w:sz w:val="21"/>
                <w:szCs w:val="21"/>
              </w:rPr>
            </w:pPr>
            <w:r>
              <w:rPr>
                <w:rFonts w:ascii="宋体" w:hAnsi="宋体" w:cs="宋体" w:eastAsia="宋体" w:hint="default"/>
                <w:sz w:val="21"/>
                <w:szCs w:val="21"/>
              </w:rPr>
              <w:t>期初账面余额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备用金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9"/>
              <w:jc w:val="right"/>
              <w:rPr>
                <w:rFonts w:ascii="宋体" w:hAnsi="宋体" w:cs="宋体" w:eastAsia="宋体" w:hint="default"/>
                <w:sz w:val="21"/>
                <w:szCs w:val="21"/>
              </w:rPr>
            </w:pPr>
            <w:r>
              <w:rPr>
                <w:rFonts w:ascii="宋体"/>
                <w:sz w:val="21"/>
              </w:rPr>
              <w:t>4,130,394.30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9"/>
              <w:jc w:val="right"/>
              <w:rPr>
                <w:rFonts w:ascii="宋体" w:hAnsi="宋体" w:cs="宋体" w:eastAsia="宋体" w:hint="default"/>
                <w:sz w:val="21"/>
                <w:szCs w:val="21"/>
              </w:rPr>
            </w:pPr>
            <w:r>
              <w:rPr>
                <w:rFonts w:ascii="宋体"/>
                <w:sz w:val="21"/>
              </w:rPr>
              <w:t>3,953,650.34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保证金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15,130,292.90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11,347,941.10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代缴代扣款项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596,697.06</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578,458.51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技术服务费、非公开发行费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9"/>
              <w:jc w:val="right"/>
              <w:rPr>
                <w:rFonts w:ascii="宋体" w:hAnsi="宋体" w:cs="宋体" w:eastAsia="宋体" w:hint="default"/>
                <w:sz w:val="21"/>
                <w:szCs w:val="21"/>
              </w:rPr>
            </w:pPr>
            <w:r>
              <w:rPr>
                <w:rFonts w:ascii="宋体"/>
                <w:sz w:val="21"/>
              </w:rPr>
              <w:t>3,494,940.00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9"/>
              <w:jc w:val="right"/>
              <w:rPr>
                <w:rFonts w:ascii="宋体" w:hAnsi="宋体" w:cs="宋体" w:eastAsia="宋体" w:hint="default"/>
                <w:sz w:val="21"/>
                <w:szCs w:val="21"/>
              </w:rPr>
            </w:pPr>
            <w:r>
              <w:rPr>
                <w:rFonts w:ascii="宋体"/>
                <w:sz w:val="21"/>
              </w:rPr>
              <w:t>2,866,585.76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9"/>
              <w:jc w:val="right"/>
              <w:rPr>
                <w:rFonts w:ascii="宋体" w:hAnsi="宋体" w:cs="宋体" w:eastAsia="宋体" w:hint="default"/>
                <w:sz w:val="21"/>
                <w:szCs w:val="21"/>
              </w:rPr>
            </w:pPr>
            <w:r>
              <w:rPr>
                <w:rFonts w:ascii="宋体"/>
                <w:sz w:val="21"/>
              </w:rPr>
              <w:t>1,626,855.49</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9"/>
              <w:jc w:val="right"/>
              <w:rPr>
                <w:rFonts w:ascii="宋体" w:hAnsi="宋体" w:cs="宋体" w:eastAsia="宋体" w:hint="default"/>
                <w:sz w:val="21"/>
                <w:szCs w:val="21"/>
              </w:rPr>
            </w:pPr>
            <w:r>
              <w:rPr>
                <w:rFonts w:ascii="宋体"/>
                <w:sz w:val="21"/>
              </w:rPr>
              <w:t>1,021,522.26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24,979,179.75</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19,768,157.97</w:t>
            </w:r>
          </w:p>
        </w:tc>
      </w:tr>
    </w:tbl>
    <w:p>
      <w:pPr>
        <w:spacing w:line="240" w:lineRule="auto" w:before="10"/>
        <w:rPr>
          <w:rFonts w:ascii="宋体" w:hAnsi="宋体" w:cs="宋体" w:eastAsia="宋体" w:hint="default"/>
          <w:sz w:val="4"/>
          <w:szCs w:val="4"/>
        </w:rPr>
      </w:pPr>
    </w:p>
    <w:p>
      <w:pPr>
        <w:pStyle w:val="Heading2"/>
        <w:spacing w:line="240" w:lineRule="auto"/>
        <w:ind w:left="736" w:right="997"/>
        <w:jc w:val="left"/>
        <w:rPr>
          <w:b w:val="0"/>
          <w:bCs w:val="0"/>
        </w:rPr>
      </w:pPr>
      <w:bookmarkStart w:name="（5）按欠款方归集的期末余额前五名的其他应收款情况" w:id="273"/>
      <w:bookmarkEnd w:id="273"/>
      <w:r>
        <w:rPr>
          <w:b w:val="0"/>
          <w:bCs w:val="0"/>
        </w:rPr>
      </w:r>
      <w:r>
        <w:rPr/>
        <w:t>（</w:t>
      </w:r>
      <w:r>
        <w:rPr>
          <w:rFonts w:ascii="宋体" w:hAnsi="宋体" w:cs="宋体" w:eastAsia="宋体" w:hint="default"/>
        </w:rPr>
        <w:t>5</w:t>
      </w:r>
      <w:r>
        <w:rPr/>
        <w:t>）按欠款方归集的期末余额前五名的其他应收款情况</w:t>
      </w:r>
      <w:r>
        <w:rPr>
          <w:b w:val="0"/>
          <w:bCs w:val="0"/>
        </w:rPr>
      </w:r>
    </w:p>
    <w:p>
      <w:pPr>
        <w:spacing w:line="240" w:lineRule="auto" w:before="9"/>
        <w:rPr>
          <w:rFonts w:ascii="宋体" w:hAnsi="宋体" w:cs="宋体" w:eastAsia="宋体" w:hint="default"/>
          <w:b/>
          <w:bCs/>
          <w:sz w:val="12"/>
          <w:szCs w:val="12"/>
        </w:rPr>
      </w:pPr>
    </w:p>
    <w:p>
      <w:pPr>
        <w:spacing w:before="35"/>
        <w:ind w:left="0" w:right="1129" w:firstLine="0"/>
        <w:jc w:val="right"/>
        <w:rPr>
          <w:rFonts w:ascii="宋体" w:hAnsi="宋体" w:cs="宋体" w:eastAsia="宋体" w:hint="default"/>
          <w:sz w:val="21"/>
          <w:szCs w:val="21"/>
        </w:rPr>
      </w:pPr>
      <w:r>
        <w:rPr>
          <w:rFonts w:ascii="宋体" w:hAnsi="宋体" w:cs="宋体" w:eastAsia="宋体" w:hint="default"/>
          <w:sz w:val="21"/>
          <w:szCs w:val="21"/>
        </w:rPr>
        <w:t>单位： 元</w:t>
      </w:r>
    </w:p>
    <w:p>
      <w:pPr>
        <w:spacing w:line="240" w:lineRule="auto" w:before="12"/>
        <w:rPr>
          <w:rFonts w:ascii="宋体" w:hAnsi="宋体" w:cs="宋体" w:eastAsia="宋体" w:hint="default"/>
          <w:sz w:val="6"/>
          <w:szCs w:val="6"/>
        </w:rPr>
      </w:pPr>
    </w:p>
    <w:tbl>
      <w:tblPr>
        <w:tblW w:w="0" w:type="auto"/>
        <w:jc w:val="left"/>
        <w:tblInd w:w="106" w:type="dxa"/>
        <w:tblLayout w:type="fixed"/>
        <w:tblCellMar>
          <w:top w:w="0" w:type="dxa"/>
          <w:left w:w="0" w:type="dxa"/>
          <w:bottom w:w="0" w:type="dxa"/>
          <w:right w:w="0" w:type="dxa"/>
        </w:tblCellMar>
        <w:tblLook w:val="01E0"/>
      </w:tblPr>
      <w:tblGrid>
        <w:gridCol w:w="3404"/>
        <w:gridCol w:w="1275"/>
        <w:gridCol w:w="1418"/>
        <w:gridCol w:w="989"/>
        <w:gridCol w:w="1421"/>
        <w:gridCol w:w="1417"/>
      </w:tblGrid>
      <w:tr>
        <w:trPr>
          <w:trHeight w:val="1026" w:hRule="exact"/>
        </w:trPr>
        <w:tc>
          <w:tcPr>
            <w:tcW w:w="34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1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left="106" w:right="0"/>
              <w:jc w:val="left"/>
              <w:rPr>
                <w:rFonts w:ascii="宋体" w:hAnsi="宋体" w:cs="宋体" w:eastAsia="宋体" w:hint="default"/>
                <w:sz w:val="21"/>
                <w:szCs w:val="21"/>
              </w:rPr>
            </w:pPr>
            <w:r>
              <w:rPr>
                <w:rFonts w:ascii="宋体" w:hAnsi="宋体" w:cs="宋体" w:eastAsia="宋体" w:hint="default"/>
                <w:sz w:val="21"/>
                <w:szCs w:val="21"/>
              </w:rPr>
              <w:t>款项的性质</w:t>
            </w:r>
          </w:p>
        </w:tc>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left="278" w:right="0"/>
              <w:jc w:val="left"/>
              <w:rPr>
                <w:rFonts w:ascii="宋体" w:hAnsi="宋体" w:cs="宋体" w:eastAsia="宋体" w:hint="default"/>
                <w:sz w:val="21"/>
                <w:szCs w:val="21"/>
              </w:rPr>
            </w:pPr>
            <w:r>
              <w:rPr>
                <w:rFonts w:ascii="宋体" w:hAnsi="宋体" w:cs="宋体" w:eastAsia="宋体" w:hint="default"/>
                <w:sz w:val="21"/>
                <w:szCs w:val="21"/>
              </w:rPr>
              <w:t>账龄</w:t>
            </w:r>
          </w:p>
        </w:tc>
        <w:tc>
          <w:tcPr>
            <w:tcW w:w="14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75" w:right="73"/>
              <w:jc w:val="center"/>
              <w:rPr>
                <w:rFonts w:ascii="宋体" w:hAnsi="宋体" w:cs="宋体" w:eastAsia="宋体" w:hint="default"/>
                <w:sz w:val="21"/>
                <w:szCs w:val="21"/>
              </w:rPr>
            </w:pPr>
            <w:r>
              <w:rPr>
                <w:rFonts w:ascii="宋体" w:hAnsi="宋体" w:cs="宋体" w:eastAsia="宋体" w:hint="default"/>
                <w:sz w:val="21"/>
                <w:szCs w:val="21"/>
              </w:rPr>
              <w:t>占其他应收款 期末余额合计 数的比例</w:t>
            </w:r>
          </w:p>
        </w:tc>
        <w:tc>
          <w:tcPr>
            <w:tcW w:w="1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73" w:lineRule="auto"/>
              <w:ind w:left="493" w:right="72" w:hanging="420"/>
              <w:jc w:val="left"/>
              <w:rPr>
                <w:rFonts w:ascii="宋体" w:hAnsi="宋体" w:cs="宋体" w:eastAsia="宋体" w:hint="default"/>
                <w:sz w:val="21"/>
                <w:szCs w:val="21"/>
              </w:rPr>
            </w:pPr>
            <w:r>
              <w:rPr>
                <w:rFonts w:ascii="宋体" w:hAnsi="宋体" w:cs="宋体" w:eastAsia="宋体" w:hint="default"/>
                <w:sz w:val="21"/>
                <w:szCs w:val="21"/>
              </w:rPr>
              <w:t>坏账准备期末 余额</w:t>
            </w:r>
          </w:p>
        </w:tc>
      </w:tr>
      <w:tr>
        <w:trPr>
          <w:trHeight w:val="402"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上海申通德高地铁广告有限公司</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保证金</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03" w:right="0"/>
              <w:jc w:val="center"/>
              <w:rPr>
                <w:rFonts w:ascii="宋体" w:hAnsi="宋体" w:cs="宋体" w:eastAsia="宋体" w:hint="default"/>
                <w:sz w:val="21"/>
                <w:szCs w:val="21"/>
              </w:rPr>
            </w:pPr>
            <w:r>
              <w:rPr>
                <w:rFonts w:ascii="宋体"/>
                <w:sz w:val="21"/>
              </w:rPr>
              <w:t>3,000,000.00</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12.01%</w:t>
            </w:r>
          </w:p>
        </w:tc>
        <w:tc>
          <w:tcPr>
            <w:tcW w:w="141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上海飞宇网络技术有限公司</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技术服务费</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03" w:right="0"/>
              <w:jc w:val="center"/>
              <w:rPr>
                <w:rFonts w:ascii="宋体" w:hAnsi="宋体" w:cs="宋体" w:eastAsia="宋体" w:hint="default"/>
                <w:sz w:val="21"/>
                <w:szCs w:val="21"/>
              </w:rPr>
            </w:pPr>
            <w:r>
              <w:rPr>
                <w:rFonts w:ascii="宋体"/>
                <w:sz w:val="21"/>
              </w:rPr>
              <w:t>2,500,000.00</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10.01%</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333" w:right="0"/>
              <w:jc w:val="left"/>
              <w:rPr>
                <w:rFonts w:ascii="宋体" w:hAnsi="宋体" w:cs="宋体" w:eastAsia="宋体" w:hint="default"/>
                <w:sz w:val="21"/>
                <w:szCs w:val="21"/>
              </w:rPr>
            </w:pPr>
            <w:r>
              <w:rPr>
                <w:rFonts w:ascii="宋体"/>
                <w:sz w:val="21"/>
              </w:rPr>
              <w:t>125,000.00</w:t>
            </w:r>
          </w:p>
        </w:tc>
      </w:tr>
    </w:tbl>
    <w:p>
      <w:pPr>
        <w:spacing w:after="0" w:line="240" w:lineRule="auto"/>
        <w:jc w:val="left"/>
        <w:rPr>
          <w:rFonts w:ascii="宋体" w:hAnsi="宋体" w:cs="宋体" w:eastAsia="宋体" w:hint="default"/>
          <w:sz w:val="21"/>
          <w:szCs w:val="21"/>
        </w:rPr>
        <w:sectPr>
          <w:pgSz w:w="11910" w:h="16840"/>
          <w:pgMar w:header="747" w:footer="979" w:top="1060" w:bottom="1160" w:left="880" w:right="0"/>
        </w:sectPr>
      </w:pPr>
    </w:p>
    <w:p>
      <w:pPr>
        <w:spacing w:line="240" w:lineRule="auto" w:before="6"/>
        <w:rPr>
          <w:rFonts w:ascii="宋体" w:hAnsi="宋体" w:cs="宋体" w:eastAsia="宋体" w:hint="default"/>
          <w:sz w:val="28"/>
          <w:szCs w:val="28"/>
        </w:rPr>
      </w:pPr>
    </w:p>
    <w:tbl>
      <w:tblPr>
        <w:tblW w:w="0" w:type="auto"/>
        <w:jc w:val="left"/>
        <w:tblInd w:w="106" w:type="dxa"/>
        <w:tblLayout w:type="fixed"/>
        <w:tblCellMar>
          <w:top w:w="0" w:type="dxa"/>
          <w:left w:w="0" w:type="dxa"/>
          <w:bottom w:w="0" w:type="dxa"/>
          <w:right w:w="0" w:type="dxa"/>
        </w:tblCellMar>
        <w:tblLook w:val="01E0"/>
      </w:tblPr>
      <w:tblGrid>
        <w:gridCol w:w="3404"/>
        <w:gridCol w:w="1275"/>
        <w:gridCol w:w="1418"/>
        <w:gridCol w:w="989"/>
        <w:gridCol w:w="1421"/>
        <w:gridCol w:w="1417"/>
      </w:tblGrid>
      <w:tr>
        <w:trPr>
          <w:trHeight w:val="714"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2" w:right="219"/>
              <w:jc w:val="left"/>
              <w:rPr>
                <w:rFonts w:ascii="宋体" w:hAnsi="宋体" w:cs="宋体" w:eastAsia="宋体" w:hint="default"/>
                <w:sz w:val="21"/>
                <w:szCs w:val="21"/>
              </w:rPr>
            </w:pPr>
            <w:r>
              <w:rPr>
                <w:rFonts w:ascii="宋体" w:hAnsi="宋体" w:cs="宋体" w:eastAsia="宋体" w:hint="default"/>
                <w:sz w:val="21"/>
                <w:szCs w:val="21"/>
              </w:rPr>
              <w:t>上海申通地铁资产经营管理有限公 司</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保证金</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0"/>
              <w:jc w:val="right"/>
              <w:rPr>
                <w:rFonts w:ascii="宋体" w:hAnsi="宋体" w:cs="宋体" w:eastAsia="宋体" w:hint="default"/>
                <w:sz w:val="21"/>
                <w:szCs w:val="21"/>
              </w:rPr>
            </w:pPr>
            <w:r>
              <w:rPr>
                <w:rFonts w:ascii="宋体"/>
                <w:sz w:val="21"/>
              </w:rPr>
              <w:t>2,100,000.00</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0"/>
              <w:jc w:val="right"/>
              <w:rPr>
                <w:rFonts w:ascii="宋体" w:hAnsi="宋体" w:cs="宋体" w:eastAsia="宋体" w:hint="default"/>
                <w:sz w:val="21"/>
                <w:szCs w:val="21"/>
              </w:rPr>
            </w:pPr>
            <w:r>
              <w:rPr>
                <w:rFonts w:ascii="宋体"/>
                <w:sz w:val="21"/>
              </w:rPr>
              <w:t>8.41%</w:t>
            </w:r>
          </w:p>
        </w:tc>
        <w:tc>
          <w:tcPr>
            <w:tcW w:w="141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土地保证金</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保证金</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3"/>
              <w:jc w:val="right"/>
              <w:rPr>
                <w:rFonts w:ascii="宋体" w:hAnsi="宋体" w:cs="宋体" w:eastAsia="宋体" w:hint="default"/>
                <w:sz w:val="21"/>
                <w:szCs w:val="21"/>
              </w:rPr>
            </w:pPr>
            <w:r>
              <w:rPr>
                <w:rFonts w:ascii="宋体"/>
                <w:sz w:val="21"/>
              </w:rPr>
              <w:t>840,000.00</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3.36%</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84,000.00</w:t>
            </w:r>
          </w:p>
        </w:tc>
      </w:tr>
      <w:tr>
        <w:trPr>
          <w:trHeight w:val="402"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中铁建电气化局集团科技有限公司</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保证金</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3"/>
              <w:jc w:val="right"/>
              <w:rPr>
                <w:rFonts w:ascii="宋体" w:hAnsi="宋体" w:cs="宋体" w:eastAsia="宋体" w:hint="default"/>
                <w:sz w:val="21"/>
                <w:szCs w:val="21"/>
              </w:rPr>
            </w:pPr>
            <w:r>
              <w:rPr>
                <w:rFonts w:ascii="宋体"/>
                <w:sz w:val="21"/>
              </w:rPr>
              <w:t>815,000.00</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3.26%</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40,750.00</w:t>
            </w:r>
          </w:p>
        </w:tc>
      </w:tr>
      <w:tr>
        <w:trPr>
          <w:trHeight w:val="402" w:hRule="exact"/>
        </w:trPr>
        <w:tc>
          <w:tcPr>
            <w:tcW w:w="34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sz w:val="21"/>
              </w:rPr>
              <w:t>--</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9,255,000.00</w:t>
            </w:r>
          </w:p>
        </w:tc>
        <w:tc>
          <w:tcPr>
            <w:tcW w:w="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sz w:val="21"/>
              </w:rPr>
              <w:t>--</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37.05%</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3"/>
              <w:jc w:val="right"/>
              <w:rPr>
                <w:rFonts w:ascii="宋体" w:hAnsi="宋体" w:cs="宋体" w:eastAsia="宋体" w:hint="default"/>
                <w:sz w:val="21"/>
                <w:szCs w:val="21"/>
              </w:rPr>
            </w:pPr>
            <w:r>
              <w:rPr>
                <w:rFonts w:ascii="宋体"/>
                <w:sz w:val="21"/>
              </w:rPr>
              <w:t>249,750.00</w:t>
            </w:r>
          </w:p>
        </w:tc>
      </w:tr>
    </w:tbl>
    <w:p>
      <w:pPr>
        <w:spacing w:line="240" w:lineRule="auto" w:before="10"/>
        <w:rPr>
          <w:rFonts w:ascii="宋体" w:hAnsi="宋体" w:cs="宋体" w:eastAsia="宋体" w:hint="default"/>
          <w:sz w:val="4"/>
          <w:szCs w:val="4"/>
        </w:rPr>
      </w:pPr>
    </w:p>
    <w:p>
      <w:pPr>
        <w:pStyle w:val="Heading2"/>
        <w:spacing w:line="240" w:lineRule="auto"/>
        <w:ind w:left="736" w:right="997"/>
        <w:jc w:val="left"/>
        <w:rPr>
          <w:b w:val="0"/>
          <w:bCs w:val="0"/>
        </w:rPr>
      </w:pPr>
      <w:bookmarkStart w:name="（6）涉及政府补助的应收款项" w:id="274"/>
      <w:bookmarkEnd w:id="274"/>
      <w:r>
        <w:rPr>
          <w:b w:val="0"/>
          <w:bCs w:val="0"/>
        </w:rPr>
      </w:r>
      <w:r>
        <w:rPr/>
        <w:t>（</w:t>
      </w:r>
      <w:r>
        <w:rPr>
          <w:rFonts w:ascii="宋体" w:hAnsi="宋体" w:cs="宋体" w:eastAsia="宋体" w:hint="default"/>
        </w:rPr>
        <w:t>6</w:t>
      </w:r>
      <w:r>
        <w:rPr/>
        <w:t>）涉及政府补助的应收款项</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0"/>
        <w:ind w:left="733" w:right="997"/>
        <w:jc w:val="left"/>
      </w:pPr>
      <w:r>
        <w:rPr/>
        <w:t>无</w:t>
      </w:r>
    </w:p>
    <w:p>
      <w:pPr>
        <w:pStyle w:val="Heading2"/>
        <w:spacing w:line="240" w:lineRule="auto" w:before="145"/>
        <w:ind w:left="736" w:right="997"/>
        <w:jc w:val="left"/>
        <w:rPr>
          <w:b w:val="0"/>
          <w:bCs w:val="0"/>
        </w:rPr>
      </w:pPr>
      <w:bookmarkStart w:name="（7）因金融资产转移而终止确认的其他应收款" w:id="275"/>
      <w:bookmarkEnd w:id="275"/>
      <w:r>
        <w:rPr>
          <w:b w:val="0"/>
          <w:bCs w:val="0"/>
        </w:rPr>
      </w:r>
      <w:r>
        <w:rPr/>
        <w:t>（</w:t>
      </w:r>
      <w:r>
        <w:rPr>
          <w:rFonts w:ascii="宋体" w:hAnsi="宋体" w:cs="宋体" w:eastAsia="宋体" w:hint="default"/>
        </w:rPr>
        <w:t>7</w:t>
      </w:r>
      <w:r>
        <w:rPr/>
        <w:t>）因金融资产转移而终止确认的其他应收款</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0"/>
        <w:ind w:left="733" w:right="997"/>
        <w:jc w:val="left"/>
      </w:pPr>
      <w:r>
        <w:rPr/>
        <w:t>无</w:t>
      </w:r>
    </w:p>
    <w:p>
      <w:pPr>
        <w:pStyle w:val="Heading2"/>
        <w:spacing w:line="240" w:lineRule="auto" w:before="146"/>
        <w:ind w:left="736" w:right="997"/>
        <w:jc w:val="left"/>
        <w:rPr>
          <w:b w:val="0"/>
          <w:bCs w:val="0"/>
        </w:rPr>
      </w:pPr>
      <w:bookmarkStart w:name="（8）转移其他应收款且继续涉入形成的资产、负债金额" w:id="276"/>
      <w:bookmarkEnd w:id="276"/>
      <w:r>
        <w:rPr>
          <w:b w:val="0"/>
          <w:bCs w:val="0"/>
        </w:rPr>
      </w:r>
      <w:r>
        <w:rPr/>
        <w:t>（</w:t>
      </w:r>
      <w:r>
        <w:rPr>
          <w:rFonts w:ascii="宋体" w:hAnsi="宋体" w:cs="宋体" w:eastAsia="宋体" w:hint="default"/>
        </w:rPr>
        <w:t>8</w:t>
      </w:r>
      <w:r>
        <w:rPr/>
        <w:t>）转移其他应收款且继续涉入形成的资产、负债金额</w:t>
      </w:r>
      <w:r>
        <w:rPr>
          <w:b w:val="0"/>
          <w:bCs w:val="0"/>
        </w:rPr>
      </w:r>
    </w:p>
    <w:p>
      <w:pPr>
        <w:spacing w:line="240" w:lineRule="auto" w:before="1"/>
        <w:rPr>
          <w:rFonts w:ascii="宋体" w:hAnsi="宋体" w:cs="宋体" w:eastAsia="宋体" w:hint="default"/>
          <w:b/>
          <w:bCs/>
          <w:sz w:val="23"/>
          <w:szCs w:val="23"/>
        </w:rPr>
      </w:pPr>
    </w:p>
    <w:p>
      <w:pPr>
        <w:pStyle w:val="BodyText"/>
        <w:spacing w:line="350" w:lineRule="auto" w:before="0"/>
        <w:ind w:left="733" w:right="9073"/>
        <w:jc w:val="left"/>
      </w:pPr>
      <w:r>
        <w:rPr/>
        <w:t>无 其他说明：</w:t>
      </w:r>
    </w:p>
    <w:p>
      <w:pPr>
        <w:pStyle w:val="BodyText"/>
        <w:spacing w:line="350" w:lineRule="auto"/>
        <w:ind w:left="254" w:right="1152" w:firstLine="480"/>
        <w:jc w:val="left"/>
      </w:pPr>
      <w:r>
        <w:rPr/>
        <w:t>期末其他应收款中无持本公司</w:t>
      </w:r>
      <w:r>
        <w:rPr>
          <w:rFonts w:ascii="宋体" w:hAnsi="宋体" w:cs="宋体" w:eastAsia="宋体" w:hint="default"/>
        </w:rPr>
        <w:t>5%</w:t>
      </w:r>
      <w:r>
        <w:rPr/>
        <w:t>以上（含</w:t>
      </w:r>
      <w:r>
        <w:rPr>
          <w:rFonts w:ascii="宋体" w:hAnsi="宋体" w:cs="宋体" w:eastAsia="宋体" w:hint="default"/>
        </w:rPr>
        <w:t>5%</w:t>
      </w:r>
      <w:r>
        <w:rPr/>
        <w:t>）表决权股份的股东单位欠款，无其他应收 关联方账款情况。</w:t>
      </w:r>
    </w:p>
    <w:p>
      <w:pPr>
        <w:pStyle w:val="Heading2"/>
        <w:spacing w:line="240" w:lineRule="auto" w:before="35"/>
        <w:ind w:left="736" w:right="997"/>
        <w:jc w:val="left"/>
        <w:rPr>
          <w:b w:val="0"/>
          <w:bCs w:val="0"/>
        </w:rPr>
      </w:pPr>
      <w:bookmarkStart w:name="10、存货" w:id="277"/>
      <w:bookmarkEnd w:id="277"/>
      <w:r>
        <w:rPr>
          <w:b w:val="0"/>
          <w:bCs w:val="0"/>
        </w:rPr>
      </w:r>
      <w:r>
        <w:rPr>
          <w:rFonts w:ascii="宋体" w:hAnsi="宋体" w:cs="宋体" w:eastAsia="宋体" w:hint="default"/>
        </w:rPr>
        <w:t>10</w:t>
      </w:r>
      <w:r>
        <w:rPr/>
        <w:t>、存货</w:t>
      </w:r>
      <w:r>
        <w:rPr>
          <w:b w:val="0"/>
          <w:bCs w:val="0"/>
        </w:rPr>
      </w:r>
    </w:p>
    <w:p>
      <w:pPr>
        <w:spacing w:line="240" w:lineRule="auto" w:before="2"/>
        <w:rPr>
          <w:rFonts w:ascii="宋体" w:hAnsi="宋体" w:cs="宋体" w:eastAsia="宋体" w:hint="default"/>
          <w:b/>
          <w:bCs/>
          <w:sz w:val="23"/>
          <w:szCs w:val="23"/>
        </w:rPr>
      </w:pPr>
    </w:p>
    <w:p>
      <w:pPr>
        <w:pStyle w:val="BodyText"/>
        <w:spacing w:line="350" w:lineRule="auto" w:before="0"/>
        <w:ind w:left="734" w:right="5952"/>
        <w:jc w:val="left"/>
      </w:pPr>
      <w:r>
        <w:rPr/>
        <w:t>公司是否需要遵守房地产行业的披露要求 否</w:t>
      </w:r>
    </w:p>
    <w:p>
      <w:pPr>
        <w:pStyle w:val="Heading2"/>
        <w:spacing w:line="240" w:lineRule="auto" w:before="35"/>
        <w:ind w:left="736" w:right="997"/>
        <w:jc w:val="left"/>
        <w:rPr>
          <w:b w:val="0"/>
          <w:bCs w:val="0"/>
        </w:rPr>
      </w:pPr>
      <w:bookmarkStart w:name="（1）存货分类" w:id="278"/>
      <w:bookmarkEnd w:id="278"/>
      <w:r>
        <w:rPr>
          <w:b w:val="0"/>
          <w:bCs w:val="0"/>
        </w:rPr>
      </w:r>
      <w:r>
        <w:rPr/>
        <w:t>（</w:t>
      </w:r>
      <w:r>
        <w:rPr>
          <w:rFonts w:ascii="宋体" w:hAnsi="宋体" w:cs="宋体" w:eastAsia="宋体" w:hint="default"/>
        </w:rPr>
        <w:t>1</w:t>
      </w:r>
      <w:r>
        <w:rPr/>
        <w:t>）存货分类</w:t>
      </w:r>
      <w:r>
        <w:rPr>
          <w:b w:val="0"/>
          <w:bCs w:val="0"/>
        </w:rPr>
      </w:r>
    </w:p>
    <w:p>
      <w:pPr>
        <w:spacing w:line="240" w:lineRule="auto" w:before="4"/>
        <w:rPr>
          <w:rFonts w:ascii="宋体" w:hAnsi="宋体" w:cs="宋体" w:eastAsia="宋体" w:hint="default"/>
          <w:b/>
          <w:bCs/>
          <w:sz w:val="17"/>
          <w:szCs w:val="17"/>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260" w:type="dxa"/>
        <w:tblLayout w:type="fixed"/>
        <w:tblCellMar>
          <w:top w:w="0" w:type="dxa"/>
          <w:left w:w="0" w:type="dxa"/>
          <w:bottom w:w="0" w:type="dxa"/>
          <w:right w:w="0" w:type="dxa"/>
        </w:tblCellMar>
        <w:tblLook w:val="01E0"/>
      </w:tblPr>
      <w:tblGrid>
        <w:gridCol w:w="1346"/>
        <w:gridCol w:w="1379"/>
        <w:gridCol w:w="1367"/>
        <w:gridCol w:w="1367"/>
        <w:gridCol w:w="1368"/>
        <w:gridCol w:w="1367"/>
        <w:gridCol w:w="1367"/>
      </w:tblGrid>
      <w:tr>
        <w:trPr>
          <w:trHeight w:val="206" w:hRule="exact"/>
        </w:trPr>
        <w:tc>
          <w:tcPr>
            <w:tcW w:w="1346" w:type="dxa"/>
            <w:tcBorders>
              <w:top w:val="single" w:sz="4" w:space="0" w:color="000000"/>
              <w:left w:val="single" w:sz="4" w:space="0" w:color="000000"/>
              <w:bottom w:val="nil" w:sz="6" w:space="0" w:color="auto"/>
              <w:right w:val="single" w:sz="4" w:space="0" w:color="000000"/>
            </w:tcBorders>
            <w:shd w:val="clear" w:color="auto" w:fill="D2D2D2"/>
          </w:tcPr>
          <w:p>
            <w:pPr/>
          </w:p>
        </w:tc>
        <w:tc>
          <w:tcPr>
            <w:tcW w:w="411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6"/>
              <w:ind w:left="11"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191" w:hRule="exact"/>
        </w:trPr>
        <w:tc>
          <w:tcPr>
            <w:tcW w:w="134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4113" w:type="dxa"/>
            <w:gridSpan w:val="3"/>
            <w:vMerge/>
            <w:tcBorders>
              <w:left w:val="single" w:sz="4" w:space="0" w:color="000000"/>
              <w:bottom w:val="single" w:sz="4" w:space="0" w:color="000000"/>
              <w:right w:val="single" w:sz="4" w:space="0" w:color="000000"/>
            </w:tcBorders>
            <w:shd w:val="clear" w:color="auto" w:fill="D2D2D2"/>
          </w:tcPr>
          <w:p>
            <w:pPr/>
          </w:p>
        </w:tc>
        <w:tc>
          <w:tcPr>
            <w:tcW w:w="4102" w:type="dxa"/>
            <w:gridSpan w:val="3"/>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346" w:type="dxa"/>
            <w:vMerge/>
            <w:tcBorders>
              <w:left w:val="single" w:sz="4" w:space="0" w:color="000000"/>
              <w:bottom w:val="nil" w:sz="6" w:space="0" w:color="auto"/>
              <w:right w:val="single" w:sz="4" w:space="0" w:color="000000"/>
            </w:tcBorders>
            <w:shd w:val="clear" w:color="auto" w:fill="D2D2D2"/>
          </w:tcPr>
          <w:p>
            <w:pPr/>
          </w:p>
        </w:tc>
        <w:tc>
          <w:tcPr>
            <w:tcW w:w="137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0"/>
              <w:ind w:left="269"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0"/>
              <w:ind w:left="258" w:right="0"/>
              <w:jc w:val="left"/>
              <w:rPr>
                <w:rFonts w:ascii="宋体" w:hAnsi="宋体" w:cs="宋体" w:eastAsia="宋体" w:hint="default"/>
                <w:sz w:val="21"/>
                <w:szCs w:val="21"/>
              </w:rPr>
            </w:pPr>
            <w:r>
              <w:rPr>
                <w:rFonts w:ascii="宋体" w:hAnsi="宋体" w:cs="宋体" w:eastAsia="宋体" w:hint="default"/>
                <w:sz w:val="21"/>
                <w:szCs w:val="21"/>
              </w:rPr>
              <w:t>跌价准备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0"/>
              <w:ind w:left="257"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0"/>
              <w:ind w:left="259"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0"/>
              <w:ind w:left="258" w:right="0"/>
              <w:jc w:val="left"/>
              <w:rPr>
                <w:rFonts w:ascii="宋体" w:hAnsi="宋体" w:cs="宋体" w:eastAsia="宋体" w:hint="default"/>
                <w:sz w:val="21"/>
                <w:szCs w:val="21"/>
              </w:rPr>
            </w:pPr>
            <w:r>
              <w:rPr>
                <w:rFonts w:ascii="宋体" w:hAnsi="宋体" w:cs="宋体" w:eastAsia="宋体" w:hint="default"/>
                <w:sz w:val="21"/>
                <w:szCs w:val="21"/>
              </w:rPr>
              <w:t>跌价准备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0"/>
              <w:ind w:left="257" w:right="0"/>
              <w:jc w:val="left"/>
              <w:rPr>
                <w:rFonts w:ascii="宋体" w:hAnsi="宋体" w:cs="宋体" w:eastAsia="宋体" w:hint="default"/>
                <w:sz w:val="21"/>
                <w:szCs w:val="21"/>
              </w:rPr>
            </w:pPr>
            <w:r>
              <w:rPr>
                <w:rFonts w:ascii="宋体" w:hAnsi="宋体" w:cs="宋体" w:eastAsia="宋体" w:hint="default"/>
                <w:sz w:val="21"/>
                <w:szCs w:val="21"/>
              </w:rPr>
              <w:t>账面价值</w:t>
            </w:r>
          </w:p>
        </w:tc>
      </w:tr>
      <w:tr>
        <w:trPr>
          <w:trHeight w:val="206" w:hRule="exact"/>
        </w:trPr>
        <w:tc>
          <w:tcPr>
            <w:tcW w:w="1346" w:type="dxa"/>
            <w:tcBorders>
              <w:top w:val="nil" w:sz="6" w:space="0" w:color="auto"/>
              <w:left w:val="single" w:sz="4" w:space="0" w:color="000000"/>
              <w:bottom w:val="single" w:sz="4" w:space="0" w:color="000000"/>
              <w:right w:val="single" w:sz="4" w:space="0" w:color="000000"/>
            </w:tcBorders>
            <w:shd w:val="clear" w:color="auto" w:fill="D2D2D2"/>
          </w:tcPr>
          <w:p>
            <w:pPr/>
          </w:p>
        </w:tc>
        <w:tc>
          <w:tcPr>
            <w:tcW w:w="1379"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原材料</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41,877,223.62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41,877,223.62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52,697,693.60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41" w:right="0"/>
              <w:jc w:val="center"/>
              <w:rPr>
                <w:rFonts w:ascii="宋体" w:hAnsi="宋体" w:cs="宋体" w:eastAsia="宋体" w:hint="default"/>
                <w:sz w:val="18"/>
                <w:szCs w:val="18"/>
              </w:rPr>
            </w:pPr>
            <w:r>
              <w:rPr>
                <w:rFonts w:ascii="宋体"/>
                <w:sz w:val="18"/>
              </w:rPr>
              <w:t>52,697,693.60</w:t>
            </w: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在产品</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46,893,337.94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46,893,337.94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53,480,458.30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41" w:right="0"/>
              <w:jc w:val="center"/>
              <w:rPr>
                <w:rFonts w:ascii="宋体" w:hAnsi="宋体" w:cs="宋体" w:eastAsia="宋体" w:hint="default"/>
                <w:sz w:val="18"/>
                <w:szCs w:val="18"/>
              </w:rPr>
            </w:pPr>
            <w:r>
              <w:rPr>
                <w:rFonts w:ascii="宋体"/>
                <w:sz w:val="18"/>
              </w:rPr>
              <w:t>53,480,458.30</w:t>
            </w: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库存商品</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100,796,506.87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100,796,506.87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59,884,678.45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41" w:right="0"/>
              <w:jc w:val="center"/>
              <w:rPr>
                <w:rFonts w:ascii="宋体" w:hAnsi="宋体" w:cs="宋体" w:eastAsia="宋体" w:hint="default"/>
                <w:sz w:val="18"/>
                <w:szCs w:val="18"/>
              </w:rPr>
            </w:pPr>
            <w:r>
              <w:rPr>
                <w:rFonts w:ascii="宋体"/>
                <w:sz w:val="18"/>
              </w:rPr>
              <w:t>59,884,678.45</w:t>
            </w: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自制半成品</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1,499,276.99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1,499,276.99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8,713,214.88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1" w:right="0"/>
              <w:jc w:val="center"/>
              <w:rPr>
                <w:rFonts w:ascii="宋体" w:hAnsi="宋体" w:cs="宋体" w:eastAsia="宋体" w:hint="default"/>
                <w:sz w:val="18"/>
                <w:szCs w:val="18"/>
              </w:rPr>
            </w:pPr>
            <w:r>
              <w:rPr>
                <w:rFonts w:ascii="宋体"/>
                <w:sz w:val="18"/>
              </w:rPr>
              <w:t>8,713,214.88</w:t>
            </w: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委托加工物资</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2,752,523.69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2,752,523.69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1,397,271.57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1" w:right="0"/>
              <w:jc w:val="center"/>
              <w:rPr>
                <w:rFonts w:ascii="宋体" w:hAnsi="宋体" w:cs="宋体" w:eastAsia="宋体" w:hint="default"/>
                <w:sz w:val="18"/>
                <w:szCs w:val="18"/>
              </w:rPr>
            </w:pPr>
            <w:r>
              <w:rPr>
                <w:rFonts w:ascii="宋体"/>
                <w:sz w:val="18"/>
              </w:rPr>
              <w:t>1,397,271.57</w:t>
            </w: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193,818,869.11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193,818,869.11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176,173,316.80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1" w:right="0"/>
              <w:jc w:val="center"/>
              <w:rPr>
                <w:rFonts w:ascii="宋体" w:hAnsi="宋体" w:cs="宋体" w:eastAsia="宋体" w:hint="default"/>
                <w:sz w:val="18"/>
                <w:szCs w:val="18"/>
              </w:rPr>
            </w:pPr>
            <w:r>
              <w:rPr>
                <w:rFonts w:ascii="宋体"/>
                <w:sz w:val="18"/>
              </w:rPr>
              <w:t>176,173,316.80</w:t>
            </w:r>
          </w:p>
        </w:tc>
      </w:tr>
    </w:tbl>
    <w:p>
      <w:pPr>
        <w:spacing w:line="240" w:lineRule="auto" w:before="10"/>
        <w:rPr>
          <w:rFonts w:ascii="宋体" w:hAnsi="宋体" w:cs="宋体" w:eastAsia="宋体" w:hint="default"/>
          <w:sz w:val="4"/>
          <w:szCs w:val="4"/>
        </w:rPr>
      </w:pPr>
    </w:p>
    <w:p>
      <w:pPr>
        <w:pStyle w:val="BodyText"/>
        <w:spacing w:line="352" w:lineRule="auto" w:before="26"/>
        <w:ind w:left="253" w:right="997" w:firstLine="480"/>
        <w:jc w:val="left"/>
      </w:pPr>
      <w:r>
        <w:rPr>
          <w:spacing w:val="-3"/>
        </w:rPr>
        <w:t>公司是否需遵守《深圳证券交易所行业信息披露指引第</w:t>
      </w:r>
      <w:r>
        <w:rPr>
          <w:rFonts w:ascii="宋体" w:hAnsi="宋体" w:cs="宋体" w:eastAsia="宋体" w:hint="default"/>
          <w:spacing w:val="-3"/>
        </w:rPr>
        <w:t>4</w:t>
      </w:r>
      <w:r>
        <w:rPr>
          <w:spacing w:val="-3"/>
        </w:rPr>
        <w:t>号—上市公司从事种业、种植业</w:t>
      </w:r>
      <w:r>
        <w:rPr/>
        <w:t> 务》的披露要求</w:t>
      </w:r>
    </w:p>
    <w:p>
      <w:pPr>
        <w:pStyle w:val="BodyText"/>
        <w:spacing w:line="240" w:lineRule="auto" w:before="32"/>
        <w:ind w:left="733" w:right="997"/>
        <w:jc w:val="left"/>
      </w:pPr>
      <w:r>
        <w:rPr/>
        <w:t>否</w:t>
      </w:r>
    </w:p>
    <w:p>
      <w:pPr>
        <w:spacing w:after="0" w:line="240" w:lineRule="auto"/>
        <w:jc w:val="left"/>
        <w:sectPr>
          <w:pgSz w:w="11910" w:h="16840"/>
          <w:pgMar w:header="747" w:footer="979" w:top="1060" w:bottom="1160" w:left="880" w:right="0"/>
        </w:sectPr>
      </w:pPr>
    </w:p>
    <w:p>
      <w:pPr>
        <w:spacing w:line="240" w:lineRule="auto" w:before="0"/>
        <w:rPr>
          <w:rFonts w:ascii="宋体" w:hAnsi="宋体" w:cs="宋体" w:eastAsia="宋体" w:hint="default"/>
          <w:sz w:val="20"/>
          <w:szCs w:val="20"/>
        </w:rPr>
      </w:pPr>
    </w:p>
    <w:p>
      <w:pPr>
        <w:pStyle w:val="Heading2"/>
        <w:spacing w:line="240" w:lineRule="auto" w:before="199"/>
        <w:ind w:right="996"/>
        <w:jc w:val="left"/>
        <w:rPr>
          <w:b w:val="0"/>
          <w:bCs w:val="0"/>
        </w:rPr>
      </w:pPr>
      <w:bookmarkStart w:name="（2）存货跌价准备" w:id="279"/>
      <w:bookmarkEnd w:id="279"/>
      <w:r>
        <w:rPr>
          <w:b w:val="0"/>
          <w:bCs w:val="0"/>
        </w:rPr>
      </w:r>
      <w:r>
        <w:rPr/>
        <w:t>（</w:t>
      </w:r>
      <w:r>
        <w:rPr>
          <w:rFonts w:ascii="宋体" w:hAnsi="宋体" w:cs="宋体" w:eastAsia="宋体" w:hint="default"/>
        </w:rPr>
        <w:t>2</w:t>
      </w:r>
      <w:r>
        <w:rPr/>
        <w:t>）存货跌价准备</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0"/>
        <w:ind w:left="633" w:right="996"/>
        <w:jc w:val="left"/>
      </w:pPr>
      <w:r>
        <w:rPr/>
        <w:t>期末存货可收回净值高于账面价值，无需计提跌价准备。</w:t>
      </w:r>
    </w:p>
    <w:p>
      <w:pPr>
        <w:pStyle w:val="Heading2"/>
        <w:spacing w:line="240" w:lineRule="auto" w:before="147"/>
        <w:ind w:right="996"/>
        <w:jc w:val="left"/>
        <w:rPr>
          <w:b w:val="0"/>
          <w:bCs w:val="0"/>
        </w:rPr>
      </w:pPr>
      <w:bookmarkStart w:name="（3）存货期末余额含有借款费用资本化金额的说明" w:id="280"/>
      <w:bookmarkEnd w:id="280"/>
      <w:r>
        <w:rPr>
          <w:b w:val="0"/>
          <w:bCs w:val="0"/>
        </w:rPr>
      </w:r>
      <w:r>
        <w:rPr/>
        <w:t>（</w:t>
      </w:r>
      <w:r>
        <w:rPr>
          <w:rFonts w:ascii="宋体" w:hAnsi="宋体" w:cs="宋体" w:eastAsia="宋体" w:hint="default"/>
        </w:rPr>
        <w:t>3</w:t>
      </w:r>
      <w:r>
        <w:rPr/>
        <w:t>）存货期末余额含有借款费用资本化金额的说明</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0"/>
        <w:ind w:left="633" w:right="996"/>
        <w:jc w:val="left"/>
      </w:pPr>
      <w:r>
        <w:rPr/>
        <w:t>存货期末余额中无借款费用资本化金额。</w:t>
      </w:r>
    </w:p>
    <w:p>
      <w:pPr>
        <w:pStyle w:val="Heading2"/>
        <w:spacing w:line="240" w:lineRule="auto" w:before="145"/>
        <w:ind w:right="996"/>
        <w:jc w:val="left"/>
        <w:rPr>
          <w:b w:val="0"/>
          <w:bCs w:val="0"/>
        </w:rPr>
      </w:pPr>
      <w:bookmarkStart w:name="（4）期末建造合同形成的已完工未结算资产情况" w:id="281"/>
      <w:bookmarkEnd w:id="281"/>
      <w:r>
        <w:rPr>
          <w:b w:val="0"/>
          <w:bCs w:val="0"/>
        </w:rPr>
      </w:r>
      <w:r>
        <w:rPr/>
        <w:t>（</w:t>
      </w:r>
      <w:r>
        <w:rPr>
          <w:rFonts w:ascii="宋体" w:hAnsi="宋体" w:cs="宋体" w:eastAsia="宋体" w:hint="default"/>
        </w:rPr>
        <w:t>4</w:t>
      </w:r>
      <w:r>
        <w:rPr/>
        <w:t>）期末建造合同形成的已完工未结算资产情况</w:t>
      </w:r>
      <w:r>
        <w:rPr>
          <w:b w:val="0"/>
          <w:bCs w:val="0"/>
        </w:rPr>
      </w:r>
    </w:p>
    <w:p>
      <w:pPr>
        <w:spacing w:line="240" w:lineRule="auto" w:before="2"/>
        <w:rPr>
          <w:rFonts w:ascii="宋体" w:hAnsi="宋体" w:cs="宋体" w:eastAsia="宋体" w:hint="default"/>
          <w:b/>
          <w:bCs/>
          <w:sz w:val="23"/>
          <w:szCs w:val="23"/>
        </w:rPr>
      </w:pPr>
    </w:p>
    <w:p>
      <w:pPr>
        <w:pStyle w:val="Heading2"/>
        <w:spacing w:line="350" w:lineRule="auto" w:before="0"/>
        <w:ind w:left="633" w:right="8104"/>
        <w:jc w:val="left"/>
        <w:rPr>
          <w:b w:val="0"/>
          <w:bCs w:val="0"/>
        </w:rPr>
      </w:pPr>
      <w:r>
        <w:rPr>
          <w:rFonts w:ascii="宋体" w:hAnsi="宋体" w:cs="宋体" w:eastAsia="宋体" w:hint="default"/>
          <w:b w:val="0"/>
          <w:bCs w:val="0"/>
        </w:rPr>
        <w:t>无 </w:t>
      </w:r>
      <w:bookmarkStart w:name="11、持有待售的资产" w:id="282"/>
      <w:bookmarkEnd w:id="282"/>
      <w:r>
        <w:rPr>
          <w:rFonts w:ascii="宋体" w:hAnsi="宋体" w:cs="宋体" w:eastAsia="宋体" w:hint="default"/>
          <w:b w:val="0"/>
          <w:bCs w:val="0"/>
        </w:rPr>
      </w:r>
      <w:r>
        <w:rPr>
          <w:rFonts w:ascii="宋体" w:hAnsi="宋体" w:cs="宋体" w:eastAsia="宋体" w:hint="default"/>
        </w:rPr>
        <w:t>11</w:t>
      </w:r>
      <w:r>
        <w:rPr/>
        <w:t>、持有待售的资产</w:t>
      </w:r>
      <w:r>
        <w:rPr>
          <w:b w:val="0"/>
          <w:bCs w:val="0"/>
        </w:rPr>
      </w:r>
    </w:p>
    <w:p>
      <w:pPr>
        <w:pStyle w:val="Heading2"/>
        <w:spacing w:line="352" w:lineRule="auto" w:before="191"/>
        <w:ind w:left="633" w:right="7140"/>
        <w:jc w:val="left"/>
        <w:rPr>
          <w:b w:val="0"/>
          <w:bCs w:val="0"/>
        </w:rPr>
      </w:pPr>
      <w:r>
        <w:rPr>
          <w:rFonts w:ascii="宋体" w:hAnsi="宋体" w:cs="宋体" w:eastAsia="宋体" w:hint="default"/>
          <w:b w:val="0"/>
          <w:bCs w:val="0"/>
        </w:rPr>
        <w:t>无 </w:t>
      </w:r>
      <w:bookmarkStart w:name="12、一年内到期的非流动资产" w:id="283"/>
      <w:bookmarkEnd w:id="283"/>
      <w:r>
        <w:rPr>
          <w:rFonts w:ascii="宋体" w:hAnsi="宋体" w:cs="宋体" w:eastAsia="宋体" w:hint="default"/>
          <w:b w:val="0"/>
          <w:bCs w:val="0"/>
        </w:rPr>
      </w:r>
      <w:r>
        <w:rPr>
          <w:rFonts w:ascii="宋体" w:hAnsi="宋体" w:cs="宋体" w:eastAsia="宋体" w:hint="default"/>
        </w:rPr>
        <w:t>12</w:t>
      </w:r>
      <w:r>
        <w:rPr/>
        <w:t>、一年内到期的非流动资产</w:t>
      </w:r>
      <w:r>
        <w:rPr>
          <w:b w:val="0"/>
          <w:bCs w:val="0"/>
        </w:rPr>
      </w:r>
    </w:p>
    <w:p>
      <w:pPr>
        <w:pStyle w:val="BodyText"/>
        <w:spacing w:line="240" w:lineRule="auto" w:before="188"/>
        <w:ind w:left="633" w:right="996"/>
        <w:jc w:val="left"/>
      </w:pPr>
      <w:r>
        <w:rPr/>
        <w:t>无</w:t>
      </w:r>
    </w:p>
    <w:p>
      <w:pPr>
        <w:spacing w:line="240" w:lineRule="auto" w:before="13"/>
        <w:rPr>
          <w:rFonts w:ascii="宋体" w:hAnsi="宋体" w:cs="宋体" w:eastAsia="宋体" w:hint="default"/>
          <w:sz w:val="34"/>
          <w:szCs w:val="34"/>
        </w:rPr>
      </w:pPr>
    </w:p>
    <w:p>
      <w:pPr>
        <w:pStyle w:val="Heading2"/>
        <w:spacing w:line="240" w:lineRule="auto" w:before="0"/>
        <w:ind w:right="996"/>
        <w:jc w:val="left"/>
        <w:rPr>
          <w:b w:val="0"/>
          <w:bCs w:val="0"/>
        </w:rPr>
      </w:pPr>
      <w:bookmarkStart w:name="13、其他流动资产" w:id="284"/>
      <w:bookmarkEnd w:id="284"/>
      <w:r>
        <w:rPr>
          <w:b w:val="0"/>
          <w:bCs w:val="0"/>
        </w:rPr>
      </w:r>
      <w:r>
        <w:rPr>
          <w:rFonts w:ascii="宋体" w:hAnsi="宋体" w:cs="宋体" w:eastAsia="宋体" w:hint="default"/>
        </w:rPr>
        <w:t>13</w:t>
      </w:r>
      <w:r>
        <w:rPr/>
        <w:t>、其他流动资产</w:t>
      </w:r>
      <w:r>
        <w:rPr>
          <w:b w:val="0"/>
          <w:bCs w:val="0"/>
        </w:rPr>
      </w:r>
    </w:p>
    <w:p>
      <w:pPr>
        <w:spacing w:line="240" w:lineRule="auto" w:before="12"/>
        <w:rPr>
          <w:rFonts w:ascii="宋体" w:hAnsi="宋体" w:cs="宋体" w:eastAsia="宋体" w:hint="default"/>
          <w:b/>
          <w:bCs/>
          <w:sz w:val="13"/>
          <w:szCs w:val="1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待抵扣税金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9"/>
              <w:jc w:val="right"/>
              <w:rPr>
                <w:rFonts w:ascii="宋体" w:hAnsi="宋体" w:cs="宋体" w:eastAsia="宋体" w:hint="default"/>
                <w:sz w:val="21"/>
                <w:szCs w:val="21"/>
              </w:rPr>
            </w:pPr>
            <w:r>
              <w:rPr>
                <w:rFonts w:ascii="宋体"/>
                <w:sz w:val="21"/>
              </w:rPr>
              <w:t>4,354,303.29</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9"/>
              <w:jc w:val="right"/>
              <w:rPr>
                <w:rFonts w:ascii="宋体" w:hAnsi="宋体" w:cs="宋体" w:eastAsia="宋体" w:hint="default"/>
                <w:sz w:val="21"/>
                <w:szCs w:val="21"/>
              </w:rPr>
            </w:pPr>
            <w:r>
              <w:rPr>
                <w:rFonts w:ascii="宋体"/>
                <w:sz w:val="21"/>
              </w:rPr>
              <w:t>3,760,424.05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预缴所得税</w:t>
            </w:r>
          </w:p>
        </w:tc>
        <w:tc>
          <w:tcPr>
            <w:tcW w:w="3191" w:type="dxa"/>
            <w:tcBorders>
              <w:top w:val="single" w:sz="4" w:space="0" w:color="000000"/>
              <w:left w:val="single" w:sz="4" w:space="0" w:color="000000"/>
              <w:bottom w:val="single" w:sz="4" w:space="0" w:color="000000"/>
              <w:right w:val="single" w:sz="4" w:space="0" w:color="000000"/>
            </w:tcBorders>
          </w:tcPr>
          <w:p>
            <w:pP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139,408.48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经营权费</w:t>
            </w:r>
          </w:p>
        </w:tc>
        <w:tc>
          <w:tcPr>
            <w:tcW w:w="3191" w:type="dxa"/>
            <w:tcBorders>
              <w:top w:val="single" w:sz="4" w:space="0" w:color="000000"/>
              <w:left w:val="single" w:sz="4" w:space="0" w:color="000000"/>
              <w:bottom w:val="single" w:sz="4" w:space="0" w:color="000000"/>
              <w:right w:val="single" w:sz="4" w:space="0" w:color="000000"/>
            </w:tcBorders>
          </w:tcPr>
          <w:p>
            <w:pP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9"/>
              <w:jc w:val="right"/>
              <w:rPr>
                <w:rFonts w:ascii="宋体" w:hAnsi="宋体" w:cs="宋体" w:eastAsia="宋体" w:hint="default"/>
                <w:sz w:val="21"/>
                <w:szCs w:val="21"/>
              </w:rPr>
            </w:pPr>
            <w:r>
              <w:rPr>
                <w:rFonts w:ascii="宋体"/>
                <w:sz w:val="21"/>
              </w:rPr>
              <w:t>3,679,245.28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待摊费用</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288,364.73</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9"/>
              <w:jc w:val="right"/>
              <w:rPr>
                <w:rFonts w:ascii="宋体" w:hAnsi="宋体" w:cs="宋体" w:eastAsia="宋体" w:hint="default"/>
                <w:sz w:val="21"/>
                <w:szCs w:val="21"/>
              </w:rPr>
            </w:pPr>
            <w:r>
              <w:rPr>
                <w:rFonts w:ascii="宋体"/>
                <w:sz w:val="21"/>
              </w:rPr>
              <w:t>4,642,668.02</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pacing w:val="-1"/>
                <w:sz w:val="21"/>
              </w:rPr>
              <w:t>7,579,077.81</w:t>
            </w:r>
          </w:p>
        </w:tc>
      </w:tr>
    </w:tbl>
    <w:p>
      <w:pPr>
        <w:spacing w:line="240" w:lineRule="auto" w:before="10"/>
        <w:rPr>
          <w:rFonts w:ascii="宋体" w:hAnsi="宋体" w:cs="宋体" w:eastAsia="宋体" w:hint="default"/>
          <w:sz w:val="4"/>
          <w:szCs w:val="4"/>
        </w:rPr>
      </w:pPr>
    </w:p>
    <w:p>
      <w:pPr>
        <w:pStyle w:val="BodyText"/>
        <w:spacing w:line="352" w:lineRule="auto" w:before="26"/>
        <w:ind w:left="633" w:right="1153"/>
        <w:jc w:val="left"/>
      </w:pPr>
      <w:r>
        <w:rPr/>
        <w:t>其他说明： 本期其他流动资产期末余额较期初余额减少</w:t>
      </w:r>
      <w:r>
        <w:rPr>
          <w:rFonts w:ascii="宋体" w:hAnsi="宋体" w:cs="宋体" w:eastAsia="宋体" w:hint="default"/>
        </w:rPr>
        <w:t>38.74%</w:t>
      </w:r>
      <w:r>
        <w:rPr/>
        <w:t>。主要系本期上海申通地铁</w:t>
      </w:r>
      <w:r>
        <w:rPr>
          <w:rFonts w:ascii="宋体" w:hAnsi="宋体" w:cs="宋体" w:eastAsia="宋体" w:hint="default"/>
        </w:rPr>
        <w:t>16</w:t>
      </w:r>
      <w:r>
        <w:rPr/>
        <w:t>号线进</w:t>
      </w:r>
    </w:p>
    <w:p>
      <w:pPr>
        <w:pStyle w:val="BodyText"/>
        <w:spacing w:line="240" w:lineRule="auto" w:before="32"/>
        <w:ind w:right="996"/>
        <w:jc w:val="left"/>
      </w:pPr>
      <w:r>
        <w:rPr/>
        <w:t>入媒体经营期，且发生相应的广告经营收入，将其经营权费结转至成本所致。</w:t>
      </w:r>
    </w:p>
    <w:p>
      <w:pPr>
        <w:spacing w:line="240" w:lineRule="auto" w:before="13"/>
        <w:rPr>
          <w:rFonts w:ascii="宋体" w:hAnsi="宋体" w:cs="宋体" w:eastAsia="宋体" w:hint="default"/>
          <w:sz w:val="34"/>
          <w:szCs w:val="34"/>
        </w:rPr>
      </w:pPr>
    </w:p>
    <w:p>
      <w:pPr>
        <w:pStyle w:val="Heading2"/>
        <w:spacing w:line="240" w:lineRule="auto" w:before="0"/>
        <w:ind w:right="996"/>
        <w:jc w:val="left"/>
        <w:rPr>
          <w:b w:val="0"/>
          <w:bCs w:val="0"/>
        </w:rPr>
      </w:pPr>
      <w:bookmarkStart w:name="14、可供出售金融资产" w:id="285"/>
      <w:bookmarkEnd w:id="285"/>
      <w:r>
        <w:rPr>
          <w:b w:val="0"/>
          <w:bCs w:val="0"/>
        </w:rPr>
      </w:r>
      <w:r>
        <w:rPr>
          <w:rFonts w:ascii="宋体" w:hAnsi="宋体" w:cs="宋体" w:eastAsia="宋体" w:hint="default"/>
        </w:rPr>
        <w:t>14</w:t>
      </w:r>
      <w:r>
        <w:rPr/>
        <w:t>、可供出售金融资产</w:t>
      </w:r>
      <w:r>
        <w:rPr>
          <w:b w:val="0"/>
          <w:bCs w:val="0"/>
        </w:rPr>
      </w:r>
    </w:p>
    <w:p>
      <w:pPr>
        <w:spacing w:line="240" w:lineRule="auto" w:before="2"/>
        <w:rPr>
          <w:rFonts w:ascii="宋体" w:hAnsi="宋体" w:cs="宋体" w:eastAsia="宋体" w:hint="default"/>
          <w:b/>
          <w:bCs/>
          <w:sz w:val="23"/>
          <w:szCs w:val="23"/>
        </w:rPr>
      </w:pPr>
    </w:p>
    <w:p>
      <w:pPr>
        <w:pStyle w:val="Heading2"/>
        <w:spacing w:line="240" w:lineRule="auto" w:before="0"/>
        <w:ind w:right="996"/>
        <w:jc w:val="left"/>
        <w:rPr>
          <w:b w:val="0"/>
          <w:bCs w:val="0"/>
        </w:rPr>
      </w:pPr>
      <w:bookmarkStart w:name="（1）可供出售金融资产情况" w:id="286"/>
      <w:bookmarkEnd w:id="286"/>
      <w:r>
        <w:rPr>
          <w:b w:val="0"/>
          <w:bCs w:val="0"/>
        </w:rPr>
      </w:r>
      <w:r>
        <w:rPr/>
        <w:t>（</w:t>
      </w:r>
      <w:r>
        <w:rPr>
          <w:rFonts w:ascii="宋体" w:hAnsi="宋体" w:cs="宋体" w:eastAsia="宋体" w:hint="default"/>
        </w:rPr>
        <w:t>1</w:t>
      </w:r>
      <w:r>
        <w:rPr/>
        <w:t>）可供出售金融资产情况</w:t>
      </w:r>
      <w:r>
        <w:rPr>
          <w:b w:val="0"/>
          <w:bCs w:val="0"/>
        </w:rPr>
      </w:r>
    </w:p>
    <w:p>
      <w:pPr>
        <w:spacing w:before="199"/>
        <w:ind w:left="0" w:right="1129" w:firstLine="0"/>
        <w:jc w:val="right"/>
        <w:rPr>
          <w:rFonts w:ascii="宋体" w:hAnsi="宋体" w:cs="宋体" w:eastAsia="宋体" w:hint="default"/>
          <w:sz w:val="21"/>
          <w:szCs w:val="21"/>
        </w:rPr>
      </w:pPr>
      <w:r>
        <w:rPr>
          <w:rFonts w:ascii="宋体" w:hAnsi="宋体" w:cs="宋体" w:eastAsia="宋体" w:hint="default"/>
          <w:sz w:val="21"/>
          <w:szCs w:val="21"/>
        </w:rPr>
        <w:t>单位： 元</w:t>
      </w:r>
    </w:p>
    <w:p>
      <w:pPr>
        <w:spacing w:line="240" w:lineRule="auto" w:before="12"/>
        <w:rPr>
          <w:rFonts w:ascii="宋体" w:hAnsi="宋体" w:cs="宋体" w:eastAsia="宋体" w:hint="default"/>
          <w:sz w:val="6"/>
          <w:szCs w:val="6"/>
        </w:rPr>
      </w:pPr>
    </w:p>
    <w:tbl>
      <w:tblPr>
        <w:tblW w:w="0" w:type="auto"/>
        <w:jc w:val="left"/>
        <w:tblInd w:w="111" w:type="dxa"/>
        <w:tblLayout w:type="fixed"/>
        <w:tblCellMar>
          <w:top w:w="0" w:type="dxa"/>
          <w:left w:w="0" w:type="dxa"/>
          <w:bottom w:w="0" w:type="dxa"/>
          <w:right w:w="0" w:type="dxa"/>
        </w:tblCellMar>
        <w:tblLook w:val="01E0"/>
      </w:tblPr>
      <w:tblGrid>
        <w:gridCol w:w="1974"/>
        <w:gridCol w:w="1352"/>
        <w:gridCol w:w="1197"/>
        <w:gridCol w:w="1195"/>
        <w:gridCol w:w="1248"/>
        <w:gridCol w:w="1368"/>
        <w:gridCol w:w="1367"/>
      </w:tblGrid>
      <w:tr>
        <w:trPr>
          <w:trHeight w:val="206" w:hRule="exact"/>
        </w:trPr>
        <w:tc>
          <w:tcPr>
            <w:tcW w:w="1974" w:type="dxa"/>
            <w:tcBorders>
              <w:top w:val="single" w:sz="4" w:space="0" w:color="000000"/>
              <w:left w:val="single" w:sz="4" w:space="0" w:color="000000"/>
              <w:bottom w:val="nil" w:sz="6" w:space="0" w:color="auto"/>
              <w:right w:val="single" w:sz="4" w:space="0" w:color="000000"/>
            </w:tcBorders>
            <w:shd w:val="clear" w:color="auto" w:fill="D2D2D2"/>
          </w:tcPr>
          <w:p>
            <w:pPr/>
          </w:p>
        </w:tc>
        <w:tc>
          <w:tcPr>
            <w:tcW w:w="3744"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7"/>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98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7"/>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197" w:hRule="exact"/>
        </w:trPr>
        <w:tc>
          <w:tcPr>
            <w:tcW w:w="197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6"/>
              <w:ind w:right="13"/>
              <w:jc w:val="center"/>
              <w:rPr>
                <w:rFonts w:ascii="宋体" w:hAnsi="宋体" w:cs="宋体" w:eastAsia="宋体" w:hint="default"/>
                <w:sz w:val="21"/>
                <w:szCs w:val="21"/>
              </w:rPr>
            </w:pPr>
            <w:r>
              <w:rPr>
                <w:rFonts w:ascii="宋体" w:hAnsi="宋体" w:cs="宋体" w:eastAsia="宋体" w:hint="default"/>
                <w:sz w:val="21"/>
                <w:szCs w:val="21"/>
              </w:rPr>
              <w:t>项目</w:t>
            </w:r>
          </w:p>
        </w:tc>
        <w:tc>
          <w:tcPr>
            <w:tcW w:w="3744" w:type="dxa"/>
            <w:gridSpan w:val="3"/>
            <w:vMerge/>
            <w:tcBorders>
              <w:left w:val="single" w:sz="4" w:space="0" w:color="000000"/>
              <w:bottom w:val="single" w:sz="4" w:space="0" w:color="000000"/>
              <w:right w:val="single" w:sz="4" w:space="0" w:color="000000"/>
            </w:tcBorders>
            <w:shd w:val="clear" w:color="auto" w:fill="D2D2D2"/>
          </w:tcPr>
          <w:p>
            <w:pPr/>
          </w:p>
        </w:tc>
        <w:tc>
          <w:tcPr>
            <w:tcW w:w="3983" w:type="dxa"/>
            <w:gridSpan w:val="3"/>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974" w:type="dxa"/>
            <w:vMerge/>
            <w:tcBorders>
              <w:left w:val="single" w:sz="4" w:space="0" w:color="000000"/>
              <w:bottom w:val="nil" w:sz="6" w:space="0" w:color="auto"/>
              <w:right w:val="single" w:sz="4" w:space="0" w:color="000000"/>
            </w:tcBorders>
            <w:shd w:val="clear" w:color="auto" w:fill="D2D2D2"/>
          </w:tcPr>
          <w:p>
            <w:pPr/>
          </w:p>
        </w:tc>
        <w:tc>
          <w:tcPr>
            <w:tcW w:w="135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6"/>
              <w:ind w:left="251"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1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6"/>
              <w:ind w:left="172"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6"/>
              <w:ind w:left="172"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124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6"/>
              <w:ind w:left="199"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6"/>
              <w:ind w:left="259"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6"/>
              <w:ind w:left="257" w:right="0"/>
              <w:jc w:val="left"/>
              <w:rPr>
                <w:rFonts w:ascii="宋体" w:hAnsi="宋体" w:cs="宋体" w:eastAsia="宋体" w:hint="default"/>
                <w:sz w:val="21"/>
                <w:szCs w:val="21"/>
              </w:rPr>
            </w:pPr>
            <w:r>
              <w:rPr>
                <w:rFonts w:ascii="宋体" w:hAnsi="宋体" w:cs="宋体" w:eastAsia="宋体" w:hint="default"/>
                <w:sz w:val="21"/>
                <w:szCs w:val="21"/>
              </w:rPr>
              <w:t>账面价值</w:t>
            </w:r>
          </w:p>
        </w:tc>
      </w:tr>
      <w:tr>
        <w:trPr>
          <w:trHeight w:val="205" w:hRule="exact"/>
        </w:trPr>
        <w:tc>
          <w:tcPr>
            <w:tcW w:w="1974" w:type="dxa"/>
            <w:tcBorders>
              <w:top w:val="nil" w:sz="6" w:space="0" w:color="auto"/>
              <w:left w:val="single" w:sz="4" w:space="0" w:color="000000"/>
              <w:bottom w:val="single" w:sz="4" w:space="0" w:color="000000"/>
              <w:right w:val="single" w:sz="4" w:space="0" w:color="000000"/>
            </w:tcBorders>
            <w:shd w:val="clear" w:color="auto" w:fill="D2D2D2"/>
          </w:tcPr>
          <w:p>
            <w:pPr/>
          </w:p>
        </w:tc>
        <w:tc>
          <w:tcPr>
            <w:tcW w:w="1352" w:type="dxa"/>
            <w:vMerge/>
            <w:tcBorders>
              <w:left w:val="single" w:sz="4" w:space="0" w:color="000000"/>
              <w:bottom w:val="single" w:sz="4" w:space="0" w:color="000000"/>
              <w:right w:val="single" w:sz="4" w:space="0" w:color="000000"/>
            </w:tcBorders>
            <w:shd w:val="clear" w:color="auto" w:fill="D2D2D2"/>
          </w:tcPr>
          <w:p>
            <w:pPr/>
          </w:p>
        </w:tc>
        <w:tc>
          <w:tcPr>
            <w:tcW w:w="1197"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248"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162" w:hRule="exact"/>
        </w:trPr>
        <w:tc>
          <w:tcPr>
            <w:tcW w:w="1974" w:type="dxa"/>
            <w:tcBorders>
              <w:top w:val="single" w:sz="4" w:space="0" w:color="000000"/>
              <w:left w:val="single" w:sz="4" w:space="0" w:color="000000"/>
              <w:bottom w:val="nil" w:sz="6" w:space="0" w:color="auto"/>
              <w:right w:val="single" w:sz="4" w:space="0" w:color="000000"/>
            </w:tcBorders>
            <w:shd w:val="clear" w:color="auto" w:fill="D2D2D2"/>
          </w:tcPr>
          <w:p>
            <w:pPr/>
          </w:p>
        </w:tc>
        <w:tc>
          <w:tcPr>
            <w:tcW w:w="1352" w:type="dxa"/>
            <w:vMerge w:val="restart"/>
            <w:tcBorders>
              <w:top w:val="single" w:sz="4" w:space="0" w:color="000000"/>
              <w:left w:val="single" w:sz="9" w:space="0" w:color="D2D2D2"/>
              <w:right w:val="single" w:sz="4" w:space="0" w:color="000000"/>
            </w:tcBorders>
          </w:tcPr>
          <w:p>
            <w:pPr>
              <w:pStyle w:val="TableParagraph"/>
              <w:spacing w:line="240" w:lineRule="auto" w:before="27"/>
              <w:ind w:right="19"/>
              <w:jc w:val="right"/>
              <w:rPr>
                <w:rFonts w:ascii="宋体" w:hAnsi="宋体" w:cs="宋体" w:eastAsia="宋体" w:hint="default"/>
                <w:sz w:val="21"/>
                <w:szCs w:val="21"/>
              </w:rPr>
            </w:pPr>
            <w:r>
              <w:rPr>
                <w:rFonts w:ascii="宋体"/>
                <w:sz w:val="21"/>
              </w:rPr>
              <w:t>150,000,000.</w:t>
            </w:r>
          </w:p>
          <w:p>
            <w:pPr>
              <w:pStyle w:val="TableParagraph"/>
              <w:spacing w:line="240" w:lineRule="auto" w:before="37"/>
              <w:ind w:right="19"/>
              <w:jc w:val="right"/>
              <w:rPr>
                <w:rFonts w:ascii="宋体" w:hAnsi="宋体" w:cs="宋体" w:eastAsia="宋体" w:hint="default"/>
                <w:sz w:val="21"/>
                <w:szCs w:val="21"/>
              </w:rPr>
            </w:pPr>
            <w:r>
              <w:rPr>
                <w:rFonts w:ascii="宋体"/>
                <w:sz w:val="21"/>
              </w:rPr>
              <w:t>00</w:t>
            </w:r>
          </w:p>
        </w:tc>
        <w:tc>
          <w:tcPr>
            <w:tcW w:w="1197" w:type="dxa"/>
            <w:vMerge w:val="restart"/>
            <w:tcBorders>
              <w:top w:val="single" w:sz="4" w:space="0" w:color="000000"/>
              <w:left w:val="single" w:sz="4" w:space="0" w:color="000000"/>
              <w:right w:val="single" w:sz="4" w:space="0" w:color="000000"/>
            </w:tcBorders>
          </w:tcPr>
          <w:p>
            <w:pPr>
              <w:pStyle w:val="TableParagraph"/>
              <w:spacing w:line="240" w:lineRule="auto" w:before="27"/>
              <w:ind w:left="112" w:right="0"/>
              <w:jc w:val="left"/>
              <w:rPr>
                <w:rFonts w:ascii="宋体" w:hAnsi="宋体" w:cs="宋体" w:eastAsia="宋体" w:hint="default"/>
                <w:sz w:val="21"/>
                <w:szCs w:val="21"/>
              </w:rPr>
            </w:pPr>
            <w:r>
              <w:rPr>
                <w:rFonts w:ascii="宋体"/>
                <w:sz w:val="21"/>
              </w:rPr>
              <w:t>114,634,10</w:t>
            </w:r>
          </w:p>
          <w:p>
            <w:pPr>
              <w:pStyle w:val="TableParagraph"/>
              <w:spacing w:line="240" w:lineRule="auto" w:before="37"/>
              <w:ind w:left="743" w:right="0"/>
              <w:jc w:val="left"/>
              <w:rPr>
                <w:rFonts w:ascii="宋体" w:hAnsi="宋体" w:cs="宋体" w:eastAsia="宋体" w:hint="default"/>
                <w:sz w:val="21"/>
                <w:szCs w:val="21"/>
              </w:rPr>
            </w:pPr>
            <w:r>
              <w:rPr>
                <w:rFonts w:ascii="宋体"/>
                <w:sz w:val="21"/>
              </w:rPr>
              <w:t>0.00</w:t>
            </w:r>
          </w:p>
        </w:tc>
        <w:tc>
          <w:tcPr>
            <w:tcW w:w="1195" w:type="dxa"/>
            <w:vMerge w:val="restart"/>
            <w:tcBorders>
              <w:top w:val="single" w:sz="4" w:space="0" w:color="000000"/>
              <w:left w:val="single" w:sz="4" w:space="0" w:color="000000"/>
              <w:right w:val="single" w:sz="4" w:space="0" w:color="000000"/>
            </w:tcBorders>
          </w:tcPr>
          <w:p>
            <w:pPr>
              <w:pStyle w:val="TableParagraph"/>
              <w:spacing w:line="240" w:lineRule="auto" w:before="27"/>
              <w:ind w:right="20"/>
              <w:jc w:val="right"/>
              <w:rPr>
                <w:rFonts w:ascii="宋体" w:hAnsi="宋体" w:cs="宋体" w:eastAsia="宋体" w:hint="default"/>
                <w:sz w:val="21"/>
                <w:szCs w:val="21"/>
              </w:rPr>
            </w:pPr>
            <w:r>
              <w:rPr>
                <w:rFonts w:ascii="宋体"/>
                <w:sz w:val="21"/>
              </w:rPr>
              <w:t>35,365,900</w:t>
            </w:r>
          </w:p>
          <w:p>
            <w:pPr>
              <w:pStyle w:val="TableParagraph"/>
              <w:spacing w:line="240" w:lineRule="auto" w:before="37"/>
              <w:ind w:right="20"/>
              <w:jc w:val="right"/>
              <w:rPr>
                <w:rFonts w:ascii="宋体" w:hAnsi="宋体" w:cs="宋体" w:eastAsia="宋体" w:hint="default"/>
                <w:sz w:val="21"/>
                <w:szCs w:val="21"/>
              </w:rPr>
            </w:pPr>
            <w:r>
              <w:rPr>
                <w:rFonts w:ascii="宋体"/>
                <w:sz w:val="21"/>
              </w:rPr>
              <w:t>.00</w:t>
            </w:r>
          </w:p>
        </w:tc>
        <w:tc>
          <w:tcPr>
            <w:tcW w:w="1248" w:type="dxa"/>
            <w:vMerge w:val="restart"/>
            <w:tcBorders>
              <w:top w:val="single" w:sz="4" w:space="0" w:color="000000"/>
              <w:left w:val="single" w:sz="4" w:space="0" w:color="000000"/>
              <w:right w:val="single" w:sz="4" w:space="0" w:color="000000"/>
            </w:tcBorders>
          </w:tcPr>
          <w:p>
            <w:pPr>
              <w:pStyle w:val="TableParagraph"/>
              <w:spacing w:line="240" w:lineRule="auto" w:before="27"/>
              <w:ind w:right="20"/>
              <w:jc w:val="right"/>
              <w:rPr>
                <w:rFonts w:ascii="宋体" w:hAnsi="宋体" w:cs="宋体" w:eastAsia="宋体" w:hint="default"/>
                <w:sz w:val="21"/>
                <w:szCs w:val="21"/>
              </w:rPr>
            </w:pPr>
            <w:r>
              <w:rPr>
                <w:rFonts w:ascii="宋体"/>
                <w:sz w:val="21"/>
              </w:rPr>
              <w:t>150,000,000</w:t>
            </w:r>
          </w:p>
          <w:p>
            <w:pPr>
              <w:pStyle w:val="TableParagraph"/>
              <w:spacing w:line="240" w:lineRule="auto" w:before="37"/>
              <w:ind w:right="20"/>
              <w:jc w:val="right"/>
              <w:rPr>
                <w:rFonts w:ascii="宋体" w:hAnsi="宋体" w:cs="宋体" w:eastAsia="宋体" w:hint="default"/>
                <w:sz w:val="21"/>
                <w:szCs w:val="21"/>
              </w:rPr>
            </w:pPr>
            <w:r>
              <w:rPr>
                <w:rFonts w:ascii="宋体"/>
                <w:sz w:val="21"/>
              </w:rPr>
              <w:t>.00</w:t>
            </w:r>
          </w:p>
        </w:tc>
        <w:tc>
          <w:tcPr>
            <w:tcW w:w="1368" w:type="dxa"/>
            <w:vMerge w:val="restart"/>
            <w:tcBorders>
              <w:top w:val="single" w:sz="4" w:space="0" w:color="000000"/>
              <w:left w:val="single" w:sz="4" w:space="0" w:color="000000"/>
              <w:right w:val="single" w:sz="4" w:space="0" w:color="000000"/>
            </w:tcBorders>
          </w:tcPr>
          <w:p>
            <w:pPr/>
          </w:p>
        </w:tc>
        <w:tc>
          <w:tcPr>
            <w:tcW w:w="1367" w:type="dxa"/>
            <w:vMerge w:val="restart"/>
            <w:tcBorders>
              <w:top w:val="single" w:sz="4" w:space="0" w:color="000000"/>
              <w:left w:val="single" w:sz="4" w:space="0" w:color="000000"/>
              <w:right w:val="single" w:sz="4" w:space="0" w:color="000000"/>
            </w:tcBorders>
          </w:tcPr>
          <w:p>
            <w:pPr>
              <w:pStyle w:val="TableParagraph"/>
              <w:spacing w:line="240" w:lineRule="auto" w:before="27"/>
              <w:ind w:right="19"/>
              <w:jc w:val="right"/>
              <w:rPr>
                <w:rFonts w:ascii="宋体" w:hAnsi="宋体" w:cs="宋体" w:eastAsia="宋体" w:hint="default"/>
                <w:sz w:val="21"/>
                <w:szCs w:val="21"/>
              </w:rPr>
            </w:pPr>
            <w:r>
              <w:rPr>
                <w:rFonts w:ascii="宋体"/>
                <w:sz w:val="21"/>
              </w:rPr>
              <w:t>150,000,000.</w:t>
            </w:r>
          </w:p>
          <w:p>
            <w:pPr>
              <w:pStyle w:val="TableParagraph"/>
              <w:spacing w:line="240" w:lineRule="auto" w:before="37"/>
              <w:ind w:right="19"/>
              <w:jc w:val="right"/>
              <w:rPr>
                <w:rFonts w:ascii="宋体" w:hAnsi="宋体" w:cs="宋体" w:eastAsia="宋体" w:hint="default"/>
                <w:sz w:val="21"/>
                <w:szCs w:val="21"/>
              </w:rPr>
            </w:pPr>
            <w:r>
              <w:rPr>
                <w:rFonts w:ascii="宋体"/>
                <w:sz w:val="21"/>
              </w:rPr>
              <w:t>00</w:t>
            </w:r>
          </w:p>
        </w:tc>
      </w:tr>
      <w:tr>
        <w:trPr>
          <w:trHeight w:val="391" w:hRule="exact"/>
        </w:trPr>
        <w:tc>
          <w:tcPr>
            <w:tcW w:w="1974" w:type="dxa"/>
            <w:tcBorders>
              <w:top w:val="nil" w:sz="6" w:space="0" w:color="auto"/>
              <w:left w:val="single" w:sz="13" w:space="0" w:color="D2D2D2"/>
              <w:bottom w:val="nil" w:sz="6" w:space="0" w:color="auto"/>
              <w:right w:val="single" w:sz="13" w:space="0" w:color="D2D2D2"/>
            </w:tcBorders>
          </w:tcPr>
          <w:p>
            <w:pPr>
              <w:pStyle w:val="TableParagraph"/>
              <w:spacing w:line="240" w:lineRule="auto" w:before="26"/>
              <w:ind w:right="0"/>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shd w:fill="D2D2D2" w:color="auto" w:val="clear"/>
              </w:rPr>
              <w:t>可供出售权益工具：</w:t>
            </w:r>
            <w:r>
              <w:rPr>
                <w:rFonts w:ascii="宋体" w:hAnsi="宋体" w:cs="宋体" w:eastAsia="宋体" w:hint="default"/>
                <w:sz w:val="21"/>
                <w:szCs w:val="21"/>
              </w:rPr>
            </w:r>
          </w:p>
        </w:tc>
        <w:tc>
          <w:tcPr>
            <w:tcW w:w="1352" w:type="dxa"/>
            <w:vMerge/>
            <w:tcBorders>
              <w:left w:val="single" w:sz="9" w:space="0" w:color="D2D2D2"/>
              <w:right w:val="single" w:sz="4" w:space="0" w:color="000000"/>
            </w:tcBorders>
          </w:tcPr>
          <w:p>
            <w:pPr/>
          </w:p>
        </w:tc>
        <w:tc>
          <w:tcPr>
            <w:tcW w:w="1197"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c>
          <w:tcPr>
            <w:tcW w:w="1248" w:type="dxa"/>
            <w:vMerge/>
            <w:tcBorders>
              <w:left w:val="single" w:sz="4" w:space="0" w:color="000000"/>
              <w:right w:val="single" w:sz="4" w:space="0" w:color="000000"/>
            </w:tcBorders>
          </w:tcPr>
          <w:p>
            <w:pPr/>
          </w:p>
        </w:tc>
        <w:tc>
          <w:tcPr>
            <w:tcW w:w="1368"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r>
      <w:tr>
        <w:trPr>
          <w:trHeight w:val="162" w:hRule="exact"/>
        </w:trPr>
        <w:tc>
          <w:tcPr>
            <w:tcW w:w="1974" w:type="dxa"/>
            <w:tcBorders>
              <w:top w:val="nil" w:sz="6" w:space="0" w:color="auto"/>
              <w:left w:val="single" w:sz="4" w:space="0" w:color="000000"/>
              <w:bottom w:val="single" w:sz="4" w:space="0" w:color="000000"/>
              <w:right w:val="single" w:sz="4" w:space="0" w:color="000000"/>
            </w:tcBorders>
            <w:shd w:val="clear" w:color="auto" w:fill="D2D2D2"/>
          </w:tcPr>
          <w:p>
            <w:pPr/>
          </w:p>
        </w:tc>
        <w:tc>
          <w:tcPr>
            <w:tcW w:w="1352" w:type="dxa"/>
            <w:vMerge/>
            <w:tcBorders>
              <w:left w:val="single" w:sz="9" w:space="0" w:color="D2D2D2"/>
              <w:bottom w:val="single" w:sz="4" w:space="0" w:color="000000"/>
              <w:right w:val="single" w:sz="4" w:space="0" w:color="000000"/>
            </w:tcBorders>
          </w:tcPr>
          <w:p>
            <w:pPr/>
          </w:p>
        </w:tc>
        <w:tc>
          <w:tcPr>
            <w:tcW w:w="1197"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c>
          <w:tcPr>
            <w:tcW w:w="1248" w:type="dxa"/>
            <w:vMerge/>
            <w:tcBorders>
              <w:left w:val="single" w:sz="4" w:space="0" w:color="000000"/>
              <w:bottom w:val="single" w:sz="4" w:space="0" w:color="000000"/>
              <w:right w:val="single" w:sz="4" w:space="0" w:color="000000"/>
            </w:tcBorders>
          </w:tcPr>
          <w:p>
            <w:pPr/>
          </w:p>
        </w:tc>
        <w:tc>
          <w:tcPr>
            <w:tcW w:w="1368" w:type="dxa"/>
            <w:vMerge/>
            <w:tcBorders>
              <w:left w:val="single" w:sz="4" w:space="0" w:color="000000"/>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11" w:type="dxa"/>
        <w:tblLayout w:type="fixed"/>
        <w:tblCellMar>
          <w:top w:w="0" w:type="dxa"/>
          <w:left w:w="0" w:type="dxa"/>
          <w:bottom w:w="0" w:type="dxa"/>
          <w:right w:w="0" w:type="dxa"/>
        </w:tblCellMar>
        <w:tblLook w:val="01E0"/>
      </w:tblPr>
      <w:tblGrid>
        <w:gridCol w:w="1985"/>
        <w:gridCol w:w="1352"/>
        <w:gridCol w:w="1197"/>
        <w:gridCol w:w="1195"/>
        <w:gridCol w:w="1248"/>
        <w:gridCol w:w="1368"/>
        <w:gridCol w:w="1367"/>
      </w:tblGrid>
      <w:tr>
        <w:trPr>
          <w:trHeight w:val="714"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442" w:right="0"/>
              <w:jc w:val="left"/>
              <w:rPr>
                <w:rFonts w:ascii="宋体" w:hAnsi="宋体" w:cs="宋体" w:eastAsia="宋体" w:hint="default"/>
                <w:sz w:val="21"/>
                <w:szCs w:val="21"/>
              </w:rPr>
            </w:pPr>
            <w:r>
              <w:rPr>
                <w:rFonts w:ascii="宋体" w:hAnsi="宋体" w:cs="宋体" w:eastAsia="宋体" w:hint="default"/>
                <w:sz w:val="21"/>
                <w:szCs w:val="21"/>
              </w:rPr>
              <w:t>按成本计量的</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9"/>
              <w:jc w:val="right"/>
              <w:rPr>
                <w:rFonts w:ascii="宋体" w:hAnsi="宋体" w:cs="宋体" w:eastAsia="宋体" w:hint="default"/>
                <w:sz w:val="21"/>
                <w:szCs w:val="21"/>
              </w:rPr>
            </w:pPr>
            <w:r>
              <w:rPr>
                <w:rFonts w:ascii="宋体"/>
                <w:sz w:val="21"/>
              </w:rPr>
              <w:t>150,000,000.</w:t>
            </w:r>
          </w:p>
          <w:p>
            <w:pPr>
              <w:pStyle w:val="TableParagraph"/>
              <w:spacing w:line="240" w:lineRule="auto" w:before="38"/>
              <w:ind w:right="19"/>
              <w:jc w:val="right"/>
              <w:rPr>
                <w:rFonts w:ascii="宋体" w:hAnsi="宋体" w:cs="宋体" w:eastAsia="宋体" w:hint="default"/>
                <w:sz w:val="21"/>
                <w:szCs w:val="21"/>
              </w:rPr>
            </w:pPr>
            <w:r>
              <w:rPr>
                <w:rFonts w:ascii="宋体"/>
                <w:sz w:val="21"/>
              </w:rPr>
              <w:t>00</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12" w:right="0"/>
              <w:jc w:val="left"/>
              <w:rPr>
                <w:rFonts w:ascii="宋体" w:hAnsi="宋体" w:cs="宋体" w:eastAsia="宋体" w:hint="default"/>
                <w:sz w:val="21"/>
                <w:szCs w:val="21"/>
              </w:rPr>
            </w:pPr>
            <w:r>
              <w:rPr>
                <w:rFonts w:ascii="宋体"/>
                <w:sz w:val="21"/>
              </w:rPr>
              <w:t>114,634,10</w:t>
            </w:r>
          </w:p>
          <w:p>
            <w:pPr>
              <w:pStyle w:val="TableParagraph"/>
              <w:spacing w:line="240" w:lineRule="auto" w:before="38"/>
              <w:ind w:left="743" w:right="0"/>
              <w:jc w:val="left"/>
              <w:rPr>
                <w:rFonts w:ascii="宋体" w:hAnsi="宋体" w:cs="宋体" w:eastAsia="宋体" w:hint="default"/>
                <w:sz w:val="21"/>
                <w:szCs w:val="21"/>
              </w:rPr>
            </w:pPr>
            <w:r>
              <w:rPr>
                <w:rFonts w:ascii="宋体"/>
                <w:sz w:val="21"/>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35,365,900</w:t>
            </w:r>
          </w:p>
          <w:p>
            <w:pPr>
              <w:pStyle w:val="TableParagraph"/>
              <w:spacing w:line="240" w:lineRule="auto" w:before="38"/>
              <w:ind w:right="20"/>
              <w:jc w:val="right"/>
              <w:rPr>
                <w:rFonts w:ascii="宋体" w:hAnsi="宋体" w:cs="宋体" w:eastAsia="宋体" w:hint="default"/>
                <w:sz w:val="21"/>
                <w:szCs w:val="21"/>
              </w:rPr>
            </w:pPr>
            <w:r>
              <w:rPr>
                <w:rFonts w:ascii="宋体"/>
                <w:sz w:val="21"/>
              </w:rPr>
              <w:t>.00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150,000,000</w:t>
            </w:r>
          </w:p>
          <w:p>
            <w:pPr>
              <w:pStyle w:val="TableParagraph"/>
              <w:spacing w:line="240" w:lineRule="auto" w:before="38"/>
              <w:ind w:right="20"/>
              <w:jc w:val="right"/>
              <w:rPr>
                <w:rFonts w:ascii="宋体" w:hAnsi="宋体" w:cs="宋体" w:eastAsia="宋体" w:hint="default"/>
                <w:sz w:val="21"/>
                <w:szCs w:val="21"/>
              </w:rPr>
            </w:pPr>
            <w:r>
              <w:rPr>
                <w:rFonts w:ascii="宋体"/>
                <w:sz w:val="21"/>
              </w:rPr>
              <w:t>.00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9"/>
              <w:jc w:val="right"/>
              <w:rPr>
                <w:rFonts w:ascii="宋体" w:hAnsi="宋体" w:cs="宋体" w:eastAsia="宋体" w:hint="default"/>
                <w:sz w:val="21"/>
                <w:szCs w:val="21"/>
              </w:rPr>
            </w:pPr>
            <w:r>
              <w:rPr>
                <w:rFonts w:ascii="宋体"/>
                <w:sz w:val="21"/>
              </w:rPr>
              <w:t>150,000,000.</w:t>
            </w:r>
          </w:p>
          <w:p>
            <w:pPr>
              <w:pStyle w:val="TableParagraph"/>
              <w:spacing w:line="240" w:lineRule="auto" w:before="38"/>
              <w:ind w:right="19"/>
              <w:jc w:val="right"/>
              <w:rPr>
                <w:rFonts w:ascii="宋体" w:hAnsi="宋体" w:cs="宋体" w:eastAsia="宋体" w:hint="default"/>
                <w:sz w:val="21"/>
                <w:szCs w:val="21"/>
              </w:rPr>
            </w:pPr>
            <w:r>
              <w:rPr>
                <w:rFonts w:ascii="宋体"/>
                <w:sz w:val="21"/>
              </w:rPr>
              <w:t>00</w:t>
            </w:r>
          </w:p>
        </w:tc>
      </w:tr>
      <w:tr>
        <w:trPr>
          <w:trHeight w:val="714"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9"/>
              <w:jc w:val="right"/>
              <w:rPr>
                <w:rFonts w:ascii="宋体" w:hAnsi="宋体" w:cs="宋体" w:eastAsia="宋体" w:hint="default"/>
                <w:sz w:val="21"/>
                <w:szCs w:val="21"/>
              </w:rPr>
            </w:pPr>
            <w:r>
              <w:rPr>
                <w:rFonts w:ascii="宋体"/>
                <w:sz w:val="21"/>
              </w:rPr>
              <w:t>150,000,000.</w:t>
            </w:r>
          </w:p>
          <w:p>
            <w:pPr>
              <w:pStyle w:val="TableParagraph"/>
              <w:spacing w:line="240" w:lineRule="auto" w:before="38"/>
              <w:ind w:right="19"/>
              <w:jc w:val="right"/>
              <w:rPr>
                <w:rFonts w:ascii="宋体" w:hAnsi="宋体" w:cs="宋体" w:eastAsia="宋体" w:hint="default"/>
                <w:sz w:val="21"/>
                <w:szCs w:val="21"/>
              </w:rPr>
            </w:pPr>
            <w:r>
              <w:rPr>
                <w:rFonts w:ascii="宋体"/>
                <w:sz w:val="21"/>
              </w:rPr>
              <w:t>00</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12" w:right="0"/>
              <w:jc w:val="left"/>
              <w:rPr>
                <w:rFonts w:ascii="宋体" w:hAnsi="宋体" w:cs="宋体" w:eastAsia="宋体" w:hint="default"/>
                <w:sz w:val="21"/>
                <w:szCs w:val="21"/>
              </w:rPr>
            </w:pPr>
            <w:r>
              <w:rPr>
                <w:rFonts w:ascii="宋体"/>
                <w:sz w:val="21"/>
              </w:rPr>
              <w:t>114,634,10</w:t>
            </w:r>
          </w:p>
          <w:p>
            <w:pPr>
              <w:pStyle w:val="TableParagraph"/>
              <w:spacing w:line="240" w:lineRule="auto" w:before="38"/>
              <w:ind w:left="743" w:right="0"/>
              <w:jc w:val="left"/>
              <w:rPr>
                <w:rFonts w:ascii="宋体" w:hAnsi="宋体" w:cs="宋体" w:eastAsia="宋体" w:hint="default"/>
                <w:sz w:val="21"/>
                <w:szCs w:val="21"/>
              </w:rPr>
            </w:pPr>
            <w:r>
              <w:rPr>
                <w:rFonts w:ascii="宋体"/>
                <w:sz w:val="21"/>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35,365,900</w:t>
            </w:r>
          </w:p>
          <w:p>
            <w:pPr>
              <w:pStyle w:val="TableParagraph"/>
              <w:spacing w:line="240" w:lineRule="auto" w:before="38"/>
              <w:ind w:right="20"/>
              <w:jc w:val="right"/>
              <w:rPr>
                <w:rFonts w:ascii="宋体" w:hAnsi="宋体" w:cs="宋体" w:eastAsia="宋体" w:hint="default"/>
                <w:sz w:val="21"/>
                <w:szCs w:val="21"/>
              </w:rPr>
            </w:pPr>
            <w:r>
              <w:rPr>
                <w:rFonts w:ascii="宋体"/>
                <w:sz w:val="21"/>
              </w:rPr>
              <w:t>.00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150,000,000</w:t>
            </w:r>
          </w:p>
          <w:p>
            <w:pPr>
              <w:pStyle w:val="TableParagraph"/>
              <w:spacing w:line="240" w:lineRule="auto" w:before="38"/>
              <w:ind w:right="20"/>
              <w:jc w:val="right"/>
              <w:rPr>
                <w:rFonts w:ascii="宋体" w:hAnsi="宋体" w:cs="宋体" w:eastAsia="宋体" w:hint="default"/>
                <w:sz w:val="21"/>
                <w:szCs w:val="21"/>
              </w:rPr>
            </w:pPr>
            <w:r>
              <w:rPr>
                <w:rFonts w:ascii="宋体"/>
                <w:sz w:val="21"/>
              </w:rPr>
              <w:t>.00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9"/>
              <w:jc w:val="right"/>
              <w:rPr>
                <w:rFonts w:ascii="宋体" w:hAnsi="宋体" w:cs="宋体" w:eastAsia="宋体" w:hint="default"/>
                <w:sz w:val="21"/>
                <w:szCs w:val="21"/>
              </w:rPr>
            </w:pPr>
            <w:r>
              <w:rPr>
                <w:rFonts w:ascii="宋体"/>
                <w:sz w:val="21"/>
              </w:rPr>
              <w:t>150,000,000.</w:t>
            </w:r>
          </w:p>
          <w:p>
            <w:pPr>
              <w:pStyle w:val="TableParagraph"/>
              <w:spacing w:line="240" w:lineRule="auto" w:before="38"/>
              <w:ind w:right="19"/>
              <w:jc w:val="right"/>
              <w:rPr>
                <w:rFonts w:ascii="宋体" w:hAnsi="宋体" w:cs="宋体" w:eastAsia="宋体" w:hint="default"/>
                <w:sz w:val="21"/>
                <w:szCs w:val="21"/>
              </w:rPr>
            </w:pPr>
            <w:r>
              <w:rPr>
                <w:rFonts w:ascii="宋体"/>
                <w:sz w:val="21"/>
              </w:rPr>
              <w:t>00</w:t>
            </w:r>
          </w:p>
        </w:tc>
      </w:tr>
    </w:tbl>
    <w:p>
      <w:pPr>
        <w:spacing w:line="240" w:lineRule="auto" w:before="10"/>
        <w:rPr>
          <w:rFonts w:ascii="宋体" w:hAnsi="宋体" w:cs="宋体" w:eastAsia="宋体" w:hint="default"/>
          <w:sz w:val="4"/>
          <w:szCs w:val="4"/>
        </w:rPr>
      </w:pPr>
    </w:p>
    <w:p>
      <w:pPr>
        <w:pStyle w:val="Heading2"/>
        <w:spacing w:line="240" w:lineRule="auto"/>
        <w:ind w:right="996"/>
        <w:jc w:val="left"/>
        <w:rPr>
          <w:b w:val="0"/>
          <w:bCs w:val="0"/>
        </w:rPr>
      </w:pPr>
      <w:bookmarkStart w:name="（2）期末按公允价值计量的可供出售金融资产" w:id="287"/>
      <w:bookmarkEnd w:id="287"/>
      <w:r>
        <w:rPr>
          <w:b w:val="0"/>
          <w:bCs w:val="0"/>
        </w:rPr>
      </w:r>
      <w:r>
        <w:rPr/>
        <w:t>（</w:t>
      </w:r>
      <w:r>
        <w:rPr>
          <w:rFonts w:ascii="宋体" w:hAnsi="宋体" w:cs="宋体" w:eastAsia="宋体" w:hint="default"/>
        </w:rPr>
        <w:t>2</w:t>
      </w:r>
      <w:r>
        <w:rPr/>
        <w:t>）期末按公允价值计量的可供出售金融资产</w:t>
      </w:r>
      <w:r>
        <w:rPr>
          <w:b w:val="0"/>
          <w:bCs w:val="0"/>
        </w:rPr>
      </w:r>
    </w:p>
    <w:p>
      <w:pPr>
        <w:spacing w:line="240" w:lineRule="auto" w:before="9"/>
        <w:rPr>
          <w:rFonts w:ascii="宋体" w:hAnsi="宋体" w:cs="宋体" w:eastAsia="宋体" w:hint="default"/>
          <w:b/>
          <w:bCs/>
          <w:sz w:val="12"/>
          <w:szCs w:val="12"/>
        </w:rPr>
      </w:pPr>
    </w:p>
    <w:p>
      <w:pPr>
        <w:spacing w:before="35"/>
        <w:ind w:left="0" w:right="1129" w:firstLine="0"/>
        <w:jc w:val="right"/>
        <w:rPr>
          <w:rFonts w:ascii="宋体" w:hAnsi="宋体" w:cs="宋体" w:eastAsia="宋体" w:hint="default"/>
          <w:sz w:val="21"/>
          <w:szCs w:val="21"/>
        </w:rPr>
      </w:pPr>
      <w:r>
        <w:rPr>
          <w:rFonts w:ascii="宋体" w:hAnsi="宋体" w:cs="宋体" w:eastAsia="宋体" w:hint="default"/>
          <w:sz w:val="21"/>
          <w:szCs w:val="21"/>
        </w:rPr>
        <w:t>单位： 元</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742" w:right="111" w:hanging="631"/>
              <w:jc w:val="left"/>
              <w:rPr>
                <w:rFonts w:ascii="宋体" w:hAnsi="宋体" w:cs="宋体" w:eastAsia="宋体" w:hint="default"/>
                <w:sz w:val="21"/>
                <w:szCs w:val="21"/>
              </w:rPr>
            </w:pPr>
            <w:r>
              <w:rPr>
                <w:rFonts w:ascii="宋体" w:hAnsi="宋体" w:cs="宋体" w:eastAsia="宋体" w:hint="default"/>
                <w:sz w:val="21"/>
                <w:szCs w:val="21"/>
              </w:rPr>
              <w:t>可供出售金融资产 分类</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111" w:right="0"/>
              <w:jc w:val="left"/>
              <w:rPr>
                <w:rFonts w:ascii="宋体" w:hAnsi="宋体" w:cs="宋体" w:eastAsia="宋体" w:hint="default"/>
                <w:sz w:val="21"/>
                <w:szCs w:val="21"/>
              </w:rPr>
            </w:pPr>
            <w:r>
              <w:rPr>
                <w:rFonts w:ascii="宋体" w:hAnsi="宋体" w:cs="宋体" w:eastAsia="宋体" w:hint="default"/>
                <w:sz w:val="21"/>
                <w:szCs w:val="21"/>
              </w:rPr>
              <w:t>可供出售权益工具</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111" w:right="0"/>
              <w:jc w:val="left"/>
              <w:rPr>
                <w:rFonts w:ascii="宋体" w:hAnsi="宋体" w:cs="宋体" w:eastAsia="宋体" w:hint="default"/>
                <w:sz w:val="21"/>
                <w:szCs w:val="21"/>
              </w:rPr>
            </w:pPr>
            <w:r>
              <w:rPr>
                <w:rFonts w:ascii="宋体" w:hAnsi="宋体" w:cs="宋体" w:eastAsia="宋体" w:hint="default"/>
                <w:sz w:val="21"/>
                <w:szCs w:val="21"/>
              </w:rPr>
              <w:t>可供出售债务工具</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合计</w:t>
            </w:r>
          </w:p>
        </w:tc>
      </w:tr>
    </w:tbl>
    <w:p>
      <w:pPr>
        <w:spacing w:line="240" w:lineRule="auto" w:before="10"/>
        <w:rPr>
          <w:rFonts w:ascii="宋体" w:hAnsi="宋体" w:cs="宋体" w:eastAsia="宋体" w:hint="default"/>
          <w:sz w:val="4"/>
          <w:szCs w:val="4"/>
        </w:rPr>
      </w:pPr>
    </w:p>
    <w:p>
      <w:pPr>
        <w:pStyle w:val="Heading2"/>
        <w:spacing w:line="240" w:lineRule="auto"/>
        <w:ind w:right="996"/>
        <w:jc w:val="left"/>
        <w:rPr>
          <w:b w:val="0"/>
          <w:bCs w:val="0"/>
        </w:rPr>
      </w:pPr>
      <w:bookmarkStart w:name="（3）期末按成本计量的可供出售金融资产" w:id="288"/>
      <w:bookmarkEnd w:id="288"/>
      <w:r>
        <w:rPr>
          <w:b w:val="0"/>
          <w:bCs w:val="0"/>
        </w:rPr>
      </w:r>
      <w:r>
        <w:rPr/>
        <w:t>（</w:t>
      </w:r>
      <w:r>
        <w:rPr>
          <w:rFonts w:ascii="宋体" w:hAnsi="宋体" w:cs="宋体" w:eastAsia="宋体" w:hint="default"/>
        </w:rPr>
        <w:t>3</w:t>
      </w:r>
      <w:r>
        <w:rPr/>
        <w:t>）期末按成本计量的可供出售金融资产</w:t>
      </w:r>
      <w:r>
        <w:rPr>
          <w:b w:val="0"/>
          <w:bCs w:val="0"/>
        </w:rPr>
      </w:r>
    </w:p>
    <w:p>
      <w:pPr>
        <w:spacing w:line="240" w:lineRule="auto" w:before="9"/>
        <w:rPr>
          <w:rFonts w:ascii="宋体" w:hAnsi="宋体" w:cs="宋体" w:eastAsia="宋体" w:hint="default"/>
          <w:b/>
          <w:bCs/>
          <w:sz w:val="12"/>
          <w:szCs w:val="12"/>
        </w:rPr>
      </w:pPr>
    </w:p>
    <w:p>
      <w:pPr>
        <w:spacing w:before="35"/>
        <w:ind w:left="0" w:right="1129" w:firstLine="0"/>
        <w:jc w:val="right"/>
        <w:rPr>
          <w:rFonts w:ascii="宋体" w:hAnsi="宋体" w:cs="宋体" w:eastAsia="宋体" w:hint="default"/>
          <w:sz w:val="21"/>
          <w:szCs w:val="21"/>
        </w:rPr>
      </w:pPr>
      <w:r>
        <w:rPr>
          <w:rFonts w:ascii="宋体" w:hAnsi="宋体" w:cs="宋体" w:eastAsia="宋体" w:hint="default"/>
          <w:sz w:val="21"/>
          <w:szCs w:val="21"/>
        </w:rPr>
        <w:t>单位： 元</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1395"/>
        <w:gridCol w:w="1288"/>
        <w:gridCol w:w="425"/>
        <w:gridCol w:w="354"/>
        <w:gridCol w:w="1348"/>
        <w:gridCol w:w="392"/>
        <w:gridCol w:w="1451"/>
        <w:gridCol w:w="289"/>
        <w:gridCol w:w="1412"/>
        <w:gridCol w:w="850"/>
        <w:gridCol w:w="349"/>
      </w:tblGrid>
      <w:tr>
        <w:trPr>
          <w:trHeight w:val="357" w:hRule="exact"/>
        </w:trPr>
        <w:tc>
          <w:tcPr>
            <w:tcW w:w="1395" w:type="dxa"/>
            <w:vMerge w:val="restart"/>
            <w:tcBorders>
              <w:top w:val="single" w:sz="4" w:space="0" w:color="000000"/>
              <w:left w:val="single" w:sz="4" w:space="0" w:color="000000"/>
              <w:right w:val="single" w:sz="4" w:space="0" w:color="000000"/>
            </w:tcBorders>
            <w:shd w:val="clear" w:color="auto" w:fill="D2D2D2"/>
          </w:tcPr>
          <w:p>
            <w:pPr/>
          </w:p>
        </w:tc>
        <w:tc>
          <w:tcPr>
            <w:tcW w:w="3414"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0"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3544"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减值准备</w:t>
            </w:r>
          </w:p>
        </w:tc>
        <w:tc>
          <w:tcPr>
            <w:tcW w:w="850" w:type="dxa"/>
            <w:tcBorders>
              <w:top w:val="single" w:sz="4" w:space="0" w:color="000000"/>
              <w:left w:val="single" w:sz="4" w:space="0" w:color="000000"/>
              <w:bottom w:val="nil" w:sz="6" w:space="0" w:color="auto"/>
              <w:right w:val="single" w:sz="4" w:space="0" w:color="000000"/>
            </w:tcBorders>
            <w:shd w:val="clear" w:color="auto" w:fill="D2D2D2"/>
          </w:tcPr>
          <w:p>
            <w:pPr/>
          </w:p>
        </w:tc>
        <w:tc>
          <w:tcPr>
            <w:tcW w:w="349"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26"/>
              <w:ind w:left="64" w:right="62"/>
              <w:jc w:val="both"/>
              <w:rPr>
                <w:rFonts w:ascii="宋体" w:hAnsi="宋体" w:cs="宋体" w:eastAsia="宋体" w:hint="default"/>
                <w:sz w:val="21"/>
                <w:szCs w:val="21"/>
              </w:rPr>
            </w:pPr>
            <w:r>
              <w:rPr>
                <w:rFonts w:ascii="宋体" w:hAnsi="宋体" w:cs="宋体" w:eastAsia="宋体" w:hint="default"/>
                <w:sz w:val="21"/>
                <w:szCs w:val="21"/>
              </w:rPr>
              <w:t>本 期 现 金 红 利</w:t>
            </w:r>
          </w:p>
        </w:tc>
      </w:tr>
      <w:tr>
        <w:trPr>
          <w:trHeight w:val="161" w:hRule="exact"/>
        </w:trPr>
        <w:tc>
          <w:tcPr>
            <w:tcW w:w="1395" w:type="dxa"/>
            <w:vMerge/>
            <w:tcBorders>
              <w:left w:val="single" w:sz="4" w:space="0" w:color="000000"/>
              <w:right w:val="single" w:sz="4" w:space="0" w:color="000000"/>
            </w:tcBorders>
            <w:shd w:val="clear" w:color="auto" w:fill="D2D2D2"/>
          </w:tcPr>
          <w:p>
            <w:pPr/>
          </w:p>
        </w:tc>
        <w:tc>
          <w:tcPr>
            <w:tcW w:w="1288" w:type="dxa"/>
            <w:vMerge w:val="restart"/>
            <w:tcBorders>
              <w:top w:val="single" w:sz="4" w:space="0" w:color="000000"/>
              <w:left w:val="single" w:sz="4" w:space="0" w:color="000000"/>
              <w:right w:val="single" w:sz="4" w:space="0" w:color="000000"/>
            </w:tcBorders>
            <w:shd w:val="clear" w:color="auto" w:fill="D2D2D2"/>
          </w:tcPr>
          <w:p>
            <w:pPr/>
          </w:p>
        </w:tc>
        <w:tc>
          <w:tcPr>
            <w:tcW w:w="425" w:type="dxa"/>
            <w:tcBorders>
              <w:top w:val="single" w:sz="4" w:space="0" w:color="000000"/>
              <w:left w:val="single" w:sz="4" w:space="0" w:color="000000"/>
              <w:bottom w:val="nil" w:sz="6" w:space="0" w:color="auto"/>
              <w:right w:val="single" w:sz="4" w:space="0" w:color="000000"/>
            </w:tcBorders>
            <w:shd w:val="clear" w:color="auto" w:fill="D2D2D2"/>
          </w:tcPr>
          <w:p>
            <w:pPr/>
          </w:p>
        </w:tc>
        <w:tc>
          <w:tcPr>
            <w:tcW w:w="354" w:type="dxa"/>
            <w:tcBorders>
              <w:top w:val="single" w:sz="4" w:space="0" w:color="000000"/>
              <w:left w:val="single" w:sz="4" w:space="0" w:color="000000"/>
              <w:bottom w:val="nil" w:sz="6" w:space="0" w:color="auto"/>
              <w:right w:val="single" w:sz="4" w:space="0" w:color="000000"/>
            </w:tcBorders>
            <w:shd w:val="clear" w:color="auto" w:fill="D2D2D2"/>
          </w:tcPr>
          <w:p>
            <w:pPr/>
          </w:p>
        </w:tc>
        <w:tc>
          <w:tcPr>
            <w:tcW w:w="1348" w:type="dxa"/>
            <w:vMerge w:val="restart"/>
            <w:tcBorders>
              <w:top w:val="single" w:sz="4" w:space="0" w:color="000000"/>
              <w:left w:val="single" w:sz="4" w:space="0" w:color="000000"/>
              <w:right w:val="single" w:sz="4" w:space="0" w:color="000000"/>
            </w:tcBorders>
            <w:shd w:val="clear" w:color="auto" w:fill="D2D2D2"/>
          </w:tcPr>
          <w:p>
            <w:pPr/>
          </w:p>
        </w:tc>
        <w:tc>
          <w:tcPr>
            <w:tcW w:w="392" w:type="dxa"/>
            <w:vMerge w:val="restart"/>
            <w:tcBorders>
              <w:top w:val="single" w:sz="4" w:space="0" w:color="000000"/>
              <w:left w:val="single" w:sz="4" w:space="0" w:color="000000"/>
              <w:right w:val="single" w:sz="4" w:space="0" w:color="000000"/>
            </w:tcBorders>
            <w:shd w:val="clear" w:color="auto" w:fill="D2D2D2"/>
          </w:tcPr>
          <w:p>
            <w:pPr/>
          </w:p>
        </w:tc>
        <w:tc>
          <w:tcPr>
            <w:tcW w:w="1451" w:type="dxa"/>
            <w:vMerge w:val="restart"/>
            <w:tcBorders>
              <w:top w:val="single" w:sz="4" w:space="0" w:color="000000"/>
              <w:left w:val="single" w:sz="4" w:space="0" w:color="000000"/>
              <w:right w:val="single" w:sz="4" w:space="0" w:color="000000"/>
            </w:tcBorders>
            <w:shd w:val="clear" w:color="auto" w:fill="D2D2D2"/>
          </w:tcPr>
          <w:p>
            <w:pPr/>
          </w:p>
        </w:tc>
        <w:tc>
          <w:tcPr>
            <w:tcW w:w="289" w:type="dxa"/>
            <w:tcBorders>
              <w:top w:val="single" w:sz="4" w:space="0" w:color="000000"/>
              <w:left w:val="single" w:sz="4" w:space="0" w:color="000000"/>
              <w:bottom w:val="nil" w:sz="6" w:space="0" w:color="auto"/>
              <w:right w:val="single" w:sz="4" w:space="0" w:color="000000"/>
            </w:tcBorders>
            <w:shd w:val="clear" w:color="auto" w:fill="D2D2D2"/>
          </w:tcPr>
          <w:p>
            <w:pPr/>
          </w:p>
        </w:tc>
        <w:tc>
          <w:tcPr>
            <w:tcW w:w="1412" w:type="dxa"/>
            <w:vMerge w:val="restart"/>
            <w:tcBorders>
              <w:top w:val="single" w:sz="4" w:space="0" w:color="000000"/>
              <w:left w:val="single" w:sz="4" w:space="0" w:color="000000"/>
              <w:right w:val="single" w:sz="4" w:space="0" w:color="000000"/>
            </w:tcBorders>
            <w:shd w:val="clear" w:color="auto" w:fill="D2D2D2"/>
          </w:tcPr>
          <w:p>
            <w:pPr/>
          </w:p>
        </w:tc>
        <w:tc>
          <w:tcPr>
            <w:tcW w:w="850" w:type="dxa"/>
            <w:vMerge w:val="restart"/>
            <w:tcBorders>
              <w:top w:val="nil" w:sz="6" w:space="0" w:color="auto"/>
              <w:left w:val="single" w:sz="4" w:space="0" w:color="000000"/>
              <w:right w:val="single" w:sz="4" w:space="0" w:color="000000"/>
            </w:tcBorders>
            <w:shd w:val="clear" w:color="auto" w:fill="D2D2D2"/>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在被投</w:t>
            </w:r>
          </w:p>
          <w:p>
            <w:pPr>
              <w:pStyle w:val="TableParagraph"/>
              <w:spacing w:line="273" w:lineRule="auto" w:before="37"/>
              <w:ind w:left="104" w:right="103"/>
              <w:jc w:val="center"/>
              <w:rPr>
                <w:rFonts w:ascii="宋体" w:hAnsi="宋体" w:cs="宋体" w:eastAsia="宋体" w:hint="default"/>
                <w:sz w:val="21"/>
                <w:szCs w:val="21"/>
              </w:rPr>
            </w:pPr>
            <w:r>
              <w:rPr>
                <w:rFonts w:ascii="宋体" w:hAnsi="宋体" w:cs="宋体" w:eastAsia="宋体" w:hint="default"/>
                <w:sz w:val="21"/>
                <w:szCs w:val="21"/>
              </w:rPr>
              <w:t>资单位 持股比 例</w:t>
            </w:r>
          </w:p>
        </w:tc>
        <w:tc>
          <w:tcPr>
            <w:tcW w:w="349" w:type="dxa"/>
            <w:vMerge/>
            <w:tcBorders>
              <w:left w:val="single" w:sz="4" w:space="0" w:color="000000"/>
              <w:right w:val="single" w:sz="4" w:space="0" w:color="000000"/>
            </w:tcBorders>
            <w:shd w:val="clear" w:color="auto" w:fill="D2D2D2"/>
          </w:tcPr>
          <w:p>
            <w:pPr/>
          </w:p>
        </w:tc>
      </w:tr>
      <w:tr>
        <w:trPr>
          <w:trHeight w:val="289" w:hRule="exact"/>
        </w:trPr>
        <w:tc>
          <w:tcPr>
            <w:tcW w:w="1395" w:type="dxa"/>
            <w:vMerge/>
            <w:tcBorders>
              <w:left w:val="single" w:sz="4" w:space="0" w:color="000000"/>
              <w:bottom w:val="nil" w:sz="6" w:space="0" w:color="auto"/>
              <w:right w:val="single" w:sz="4" w:space="0" w:color="000000"/>
            </w:tcBorders>
            <w:shd w:val="clear" w:color="auto" w:fill="D2D2D2"/>
          </w:tcPr>
          <w:p>
            <w:pPr/>
          </w:p>
        </w:tc>
        <w:tc>
          <w:tcPr>
            <w:tcW w:w="1288" w:type="dxa"/>
            <w:vMerge/>
            <w:tcBorders>
              <w:left w:val="single" w:sz="4" w:space="0" w:color="000000"/>
              <w:right w:val="single" w:sz="4" w:space="0" w:color="000000"/>
            </w:tcBorders>
            <w:shd w:val="clear" w:color="auto" w:fill="D2D2D2"/>
          </w:tcPr>
          <w:p>
            <w:pPr/>
          </w:p>
        </w:tc>
        <w:tc>
          <w:tcPr>
            <w:tcW w:w="425" w:type="dxa"/>
            <w:vMerge w:val="restart"/>
            <w:tcBorders>
              <w:top w:val="nil" w:sz="6" w:space="0" w:color="auto"/>
              <w:left w:val="single" w:sz="4" w:space="0" w:color="000000"/>
              <w:right w:val="single" w:sz="4" w:space="0" w:color="000000"/>
            </w:tcBorders>
            <w:shd w:val="clear" w:color="auto" w:fill="D2D2D2"/>
          </w:tcPr>
          <w:p>
            <w:pPr>
              <w:pStyle w:val="TableParagraph"/>
              <w:spacing w:line="273" w:lineRule="auto" w:before="26"/>
              <w:ind w:left="101" w:right="101"/>
              <w:jc w:val="both"/>
              <w:rPr>
                <w:rFonts w:ascii="宋体" w:hAnsi="宋体" w:cs="宋体" w:eastAsia="宋体" w:hint="default"/>
                <w:sz w:val="21"/>
                <w:szCs w:val="21"/>
              </w:rPr>
            </w:pPr>
            <w:r>
              <w:rPr>
                <w:rFonts w:ascii="宋体" w:hAnsi="宋体" w:cs="宋体" w:eastAsia="宋体" w:hint="default"/>
                <w:sz w:val="21"/>
                <w:szCs w:val="21"/>
              </w:rPr>
              <w:t>本 期 增 加</w:t>
            </w:r>
          </w:p>
        </w:tc>
        <w:tc>
          <w:tcPr>
            <w:tcW w:w="354" w:type="dxa"/>
            <w:vMerge w:val="restart"/>
            <w:tcBorders>
              <w:top w:val="nil" w:sz="6" w:space="0" w:color="auto"/>
              <w:left w:val="single" w:sz="4" w:space="0" w:color="000000"/>
              <w:right w:val="single" w:sz="4" w:space="0" w:color="000000"/>
            </w:tcBorders>
            <w:shd w:val="clear" w:color="auto" w:fill="D2D2D2"/>
          </w:tcPr>
          <w:p>
            <w:pPr>
              <w:pStyle w:val="TableParagraph"/>
              <w:spacing w:line="273" w:lineRule="auto" w:before="26"/>
              <w:ind w:left="66" w:right="66"/>
              <w:jc w:val="both"/>
              <w:rPr>
                <w:rFonts w:ascii="宋体" w:hAnsi="宋体" w:cs="宋体" w:eastAsia="宋体" w:hint="default"/>
                <w:sz w:val="21"/>
                <w:szCs w:val="21"/>
              </w:rPr>
            </w:pPr>
            <w:r>
              <w:rPr>
                <w:rFonts w:ascii="宋体" w:hAnsi="宋体" w:cs="宋体" w:eastAsia="宋体" w:hint="default"/>
                <w:sz w:val="21"/>
                <w:szCs w:val="21"/>
              </w:rPr>
              <w:t>本 期 减 少</w:t>
            </w:r>
          </w:p>
        </w:tc>
        <w:tc>
          <w:tcPr>
            <w:tcW w:w="1348" w:type="dxa"/>
            <w:vMerge/>
            <w:tcBorders>
              <w:left w:val="single" w:sz="4" w:space="0" w:color="000000"/>
              <w:right w:val="single" w:sz="4" w:space="0" w:color="000000"/>
            </w:tcBorders>
            <w:shd w:val="clear" w:color="auto" w:fill="D2D2D2"/>
          </w:tcPr>
          <w:p>
            <w:pPr/>
          </w:p>
        </w:tc>
        <w:tc>
          <w:tcPr>
            <w:tcW w:w="392" w:type="dxa"/>
            <w:vMerge/>
            <w:tcBorders>
              <w:left w:val="single" w:sz="4" w:space="0" w:color="000000"/>
              <w:bottom w:val="nil" w:sz="6" w:space="0" w:color="auto"/>
              <w:right w:val="single" w:sz="4" w:space="0" w:color="000000"/>
            </w:tcBorders>
            <w:shd w:val="clear" w:color="auto" w:fill="D2D2D2"/>
          </w:tcPr>
          <w:p>
            <w:pPr/>
          </w:p>
        </w:tc>
        <w:tc>
          <w:tcPr>
            <w:tcW w:w="1451" w:type="dxa"/>
            <w:vMerge/>
            <w:tcBorders>
              <w:left w:val="single" w:sz="4" w:space="0" w:color="000000"/>
              <w:right w:val="single" w:sz="4" w:space="0" w:color="000000"/>
            </w:tcBorders>
            <w:shd w:val="clear" w:color="auto" w:fill="D2D2D2"/>
          </w:tcPr>
          <w:p>
            <w:pPr/>
          </w:p>
        </w:tc>
        <w:tc>
          <w:tcPr>
            <w:tcW w:w="289" w:type="dxa"/>
            <w:vMerge w:val="restart"/>
            <w:tcBorders>
              <w:top w:val="nil" w:sz="6" w:space="0" w:color="auto"/>
              <w:left w:val="single" w:sz="4" w:space="0" w:color="000000"/>
              <w:right w:val="single" w:sz="4" w:space="0" w:color="000000"/>
            </w:tcBorders>
            <w:shd w:val="clear" w:color="auto" w:fill="D2D2D2"/>
          </w:tcPr>
          <w:p>
            <w:pPr>
              <w:pStyle w:val="TableParagraph"/>
              <w:spacing w:line="273" w:lineRule="auto" w:before="26"/>
              <w:ind w:left="34" w:right="32"/>
              <w:jc w:val="both"/>
              <w:rPr>
                <w:rFonts w:ascii="宋体" w:hAnsi="宋体" w:cs="宋体" w:eastAsia="宋体" w:hint="default"/>
                <w:sz w:val="21"/>
                <w:szCs w:val="21"/>
              </w:rPr>
            </w:pPr>
            <w:r>
              <w:rPr>
                <w:rFonts w:ascii="宋体" w:hAnsi="宋体" w:cs="宋体" w:eastAsia="宋体" w:hint="default"/>
                <w:sz w:val="21"/>
                <w:szCs w:val="21"/>
              </w:rPr>
              <w:t>本 期 减 少</w:t>
            </w:r>
          </w:p>
        </w:tc>
        <w:tc>
          <w:tcPr>
            <w:tcW w:w="1412"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shd w:val="clear" w:color="auto" w:fill="D2D2D2"/>
          </w:tcPr>
          <w:p>
            <w:pPr/>
          </w:p>
        </w:tc>
        <w:tc>
          <w:tcPr>
            <w:tcW w:w="349" w:type="dxa"/>
            <w:vMerge/>
            <w:tcBorders>
              <w:left w:val="single" w:sz="4" w:space="0" w:color="000000"/>
              <w:right w:val="single" w:sz="4" w:space="0" w:color="000000"/>
            </w:tcBorders>
            <w:shd w:val="clear" w:color="auto" w:fill="D2D2D2"/>
          </w:tcPr>
          <w:p>
            <w:pPr/>
          </w:p>
        </w:tc>
      </w:tr>
      <w:tr>
        <w:trPr>
          <w:trHeight w:val="179" w:hRule="exact"/>
        </w:trPr>
        <w:tc>
          <w:tcPr>
            <w:tcW w:w="139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
              <w:ind w:left="167" w:right="0"/>
              <w:jc w:val="left"/>
              <w:rPr>
                <w:rFonts w:ascii="宋体" w:hAnsi="宋体" w:cs="宋体" w:eastAsia="宋体" w:hint="default"/>
                <w:sz w:val="21"/>
                <w:szCs w:val="21"/>
              </w:rPr>
            </w:pPr>
            <w:r>
              <w:rPr>
                <w:rFonts w:ascii="宋体" w:hAnsi="宋体" w:cs="宋体" w:eastAsia="宋体" w:hint="default"/>
                <w:sz w:val="21"/>
                <w:szCs w:val="21"/>
              </w:rPr>
              <w:t>被投资单位</w:t>
            </w:r>
          </w:p>
        </w:tc>
        <w:tc>
          <w:tcPr>
            <w:tcW w:w="1288" w:type="dxa"/>
            <w:vMerge/>
            <w:tcBorders>
              <w:left w:val="single" w:sz="4" w:space="0" w:color="000000"/>
              <w:bottom w:val="nil" w:sz="6" w:space="0" w:color="auto"/>
              <w:right w:val="single" w:sz="4" w:space="0" w:color="000000"/>
            </w:tcBorders>
            <w:shd w:val="clear" w:color="auto" w:fill="D2D2D2"/>
          </w:tcPr>
          <w:p>
            <w:pPr/>
          </w:p>
        </w:tc>
        <w:tc>
          <w:tcPr>
            <w:tcW w:w="425" w:type="dxa"/>
            <w:vMerge/>
            <w:tcBorders>
              <w:left w:val="single" w:sz="4" w:space="0" w:color="000000"/>
              <w:right w:val="single" w:sz="4" w:space="0" w:color="000000"/>
            </w:tcBorders>
            <w:shd w:val="clear" w:color="auto" w:fill="D2D2D2"/>
          </w:tcPr>
          <w:p>
            <w:pPr/>
          </w:p>
        </w:tc>
        <w:tc>
          <w:tcPr>
            <w:tcW w:w="354" w:type="dxa"/>
            <w:vMerge/>
            <w:tcBorders>
              <w:left w:val="single" w:sz="4" w:space="0" w:color="000000"/>
              <w:right w:val="single" w:sz="4" w:space="0" w:color="000000"/>
            </w:tcBorders>
            <w:shd w:val="clear" w:color="auto" w:fill="D2D2D2"/>
          </w:tcPr>
          <w:p>
            <w:pPr/>
          </w:p>
        </w:tc>
        <w:tc>
          <w:tcPr>
            <w:tcW w:w="1348" w:type="dxa"/>
            <w:vMerge/>
            <w:tcBorders>
              <w:left w:val="single" w:sz="4" w:space="0" w:color="000000"/>
              <w:bottom w:val="nil" w:sz="6" w:space="0" w:color="auto"/>
              <w:right w:val="single" w:sz="4" w:space="0" w:color="000000"/>
            </w:tcBorders>
            <w:shd w:val="clear" w:color="auto" w:fill="D2D2D2"/>
          </w:tcPr>
          <w:p>
            <w:pPr/>
          </w:p>
        </w:tc>
        <w:tc>
          <w:tcPr>
            <w:tcW w:w="392" w:type="dxa"/>
            <w:vMerge w:val="restart"/>
            <w:tcBorders>
              <w:top w:val="nil" w:sz="6" w:space="0" w:color="auto"/>
              <w:left w:val="single" w:sz="4" w:space="0" w:color="000000"/>
              <w:right w:val="single" w:sz="4" w:space="0" w:color="000000"/>
            </w:tcBorders>
            <w:shd w:val="clear" w:color="auto" w:fill="D2D2D2"/>
          </w:tcPr>
          <w:p>
            <w:pPr>
              <w:pStyle w:val="TableParagraph"/>
              <w:spacing w:line="273" w:lineRule="auto" w:before="48"/>
              <w:ind w:left="86" w:right="84"/>
              <w:jc w:val="left"/>
              <w:rPr>
                <w:rFonts w:ascii="宋体" w:hAnsi="宋体" w:cs="宋体" w:eastAsia="宋体" w:hint="default"/>
                <w:sz w:val="21"/>
                <w:szCs w:val="21"/>
              </w:rPr>
            </w:pPr>
            <w:r>
              <w:rPr>
                <w:rFonts w:ascii="宋体" w:hAnsi="宋体" w:cs="宋体" w:eastAsia="宋体" w:hint="default"/>
                <w:sz w:val="21"/>
                <w:szCs w:val="21"/>
              </w:rPr>
              <w:t>期 初</w:t>
            </w:r>
          </w:p>
        </w:tc>
        <w:tc>
          <w:tcPr>
            <w:tcW w:w="1451" w:type="dxa"/>
            <w:vMerge/>
            <w:tcBorders>
              <w:left w:val="single" w:sz="4" w:space="0" w:color="000000"/>
              <w:bottom w:val="nil" w:sz="6" w:space="0" w:color="auto"/>
              <w:right w:val="single" w:sz="4" w:space="0" w:color="000000"/>
            </w:tcBorders>
            <w:shd w:val="clear" w:color="auto" w:fill="D2D2D2"/>
          </w:tcPr>
          <w:p>
            <w:pPr/>
          </w:p>
        </w:tc>
        <w:tc>
          <w:tcPr>
            <w:tcW w:w="289" w:type="dxa"/>
            <w:vMerge/>
            <w:tcBorders>
              <w:left w:val="single" w:sz="4" w:space="0" w:color="000000"/>
              <w:right w:val="single" w:sz="4" w:space="0" w:color="000000"/>
            </w:tcBorders>
            <w:shd w:val="clear" w:color="auto" w:fill="D2D2D2"/>
          </w:tcPr>
          <w:p>
            <w:pPr/>
          </w:p>
        </w:tc>
        <w:tc>
          <w:tcPr>
            <w:tcW w:w="1412" w:type="dxa"/>
            <w:vMerge/>
            <w:tcBorders>
              <w:left w:val="single" w:sz="4" w:space="0" w:color="000000"/>
              <w:bottom w:val="nil" w:sz="6" w:space="0" w:color="auto"/>
              <w:right w:val="single" w:sz="4" w:space="0" w:color="000000"/>
            </w:tcBorders>
            <w:shd w:val="clear" w:color="auto" w:fill="D2D2D2"/>
          </w:tcPr>
          <w:p>
            <w:pPr/>
          </w:p>
        </w:tc>
        <w:tc>
          <w:tcPr>
            <w:tcW w:w="850" w:type="dxa"/>
            <w:vMerge/>
            <w:tcBorders>
              <w:left w:val="single" w:sz="4" w:space="0" w:color="000000"/>
              <w:right w:val="single" w:sz="4" w:space="0" w:color="000000"/>
            </w:tcBorders>
            <w:shd w:val="clear" w:color="auto" w:fill="D2D2D2"/>
          </w:tcPr>
          <w:p>
            <w:pPr/>
          </w:p>
        </w:tc>
        <w:tc>
          <w:tcPr>
            <w:tcW w:w="349" w:type="dxa"/>
            <w:vMerge/>
            <w:tcBorders>
              <w:left w:val="single" w:sz="4" w:space="0" w:color="000000"/>
              <w:right w:val="single" w:sz="4" w:space="0" w:color="000000"/>
            </w:tcBorders>
            <w:shd w:val="clear" w:color="auto" w:fill="D2D2D2"/>
          </w:tcPr>
          <w:p>
            <w:pPr/>
          </w:p>
        </w:tc>
      </w:tr>
      <w:tr>
        <w:trPr>
          <w:trHeight w:val="191" w:hRule="exact"/>
        </w:trPr>
        <w:tc>
          <w:tcPr>
            <w:tcW w:w="1395" w:type="dxa"/>
            <w:vMerge/>
            <w:tcBorders>
              <w:left w:val="single" w:sz="4" w:space="0" w:color="000000"/>
              <w:bottom w:val="nil" w:sz="6" w:space="0" w:color="auto"/>
              <w:right w:val="single" w:sz="4" w:space="0" w:color="000000"/>
            </w:tcBorders>
            <w:shd w:val="clear" w:color="auto" w:fill="D2D2D2"/>
          </w:tcPr>
          <w:p>
            <w:pPr/>
          </w:p>
        </w:tc>
        <w:tc>
          <w:tcPr>
            <w:tcW w:w="128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6"/>
              <w:ind w:left="434" w:right="0"/>
              <w:jc w:val="left"/>
              <w:rPr>
                <w:rFonts w:ascii="宋体" w:hAnsi="宋体" w:cs="宋体" w:eastAsia="宋体" w:hint="default"/>
                <w:sz w:val="21"/>
                <w:szCs w:val="21"/>
              </w:rPr>
            </w:pPr>
            <w:r>
              <w:rPr>
                <w:rFonts w:ascii="宋体" w:hAnsi="宋体" w:cs="宋体" w:eastAsia="宋体" w:hint="default"/>
                <w:sz w:val="21"/>
                <w:szCs w:val="21"/>
              </w:rPr>
              <w:t>期初</w:t>
            </w:r>
          </w:p>
        </w:tc>
        <w:tc>
          <w:tcPr>
            <w:tcW w:w="425" w:type="dxa"/>
            <w:vMerge/>
            <w:tcBorders>
              <w:left w:val="single" w:sz="4" w:space="0" w:color="000000"/>
              <w:right w:val="single" w:sz="4" w:space="0" w:color="000000"/>
            </w:tcBorders>
            <w:shd w:val="clear" w:color="auto" w:fill="D2D2D2"/>
          </w:tcPr>
          <w:p>
            <w:pPr/>
          </w:p>
        </w:tc>
        <w:tc>
          <w:tcPr>
            <w:tcW w:w="354" w:type="dxa"/>
            <w:vMerge/>
            <w:tcBorders>
              <w:left w:val="single" w:sz="4" w:space="0" w:color="000000"/>
              <w:right w:val="single" w:sz="4" w:space="0" w:color="000000"/>
            </w:tcBorders>
            <w:shd w:val="clear" w:color="auto" w:fill="D2D2D2"/>
          </w:tcPr>
          <w:p>
            <w:pPr/>
          </w:p>
        </w:tc>
        <w:tc>
          <w:tcPr>
            <w:tcW w:w="134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期末</w:t>
            </w:r>
          </w:p>
        </w:tc>
        <w:tc>
          <w:tcPr>
            <w:tcW w:w="392" w:type="dxa"/>
            <w:vMerge/>
            <w:tcBorders>
              <w:left w:val="single" w:sz="4" w:space="0" w:color="000000"/>
              <w:right w:val="single" w:sz="4" w:space="0" w:color="000000"/>
            </w:tcBorders>
            <w:shd w:val="clear" w:color="auto" w:fill="D2D2D2"/>
          </w:tcPr>
          <w:p>
            <w:pPr/>
          </w:p>
        </w:tc>
        <w:tc>
          <w:tcPr>
            <w:tcW w:w="145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6"/>
              <w:ind w:left="300"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289" w:type="dxa"/>
            <w:vMerge/>
            <w:tcBorders>
              <w:left w:val="single" w:sz="4" w:space="0" w:color="000000"/>
              <w:right w:val="single" w:sz="4" w:space="0" w:color="000000"/>
            </w:tcBorders>
            <w:shd w:val="clear" w:color="auto" w:fill="D2D2D2"/>
          </w:tcPr>
          <w:p>
            <w:pPr/>
          </w:p>
        </w:tc>
        <w:tc>
          <w:tcPr>
            <w:tcW w:w="141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期末</w:t>
            </w:r>
          </w:p>
        </w:tc>
        <w:tc>
          <w:tcPr>
            <w:tcW w:w="850" w:type="dxa"/>
            <w:vMerge/>
            <w:tcBorders>
              <w:left w:val="single" w:sz="4" w:space="0" w:color="000000"/>
              <w:right w:val="single" w:sz="4" w:space="0" w:color="000000"/>
            </w:tcBorders>
            <w:shd w:val="clear" w:color="auto" w:fill="D2D2D2"/>
          </w:tcPr>
          <w:p>
            <w:pPr/>
          </w:p>
        </w:tc>
        <w:tc>
          <w:tcPr>
            <w:tcW w:w="349" w:type="dxa"/>
            <w:vMerge/>
            <w:tcBorders>
              <w:left w:val="single" w:sz="4" w:space="0" w:color="000000"/>
              <w:right w:val="single" w:sz="4" w:space="0" w:color="000000"/>
            </w:tcBorders>
            <w:shd w:val="clear" w:color="auto" w:fill="D2D2D2"/>
          </w:tcPr>
          <w:p>
            <w:pPr/>
          </w:p>
        </w:tc>
      </w:tr>
      <w:tr>
        <w:trPr>
          <w:trHeight w:val="200" w:hRule="exact"/>
        </w:trPr>
        <w:tc>
          <w:tcPr>
            <w:tcW w:w="1395" w:type="dxa"/>
            <w:vMerge w:val="restart"/>
            <w:tcBorders>
              <w:top w:val="nil" w:sz="6" w:space="0" w:color="auto"/>
              <w:left w:val="single" w:sz="4" w:space="0" w:color="000000"/>
              <w:right w:val="single" w:sz="4" w:space="0" w:color="000000"/>
            </w:tcBorders>
            <w:shd w:val="clear" w:color="auto" w:fill="D2D2D2"/>
          </w:tcPr>
          <w:p>
            <w:pPr/>
          </w:p>
        </w:tc>
        <w:tc>
          <w:tcPr>
            <w:tcW w:w="1288" w:type="dxa"/>
            <w:vMerge/>
            <w:tcBorders>
              <w:left w:val="single" w:sz="4" w:space="0" w:color="000000"/>
              <w:bottom w:val="nil" w:sz="6" w:space="0" w:color="auto"/>
              <w:right w:val="single" w:sz="4" w:space="0" w:color="000000"/>
            </w:tcBorders>
            <w:shd w:val="clear" w:color="auto" w:fill="D2D2D2"/>
          </w:tcPr>
          <w:p>
            <w:pPr/>
          </w:p>
        </w:tc>
        <w:tc>
          <w:tcPr>
            <w:tcW w:w="425" w:type="dxa"/>
            <w:vMerge/>
            <w:tcBorders>
              <w:left w:val="single" w:sz="4" w:space="0" w:color="000000"/>
              <w:right w:val="single" w:sz="4" w:space="0" w:color="000000"/>
            </w:tcBorders>
            <w:shd w:val="clear" w:color="auto" w:fill="D2D2D2"/>
          </w:tcPr>
          <w:p>
            <w:pPr/>
          </w:p>
        </w:tc>
        <w:tc>
          <w:tcPr>
            <w:tcW w:w="354" w:type="dxa"/>
            <w:vMerge/>
            <w:tcBorders>
              <w:left w:val="single" w:sz="4" w:space="0" w:color="000000"/>
              <w:right w:val="single" w:sz="4" w:space="0" w:color="000000"/>
            </w:tcBorders>
            <w:shd w:val="clear" w:color="auto" w:fill="D2D2D2"/>
          </w:tcPr>
          <w:p>
            <w:pPr/>
          </w:p>
        </w:tc>
        <w:tc>
          <w:tcPr>
            <w:tcW w:w="1348" w:type="dxa"/>
            <w:vMerge/>
            <w:tcBorders>
              <w:left w:val="single" w:sz="4" w:space="0" w:color="000000"/>
              <w:bottom w:val="nil" w:sz="6" w:space="0" w:color="auto"/>
              <w:right w:val="single" w:sz="4" w:space="0" w:color="000000"/>
            </w:tcBorders>
            <w:shd w:val="clear" w:color="auto" w:fill="D2D2D2"/>
          </w:tcPr>
          <w:p>
            <w:pPr/>
          </w:p>
        </w:tc>
        <w:tc>
          <w:tcPr>
            <w:tcW w:w="392" w:type="dxa"/>
            <w:vMerge/>
            <w:tcBorders>
              <w:left w:val="single" w:sz="4" w:space="0" w:color="000000"/>
              <w:right w:val="single" w:sz="4" w:space="0" w:color="000000"/>
            </w:tcBorders>
            <w:shd w:val="clear" w:color="auto" w:fill="D2D2D2"/>
          </w:tcPr>
          <w:p>
            <w:pPr/>
          </w:p>
        </w:tc>
        <w:tc>
          <w:tcPr>
            <w:tcW w:w="1451" w:type="dxa"/>
            <w:vMerge/>
            <w:tcBorders>
              <w:left w:val="single" w:sz="4" w:space="0" w:color="000000"/>
              <w:bottom w:val="nil" w:sz="6" w:space="0" w:color="auto"/>
              <w:right w:val="single" w:sz="4" w:space="0" w:color="000000"/>
            </w:tcBorders>
            <w:shd w:val="clear" w:color="auto" w:fill="D2D2D2"/>
          </w:tcPr>
          <w:p>
            <w:pPr/>
          </w:p>
        </w:tc>
        <w:tc>
          <w:tcPr>
            <w:tcW w:w="289" w:type="dxa"/>
            <w:vMerge/>
            <w:tcBorders>
              <w:left w:val="single" w:sz="4" w:space="0" w:color="000000"/>
              <w:right w:val="single" w:sz="4" w:space="0" w:color="000000"/>
            </w:tcBorders>
            <w:shd w:val="clear" w:color="auto" w:fill="D2D2D2"/>
          </w:tcPr>
          <w:p>
            <w:pPr/>
          </w:p>
        </w:tc>
        <w:tc>
          <w:tcPr>
            <w:tcW w:w="1412" w:type="dxa"/>
            <w:vMerge/>
            <w:tcBorders>
              <w:left w:val="single" w:sz="4" w:space="0" w:color="000000"/>
              <w:bottom w:val="nil" w:sz="6" w:space="0" w:color="auto"/>
              <w:right w:val="single" w:sz="4" w:space="0" w:color="000000"/>
            </w:tcBorders>
            <w:shd w:val="clear" w:color="auto" w:fill="D2D2D2"/>
          </w:tcPr>
          <w:p>
            <w:pPr/>
          </w:p>
        </w:tc>
        <w:tc>
          <w:tcPr>
            <w:tcW w:w="850" w:type="dxa"/>
            <w:vMerge/>
            <w:tcBorders>
              <w:left w:val="single" w:sz="4" w:space="0" w:color="000000"/>
              <w:right w:val="single" w:sz="4" w:space="0" w:color="000000"/>
            </w:tcBorders>
            <w:shd w:val="clear" w:color="auto" w:fill="D2D2D2"/>
          </w:tcPr>
          <w:p>
            <w:pPr/>
          </w:p>
        </w:tc>
        <w:tc>
          <w:tcPr>
            <w:tcW w:w="349" w:type="dxa"/>
            <w:vMerge/>
            <w:tcBorders>
              <w:left w:val="single" w:sz="4" w:space="0" w:color="000000"/>
              <w:right w:val="single" w:sz="4" w:space="0" w:color="000000"/>
            </w:tcBorders>
            <w:shd w:val="clear" w:color="auto" w:fill="D2D2D2"/>
          </w:tcPr>
          <w:p>
            <w:pPr/>
          </w:p>
        </w:tc>
      </w:tr>
      <w:tr>
        <w:trPr>
          <w:trHeight w:val="156" w:hRule="exact"/>
        </w:trPr>
        <w:tc>
          <w:tcPr>
            <w:tcW w:w="1395" w:type="dxa"/>
            <w:vMerge/>
            <w:tcBorders>
              <w:left w:val="single" w:sz="4" w:space="0" w:color="000000"/>
              <w:right w:val="single" w:sz="4" w:space="0" w:color="000000"/>
            </w:tcBorders>
            <w:shd w:val="clear" w:color="auto" w:fill="D2D2D2"/>
          </w:tcPr>
          <w:p>
            <w:pPr/>
          </w:p>
        </w:tc>
        <w:tc>
          <w:tcPr>
            <w:tcW w:w="1288" w:type="dxa"/>
            <w:vMerge w:val="restart"/>
            <w:tcBorders>
              <w:top w:val="nil" w:sz="6" w:space="0" w:color="auto"/>
              <w:left w:val="single" w:sz="4" w:space="0" w:color="000000"/>
              <w:right w:val="single" w:sz="4" w:space="0" w:color="000000"/>
            </w:tcBorders>
            <w:shd w:val="clear" w:color="auto" w:fill="D2D2D2"/>
          </w:tcPr>
          <w:p>
            <w:pPr/>
          </w:p>
        </w:tc>
        <w:tc>
          <w:tcPr>
            <w:tcW w:w="425" w:type="dxa"/>
            <w:vMerge/>
            <w:tcBorders>
              <w:left w:val="single" w:sz="4" w:space="0" w:color="000000"/>
              <w:right w:val="single" w:sz="4" w:space="0" w:color="000000"/>
            </w:tcBorders>
            <w:shd w:val="clear" w:color="auto" w:fill="D2D2D2"/>
          </w:tcPr>
          <w:p>
            <w:pPr/>
          </w:p>
        </w:tc>
        <w:tc>
          <w:tcPr>
            <w:tcW w:w="354" w:type="dxa"/>
            <w:vMerge/>
            <w:tcBorders>
              <w:left w:val="single" w:sz="4" w:space="0" w:color="000000"/>
              <w:right w:val="single" w:sz="4" w:space="0" w:color="000000"/>
            </w:tcBorders>
            <w:shd w:val="clear" w:color="auto" w:fill="D2D2D2"/>
          </w:tcPr>
          <w:p>
            <w:pPr/>
          </w:p>
        </w:tc>
        <w:tc>
          <w:tcPr>
            <w:tcW w:w="1348" w:type="dxa"/>
            <w:vMerge w:val="restart"/>
            <w:tcBorders>
              <w:top w:val="nil" w:sz="6" w:space="0" w:color="auto"/>
              <w:left w:val="single" w:sz="4" w:space="0" w:color="000000"/>
              <w:right w:val="single" w:sz="4" w:space="0" w:color="000000"/>
            </w:tcBorders>
            <w:shd w:val="clear" w:color="auto" w:fill="D2D2D2"/>
          </w:tcPr>
          <w:p>
            <w:pPr/>
          </w:p>
        </w:tc>
        <w:tc>
          <w:tcPr>
            <w:tcW w:w="392" w:type="dxa"/>
            <w:vMerge/>
            <w:tcBorders>
              <w:left w:val="single" w:sz="4" w:space="0" w:color="000000"/>
              <w:bottom w:val="nil" w:sz="6" w:space="0" w:color="auto"/>
              <w:right w:val="single" w:sz="4" w:space="0" w:color="000000"/>
            </w:tcBorders>
            <w:shd w:val="clear" w:color="auto" w:fill="D2D2D2"/>
          </w:tcPr>
          <w:p>
            <w:pPr/>
          </w:p>
        </w:tc>
        <w:tc>
          <w:tcPr>
            <w:tcW w:w="1451" w:type="dxa"/>
            <w:vMerge w:val="restart"/>
            <w:tcBorders>
              <w:top w:val="nil" w:sz="6" w:space="0" w:color="auto"/>
              <w:left w:val="single" w:sz="4" w:space="0" w:color="000000"/>
              <w:right w:val="single" w:sz="4" w:space="0" w:color="000000"/>
            </w:tcBorders>
            <w:shd w:val="clear" w:color="auto" w:fill="D2D2D2"/>
          </w:tcPr>
          <w:p>
            <w:pPr/>
          </w:p>
        </w:tc>
        <w:tc>
          <w:tcPr>
            <w:tcW w:w="289" w:type="dxa"/>
            <w:vMerge/>
            <w:tcBorders>
              <w:left w:val="single" w:sz="4" w:space="0" w:color="000000"/>
              <w:right w:val="single" w:sz="4" w:space="0" w:color="000000"/>
            </w:tcBorders>
            <w:shd w:val="clear" w:color="auto" w:fill="D2D2D2"/>
          </w:tcPr>
          <w:p>
            <w:pPr/>
          </w:p>
        </w:tc>
        <w:tc>
          <w:tcPr>
            <w:tcW w:w="1412" w:type="dxa"/>
            <w:vMerge w:val="restart"/>
            <w:tcBorders>
              <w:top w:val="nil" w:sz="6" w:space="0" w:color="auto"/>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shd w:val="clear" w:color="auto" w:fill="D2D2D2"/>
          </w:tcPr>
          <w:p>
            <w:pPr/>
          </w:p>
        </w:tc>
        <w:tc>
          <w:tcPr>
            <w:tcW w:w="349" w:type="dxa"/>
            <w:vMerge/>
            <w:tcBorders>
              <w:left w:val="single" w:sz="4" w:space="0" w:color="000000"/>
              <w:right w:val="single" w:sz="4" w:space="0" w:color="000000"/>
            </w:tcBorders>
            <w:shd w:val="clear" w:color="auto" w:fill="D2D2D2"/>
          </w:tcPr>
          <w:p>
            <w:pPr/>
          </w:p>
        </w:tc>
      </w:tr>
      <w:tr>
        <w:trPr>
          <w:trHeight w:val="112" w:hRule="exact"/>
        </w:trPr>
        <w:tc>
          <w:tcPr>
            <w:tcW w:w="1395" w:type="dxa"/>
            <w:vMerge/>
            <w:tcBorders>
              <w:left w:val="single" w:sz="4" w:space="0" w:color="000000"/>
              <w:right w:val="single" w:sz="4" w:space="0" w:color="000000"/>
            </w:tcBorders>
            <w:shd w:val="clear" w:color="auto" w:fill="D2D2D2"/>
          </w:tcPr>
          <w:p>
            <w:pPr/>
          </w:p>
        </w:tc>
        <w:tc>
          <w:tcPr>
            <w:tcW w:w="1288" w:type="dxa"/>
            <w:vMerge/>
            <w:tcBorders>
              <w:left w:val="single" w:sz="4" w:space="0" w:color="000000"/>
              <w:right w:val="single" w:sz="4" w:space="0" w:color="000000"/>
            </w:tcBorders>
            <w:shd w:val="clear" w:color="auto" w:fill="D2D2D2"/>
          </w:tcPr>
          <w:p>
            <w:pPr/>
          </w:p>
        </w:tc>
        <w:tc>
          <w:tcPr>
            <w:tcW w:w="425" w:type="dxa"/>
            <w:vMerge/>
            <w:tcBorders>
              <w:left w:val="single" w:sz="4" w:space="0" w:color="000000"/>
              <w:right w:val="single" w:sz="4" w:space="0" w:color="000000"/>
            </w:tcBorders>
            <w:shd w:val="clear" w:color="auto" w:fill="D2D2D2"/>
          </w:tcPr>
          <w:p>
            <w:pPr/>
          </w:p>
        </w:tc>
        <w:tc>
          <w:tcPr>
            <w:tcW w:w="354" w:type="dxa"/>
            <w:vMerge/>
            <w:tcBorders>
              <w:left w:val="single" w:sz="4" w:space="0" w:color="000000"/>
              <w:right w:val="single" w:sz="4" w:space="0" w:color="000000"/>
            </w:tcBorders>
            <w:shd w:val="clear" w:color="auto" w:fill="D2D2D2"/>
          </w:tcPr>
          <w:p>
            <w:pPr/>
          </w:p>
        </w:tc>
        <w:tc>
          <w:tcPr>
            <w:tcW w:w="1348" w:type="dxa"/>
            <w:vMerge/>
            <w:tcBorders>
              <w:left w:val="single" w:sz="4" w:space="0" w:color="000000"/>
              <w:right w:val="single" w:sz="4" w:space="0" w:color="000000"/>
            </w:tcBorders>
            <w:shd w:val="clear" w:color="auto" w:fill="D2D2D2"/>
          </w:tcPr>
          <w:p>
            <w:pPr/>
          </w:p>
        </w:tc>
        <w:tc>
          <w:tcPr>
            <w:tcW w:w="392" w:type="dxa"/>
            <w:vMerge w:val="restart"/>
            <w:tcBorders>
              <w:top w:val="nil" w:sz="6" w:space="0" w:color="auto"/>
              <w:left w:val="single" w:sz="4" w:space="0" w:color="000000"/>
              <w:right w:val="single" w:sz="4" w:space="0" w:color="000000"/>
            </w:tcBorders>
            <w:shd w:val="clear" w:color="auto" w:fill="D2D2D2"/>
          </w:tcPr>
          <w:p>
            <w:pPr/>
          </w:p>
        </w:tc>
        <w:tc>
          <w:tcPr>
            <w:tcW w:w="1451" w:type="dxa"/>
            <w:vMerge/>
            <w:tcBorders>
              <w:left w:val="single" w:sz="4" w:space="0" w:color="000000"/>
              <w:right w:val="single" w:sz="4" w:space="0" w:color="000000"/>
            </w:tcBorders>
            <w:shd w:val="clear" w:color="auto" w:fill="D2D2D2"/>
          </w:tcPr>
          <w:p>
            <w:pPr/>
          </w:p>
        </w:tc>
        <w:tc>
          <w:tcPr>
            <w:tcW w:w="289" w:type="dxa"/>
            <w:vMerge/>
            <w:tcBorders>
              <w:left w:val="single" w:sz="4" w:space="0" w:color="000000"/>
              <w:right w:val="single" w:sz="4" w:space="0" w:color="000000"/>
            </w:tcBorders>
            <w:shd w:val="clear" w:color="auto" w:fill="D2D2D2"/>
          </w:tcPr>
          <w:p>
            <w:pPr/>
          </w:p>
        </w:tc>
        <w:tc>
          <w:tcPr>
            <w:tcW w:w="1412" w:type="dxa"/>
            <w:vMerge/>
            <w:tcBorders>
              <w:left w:val="single" w:sz="4" w:space="0" w:color="000000"/>
              <w:right w:val="single" w:sz="4" w:space="0" w:color="000000"/>
            </w:tcBorders>
            <w:shd w:val="clear" w:color="auto" w:fill="D2D2D2"/>
          </w:tcPr>
          <w:p>
            <w:pPr/>
          </w:p>
        </w:tc>
        <w:tc>
          <w:tcPr>
            <w:tcW w:w="850" w:type="dxa"/>
            <w:vMerge/>
            <w:tcBorders>
              <w:left w:val="single" w:sz="4" w:space="0" w:color="000000"/>
              <w:bottom w:val="nil" w:sz="6" w:space="0" w:color="auto"/>
              <w:right w:val="single" w:sz="4" w:space="0" w:color="000000"/>
            </w:tcBorders>
            <w:shd w:val="clear" w:color="auto" w:fill="D2D2D2"/>
          </w:tcPr>
          <w:p>
            <w:pPr/>
          </w:p>
        </w:tc>
        <w:tc>
          <w:tcPr>
            <w:tcW w:w="349" w:type="dxa"/>
            <w:vMerge/>
            <w:tcBorders>
              <w:left w:val="single" w:sz="4" w:space="0" w:color="000000"/>
              <w:right w:val="single" w:sz="4" w:space="0" w:color="000000"/>
            </w:tcBorders>
            <w:shd w:val="clear" w:color="auto" w:fill="D2D2D2"/>
          </w:tcPr>
          <w:p>
            <w:pPr/>
          </w:p>
        </w:tc>
      </w:tr>
      <w:tr>
        <w:trPr>
          <w:trHeight w:val="317" w:hRule="exact"/>
        </w:trPr>
        <w:tc>
          <w:tcPr>
            <w:tcW w:w="1395" w:type="dxa"/>
            <w:vMerge/>
            <w:tcBorders>
              <w:left w:val="single" w:sz="4" w:space="0" w:color="000000"/>
              <w:bottom w:val="single" w:sz="4" w:space="0" w:color="000000"/>
              <w:right w:val="single" w:sz="4" w:space="0" w:color="000000"/>
            </w:tcBorders>
            <w:shd w:val="clear" w:color="auto" w:fill="D2D2D2"/>
          </w:tcPr>
          <w:p>
            <w:pPr/>
          </w:p>
        </w:tc>
        <w:tc>
          <w:tcPr>
            <w:tcW w:w="1288" w:type="dxa"/>
            <w:vMerge/>
            <w:tcBorders>
              <w:left w:val="single" w:sz="4" w:space="0" w:color="000000"/>
              <w:bottom w:val="single" w:sz="4" w:space="0" w:color="000000"/>
              <w:right w:val="single" w:sz="4" w:space="0" w:color="000000"/>
            </w:tcBorders>
            <w:shd w:val="clear" w:color="auto" w:fill="D2D2D2"/>
          </w:tcPr>
          <w:p>
            <w:pPr/>
          </w:p>
        </w:tc>
        <w:tc>
          <w:tcPr>
            <w:tcW w:w="425" w:type="dxa"/>
            <w:vMerge/>
            <w:tcBorders>
              <w:left w:val="single" w:sz="4" w:space="0" w:color="000000"/>
              <w:bottom w:val="single" w:sz="4" w:space="0" w:color="000000"/>
              <w:right w:val="single" w:sz="4" w:space="0" w:color="000000"/>
            </w:tcBorders>
            <w:shd w:val="clear" w:color="auto" w:fill="D2D2D2"/>
          </w:tcPr>
          <w:p>
            <w:pPr/>
          </w:p>
        </w:tc>
        <w:tc>
          <w:tcPr>
            <w:tcW w:w="354" w:type="dxa"/>
            <w:vMerge/>
            <w:tcBorders>
              <w:left w:val="single" w:sz="4" w:space="0" w:color="000000"/>
              <w:bottom w:val="single" w:sz="4" w:space="0" w:color="000000"/>
              <w:right w:val="single" w:sz="4" w:space="0" w:color="000000"/>
            </w:tcBorders>
            <w:shd w:val="clear" w:color="auto" w:fill="D2D2D2"/>
          </w:tcPr>
          <w:p>
            <w:pPr/>
          </w:p>
        </w:tc>
        <w:tc>
          <w:tcPr>
            <w:tcW w:w="1348" w:type="dxa"/>
            <w:vMerge/>
            <w:tcBorders>
              <w:left w:val="single" w:sz="4" w:space="0" w:color="000000"/>
              <w:bottom w:val="single" w:sz="4" w:space="0" w:color="000000"/>
              <w:right w:val="single" w:sz="4" w:space="0" w:color="000000"/>
            </w:tcBorders>
            <w:shd w:val="clear" w:color="auto" w:fill="D2D2D2"/>
          </w:tcPr>
          <w:p>
            <w:pPr/>
          </w:p>
        </w:tc>
        <w:tc>
          <w:tcPr>
            <w:tcW w:w="392" w:type="dxa"/>
            <w:vMerge/>
            <w:tcBorders>
              <w:left w:val="single" w:sz="4" w:space="0" w:color="000000"/>
              <w:bottom w:val="single" w:sz="4" w:space="0" w:color="000000"/>
              <w:right w:val="single" w:sz="4" w:space="0" w:color="000000"/>
            </w:tcBorders>
            <w:shd w:val="clear" w:color="auto" w:fill="D2D2D2"/>
          </w:tcPr>
          <w:p>
            <w:pPr/>
          </w:p>
        </w:tc>
        <w:tc>
          <w:tcPr>
            <w:tcW w:w="1451" w:type="dxa"/>
            <w:vMerge/>
            <w:tcBorders>
              <w:left w:val="single" w:sz="4" w:space="0" w:color="000000"/>
              <w:bottom w:val="single" w:sz="4" w:space="0" w:color="000000"/>
              <w:right w:val="single" w:sz="4" w:space="0" w:color="000000"/>
            </w:tcBorders>
            <w:shd w:val="clear" w:color="auto" w:fill="D2D2D2"/>
          </w:tcPr>
          <w:p>
            <w:pPr/>
          </w:p>
        </w:tc>
        <w:tc>
          <w:tcPr>
            <w:tcW w:w="289" w:type="dxa"/>
            <w:vMerge/>
            <w:tcBorders>
              <w:left w:val="single" w:sz="4" w:space="0" w:color="000000"/>
              <w:bottom w:val="single" w:sz="4" w:space="0" w:color="000000"/>
              <w:right w:val="single" w:sz="4" w:space="0" w:color="000000"/>
            </w:tcBorders>
            <w:shd w:val="clear" w:color="auto" w:fill="D2D2D2"/>
          </w:tcPr>
          <w:p>
            <w:pPr/>
          </w:p>
        </w:tc>
        <w:tc>
          <w:tcPr>
            <w:tcW w:w="1412" w:type="dxa"/>
            <w:vMerge/>
            <w:tcBorders>
              <w:left w:val="single" w:sz="4" w:space="0" w:color="000000"/>
              <w:bottom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single" w:sz="4" w:space="0" w:color="000000"/>
              <w:right w:val="single" w:sz="4" w:space="0" w:color="000000"/>
            </w:tcBorders>
            <w:shd w:val="clear" w:color="auto" w:fill="D2D2D2"/>
          </w:tcPr>
          <w:p>
            <w:pPr/>
          </w:p>
        </w:tc>
        <w:tc>
          <w:tcPr>
            <w:tcW w:w="349"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11" w:right="112"/>
              <w:jc w:val="both"/>
              <w:rPr>
                <w:rFonts w:ascii="宋体" w:hAnsi="宋体" w:cs="宋体" w:eastAsia="宋体" w:hint="default"/>
                <w:sz w:val="21"/>
                <w:szCs w:val="21"/>
              </w:rPr>
            </w:pPr>
            <w:r>
              <w:rPr>
                <w:rFonts w:ascii="宋体" w:hAnsi="宋体" w:cs="宋体" w:eastAsia="宋体" w:hint="default"/>
                <w:sz w:val="21"/>
                <w:szCs w:val="21"/>
              </w:rPr>
              <w:t>北京七彩通达 传媒股份有限 公司</w:t>
            </w:r>
          </w:p>
        </w:tc>
        <w:tc>
          <w:tcPr>
            <w:tcW w:w="128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0"/>
              <w:jc w:val="right"/>
              <w:rPr>
                <w:rFonts w:ascii="宋体" w:hAnsi="宋体" w:cs="宋体" w:eastAsia="宋体" w:hint="default"/>
                <w:sz w:val="21"/>
                <w:szCs w:val="21"/>
              </w:rPr>
            </w:pPr>
            <w:r>
              <w:rPr>
                <w:rFonts w:ascii="宋体"/>
                <w:sz w:val="21"/>
              </w:rPr>
              <w:t>110,000,000</w:t>
            </w:r>
          </w:p>
          <w:p>
            <w:pPr>
              <w:pStyle w:val="TableParagraph"/>
              <w:spacing w:line="240" w:lineRule="auto" w:before="38"/>
              <w:ind w:right="20"/>
              <w:jc w:val="right"/>
              <w:rPr>
                <w:rFonts w:ascii="宋体" w:hAnsi="宋体" w:cs="宋体" w:eastAsia="宋体" w:hint="default"/>
                <w:sz w:val="21"/>
                <w:szCs w:val="21"/>
              </w:rPr>
            </w:pPr>
            <w:r>
              <w:rPr>
                <w:rFonts w:ascii="宋体"/>
                <w:sz w:val="21"/>
              </w:rPr>
              <w:t>.00</w:t>
            </w:r>
          </w:p>
        </w:tc>
        <w:tc>
          <w:tcPr>
            <w:tcW w:w="425" w:type="dxa"/>
            <w:tcBorders>
              <w:top w:val="single" w:sz="45" w:space="0" w:color="D2D2D2"/>
              <w:left w:val="single" w:sz="4" w:space="0" w:color="000000"/>
              <w:bottom w:val="single" w:sz="4" w:space="0" w:color="000000"/>
              <w:right w:val="single" w:sz="4" w:space="0" w:color="000000"/>
            </w:tcBorders>
          </w:tcPr>
          <w:p>
            <w:pPr/>
          </w:p>
        </w:tc>
        <w:tc>
          <w:tcPr>
            <w:tcW w:w="354" w:type="dxa"/>
            <w:tcBorders>
              <w:top w:val="single" w:sz="45" w:space="0" w:color="D2D2D2"/>
              <w:left w:val="single" w:sz="4" w:space="0" w:color="000000"/>
              <w:bottom w:val="single" w:sz="4" w:space="0" w:color="000000"/>
              <w:right w:val="single" w:sz="4" w:space="0" w:color="000000"/>
            </w:tcBorders>
          </w:tcPr>
          <w:p>
            <w:pP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1"/>
              <w:jc w:val="right"/>
              <w:rPr>
                <w:rFonts w:ascii="宋体" w:hAnsi="宋体" w:cs="宋体" w:eastAsia="宋体" w:hint="default"/>
                <w:sz w:val="21"/>
                <w:szCs w:val="21"/>
              </w:rPr>
            </w:pPr>
            <w:r>
              <w:rPr>
                <w:rFonts w:ascii="宋体"/>
                <w:sz w:val="21"/>
              </w:rPr>
              <w:t>110,000,000.</w:t>
            </w:r>
          </w:p>
          <w:p>
            <w:pPr>
              <w:pStyle w:val="TableParagraph"/>
              <w:spacing w:line="240" w:lineRule="auto" w:before="38"/>
              <w:ind w:right="20"/>
              <w:jc w:val="right"/>
              <w:rPr>
                <w:rFonts w:ascii="宋体" w:hAnsi="宋体" w:cs="宋体" w:eastAsia="宋体" w:hint="default"/>
                <w:sz w:val="21"/>
                <w:szCs w:val="21"/>
              </w:rPr>
            </w:pPr>
            <w:r>
              <w:rPr>
                <w:rFonts w:ascii="宋体"/>
                <w:sz w:val="21"/>
              </w:rPr>
              <w:t>00</w:t>
            </w:r>
          </w:p>
        </w:tc>
        <w:tc>
          <w:tcPr>
            <w:tcW w:w="392" w:type="dxa"/>
            <w:tcBorders>
              <w:top w:val="single" w:sz="4" w:space="0" w:color="000000"/>
              <w:left w:val="single" w:sz="4" w:space="0" w:color="000000"/>
              <w:bottom w:val="single" w:sz="4" w:space="0" w:color="000000"/>
              <w:right w:val="single" w:sz="4" w:space="0" w:color="000000"/>
            </w:tcBorders>
          </w:tcPr>
          <w:p>
            <w:pPr/>
          </w:p>
        </w:tc>
        <w:tc>
          <w:tcPr>
            <w:tcW w:w="1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1"/>
              <w:jc w:val="right"/>
              <w:rPr>
                <w:rFonts w:ascii="宋体" w:hAnsi="宋体" w:cs="宋体" w:eastAsia="宋体" w:hint="default"/>
                <w:sz w:val="21"/>
                <w:szCs w:val="21"/>
              </w:rPr>
            </w:pPr>
            <w:r>
              <w:rPr>
                <w:rFonts w:ascii="宋体"/>
                <w:sz w:val="21"/>
              </w:rPr>
              <w:t>110,000,000.0</w:t>
            </w:r>
          </w:p>
          <w:p>
            <w:pPr>
              <w:pStyle w:val="TableParagraph"/>
              <w:spacing w:line="240" w:lineRule="auto" w:before="38"/>
              <w:ind w:right="21"/>
              <w:jc w:val="right"/>
              <w:rPr>
                <w:rFonts w:ascii="宋体" w:hAnsi="宋体" w:cs="宋体" w:eastAsia="宋体" w:hint="default"/>
                <w:sz w:val="21"/>
                <w:szCs w:val="21"/>
              </w:rPr>
            </w:pPr>
            <w:r>
              <w:rPr>
                <w:rFonts w:ascii="宋体"/>
                <w:sz w:val="21"/>
              </w:rPr>
              <w:t>0</w:t>
            </w:r>
          </w:p>
        </w:tc>
        <w:tc>
          <w:tcPr>
            <w:tcW w:w="289" w:type="dxa"/>
            <w:tcBorders>
              <w:top w:val="single" w:sz="45" w:space="0" w:color="D2D2D2"/>
              <w:left w:val="single" w:sz="4" w:space="0" w:color="000000"/>
              <w:bottom w:val="single" w:sz="4" w:space="0" w:color="000000"/>
              <w:right w:val="single" w:sz="4" w:space="0" w:color="000000"/>
            </w:tcBorders>
          </w:tcPr>
          <w:p>
            <w:pP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0"/>
              <w:jc w:val="right"/>
              <w:rPr>
                <w:rFonts w:ascii="宋体" w:hAnsi="宋体" w:cs="宋体" w:eastAsia="宋体" w:hint="default"/>
                <w:sz w:val="21"/>
                <w:szCs w:val="21"/>
              </w:rPr>
            </w:pPr>
            <w:r>
              <w:rPr>
                <w:rFonts w:ascii="宋体"/>
                <w:sz w:val="21"/>
              </w:rPr>
              <w:t>110,000,000.</w:t>
            </w:r>
          </w:p>
          <w:p>
            <w:pPr>
              <w:pStyle w:val="TableParagraph"/>
              <w:spacing w:line="240" w:lineRule="auto" w:before="38"/>
              <w:ind w:right="20"/>
              <w:jc w:val="right"/>
              <w:rPr>
                <w:rFonts w:ascii="宋体" w:hAnsi="宋体" w:cs="宋体" w:eastAsia="宋体" w:hint="default"/>
                <w:sz w:val="21"/>
                <w:szCs w:val="21"/>
              </w:rPr>
            </w:pPr>
            <w:r>
              <w:rPr>
                <w:rFonts w:ascii="宋体"/>
                <w:sz w:val="21"/>
              </w:rPr>
              <w:t>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left="292" w:right="0"/>
              <w:jc w:val="left"/>
              <w:rPr>
                <w:rFonts w:ascii="宋体" w:hAnsi="宋体" w:cs="宋体" w:eastAsia="宋体" w:hint="default"/>
                <w:sz w:val="21"/>
                <w:szCs w:val="21"/>
              </w:rPr>
            </w:pPr>
            <w:r>
              <w:rPr>
                <w:rFonts w:ascii="宋体"/>
                <w:sz w:val="21"/>
              </w:rPr>
              <w:t>9.03%</w:t>
            </w:r>
          </w:p>
        </w:tc>
        <w:tc>
          <w:tcPr>
            <w:tcW w:w="34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11" w:right="112"/>
              <w:jc w:val="both"/>
              <w:rPr>
                <w:rFonts w:ascii="宋体" w:hAnsi="宋体" w:cs="宋体" w:eastAsia="宋体" w:hint="default"/>
                <w:sz w:val="21"/>
                <w:szCs w:val="21"/>
              </w:rPr>
            </w:pPr>
            <w:r>
              <w:rPr>
                <w:rFonts w:ascii="宋体" w:hAnsi="宋体" w:cs="宋体" w:eastAsia="宋体" w:hint="default"/>
                <w:sz w:val="21"/>
                <w:szCs w:val="21"/>
              </w:rPr>
              <w:t>北京智慧图科 技有限责任公 司</w:t>
            </w:r>
          </w:p>
        </w:tc>
        <w:tc>
          <w:tcPr>
            <w:tcW w:w="128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0"/>
              <w:jc w:val="right"/>
              <w:rPr>
                <w:rFonts w:ascii="宋体" w:hAnsi="宋体" w:cs="宋体" w:eastAsia="宋体" w:hint="default"/>
                <w:sz w:val="21"/>
                <w:szCs w:val="21"/>
              </w:rPr>
            </w:pPr>
            <w:r>
              <w:rPr>
                <w:rFonts w:ascii="宋体"/>
                <w:sz w:val="21"/>
              </w:rPr>
              <w:t>20,000,000.</w:t>
            </w:r>
          </w:p>
          <w:p>
            <w:pPr>
              <w:pStyle w:val="TableParagraph"/>
              <w:spacing w:line="240" w:lineRule="auto" w:before="38"/>
              <w:ind w:right="19"/>
              <w:jc w:val="right"/>
              <w:rPr>
                <w:rFonts w:ascii="宋体" w:hAnsi="宋体" w:cs="宋体" w:eastAsia="宋体" w:hint="default"/>
                <w:sz w:val="21"/>
                <w:szCs w:val="21"/>
              </w:rPr>
            </w:pPr>
            <w:r>
              <w:rPr>
                <w:rFonts w:ascii="宋体"/>
                <w:sz w:val="21"/>
              </w:rPr>
              <w:t>00</w:t>
            </w:r>
          </w:p>
        </w:tc>
        <w:tc>
          <w:tcPr>
            <w:tcW w:w="425" w:type="dxa"/>
            <w:tcBorders>
              <w:top w:val="single" w:sz="4" w:space="0" w:color="000000"/>
              <w:left w:val="single" w:sz="4" w:space="0" w:color="000000"/>
              <w:bottom w:val="single" w:sz="4" w:space="0" w:color="000000"/>
              <w:right w:val="single" w:sz="4" w:space="0" w:color="000000"/>
            </w:tcBorders>
          </w:tcPr>
          <w:p>
            <w:pPr/>
          </w:p>
        </w:tc>
        <w:tc>
          <w:tcPr>
            <w:tcW w:w="354" w:type="dxa"/>
            <w:tcBorders>
              <w:top w:val="single" w:sz="4" w:space="0" w:color="000000"/>
              <w:left w:val="single" w:sz="4" w:space="0" w:color="000000"/>
              <w:bottom w:val="single" w:sz="4" w:space="0" w:color="000000"/>
              <w:right w:val="single" w:sz="4" w:space="0" w:color="000000"/>
            </w:tcBorders>
          </w:tcPr>
          <w:p>
            <w:pP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1"/>
              <w:jc w:val="right"/>
              <w:rPr>
                <w:rFonts w:ascii="宋体" w:hAnsi="宋体" w:cs="宋体" w:eastAsia="宋体" w:hint="default"/>
                <w:sz w:val="21"/>
                <w:szCs w:val="21"/>
              </w:rPr>
            </w:pPr>
            <w:r>
              <w:rPr>
                <w:rFonts w:ascii="宋体"/>
                <w:sz w:val="21"/>
              </w:rPr>
              <w:t>20,000,000.0</w:t>
            </w:r>
          </w:p>
          <w:p>
            <w:pPr>
              <w:pStyle w:val="TableParagraph"/>
              <w:spacing w:line="240" w:lineRule="auto" w:before="38"/>
              <w:ind w:right="21"/>
              <w:jc w:val="right"/>
              <w:rPr>
                <w:rFonts w:ascii="宋体" w:hAnsi="宋体" w:cs="宋体" w:eastAsia="宋体" w:hint="default"/>
                <w:sz w:val="21"/>
                <w:szCs w:val="21"/>
              </w:rPr>
            </w:pPr>
            <w:r>
              <w:rPr>
                <w:rFonts w:ascii="宋体"/>
                <w:sz w:val="21"/>
              </w:rPr>
              <w:t>0</w:t>
            </w:r>
          </w:p>
        </w:tc>
        <w:tc>
          <w:tcPr>
            <w:tcW w:w="392" w:type="dxa"/>
            <w:tcBorders>
              <w:top w:val="single" w:sz="4" w:space="0" w:color="000000"/>
              <w:left w:val="single" w:sz="4" w:space="0" w:color="000000"/>
              <w:bottom w:val="single" w:sz="4" w:space="0" w:color="000000"/>
              <w:right w:val="single" w:sz="4" w:space="0" w:color="000000"/>
            </w:tcBorders>
          </w:tcPr>
          <w:p>
            <w:pPr/>
          </w:p>
        </w:tc>
        <w:tc>
          <w:tcPr>
            <w:tcW w:w="1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left="158" w:right="0"/>
              <w:jc w:val="left"/>
              <w:rPr>
                <w:rFonts w:ascii="宋体" w:hAnsi="宋体" w:cs="宋体" w:eastAsia="宋体" w:hint="default"/>
                <w:sz w:val="21"/>
                <w:szCs w:val="21"/>
              </w:rPr>
            </w:pPr>
            <w:r>
              <w:rPr>
                <w:rFonts w:ascii="宋体"/>
                <w:sz w:val="21"/>
              </w:rPr>
              <w:t>4,634,100.00</w:t>
            </w:r>
          </w:p>
        </w:tc>
        <w:tc>
          <w:tcPr>
            <w:tcW w:w="289" w:type="dxa"/>
            <w:tcBorders>
              <w:top w:val="single" w:sz="4" w:space="0" w:color="000000"/>
              <w:left w:val="single" w:sz="4" w:space="0" w:color="000000"/>
              <w:bottom w:val="single" w:sz="4" w:space="0" w:color="000000"/>
              <w:right w:val="single" w:sz="4" w:space="0" w:color="000000"/>
            </w:tcBorders>
          </w:tcPr>
          <w:p>
            <w:pP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left="119" w:right="0"/>
              <w:jc w:val="left"/>
              <w:rPr>
                <w:rFonts w:ascii="宋体" w:hAnsi="宋体" w:cs="宋体" w:eastAsia="宋体" w:hint="default"/>
                <w:sz w:val="21"/>
                <w:szCs w:val="21"/>
              </w:rPr>
            </w:pPr>
            <w:r>
              <w:rPr>
                <w:rFonts w:ascii="宋体"/>
                <w:sz w:val="21"/>
              </w:rPr>
              <w:t>4,634,100.00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left="292" w:right="0"/>
              <w:jc w:val="left"/>
              <w:rPr>
                <w:rFonts w:ascii="宋体" w:hAnsi="宋体" w:cs="宋体" w:eastAsia="宋体" w:hint="default"/>
                <w:sz w:val="21"/>
                <w:szCs w:val="21"/>
              </w:rPr>
            </w:pPr>
            <w:r>
              <w:rPr>
                <w:rFonts w:ascii="宋体"/>
                <w:sz w:val="21"/>
              </w:rPr>
              <w:t>2.44%</w:t>
            </w:r>
          </w:p>
        </w:tc>
        <w:tc>
          <w:tcPr>
            <w:tcW w:w="34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11" w:right="112"/>
              <w:jc w:val="both"/>
              <w:rPr>
                <w:rFonts w:ascii="宋体" w:hAnsi="宋体" w:cs="宋体" w:eastAsia="宋体" w:hint="default"/>
                <w:sz w:val="21"/>
                <w:szCs w:val="21"/>
              </w:rPr>
            </w:pPr>
            <w:r>
              <w:rPr>
                <w:rFonts w:ascii="宋体" w:hAnsi="宋体" w:cs="宋体" w:eastAsia="宋体" w:hint="default"/>
                <w:sz w:val="21"/>
                <w:szCs w:val="21"/>
              </w:rPr>
              <w:t>深圳丰图辉煌 基金管理中心 </w:t>
            </w:r>
            <w:r>
              <w:rPr>
                <w:rFonts w:ascii="宋体" w:hAnsi="宋体" w:cs="宋体" w:eastAsia="宋体" w:hint="default"/>
                <w:sz w:val="21"/>
                <w:szCs w:val="21"/>
              </w:rPr>
              <w:t>(</w:t>
            </w:r>
            <w:r>
              <w:rPr>
                <w:rFonts w:ascii="宋体" w:hAnsi="宋体" w:cs="宋体" w:eastAsia="宋体" w:hint="default"/>
                <w:sz w:val="21"/>
                <w:szCs w:val="21"/>
              </w:rPr>
              <w:t>有限合伙</w:t>
            </w:r>
            <w:r>
              <w:rPr>
                <w:rFonts w:ascii="宋体" w:hAnsi="宋体" w:cs="宋体" w:eastAsia="宋体" w:hint="default"/>
                <w:sz w:val="21"/>
                <w:szCs w:val="21"/>
              </w:rPr>
              <w:t>)</w:t>
            </w:r>
          </w:p>
        </w:tc>
        <w:tc>
          <w:tcPr>
            <w:tcW w:w="128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0"/>
              <w:jc w:val="right"/>
              <w:rPr>
                <w:rFonts w:ascii="宋体" w:hAnsi="宋体" w:cs="宋体" w:eastAsia="宋体" w:hint="default"/>
                <w:sz w:val="21"/>
                <w:szCs w:val="21"/>
              </w:rPr>
            </w:pPr>
            <w:r>
              <w:rPr>
                <w:rFonts w:ascii="宋体"/>
                <w:sz w:val="21"/>
              </w:rPr>
              <w:t>20,000,000.</w:t>
            </w:r>
          </w:p>
          <w:p>
            <w:pPr>
              <w:pStyle w:val="TableParagraph"/>
              <w:spacing w:line="240" w:lineRule="auto" w:before="38"/>
              <w:ind w:right="19"/>
              <w:jc w:val="right"/>
              <w:rPr>
                <w:rFonts w:ascii="宋体" w:hAnsi="宋体" w:cs="宋体" w:eastAsia="宋体" w:hint="default"/>
                <w:sz w:val="21"/>
                <w:szCs w:val="21"/>
              </w:rPr>
            </w:pPr>
            <w:r>
              <w:rPr>
                <w:rFonts w:ascii="宋体"/>
                <w:sz w:val="21"/>
              </w:rPr>
              <w:t>00</w:t>
            </w:r>
          </w:p>
        </w:tc>
        <w:tc>
          <w:tcPr>
            <w:tcW w:w="425" w:type="dxa"/>
            <w:tcBorders>
              <w:top w:val="single" w:sz="4" w:space="0" w:color="000000"/>
              <w:left w:val="single" w:sz="4" w:space="0" w:color="000000"/>
              <w:bottom w:val="single" w:sz="4" w:space="0" w:color="000000"/>
              <w:right w:val="single" w:sz="4" w:space="0" w:color="000000"/>
            </w:tcBorders>
          </w:tcPr>
          <w:p>
            <w:pPr/>
          </w:p>
        </w:tc>
        <w:tc>
          <w:tcPr>
            <w:tcW w:w="354" w:type="dxa"/>
            <w:tcBorders>
              <w:top w:val="single" w:sz="4" w:space="0" w:color="000000"/>
              <w:left w:val="single" w:sz="4" w:space="0" w:color="000000"/>
              <w:bottom w:val="single" w:sz="4" w:space="0" w:color="000000"/>
              <w:right w:val="single" w:sz="4" w:space="0" w:color="000000"/>
            </w:tcBorders>
          </w:tcPr>
          <w:p>
            <w:pP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1"/>
              <w:jc w:val="right"/>
              <w:rPr>
                <w:rFonts w:ascii="宋体" w:hAnsi="宋体" w:cs="宋体" w:eastAsia="宋体" w:hint="default"/>
                <w:sz w:val="21"/>
                <w:szCs w:val="21"/>
              </w:rPr>
            </w:pPr>
            <w:r>
              <w:rPr>
                <w:rFonts w:ascii="宋体"/>
                <w:sz w:val="21"/>
              </w:rPr>
              <w:t>20,000,000.0</w:t>
            </w:r>
          </w:p>
          <w:p>
            <w:pPr>
              <w:pStyle w:val="TableParagraph"/>
              <w:spacing w:line="240" w:lineRule="auto" w:before="38"/>
              <w:ind w:right="21"/>
              <w:jc w:val="right"/>
              <w:rPr>
                <w:rFonts w:ascii="宋体" w:hAnsi="宋体" w:cs="宋体" w:eastAsia="宋体" w:hint="default"/>
                <w:sz w:val="21"/>
                <w:szCs w:val="21"/>
              </w:rPr>
            </w:pPr>
            <w:r>
              <w:rPr>
                <w:rFonts w:ascii="宋体"/>
                <w:sz w:val="21"/>
              </w:rPr>
              <w:t>0</w:t>
            </w:r>
          </w:p>
        </w:tc>
        <w:tc>
          <w:tcPr>
            <w:tcW w:w="392" w:type="dxa"/>
            <w:tcBorders>
              <w:top w:val="single" w:sz="4" w:space="0" w:color="000000"/>
              <w:left w:val="single" w:sz="4" w:space="0" w:color="000000"/>
              <w:bottom w:val="single" w:sz="4" w:space="0" w:color="000000"/>
              <w:right w:val="single" w:sz="4" w:space="0" w:color="000000"/>
            </w:tcBorders>
          </w:tcPr>
          <w:p>
            <w:pPr/>
          </w:p>
        </w:tc>
        <w:tc>
          <w:tcPr>
            <w:tcW w:w="1451" w:type="dxa"/>
            <w:tcBorders>
              <w:top w:val="single" w:sz="4" w:space="0" w:color="000000"/>
              <w:left w:val="single" w:sz="4" w:space="0" w:color="000000"/>
              <w:bottom w:val="single" w:sz="4" w:space="0" w:color="000000"/>
              <w:right w:val="single" w:sz="4" w:space="0" w:color="000000"/>
            </w:tcBorders>
          </w:tcPr>
          <w:p>
            <w:pPr/>
          </w:p>
        </w:tc>
        <w:tc>
          <w:tcPr>
            <w:tcW w:w="289" w:type="dxa"/>
            <w:tcBorders>
              <w:top w:val="single" w:sz="4" w:space="0" w:color="000000"/>
              <w:left w:val="single" w:sz="4" w:space="0" w:color="000000"/>
              <w:bottom w:val="single" w:sz="4" w:space="0" w:color="000000"/>
              <w:right w:val="single" w:sz="4" w:space="0" w:color="000000"/>
            </w:tcBorders>
          </w:tcPr>
          <w:p>
            <w:pPr/>
          </w:p>
        </w:tc>
        <w:tc>
          <w:tcPr>
            <w:tcW w:w="141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349"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395" w:type="dxa"/>
            <w:tcBorders>
              <w:top w:val="single" w:sz="4" w:space="0" w:color="000000"/>
              <w:left w:val="single" w:sz="4" w:space="0" w:color="000000"/>
              <w:bottom w:val="nil" w:sz="6" w:space="0" w:color="auto"/>
              <w:right w:val="single" w:sz="4" w:space="0" w:color="000000"/>
            </w:tcBorders>
            <w:shd w:val="clear" w:color="auto" w:fill="D2D2D2"/>
          </w:tcPr>
          <w:p>
            <w:pPr/>
          </w:p>
        </w:tc>
        <w:tc>
          <w:tcPr>
            <w:tcW w:w="1288" w:type="dxa"/>
            <w:vMerge w:val="restart"/>
            <w:tcBorders>
              <w:top w:val="single" w:sz="4" w:space="0" w:color="000000"/>
              <w:left w:val="single" w:sz="9" w:space="0" w:color="D2D2D2"/>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150,000,000</w:t>
            </w:r>
          </w:p>
          <w:p>
            <w:pPr>
              <w:pStyle w:val="TableParagraph"/>
              <w:spacing w:line="240" w:lineRule="auto" w:before="38"/>
              <w:ind w:right="20"/>
              <w:jc w:val="right"/>
              <w:rPr>
                <w:rFonts w:ascii="宋体" w:hAnsi="宋体" w:cs="宋体" w:eastAsia="宋体" w:hint="default"/>
                <w:sz w:val="21"/>
                <w:szCs w:val="21"/>
              </w:rPr>
            </w:pPr>
            <w:r>
              <w:rPr>
                <w:rFonts w:ascii="宋体"/>
                <w:sz w:val="21"/>
              </w:rPr>
              <w:t>.00</w:t>
            </w:r>
          </w:p>
        </w:tc>
        <w:tc>
          <w:tcPr>
            <w:tcW w:w="425" w:type="dxa"/>
            <w:vMerge w:val="restart"/>
            <w:tcBorders>
              <w:top w:val="single" w:sz="4" w:space="0" w:color="000000"/>
              <w:left w:val="single" w:sz="4" w:space="0" w:color="000000"/>
              <w:right w:val="single" w:sz="4" w:space="0" w:color="000000"/>
            </w:tcBorders>
          </w:tcPr>
          <w:p>
            <w:pPr/>
          </w:p>
        </w:tc>
        <w:tc>
          <w:tcPr>
            <w:tcW w:w="354" w:type="dxa"/>
            <w:vMerge w:val="restart"/>
            <w:tcBorders>
              <w:top w:val="single" w:sz="4" w:space="0" w:color="000000"/>
              <w:left w:val="single" w:sz="4" w:space="0" w:color="000000"/>
              <w:right w:val="single" w:sz="4" w:space="0" w:color="000000"/>
            </w:tcBorders>
          </w:tcPr>
          <w:p>
            <w:pPr/>
          </w:p>
        </w:tc>
        <w:tc>
          <w:tcPr>
            <w:tcW w:w="1348" w:type="dxa"/>
            <w:vMerge w:val="restart"/>
            <w:tcBorders>
              <w:top w:val="single" w:sz="4" w:space="0" w:color="000000"/>
              <w:left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150,000,000.</w:t>
            </w:r>
          </w:p>
          <w:p>
            <w:pPr>
              <w:pStyle w:val="TableParagraph"/>
              <w:spacing w:line="240" w:lineRule="auto" w:before="38"/>
              <w:ind w:right="20"/>
              <w:jc w:val="right"/>
              <w:rPr>
                <w:rFonts w:ascii="宋体" w:hAnsi="宋体" w:cs="宋体" w:eastAsia="宋体" w:hint="default"/>
                <w:sz w:val="21"/>
                <w:szCs w:val="21"/>
              </w:rPr>
            </w:pPr>
            <w:r>
              <w:rPr>
                <w:rFonts w:ascii="宋体"/>
                <w:sz w:val="21"/>
              </w:rPr>
              <w:t>00</w:t>
            </w:r>
          </w:p>
        </w:tc>
        <w:tc>
          <w:tcPr>
            <w:tcW w:w="392" w:type="dxa"/>
            <w:vMerge w:val="restart"/>
            <w:tcBorders>
              <w:top w:val="single" w:sz="4" w:space="0" w:color="000000"/>
              <w:left w:val="single" w:sz="4" w:space="0" w:color="000000"/>
              <w:right w:val="single" w:sz="4" w:space="0" w:color="000000"/>
            </w:tcBorders>
          </w:tcPr>
          <w:p>
            <w:pPr/>
          </w:p>
        </w:tc>
        <w:tc>
          <w:tcPr>
            <w:tcW w:w="1451" w:type="dxa"/>
            <w:vMerge w:val="restart"/>
            <w:tcBorders>
              <w:top w:val="single" w:sz="4" w:space="0" w:color="000000"/>
              <w:left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114,634,100.0</w:t>
            </w:r>
          </w:p>
          <w:p>
            <w:pPr>
              <w:pStyle w:val="TableParagraph"/>
              <w:spacing w:line="240" w:lineRule="auto" w:before="38"/>
              <w:ind w:right="21"/>
              <w:jc w:val="right"/>
              <w:rPr>
                <w:rFonts w:ascii="宋体" w:hAnsi="宋体" w:cs="宋体" w:eastAsia="宋体" w:hint="default"/>
                <w:sz w:val="21"/>
                <w:szCs w:val="21"/>
              </w:rPr>
            </w:pPr>
            <w:r>
              <w:rPr>
                <w:rFonts w:ascii="宋体"/>
                <w:sz w:val="21"/>
              </w:rPr>
              <w:t>0</w:t>
            </w:r>
          </w:p>
        </w:tc>
        <w:tc>
          <w:tcPr>
            <w:tcW w:w="289" w:type="dxa"/>
            <w:vMerge w:val="restart"/>
            <w:tcBorders>
              <w:top w:val="single" w:sz="4" w:space="0" w:color="000000"/>
              <w:left w:val="single" w:sz="4" w:space="0" w:color="000000"/>
              <w:right w:val="single" w:sz="4" w:space="0" w:color="000000"/>
            </w:tcBorders>
          </w:tcPr>
          <w:p>
            <w:pPr/>
          </w:p>
        </w:tc>
        <w:tc>
          <w:tcPr>
            <w:tcW w:w="1412" w:type="dxa"/>
            <w:vMerge w:val="restart"/>
            <w:tcBorders>
              <w:top w:val="single" w:sz="4" w:space="0" w:color="000000"/>
              <w:left w:val="single" w:sz="4" w:space="0" w:color="000000"/>
              <w:right w:val="single" w:sz="9" w:space="0" w:color="D2D2D2"/>
            </w:tcBorders>
          </w:tcPr>
          <w:p>
            <w:pPr>
              <w:pStyle w:val="TableParagraph"/>
              <w:spacing w:line="240" w:lineRule="auto" w:before="26"/>
              <w:ind w:right="14"/>
              <w:jc w:val="right"/>
              <w:rPr>
                <w:rFonts w:ascii="宋体" w:hAnsi="宋体" w:cs="宋体" w:eastAsia="宋体" w:hint="default"/>
                <w:sz w:val="21"/>
                <w:szCs w:val="21"/>
              </w:rPr>
            </w:pPr>
            <w:r>
              <w:rPr>
                <w:rFonts w:ascii="宋体"/>
                <w:sz w:val="21"/>
              </w:rPr>
              <w:t>114,634,100.</w:t>
            </w:r>
          </w:p>
          <w:p>
            <w:pPr>
              <w:pStyle w:val="TableParagraph"/>
              <w:spacing w:line="240" w:lineRule="auto" w:before="38"/>
              <w:ind w:right="14"/>
              <w:jc w:val="right"/>
              <w:rPr>
                <w:rFonts w:ascii="宋体" w:hAnsi="宋体" w:cs="宋体" w:eastAsia="宋体" w:hint="default"/>
                <w:sz w:val="21"/>
                <w:szCs w:val="21"/>
              </w:rPr>
            </w:pPr>
            <w:r>
              <w:rPr>
                <w:rFonts w:ascii="宋体"/>
                <w:sz w:val="21"/>
              </w:rPr>
              <w:t>00</w:t>
            </w:r>
          </w:p>
        </w:tc>
        <w:tc>
          <w:tcPr>
            <w:tcW w:w="850" w:type="dxa"/>
            <w:tcBorders>
              <w:top w:val="single" w:sz="4" w:space="0" w:color="000000"/>
              <w:left w:val="single" w:sz="4" w:space="0" w:color="000000"/>
              <w:bottom w:val="nil" w:sz="6" w:space="0" w:color="auto"/>
              <w:right w:val="single" w:sz="4" w:space="0" w:color="000000"/>
            </w:tcBorders>
            <w:shd w:val="clear" w:color="auto" w:fill="D2D2D2"/>
          </w:tcPr>
          <w:p>
            <w:pPr/>
          </w:p>
        </w:tc>
        <w:tc>
          <w:tcPr>
            <w:tcW w:w="349" w:type="dxa"/>
            <w:vMerge w:val="restart"/>
            <w:tcBorders>
              <w:top w:val="single" w:sz="4" w:space="0" w:color="000000"/>
              <w:left w:val="single" w:sz="9" w:space="0" w:color="D2D2D2"/>
              <w:right w:val="single" w:sz="4" w:space="0" w:color="000000"/>
            </w:tcBorders>
          </w:tcPr>
          <w:p>
            <w:pPr/>
          </w:p>
        </w:tc>
      </w:tr>
      <w:tr>
        <w:trPr>
          <w:trHeight w:val="392" w:hRule="exact"/>
        </w:trPr>
        <w:tc>
          <w:tcPr>
            <w:tcW w:w="139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288" w:type="dxa"/>
            <w:vMerge/>
            <w:tcBorders>
              <w:left w:val="single" w:sz="9" w:space="0" w:color="D2D2D2"/>
              <w:right w:val="single" w:sz="4" w:space="0" w:color="000000"/>
            </w:tcBorders>
          </w:tcPr>
          <w:p>
            <w:pPr/>
          </w:p>
        </w:tc>
        <w:tc>
          <w:tcPr>
            <w:tcW w:w="425" w:type="dxa"/>
            <w:vMerge/>
            <w:tcBorders>
              <w:left w:val="single" w:sz="4" w:space="0" w:color="000000"/>
              <w:right w:val="single" w:sz="4" w:space="0" w:color="000000"/>
            </w:tcBorders>
          </w:tcPr>
          <w:p>
            <w:pPr/>
          </w:p>
        </w:tc>
        <w:tc>
          <w:tcPr>
            <w:tcW w:w="354" w:type="dxa"/>
            <w:vMerge/>
            <w:tcBorders>
              <w:left w:val="single" w:sz="4" w:space="0" w:color="000000"/>
              <w:right w:val="single" w:sz="4" w:space="0" w:color="000000"/>
            </w:tcBorders>
          </w:tcPr>
          <w:p>
            <w:pPr/>
          </w:p>
        </w:tc>
        <w:tc>
          <w:tcPr>
            <w:tcW w:w="1348" w:type="dxa"/>
            <w:vMerge/>
            <w:tcBorders>
              <w:left w:val="single" w:sz="4" w:space="0" w:color="000000"/>
              <w:right w:val="single" w:sz="4" w:space="0" w:color="000000"/>
            </w:tcBorders>
          </w:tcPr>
          <w:p>
            <w:pPr/>
          </w:p>
        </w:tc>
        <w:tc>
          <w:tcPr>
            <w:tcW w:w="392" w:type="dxa"/>
            <w:vMerge/>
            <w:tcBorders>
              <w:left w:val="single" w:sz="4" w:space="0" w:color="000000"/>
              <w:right w:val="single" w:sz="4" w:space="0" w:color="000000"/>
            </w:tcBorders>
          </w:tcPr>
          <w:p>
            <w:pPr/>
          </w:p>
        </w:tc>
        <w:tc>
          <w:tcPr>
            <w:tcW w:w="1451" w:type="dxa"/>
            <w:vMerge/>
            <w:tcBorders>
              <w:left w:val="single" w:sz="4" w:space="0" w:color="000000"/>
              <w:right w:val="single" w:sz="4" w:space="0" w:color="000000"/>
            </w:tcBorders>
          </w:tcPr>
          <w:p>
            <w:pPr/>
          </w:p>
        </w:tc>
        <w:tc>
          <w:tcPr>
            <w:tcW w:w="289" w:type="dxa"/>
            <w:vMerge/>
            <w:tcBorders>
              <w:left w:val="single" w:sz="4" w:space="0" w:color="000000"/>
              <w:right w:val="single" w:sz="4" w:space="0" w:color="000000"/>
            </w:tcBorders>
          </w:tcPr>
          <w:p>
            <w:pPr/>
          </w:p>
        </w:tc>
        <w:tc>
          <w:tcPr>
            <w:tcW w:w="1412" w:type="dxa"/>
            <w:vMerge/>
            <w:tcBorders>
              <w:left w:val="single" w:sz="4" w:space="0" w:color="000000"/>
              <w:right w:val="single" w:sz="9" w:space="0" w:color="D2D2D2"/>
            </w:tcBorders>
          </w:tcPr>
          <w:p>
            <w:pPr/>
          </w:p>
        </w:tc>
        <w:tc>
          <w:tcPr>
            <w:tcW w:w="85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6"/>
              <w:ind w:left="314" w:right="0"/>
              <w:jc w:val="left"/>
              <w:rPr>
                <w:rFonts w:ascii="宋体" w:hAnsi="宋体" w:cs="宋体" w:eastAsia="宋体" w:hint="default"/>
                <w:sz w:val="21"/>
                <w:szCs w:val="21"/>
              </w:rPr>
            </w:pPr>
            <w:r>
              <w:rPr>
                <w:rFonts w:ascii="宋体"/>
                <w:sz w:val="21"/>
              </w:rPr>
              <w:t>--</w:t>
            </w:r>
          </w:p>
        </w:tc>
        <w:tc>
          <w:tcPr>
            <w:tcW w:w="349" w:type="dxa"/>
            <w:vMerge/>
            <w:tcBorders>
              <w:left w:val="single" w:sz="9" w:space="0" w:color="D2D2D2"/>
              <w:right w:val="single" w:sz="4" w:space="0" w:color="000000"/>
            </w:tcBorders>
          </w:tcPr>
          <w:p>
            <w:pPr/>
          </w:p>
        </w:tc>
      </w:tr>
      <w:tr>
        <w:trPr>
          <w:trHeight w:val="161" w:hRule="exact"/>
        </w:trPr>
        <w:tc>
          <w:tcPr>
            <w:tcW w:w="1395" w:type="dxa"/>
            <w:tcBorders>
              <w:top w:val="nil" w:sz="6" w:space="0" w:color="auto"/>
              <w:left w:val="single" w:sz="4" w:space="0" w:color="000000"/>
              <w:bottom w:val="single" w:sz="4" w:space="0" w:color="000000"/>
              <w:right w:val="single" w:sz="4" w:space="0" w:color="000000"/>
            </w:tcBorders>
            <w:shd w:val="clear" w:color="auto" w:fill="D2D2D2"/>
          </w:tcPr>
          <w:p>
            <w:pPr/>
          </w:p>
        </w:tc>
        <w:tc>
          <w:tcPr>
            <w:tcW w:w="1288" w:type="dxa"/>
            <w:vMerge/>
            <w:tcBorders>
              <w:left w:val="single" w:sz="9" w:space="0" w:color="D2D2D2"/>
              <w:bottom w:val="single" w:sz="4" w:space="0" w:color="000000"/>
              <w:right w:val="single" w:sz="4" w:space="0" w:color="000000"/>
            </w:tcBorders>
          </w:tcPr>
          <w:p>
            <w:pPr/>
          </w:p>
        </w:tc>
        <w:tc>
          <w:tcPr>
            <w:tcW w:w="425" w:type="dxa"/>
            <w:vMerge/>
            <w:tcBorders>
              <w:left w:val="single" w:sz="4" w:space="0" w:color="000000"/>
              <w:bottom w:val="single" w:sz="4" w:space="0" w:color="000000"/>
              <w:right w:val="single" w:sz="4" w:space="0" w:color="000000"/>
            </w:tcBorders>
          </w:tcPr>
          <w:p>
            <w:pPr/>
          </w:p>
        </w:tc>
        <w:tc>
          <w:tcPr>
            <w:tcW w:w="354" w:type="dxa"/>
            <w:vMerge/>
            <w:tcBorders>
              <w:left w:val="single" w:sz="4" w:space="0" w:color="000000"/>
              <w:bottom w:val="single" w:sz="4" w:space="0" w:color="000000"/>
              <w:right w:val="single" w:sz="4" w:space="0" w:color="000000"/>
            </w:tcBorders>
          </w:tcPr>
          <w:p>
            <w:pPr/>
          </w:p>
        </w:tc>
        <w:tc>
          <w:tcPr>
            <w:tcW w:w="1348" w:type="dxa"/>
            <w:vMerge/>
            <w:tcBorders>
              <w:left w:val="single" w:sz="4" w:space="0" w:color="000000"/>
              <w:bottom w:val="single" w:sz="4" w:space="0" w:color="000000"/>
              <w:right w:val="single" w:sz="4" w:space="0" w:color="000000"/>
            </w:tcBorders>
          </w:tcPr>
          <w:p>
            <w:pPr/>
          </w:p>
        </w:tc>
        <w:tc>
          <w:tcPr>
            <w:tcW w:w="392" w:type="dxa"/>
            <w:vMerge/>
            <w:tcBorders>
              <w:left w:val="single" w:sz="4" w:space="0" w:color="000000"/>
              <w:bottom w:val="single" w:sz="4" w:space="0" w:color="000000"/>
              <w:right w:val="single" w:sz="4" w:space="0" w:color="000000"/>
            </w:tcBorders>
          </w:tcPr>
          <w:p>
            <w:pPr/>
          </w:p>
        </w:tc>
        <w:tc>
          <w:tcPr>
            <w:tcW w:w="1451" w:type="dxa"/>
            <w:vMerge/>
            <w:tcBorders>
              <w:left w:val="single" w:sz="4" w:space="0" w:color="000000"/>
              <w:bottom w:val="single" w:sz="4" w:space="0" w:color="000000"/>
              <w:right w:val="single" w:sz="4" w:space="0" w:color="000000"/>
            </w:tcBorders>
          </w:tcPr>
          <w:p>
            <w:pPr/>
          </w:p>
        </w:tc>
        <w:tc>
          <w:tcPr>
            <w:tcW w:w="289" w:type="dxa"/>
            <w:vMerge/>
            <w:tcBorders>
              <w:left w:val="single" w:sz="4" w:space="0" w:color="000000"/>
              <w:bottom w:val="single" w:sz="4" w:space="0" w:color="000000"/>
              <w:right w:val="single" w:sz="4" w:space="0" w:color="000000"/>
            </w:tcBorders>
          </w:tcPr>
          <w:p>
            <w:pPr/>
          </w:p>
        </w:tc>
        <w:tc>
          <w:tcPr>
            <w:tcW w:w="1412" w:type="dxa"/>
            <w:vMerge/>
            <w:tcBorders>
              <w:left w:val="single" w:sz="4" w:space="0" w:color="000000"/>
              <w:bottom w:val="single" w:sz="4" w:space="0" w:color="000000"/>
              <w:right w:val="single" w:sz="9" w:space="0" w:color="D2D2D2"/>
            </w:tcBorders>
          </w:tcPr>
          <w:p>
            <w:pPr/>
          </w:p>
        </w:tc>
        <w:tc>
          <w:tcPr>
            <w:tcW w:w="850" w:type="dxa"/>
            <w:tcBorders>
              <w:top w:val="nil" w:sz="6" w:space="0" w:color="auto"/>
              <w:left w:val="single" w:sz="4" w:space="0" w:color="000000"/>
              <w:bottom w:val="single" w:sz="4" w:space="0" w:color="000000"/>
              <w:right w:val="single" w:sz="4" w:space="0" w:color="000000"/>
            </w:tcBorders>
            <w:shd w:val="clear" w:color="auto" w:fill="D2D2D2"/>
          </w:tcPr>
          <w:p>
            <w:pPr/>
          </w:p>
        </w:tc>
        <w:tc>
          <w:tcPr>
            <w:tcW w:w="349" w:type="dxa"/>
            <w:vMerge/>
            <w:tcBorders>
              <w:left w:val="single" w:sz="9" w:space="0" w:color="D2D2D2"/>
              <w:bottom w:val="single" w:sz="4" w:space="0" w:color="000000"/>
              <w:right w:val="single" w:sz="4" w:space="0" w:color="000000"/>
            </w:tcBorders>
          </w:tcPr>
          <w:p>
            <w:pPr/>
          </w:p>
        </w:tc>
      </w:tr>
    </w:tbl>
    <w:p>
      <w:pPr>
        <w:spacing w:line="240" w:lineRule="auto" w:before="10"/>
        <w:rPr>
          <w:rFonts w:ascii="宋体" w:hAnsi="宋体" w:cs="宋体" w:eastAsia="宋体" w:hint="default"/>
          <w:sz w:val="4"/>
          <w:szCs w:val="4"/>
        </w:rPr>
      </w:pPr>
    </w:p>
    <w:p>
      <w:pPr>
        <w:pStyle w:val="Heading2"/>
        <w:spacing w:line="240" w:lineRule="auto"/>
        <w:ind w:right="996"/>
        <w:jc w:val="left"/>
        <w:rPr>
          <w:b w:val="0"/>
          <w:bCs w:val="0"/>
        </w:rPr>
      </w:pPr>
      <w:bookmarkStart w:name="（4）报告期内可供出售金融资产减值的变动情况" w:id="289"/>
      <w:bookmarkEnd w:id="289"/>
      <w:r>
        <w:rPr>
          <w:b w:val="0"/>
          <w:bCs w:val="0"/>
        </w:rPr>
      </w:r>
      <w:r>
        <w:rPr/>
        <w:t>（</w:t>
      </w:r>
      <w:r>
        <w:rPr>
          <w:rFonts w:ascii="宋体" w:hAnsi="宋体" w:cs="宋体" w:eastAsia="宋体" w:hint="default"/>
        </w:rPr>
        <w:t>4</w:t>
      </w:r>
      <w:r>
        <w:rPr/>
        <w:t>）报告期内可供出售金融资产减值的变动情况</w:t>
      </w:r>
      <w:r>
        <w:rPr>
          <w:b w:val="0"/>
          <w:bCs w:val="0"/>
        </w:rPr>
      </w:r>
    </w:p>
    <w:p>
      <w:pPr>
        <w:spacing w:line="240" w:lineRule="auto" w:before="9"/>
        <w:rPr>
          <w:rFonts w:ascii="宋体" w:hAnsi="宋体" w:cs="宋体" w:eastAsia="宋体" w:hint="default"/>
          <w:b/>
          <w:bCs/>
          <w:sz w:val="12"/>
          <w:szCs w:val="12"/>
        </w:rPr>
      </w:pPr>
    </w:p>
    <w:p>
      <w:pPr>
        <w:spacing w:before="35"/>
        <w:ind w:left="0" w:right="1129" w:firstLine="0"/>
        <w:jc w:val="right"/>
        <w:rPr>
          <w:rFonts w:ascii="宋体" w:hAnsi="宋体" w:cs="宋体" w:eastAsia="宋体" w:hint="default"/>
          <w:sz w:val="21"/>
          <w:szCs w:val="21"/>
        </w:rPr>
      </w:pPr>
      <w:r>
        <w:rPr>
          <w:rFonts w:ascii="宋体" w:hAnsi="宋体" w:cs="宋体" w:eastAsia="宋体" w:hint="default"/>
          <w:sz w:val="21"/>
          <w:szCs w:val="21"/>
        </w:rPr>
        <w:t>单位： 元</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1892"/>
        <w:gridCol w:w="1926"/>
        <w:gridCol w:w="1914"/>
        <w:gridCol w:w="1914"/>
        <w:gridCol w:w="1914"/>
      </w:tblGrid>
      <w:tr>
        <w:trPr>
          <w:trHeight w:val="161" w:hRule="exact"/>
        </w:trPr>
        <w:tc>
          <w:tcPr>
            <w:tcW w:w="1892"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26"/>
              <w:ind w:left="730" w:right="99" w:hanging="631"/>
              <w:jc w:val="left"/>
              <w:rPr>
                <w:rFonts w:ascii="宋体" w:hAnsi="宋体" w:cs="宋体" w:eastAsia="宋体" w:hint="default"/>
                <w:sz w:val="21"/>
                <w:szCs w:val="21"/>
              </w:rPr>
            </w:pPr>
            <w:r>
              <w:rPr>
                <w:rFonts w:ascii="宋体" w:hAnsi="宋体" w:cs="宋体" w:eastAsia="宋体" w:hint="default"/>
                <w:sz w:val="21"/>
                <w:szCs w:val="21"/>
              </w:rPr>
              <w:t>可供出售金融资产 分类</w:t>
            </w:r>
          </w:p>
        </w:tc>
        <w:tc>
          <w:tcPr>
            <w:tcW w:w="1926"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4"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4"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1892" w:type="dxa"/>
            <w:vMerge/>
            <w:tcBorders>
              <w:left w:val="single" w:sz="4" w:space="0" w:color="000000"/>
              <w:right w:val="single" w:sz="4" w:space="0" w:color="000000"/>
            </w:tcBorders>
            <w:shd w:val="clear" w:color="auto" w:fill="D2D2D2"/>
          </w:tcPr>
          <w:p>
            <w:pPr/>
          </w:p>
        </w:tc>
        <w:tc>
          <w:tcPr>
            <w:tcW w:w="192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6"/>
              <w:ind w:left="122" w:right="0"/>
              <w:jc w:val="left"/>
              <w:rPr>
                <w:rFonts w:ascii="宋体" w:hAnsi="宋体" w:cs="宋体" w:eastAsia="宋体" w:hint="default"/>
                <w:sz w:val="21"/>
                <w:szCs w:val="21"/>
              </w:rPr>
            </w:pPr>
            <w:r>
              <w:rPr>
                <w:rFonts w:ascii="宋体" w:hAnsi="宋体" w:cs="宋体" w:eastAsia="宋体" w:hint="default"/>
                <w:sz w:val="21"/>
                <w:szCs w:val="21"/>
              </w:rPr>
              <w:t>可供出售权益工具</w:t>
            </w:r>
          </w:p>
        </w:tc>
        <w:tc>
          <w:tcPr>
            <w:tcW w:w="191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6"/>
              <w:ind w:left="111" w:right="0"/>
              <w:jc w:val="left"/>
              <w:rPr>
                <w:rFonts w:ascii="宋体" w:hAnsi="宋体" w:cs="宋体" w:eastAsia="宋体" w:hint="default"/>
                <w:sz w:val="21"/>
                <w:szCs w:val="21"/>
              </w:rPr>
            </w:pPr>
            <w:r>
              <w:rPr>
                <w:rFonts w:ascii="宋体" w:hAnsi="宋体" w:cs="宋体" w:eastAsia="宋体" w:hint="default"/>
                <w:sz w:val="21"/>
                <w:szCs w:val="21"/>
              </w:rPr>
              <w:t>可供出售债务工具</w:t>
            </w:r>
          </w:p>
        </w:tc>
        <w:tc>
          <w:tcPr>
            <w:tcW w:w="1914" w:type="dxa"/>
            <w:tcBorders>
              <w:top w:val="nil" w:sz="6" w:space="0" w:color="auto"/>
              <w:left w:val="single" w:sz="4" w:space="0" w:color="000000"/>
              <w:bottom w:val="nil" w:sz="6" w:space="0" w:color="auto"/>
              <w:right w:val="single" w:sz="4" w:space="0" w:color="000000"/>
            </w:tcBorders>
            <w:shd w:val="clear" w:color="auto" w:fill="D2D2D2"/>
          </w:tcPr>
          <w:p>
            <w:pPr/>
          </w:p>
        </w:tc>
        <w:tc>
          <w:tcPr>
            <w:tcW w:w="191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合计</w:t>
            </w:r>
          </w:p>
        </w:tc>
      </w:tr>
      <w:tr>
        <w:trPr>
          <w:trHeight w:val="161" w:hRule="exact"/>
        </w:trPr>
        <w:tc>
          <w:tcPr>
            <w:tcW w:w="1892" w:type="dxa"/>
            <w:vMerge/>
            <w:tcBorders>
              <w:left w:val="single" w:sz="4" w:space="0" w:color="000000"/>
              <w:bottom w:val="single" w:sz="4" w:space="0" w:color="000000"/>
              <w:right w:val="single" w:sz="4" w:space="0" w:color="000000"/>
            </w:tcBorders>
            <w:shd w:val="clear" w:color="auto" w:fill="D2D2D2"/>
          </w:tcPr>
          <w:p>
            <w:pPr/>
          </w:p>
        </w:tc>
        <w:tc>
          <w:tcPr>
            <w:tcW w:w="1926"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4"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4"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714"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11" w:right="188"/>
              <w:jc w:val="left"/>
              <w:rPr>
                <w:rFonts w:ascii="宋体" w:hAnsi="宋体" w:cs="宋体" w:eastAsia="宋体" w:hint="default"/>
                <w:sz w:val="21"/>
                <w:szCs w:val="21"/>
              </w:rPr>
            </w:pPr>
            <w:r>
              <w:rPr>
                <w:rFonts w:ascii="宋体" w:hAnsi="宋体" w:cs="宋体" w:eastAsia="宋体" w:hint="default"/>
                <w:sz w:val="21"/>
                <w:szCs w:val="21"/>
              </w:rPr>
              <w:t>期初已计提减值余 额</w:t>
            </w:r>
          </w:p>
        </w:tc>
        <w:tc>
          <w:tcPr>
            <w:tcW w:w="1926"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本期计提</w:t>
            </w:r>
          </w:p>
        </w:tc>
        <w:tc>
          <w:tcPr>
            <w:tcW w:w="192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114,634,100.00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114,634,100.00</w:t>
            </w:r>
          </w:p>
        </w:tc>
      </w:tr>
      <w:tr>
        <w:trPr>
          <w:trHeight w:val="714"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11" w:right="188"/>
              <w:jc w:val="left"/>
              <w:rPr>
                <w:rFonts w:ascii="宋体" w:hAnsi="宋体" w:cs="宋体" w:eastAsia="宋体" w:hint="default"/>
                <w:sz w:val="21"/>
                <w:szCs w:val="21"/>
              </w:rPr>
            </w:pPr>
            <w:r>
              <w:rPr>
                <w:rFonts w:ascii="宋体" w:hAnsi="宋体" w:cs="宋体" w:eastAsia="宋体" w:hint="default"/>
                <w:sz w:val="21"/>
                <w:szCs w:val="21"/>
              </w:rPr>
              <w:t>期末已计提减值余 额</w:t>
            </w:r>
          </w:p>
        </w:tc>
        <w:tc>
          <w:tcPr>
            <w:tcW w:w="192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1"/>
              <w:jc w:val="right"/>
              <w:rPr>
                <w:rFonts w:ascii="宋体" w:hAnsi="宋体" w:cs="宋体" w:eastAsia="宋体" w:hint="default"/>
                <w:sz w:val="21"/>
                <w:szCs w:val="21"/>
              </w:rPr>
            </w:pPr>
            <w:r>
              <w:rPr>
                <w:rFonts w:ascii="宋体"/>
                <w:sz w:val="21"/>
              </w:rPr>
              <w:t>114,634,100.00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0"/>
              <w:jc w:val="right"/>
              <w:rPr>
                <w:rFonts w:ascii="宋体" w:hAnsi="宋体" w:cs="宋体" w:eastAsia="宋体" w:hint="default"/>
                <w:sz w:val="21"/>
                <w:szCs w:val="21"/>
              </w:rPr>
            </w:pPr>
            <w:r>
              <w:rPr>
                <w:rFonts w:ascii="宋体"/>
                <w:sz w:val="21"/>
              </w:rPr>
              <w:t>114,634,100.00</w:t>
            </w:r>
          </w:p>
        </w:tc>
      </w:tr>
    </w:tbl>
    <w:p>
      <w:pPr>
        <w:spacing w:after="0" w:line="240" w:lineRule="auto"/>
        <w:jc w:val="right"/>
        <w:rPr>
          <w:rFonts w:ascii="宋体" w:hAnsi="宋体" w:cs="宋体" w:eastAsia="宋体" w:hint="default"/>
          <w:sz w:val="21"/>
          <w:szCs w:val="21"/>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Heading2"/>
        <w:spacing w:line="350" w:lineRule="auto" w:before="199"/>
        <w:ind w:left="153" w:right="996" w:firstLine="482"/>
        <w:jc w:val="left"/>
        <w:rPr>
          <w:b w:val="0"/>
          <w:bCs w:val="0"/>
        </w:rPr>
      </w:pPr>
      <w:bookmarkStart w:name="（5）可供出售权益工具期末公允价值严重下跌或非暂时性下跌但未计提减值准备的相关说" w:id="290"/>
      <w:bookmarkEnd w:id="290"/>
      <w:r>
        <w:rPr>
          <w:b w:val="0"/>
          <w:bCs w:val="0"/>
        </w:rPr>
      </w:r>
      <w:r>
        <w:rPr>
          <w:spacing w:val="3"/>
          <w:w w:val="95"/>
        </w:rPr>
        <w:t>（</w:t>
      </w:r>
      <w:r>
        <w:rPr>
          <w:rFonts w:ascii="宋体" w:hAnsi="宋体" w:cs="宋体" w:eastAsia="宋体" w:hint="default"/>
          <w:spacing w:val="3"/>
          <w:w w:val="95"/>
        </w:rPr>
        <w:t>5</w:t>
      </w:r>
      <w:r>
        <w:rPr>
          <w:spacing w:val="3"/>
          <w:w w:val="95"/>
        </w:rPr>
        <w:t>）可供出售权益工具期末公允价值严重下跌或非暂时性下跌但未计提减值准备的相</w:t>
      </w:r>
      <w:r>
        <w:rPr>
          <w:w w:val="99"/>
        </w:rPr>
        <w:t> </w:t>
      </w:r>
      <w:r>
        <w:rPr/>
        <w:t>关说明</w:t>
      </w:r>
      <w:r>
        <w:rPr>
          <w:b w:val="0"/>
          <w:bCs w:val="0"/>
        </w:rPr>
      </w:r>
    </w:p>
    <w:p>
      <w:pPr>
        <w:spacing w:line="350" w:lineRule="auto" w:before="192"/>
        <w:ind w:left="153" w:right="9548" w:firstLine="480"/>
        <w:jc w:val="left"/>
        <w:rPr>
          <w:rFonts w:ascii="宋体" w:hAnsi="宋体" w:cs="宋体" w:eastAsia="宋体" w:hint="default"/>
          <w:sz w:val="24"/>
          <w:szCs w:val="24"/>
        </w:rPr>
      </w:pPr>
      <w:r>
        <w:rPr>
          <w:rFonts w:ascii="宋体" w:hAnsi="宋体" w:cs="宋体" w:eastAsia="宋体" w:hint="default"/>
          <w:sz w:val="24"/>
          <w:szCs w:val="24"/>
        </w:rPr>
        <w:t>无 </w:t>
      </w:r>
      <w:r>
        <w:rPr>
          <w:rFonts w:ascii="宋体" w:hAnsi="宋体" w:cs="宋体" w:eastAsia="宋体" w:hint="default"/>
          <w:b/>
          <w:bCs/>
          <w:sz w:val="24"/>
          <w:szCs w:val="24"/>
        </w:rPr>
        <w:t>其他说明：</w:t>
      </w:r>
      <w:r>
        <w:rPr>
          <w:rFonts w:ascii="宋体" w:hAnsi="宋体" w:cs="宋体" w:eastAsia="宋体" w:hint="default"/>
          <w:sz w:val="24"/>
          <w:szCs w:val="24"/>
        </w:rPr>
      </w:r>
    </w:p>
    <w:p>
      <w:pPr>
        <w:pStyle w:val="BodyText"/>
        <w:spacing w:line="352" w:lineRule="auto" w:before="35"/>
        <w:ind w:left="633" w:right="1115"/>
        <w:jc w:val="left"/>
      </w:pPr>
      <w:r>
        <w:rPr/>
        <w:t>本期对可供出售金融资产共计提资产减值准备：</w:t>
      </w:r>
      <w:r>
        <w:rPr>
          <w:rFonts w:ascii="宋体" w:hAnsi="宋体" w:cs="宋体" w:eastAsia="宋体" w:hint="default"/>
        </w:rPr>
        <w:t>114,634,100.00</w:t>
      </w:r>
      <w:r>
        <w:rPr/>
        <w:t>元。 </w:t>
      </w:r>
      <w:r>
        <w:rPr>
          <w:spacing w:val="-2"/>
        </w:rPr>
        <w:t>参股公司北京七彩通达传媒股份有限公司因涉及融资租赁债务纠纷，</w:t>
      </w:r>
      <w:r>
        <w:rPr>
          <w:rFonts w:ascii="宋体" w:hAnsi="宋体" w:cs="宋体" w:eastAsia="宋体" w:hint="default"/>
          <w:spacing w:val="-2"/>
        </w:rPr>
        <w:t>2017</w:t>
      </w:r>
      <w:r>
        <w:rPr>
          <w:spacing w:val="-2"/>
        </w:rPr>
        <w:t>年</w:t>
      </w:r>
      <w:r>
        <w:rPr>
          <w:rFonts w:ascii="宋体" w:hAnsi="宋体" w:cs="宋体" w:eastAsia="宋体" w:hint="default"/>
          <w:spacing w:val="-2"/>
        </w:rPr>
        <w:t>7</w:t>
      </w:r>
      <w:r>
        <w:rPr>
          <w:spacing w:val="-2"/>
        </w:rPr>
        <w:t>月被北京市</w:t>
      </w:r>
    </w:p>
    <w:p>
      <w:pPr>
        <w:pStyle w:val="BodyText"/>
        <w:spacing w:line="352" w:lineRule="auto" w:before="32"/>
        <w:ind w:right="1131"/>
        <w:jc w:val="both"/>
      </w:pPr>
      <w:r>
        <w:rPr/>
        <w:t>中信公证处通知强制执行，至今虽未收到强制执行证书，但已影响了其生产经营情况，大量 </w:t>
      </w:r>
      <w:r>
        <w:rPr>
          <w:spacing w:val="-3"/>
        </w:rPr>
        <w:t>业务已经关闭、银行账号冻结，预计该项资产的可收回金额为</w:t>
      </w:r>
      <w:r>
        <w:rPr>
          <w:rFonts w:ascii="宋体" w:hAnsi="宋体" w:cs="宋体" w:eastAsia="宋体" w:hint="default"/>
          <w:spacing w:val="-3"/>
        </w:rPr>
        <w:t>0</w:t>
      </w:r>
      <w:r>
        <w:rPr>
          <w:spacing w:val="-3"/>
        </w:rPr>
        <w:t>元，根据谨慎性原则，需要对</w:t>
      </w:r>
      <w:r>
        <w:rPr>
          <w:spacing w:val="-81"/>
        </w:rPr>
        <w:t> </w:t>
      </w:r>
      <w:r>
        <w:rPr>
          <w:spacing w:val="-81"/>
        </w:rPr>
      </w:r>
      <w:r>
        <w:rPr/>
        <w:t>该项可供出售金融资产进行全额计提减值准备，计提金额为</w:t>
      </w:r>
      <w:r>
        <w:rPr>
          <w:rFonts w:ascii="宋体" w:hAnsi="宋体" w:cs="宋体" w:eastAsia="宋体" w:hint="default"/>
        </w:rPr>
        <w:t>11,000.00</w:t>
      </w:r>
      <w:r>
        <w:rPr/>
        <w:t>万元。</w:t>
      </w:r>
    </w:p>
    <w:p>
      <w:pPr>
        <w:pStyle w:val="BodyText"/>
        <w:spacing w:line="350" w:lineRule="auto" w:before="32"/>
        <w:ind w:right="1132" w:firstLine="480"/>
        <w:jc w:val="both"/>
      </w:pPr>
      <w:r>
        <w:rPr>
          <w:spacing w:val="-3"/>
        </w:rPr>
        <w:t>参股公司北京智慧图科技有限责任公司（以下简称“智慧图”）</w:t>
      </w:r>
      <w:r>
        <w:rPr>
          <w:rFonts w:ascii="宋体" w:hAnsi="宋体" w:cs="宋体" w:eastAsia="宋体" w:hint="default"/>
          <w:spacing w:val="-3"/>
        </w:rPr>
        <w:t>2017</w:t>
      </w:r>
      <w:r>
        <w:rPr>
          <w:spacing w:val="-3"/>
        </w:rPr>
        <w:t>年</w:t>
      </w:r>
      <w:r>
        <w:rPr>
          <w:rFonts w:ascii="宋体" w:hAnsi="宋体" w:cs="宋体" w:eastAsia="宋体" w:hint="default"/>
          <w:spacing w:val="-3"/>
        </w:rPr>
        <w:t>9</w:t>
      </w:r>
      <w:r>
        <w:rPr>
          <w:spacing w:val="-3"/>
        </w:rPr>
        <w:t>月进行增资、股</w:t>
      </w:r>
      <w:r>
        <w:rPr/>
        <w:t> 权转让事宜，依据第三方增资者与智慧图达成的增资协议计算出整体估值，根据辉煌科技持 股比例计算出该项资产可收回金额，将可收回金额低于账面价值的差额</w:t>
      </w:r>
      <w:r>
        <w:rPr>
          <w:rFonts w:ascii="宋体" w:hAnsi="宋体" w:cs="宋体" w:eastAsia="宋体" w:hint="default"/>
        </w:rPr>
        <w:t>463.41</w:t>
      </w:r>
      <w:r>
        <w:rPr/>
        <w:t>万元计提减值 准备。</w:t>
      </w:r>
    </w:p>
    <w:p>
      <w:pPr>
        <w:pStyle w:val="Heading2"/>
        <w:spacing w:line="240" w:lineRule="auto" w:before="35"/>
        <w:ind w:right="996"/>
        <w:jc w:val="left"/>
        <w:rPr>
          <w:b w:val="0"/>
          <w:bCs w:val="0"/>
        </w:rPr>
      </w:pPr>
      <w:bookmarkStart w:name="15、持有至到期投资" w:id="291"/>
      <w:bookmarkEnd w:id="291"/>
      <w:r>
        <w:rPr>
          <w:b w:val="0"/>
          <w:bCs w:val="0"/>
        </w:rPr>
      </w:r>
      <w:r>
        <w:rPr>
          <w:rFonts w:ascii="宋体" w:hAnsi="宋体" w:cs="宋体" w:eastAsia="宋体" w:hint="default"/>
        </w:rPr>
        <w:t>15</w:t>
      </w:r>
      <w:r>
        <w:rPr/>
        <w:t>、持有至到期投资</w:t>
      </w:r>
      <w:r>
        <w:rPr>
          <w:b w:val="0"/>
          <w:bCs w:val="0"/>
        </w:rPr>
      </w:r>
    </w:p>
    <w:p>
      <w:pPr>
        <w:pStyle w:val="Heading2"/>
        <w:spacing w:line="610" w:lineRule="atLeast" w:before="7"/>
        <w:ind w:left="633" w:right="7500" w:firstLine="2"/>
        <w:jc w:val="left"/>
        <w:rPr>
          <w:rFonts w:ascii="宋体" w:hAnsi="宋体" w:cs="宋体" w:eastAsia="宋体" w:hint="default"/>
          <w:b w:val="0"/>
          <w:bCs w:val="0"/>
        </w:rPr>
      </w:pPr>
      <w:bookmarkStart w:name="（1）持有至到期投资情况" w:id="292"/>
      <w:bookmarkEnd w:id="292"/>
      <w:r>
        <w:rPr>
          <w:b w:val="0"/>
          <w:bCs w:val="0"/>
        </w:rPr>
      </w:r>
      <w:r>
        <w:rPr/>
        <w:t>（</w:t>
      </w:r>
      <w:r>
        <w:rPr>
          <w:rFonts w:ascii="宋体" w:hAnsi="宋体" w:cs="宋体" w:eastAsia="宋体" w:hint="default"/>
        </w:rPr>
        <w:t>1</w:t>
      </w:r>
      <w:r>
        <w:rPr/>
        <w:t>）持有至到期投资情况</w:t>
      </w:r>
      <w:r>
        <w:rPr>
          <w:w w:val="99"/>
        </w:rPr>
        <w:t> </w:t>
      </w:r>
      <w:r>
        <w:rPr>
          <w:rFonts w:ascii="宋体" w:hAnsi="宋体" w:cs="宋体" w:eastAsia="宋体" w:hint="default"/>
          <w:b w:val="0"/>
          <w:bCs w:val="0"/>
        </w:rPr>
        <w:t>无</w:t>
      </w:r>
    </w:p>
    <w:p>
      <w:pPr>
        <w:pStyle w:val="Heading2"/>
        <w:spacing w:line="240" w:lineRule="auto" w:before="145"/>
        <w:ind w:right="996"/>
        <w:jc w:val="left"/>
        <w:rPr>
          <w:b w:val="0"/>
          <w:bCs w:val="0"/>
        </w:rPr>
      </w:pPr>
      <w:bookmarkStart w:name="（2）期末重要的持有至到期投资" w:id="293"/>
      <w:bookmarkEnd w:id="293"/>
      <w:r>
        <w:rPr>
          <w:b w:val="0"/>
          <w:bCs w:val="0"/>
        </w:rPr>
      </w:r>
      <w:r>
        <w:rPr/>
        <w:t>（</w:t>
      </w:r>
      <w:r>
        <w:rPr>
          <w:rFonts w:ascii="宋体" w:hAnsi="宋体" w:cs="宋体" w:eastAsia="宋体" w:hint="default"/>
        </w:rPr>
        <w:t>2</w:t>
      </w:r>
      <w:r>
        <w:rPr/>
        <w:t>）期末重要的持有至到期投资</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0"/>
        <w:ind w:left="633" w:right="996"/>
        <w:jc w:val="left"/>
      </w:pPr>
      <w:r>
        <w:rPr/>
        <w:t>无</w:t>
      </w:r>
    </w:p>
    <w:p>
      <w:pPr>
        <w:pStyle w:val="Heading2"/>
        <w:spacing w:line="240" w:lineRule="auto" w:before="145"/>
        <w:ind w:right="996"/>
        <w:jc w:val="left"/>
        <w:rPr>
          <w:b w:val="0"/>
          <w:bCs w:val="0"/>
        </w:rPr>
      </w:pPr>
      <w:bookmarkStart w:name="（3）本期重分类的持有至到期投资" w:id="294"/>
      <w:bookmarkEnd w:id="294"/>
      <w:r>
        <w:rPr>
          <w:b w:val="0"/>
          <w:bCs w:val="0"/>
        </w:rPr>
      </w:r>
      <w:r>
        <w:rPr/>
        <w:t>（</w:t>
      </w:r>
      <w:r>
        <w:rPr>
          <w:rFonts w:ascii="宋体" w:hAnsi="宋体" w:cs="宋体" w:eastAsia="宋体" w:hint="default"/>
        </w:rPr>
        <w:t>3</w:t>
      </w:r>
      <w:r>
        <w:rPr/>
        <w:t>）本期重分类的持有至到期投资</w:t>
      </w:r>
      <w:r>
        <w:rPr>
          <w:b w:val="0"/>
          <w:bCs w:val="0"/>
        </w:rPr>
      </w:r>
    </w:p>
    <w:p>
      <w:pPr>
        <w:spacing w:line="240" w:lineRule="auto" w:before="1"/>
        <w:rPr>
          <w:rFonts w:ascii="宋体" w:hAnsi="宋体" w:cs="宋体" w:eastAsia="宋体" w:hint="default"/>
          <w:b/>
          <w:bCs/>
          <w:sz w:val="23"/>
          <w:szCs w:val="23"/>
        </w:rPr>
      </w:pPr>
    </w:p>
    <w:p>
      <w:pPr>
        <w:pStyle w:val="BodyText"/>
        <w:spacing w:line="352" w:lineRule="auto" w:before="0"/>
        <w:ind w:left="633" w:right="9313"/>
        <w:jc w:val="left"/>
      </w:pPr>
      <w:r>
        <w:rPr/>
        <w:t>无 其他说明 无</w:t>
      </w:r>
    </w:p>
    <w:p>
      <w:pPr>
        <w:spacing w:line="240" w:lineRule="auto" w:before="0"/>
        <w:rPr>
          <w:rFonts w:ascii="宋体" w:hAnsi="宋体" w:cs="宋体" w:eastAsia="宋体" w:hint="default"/>
          <w:sz w:val="24"/>
          <w:szCs w:val="24"/>
        </w:rPr>
      </w:pPr>
    </w:p>
    <w:p>
      <w:pPr>
        <w:pStyle w:val="Heading2"/>
        <w:spacing w:line="240" w:lineRule="auto" w:before="179"/>
        <w:ind w:right="996"/>
        <w:jc w:val="left"/>
        <w:rPr>
          <w:b w:val="0"/>
          <w:bCs w:val="0"/>
        </w:rPr>
      </w:pPr>
      <w:bookmarkStart w:name="16、长期应收款" w:id="295"/>
      <w:bookmarkEnd w:id="295"/>
      <w:r>
        <w:rPr>
          <w:b w:val="0"/>
          <w:bCs w:val="0"/>
        </w:rPr>
      </w:r>
      <w:r>
        <w:rPr>
          <w:rFonts w:ascii="宋体" w:hAnsi="宋体" w:cs="宋体" w:eastAsia="宋体" w:hint="default"/>
        </w:rPr>
        <w:t>16</w:t>
      </w:r>
      <w:r>
        <w:rPr/>
        <w:t>、长期应收款</w:t>
      </w:r>
      <w:r>
        <w:rPr>
          <w:b w:val="0"/>
          <w:bCs w:val="0"/>
        </w:rPr>
      </w:r>
    </w:p>
    <w:p>
      <w:pPr>
        <w:spacing w:line="240" w:lineRule="auto" w:before="1"/>
        <w:rPr>
          <w:rFonts w:ascii="宋体" w:hAnsi="宋体" w:cs="宋体" w:eastAsia="宋体" w:hint="default"/>
          <w:b/>
          <w:bCs/>
          <w:sz w:val="23"/>
          <w:szCs w:val="23"/>
        </w:rPr>
      </w:pPr>
    </w:p>
    <w:p>
      <w:pPr>
        <w:pStyle w:val="Heading2"/>
        <w:spacing w:line="470" w:lineRule="auto" w:before="0"/>
        <w:ind w:left="633" w:right="7982" w:firstLine="2"/>
        <w:jc w:val="left"/>
        <w:rPr>
          <w:rFonts w:ascii="宋体" w:hAnsi="宋体" w:cs="宋体" w:eastAsia="宋体" w:hint="default"/>
          <w:b w:val="0"/>
          <w:bCs w:val="0"/>
        </w:rPr>
      </w:pPr>
      <w:bookmarkStart w:name="（1）长期应收款情况" w:id="296"/>
      <w:bookmarkEnd w:id="296"/>
      <w:r>
        <w:rPr>
          <w:b w:val="0"/>
          <w:bCs w:val="0"/>
        </w:rPr>
      </w:r>
      <w:r>
        <w:rPr/>
        <w:t>（</w:t>
      </w:r>
      <w:r>
        <w:rPr>
          <w:rFonts w:ascii="宋体" w:hAnsi="宋体" w:cs="宋体" w:eastAsia="宋体" w:hint="default"/>
        </w:rPr>
        <w:t>1</w:t>
      </w:r>
      <w:r>
        <w:rPr/>
        <w:t>）长期应收款情况</w:t>
      </w:r>
      <w:r>
        <w:rPr>
          <w:w w:val="99"/>
        </w:rPr>
        <w:t> </w:t>
      </w:r>
      <w:r>
        <w:rPr>
          <w:rFonts w:ascii="宋体" w:hAnsi="宋体" w:cs="宋体" w:eastAsia="宋体" w:hint="default"/>
          <w:b w:val="0"/>
          <w:bCs w:val="0"/>
        </w:rPr>
        <w:t>无</w:t>
      </w:r>
    </w:p>
    <w:p>
      <w:pPr>
        <w:spacing w:after="0" w:line="470" w:lineRule="auto"/>
        <w:jc w:val="left"/>
        <w:rPr>
          <w:rFonts w:ascii="宋体" w:hAnsi="宋体" w:cs="宋体" w:eastAsia="宋体" w:hint="default"/>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Heading2"/>
        <w:spacing w:line="240" w:lineRule="auto" w:before="199"/>
        <w:ind w:left="876" w:right="1117"/>
        <w:jc w:val="left"/>
        <w:rPr>
          <w:b w:val="0"/>
          <w:bCs w:val="0"/>
        </w:rPr>
      </w:pPr>
      <w:bookmarkStart w:name="（2）因金融资产转移而终止确认的长期应收款" w:id="297"/>
      <w:bookmarkEnd w:id="297"/>
      <w:r>
        <w:rPr>
          <w:b w:val="0"/>
          <w:bCs w:val="0"/>
        </w:rPr>
      </w:r>
      <w:r>
        <w:rPr/>
        <w:t>（</w:t>
      </w:r>
      <w:r>
        <w:rPr>
          <w:rFonts w:ascii="宋体" w:hAnsi="宋体" w:cs="宋体" w:eastAsia="宋体" w:hint="default"/>
        </w:rPr>
        <w:t>2</w:t>
      </w:r>
      <w:r>
        <w:rPr/>
        <w:t>）因金融资产转移而终止确认的长期应收款</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0"/>
        <w:ind w:left="873" w:right="1117"/>
        <w:jc w:val="left"/>
      </w:pPr>
      <w:r>
        <w:rPr/>
        <w:t>无</w:t>
      </w:r>
    </w:p>
    <w:p>
      <w:pPr>
        <w:pStyle w:val="Heading2"/>
        <w:spacing w:line="240" w:lineRule="auto" w:before="147"/>
        <w:ind w:left="876" w:right="1117"/>
        <w:jc w:val="left"/>
        <w:rPr>
          <w:b w:val="0"/>
          <w:bCs w:val="0"/>
        </w:rPr>
      </w:pPr>
      <w:bookmarkStart w:name="（3）转移长期应收款且继续涉入形成的资产、负债金额" w:id="298"/>
      <w:bookmarkEnd w:id="298"/>
      <w:r>
        <w:rPr>
          <w:b w:val="0"/>
          <w:bCs w:val="0"/>
        </w:rPr>
      </w:r>
      <w:r>
        <w:rPr/>
        <w:t>（</w:t>
      </w:r>
      <w:r>
        <w:rPr>
          <w:rFonts w:ascii="宋体" w:hAnsi="宋体" w:cs="宋体" w:eastAsia="宋体" w:hint="default"/>
        </w:rPr>
        <w:t>3</w:t>
      </w:r>
      <w:r>
        <w:rPr/>
        <w:t>）转移长期应收款且继续涉入形成的资产、负债金额</w:t>
      </w:r>
      <w:r>
        <w:rPr>
          <w:b w:val="0"/>
          <w:bCs w:val="0"/>
        </w:rPr>
      </w:r>
    </w:p>
    <w:p>
      <w:pPr>
        <w:spacing w:line="240" w:lineRule="auto" w:before="1"/>
        <w:rPr>
          <w:rFonts w:ascii="宋体" w:hAnsi="宋体" w:cs="宋体" w:eastAsia="宋体" w:hint="default"/>
          <w:b/>
          <w:bCs/>
          <w:sz w:val="23"/>
          <w:szCs w:val="23"/>
        </w:rPr>
      </w:pPr>
    </w:p>
    <w:p>
      <w:pPr>
        <w:pStyle w:val="BodyText"/>
        <w:spacing w:line="352" w:lineRule="auto" w:before="0"/>
        <w:ind w:left="873" w:right="9313"/>
        <w:jc w:val="left"/>
      </w:pPr>
      <w:r>
        <w:rPr/>
        <w:t>无 其他说明 无</w:t>
      </w:r>
    </w:p>
    <w:p>
      <w:pPr>
        <w:pStyle w:val="Heading2"/>
        <w:spacing w:line="240" w:lineRule="auto" w:before="32"/>
        <w:ind w:left="876" w:right="1117"/>
        <w:jc w:val="left"/>
        <w:rPr>
          <w:b w:val="0"/>
          <w:bCs w:val="0"/>
        </w:rPr>
      </w:pPr>
      <w:bookmarkStart w:name="17、长期股权投资" w:id="299"/>
      <w:bookmarkEnd w:id="299"/>
      <w:r>
        <w:rPr>
          <w:b w:val="0"/>
          <w:bCs w:val="0"/>
        </w:rPr>
      </w:r>
      <w:r>
        <w:rPr>
          <w:rFonts w:ascii="宋体" w:hAnsi="宋体" w:cs="宋体" w:eastAsia="宋体" w:hint="default"/>
        </w:rPr>
        <w:t>17</w:t>
      </w:r>
      <w:r>
        <w:rPr/>
        <w:t>、长期股权投资</w:t>
      </w:r>
      <w:r>
        <w:rPr>
          <w:b w:val="0"/>
          <w:bCs w:val="0"/>
        </w:rPr>
      </w:r>
    </w:p>
    <w:p>
      <w:pPr>
        <w:spacing w:line="240" w:lineRule="auto" w:before="8"/>
        <w:rPr>
          <w:rFonts w:ascii="宋体" w:hAnsi="宋体" w:cs="宋体" w:eastAsia="宋体" w:hint="default"/>
          <w:b/>
          <w:bCs/>
          <w:sz w:val="12"/>
          <w:szCs w:val="12"/>
        </w:rPr>
      </w:pPr>
    </w:p>
    <w:p>
      <w:pPr>
        <w:spacing w:before="35"/>
        <w:ind w:left="0" w:right="1129" w:firstLine="0"/>
        <w:jc w:val="right"/>
        <w:rPr>
          <w:rFonts w:ascii="宋体" w:hAnsi="宋体" w:cs="宋体" w:eastAsia="宋体" w:hint="default"/>
          <w:sz w:val="21"/>
          <w:szCs w:val="21"/>
        </w:rPr>
      </w:pPr>
      <w:r>
        <w:rPr>
          <w:rFonts w:ascii="宋体" w:hAnsi="宋体" w:cs="宋体" w:eastAsia="宋体" w:hint="default"/>
          <w:sz w:val="21"/>
          <w:szCs w:val="21"/>
        </w:rPr>
        <w:t>单位： 元</w:t>
      </w:r>
    </w:p>
    <w:p>
      <w:pPr>
        <w:spacing w:line="240" w:lineRule="auto" w:before="0"/>
        <w:rPr>
          <w:rFonts w:ascii="宋体" w:hAnsi="宋体" w:cs="宋体" w:eastAsia="宋体" w:hint="default"/>
          <w:sz w:val="7"/>
          <w:szCs w:val="7"/>
        </w:rPr>
      </w:pPr>
    </w:p>
    <w:tbl>
      <w:tblPr>
        <w:tblW w:w="0" w:type="auto"/>
        <w:jc w:val="left"/>
        <w:tblInd w:w="116" w:type="dxa"/>
        <w:tblLayout w:type="fixed"/>
        <w:tblCellMar>
          <w:top w:w="0" w:type="dxa"/>
          <w:left w:w="0" w:type="dxa"/>
          <w:bottom w:w="0" w:type="dxa"/>
          <w:right w:w="0" w:type="dxa"/>
        </w:tblCellMar>
        <w:tblLook w:val="01E0"/>
      </w:tblPr>
      <w:tblGrid>
        <w:gridCol w:w="925"/>
        <w:gridCol w:w="1153"/>
        <w:gridCol w:w="998"/>
        <w:gridCol w:w="341"/>
        <w:gridCol w:w="1114"/>
        <w:gridCol w:w="483"/>
        <w:gridCol w:w="1072"/>
        <w:gridCol w:w="524"/>
        <w:gridCol w:w="1036"/>
        <w:gridCol w:w="276"/>
        <w:gridCol w:w="1170"/>
        <w:gridCol w:w="1104"/>
      </w:tblGrid>
      <w:tr>
        <w:trPr>
          <w:trHeight w:val="397" w:hRule="exact"/>
        </w:trPr>
        <w:tc>
          <w:tcPr>
            <w:tcW w:w="925" w:type="dxa"/>
            <w:vMerge w:val="restart"/>
            <w:tcBorders>
              <w:top w:val="single" w:sz="4" w:space="0" w:color="000000"/>
              <w:left w:val="single" w:sz="4" w:space="0" w:color="000000"/>
              <w:right w:val="single" w:sz="4" w:space="0" w:color="000000"/>
            </w:tcBorders>
            <w:shd w:val="clear" w:color="auto" w:fill="D2D2D2"/>
          </w:tcPr>
          <w:p>
            <w:pPr/>
          </w:p>
        </w:tc>
        <w:tc>
          <w:tcPr>
            <w:tcW w:w="1153" w:type="dxa"/>
            <w:vMerge w:val="restart"/>
            <w:tcBorders>
              <w:top w:val="single" w:sz="4" w:space="0" w:color="000000"/>
              <w:left w:val="single" w:sz="4" w:space="0" w:color="000000"/>
              <w:right w:val="single" w:sz="4" w:space="0" w:color="000000"/>
            </w:tcBorders>
            <w:shd w:val="clear" w:color="auto" w:fill="D2D2D2"/>
          </w:tcPr>
          <w:p>
            <w:pPr/>
          </w:p>
        </w:tc>
        <w:tc>
          <w:tcPr>
            <w:tcW w:w="5844"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3" w:right="0"/>
              <w:jc w:val="center"/>
              <w:rPr>
                <w:rFonts w:ascii="宋体" w:hAnsi="宋体" w:cs="宋体" w:eastAsia="宋体" w:hint="default"/>
                <w:sz w:val="21"/>
                <w:szCs w:val="21"/>
              </w:rPr>
            </w:pPr>
            <w:r>
              <w:rPr>
                <w:rFonts w:ascii="宋体" w:hAnsi="宋体" w:cs="宋体" w:eastAsia="宋体" w:hint="default"/>
                <w:sz w:val="21"/>
                <w:szCs w:val="21"/>
              </w:rPr>
              <w:t>本期增减变动</w:t>
            </w:r>
          </w:p>
        </w:tc>
        <w:tc>
          <w:tcPr>
            <w:tcW w:w="1170" w:type="dxa"/>
            <w:vMerge w:val="restart"/>
            <w:tcBorders>
              <w:top w:val="single" w:sz="4" w:space="0" w:color="000000"/>
              <w:left w:val="single" w:sz="4" w:space="0" w:color="000000"/>
              <w:right w:val="single" w:sz="4" w:space="0" w:color="000000"/>
            </w:tcBorders>
            <w:shd w:val="clear" w:color="auto" w:fill="D2D2D2"/>
          </w:tcPr>
          <w:p>
            <w:pPr/>
          </w:p>
        </w:tc>
        <w:tc>
          <w:tcPr>
            <w:tcW w:w="1104" w:type="dxa"/>
            <w:vMerge w:val="restart"/>
            <w:tcBorders>
              <w:top w:val="single" w:sz="4" w:space="0" w:color="000000"/>
              <w:left w:val="single" w:sz="4" w:space="0" w:color="000000"/>
              <w:right w:val="single" w:sz="4" w:space="0" w:color="000000"/>
            </w:tcBorders>
            <w:shd w:val="clear" w:color="auto" w:fill="D2D2D2"/>
          </w:tcPr>
          <w:p>
            <w:pPr/>
          </w:p>
        </w:tc>
      </w:tr>
      <w:tr>
        <w:trPr>
          <w:trHeight w:val="322" w:hRule="exact"/>
        </w:trPr>
        <w:tc>
          <w:tcPr>
            <w:tcW w:w="925" w:type="dxa"/>
            <w:vMerge/>
            <w:tcBorders>
              <w:left w:val="single" w:sz="4" w:space="0" w:color="000000"/>
              <w:right w:val="single" w:sz="4" w:space="0" w:color="000000"/>
            </w:tcBorders>
            <w:shd w:val="clear" w:color="auto" w:fill="D2D2D2"/>
          </w:tcPr>
          <w:p>
            <w:pPr/>
          </w:p>
        </w:tc>
        <w:tc>
          <w:tcPr>
            <w:tcW w:w="1153" w:type="dxa"/>
            <w:vMerge/>
            <w:tcBorders>
              <w:left w:val="single" w:sz="4" w:space="0" w:color="000000"/>
              <w:right w:val="single" w:sz="4" w:space="0" w:color="000000"/>
            </w:tcBorders>
            <w:shd w:val="clear" w:color="auto" w:fill="D2D2D2"/>
          </w:tcPr>
          <w:p>
            <w:pPr/>
          </w:p>
        </w:tc>
        <w:tc>
          <w:tcPr>
            <w:tcW w:w="998" w:type="dxa"/>
            <w:vMerge w:val="restart"/>
            <w:tcBorders>
              <w:top w:val="single" w:sz="4" w:space="0" w:color="000000"/>
              <w:left w:val="single" w:sz="4" w:space="0" w:color="000000"/>
              <w:right w:val="single" w:sz="4" w:space="0" w:color="000000"/>
            </w:tcBorders>
            <w:shd w:val="clear" w:color="auto" w:fill="D2D2D2"/>
          </w:tcPr>
          <w:p>
            <w:pPr/>
          </w:p>
        </w:tc>
        <w:tc>
          <w:tcPr>
            <w:tcW w:w="341" w:type="dxa"/>
            <w:tcBorders>
              <w:top w:val="single" w:sz="4" w:space="0" w:color="000000"/>
              <w:left w:val="single" w:sz="4" w:space="0" w:color="000000"/>
              <w:bottom w:val="nil" w:sz="6" w:space="0" w:color="auto"/>
              <w:right w:val="single" w:sz="4" w:space="0" w:color="000000"/>
            </w:tcBorders>
            <w:shd w:val="clear" w:color="auto" w:fill="D2D2D2"/>
          </w:tcPr>
          <w:p>
            <w:pPr/>
          </w:p>
        </w:tc>
        <w:tc>
          <w:tcPr>
            <w:tcW w:w="1114" w:type="dxa"/>
            <w:vMerge w:val="restart"/>
            <w:tcBorders>
              <w:top w:val="single" w:sz="4" w:space="0" w:color="000000"/>
              <w:left w:val="single" w:sz="4" w:space="0" w:color="000000"/>
              <w:right w:val="single" w:sz="4" w:space="0" w:color="000000"/>
            </w:tcBorders>
            <w:shd w:val="clear" w:color="auto" w:fill="D2D2D2"/>
          </w:tcPr>
          <w:p>
            <w:pPr/>
          </w:p>
        </w:tc>
        <w:tc>
          <w:tcPr>
            <w:tcW w:w="483" w:type="dxa"/>
            <w:tcBorders>
              <w:top w:val="single" w:sz="4" w:space="0" w:color="000000"/>
              <w:left w:val="single" w:sz="4" w:space="0" w:color="000000"/>
              <w:bottom w:val="nil" w:sz="6" w:space="0" w:color="auto"/>
              <w:right w:val="single" w:sz="4" w:space="0" w:color="000000"/>
            </w:tcBorders>
            <w:shd w:val="clear" w:color="auto" w:fill="D2D2D2"/>
          </w:tcPr>
          <w:p>
            <w:pPr/>
          </w:p>
        </w:tc>
        <w:tc>
          <w:tcPr>
            <w:tcW w:w="1072" w:type="dxa"/>
            <w:vMerge w:val="restart"/>
            <w:tcBorders>
              <w:top w:val="single" w:sz="4" w:space="0" w:color="000000"/>
              <w:left w:val="single" w:sz="4" w:space="0" w:color="000000"/>
              <w:right w:val="single" w:sz="4" w:space="0" w:color="000000"/>
            </w:tcBorders>
            <w:shd w:val="clear" w:color="auto" w:fill="D2D2D2"/>
          </w:tcPr>
          <w:p>
            <w:pPr/>
          </w:p>
        </w:tc>
        <w:tc>
          <w:tcPr>
            <w:tcW w:w="524"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30"/>
              <w:ind w:left="50" w:right="42"/>
              <w:jc w:val="both"/>
              <w:rPr>
                <w:rFonts w:ascii="宋体" w:hAnsi="宋体" w:cs="宋体" w:eastAsia="宋体" w:hint="default"/>
                <w:sz w:val="21"/>
                <w:szCs w:val="21"/>
              </w:rPr>
            </w:pPr>
            <w:r>
              <w:rPr>
                <w:rFonts w:ascii="宋体" w:hAnsi="宋体" w:cs="宋体" w:eastAsia="宋体" w:hint="default"/>
                <w:sz w:val="21"/>
                <w:szCs w:val="21"/>
              </w:rPr>
              <w:t>宣告 发放 现金 股利 或利 润</w:t>
            </w:r>
          </w:p>
        </w:tc>
        <w:tc>
          <w:tcPr>
            <w:tcW w:w="1036" w:type="dxa"/>
            <w:vMerge w:val="restart"/>
            <w:tcBorders>
              <w:top w:val="single" w:sz="4" w:space="0" w:color="000000"/>
              <w:left w:val="single" w:sz="4" w:space="0" w:color="000000"/>
              <w:right w:val="single" w:sz="4" w:space="0" w:color="000000"/>
            </w:tcBorders>
            <w:shd w:val="clear" w:color="auto" w:fill="D2D2D2"/>
          </w:tcPr>
          <w:p>
            <w:pPr/>
          </w:p>
        </w:tc>
        <w:tc>
          <w:tcPr>
            <w:tcW w:w="276" w:type="dxa"/>
            <w:vMerge w:val="restart"/>
            <w:tcBorders>
              <w:top w:val="single" w:sz="4" w:space="0" w:color="000000"/>
              <w:left w:val="single" w:sz="4" w:space="0" w:color="000000"/>
              <w:right w:val="single" w:sz="4" w:space="0" w:color="000000"/>
            </w:tcBorders>
            <w:shd w:val="clear" w:color="auto" w:fill="D2D2D2"/>
          </w:tcPr>
          <w:p>
            <w:pPr/>
          </w:p>
        </w:tc>
        <w:tc>
          <w:tcPr>
            <w:tcW w:w="1170" w:type="dxa"/>
            <w:vMerge/>
            <w:tcBorders>
              <w:left w:val="single" w:sz="4" w:space="0" w:color="000000"/>
              <w:right w:val="single" w:sz="4" w:space="0" w:color="000000"/>
            </w:tcBorders>
            <w:shd w:val="clear" w:color="auto" w:fill="D2D2D2"/>
          </w:tcPr>
          <w:p>
            <w:pPr/>
          </w:p>
        </w:tc>
        <w:tc>
          <w:tcPr>
            <w:tcW w:w="1104" w:type="dxa"/>
            <w:vMerge/>
            <w:tcBorders>
              <w:left w:val="single" w:sz="4" w:space="0" w:color="000000"/>
              <w:right w:val="single" w:sz="4" w:space="0" w:color="000000"/>
            </w:tcBorders>
            <w:shd w:val="clear" w:color="auto" w:fill="D2D2D2"/>
          </w:tcPr>
          <w:p>
            <w:pPr/>
          </w:p>
        </w:tc>
      </w:tr>
      <w:tr>
        <w:trPr>
          <w:trHeight w:val="110" w:hRule="exact"/>
        </w:trPr>
        <w:tc>
          <w:tcPr>
            <w:tcW w:w="925" w:type="dxa"/>
            <w:vMerge/>
            <w:tcBorders>
              <w:left w:val="single" w:sz="4" w:space="0" w:color="000000"/>
              <w:bottom w:val="nil" w:sz="6" w:space="0" w:color="auto"/>
              <w:right w:val="single" w:sz="4" w:space="0" w:color="000000"/>
            </w:tcBorders>
            <w:shd w:val="clear" w:color="auto" w:fill="D2D2D2"/>
          </w:tcPr>
          <w:p>
            <w:pPr/>
          </w:p>
        </w:tc>
        <w:tc>
          <w:tcPr>
            <w:tcW w:w="1153" w:type="dxa"/>
            <w:vMerge/>
            <w:tcBorders>
              <w:left w:val="single" w:sz="4" w:space="0" w:color="000000"/>
              <w:right w:val="single" w:sz="4" w:space="0" w:color="000000"/>
            </w:tcBorders>
            <w:shd w:val="clear" w:color="auto" w:fill="D2D2D2"/>
          </w:tcPr>
          <w:p>
            <w:pPr/>
          </w:p>
        </w:tc>
        <w:tc>
          <w:tcPr>
            <w:tcW w:w="998" w:type="dxa"/>
            <w:vMerge/>
            <w:tcBorders>
              <w:left w:val="single" w:sz="4" w:space="0" w:color="000000"/>
              <w:right w:val="single" w:sz="4" w:space="0" w:color="000000"/>
            </w:tcBorders>
            <w:shd w:val="clear" w:color="auto" w:fill="D2D2D2"/>
          </w:tcPr>
          <w:p>
            <w:pPr/>
          </w:p>
        </w:tc>
        <w:tc>
          <w:tcPr>
            <w:tcW w:w="341" w:type="dxa"/>
            <w:vMerge w:val="restart"/>
            <w:tcBorders>
              <w:top w:val="nil" w:sz="6" w:space="0" w:color="auto"/>
              <w:left w:val="single" w:sz="4" w:space="0" w:color="000000"/>
              <w:right w:val="single" w:sz="4" w:space="0" w:color="000000"/>
            </w:tcBorders>
            <w:shd w:val="clear" w:color="auto" w:fill="D2D2D2"/>
          </w:tcPr>
          <w:p>
            <w:pPr>
              <w:pStyle w:val="TableParagraph"/>
              <w:spacing w:line="273" w:lineRule="auto" w:before="26"/>
              <w:ind w:left="60" w:right="59"/>
              <w:jc w:val="both"/>
              <w:rPr>
                <w:rFonts w:ascii="宋体" w:hAnsi="宋体" w:cs="宋体" w:eastAsia="宋体" w:hint="default"/>
                <w:sz w:val="21"/>
                <w:szCs w:val="21"/>
              </w:rPr>
            </w:pPr>
            <w:r>
              <w:rPr>
                <w:rFonts w:ascii="宋体" w:hAnsi="宋体" w:cs="宋体" w:eastAsia="宋体" w:hint="default"/>
                <w:sz w:val="21"/>
                <w:szCs w:val="21"/>
              </w:rPr>
              <w:t>减 少 投 资</w:t>
            </w:r>
          </w:p>
        </w:tc>
        <w:tc>
          <w:tcPr>
            <w:tcW w:w="1114" w:type="dxa"/>
            <w:vMerge/>
            <w:tcBorders>
              <w:left w:val="single" w:sz="4" w:space="0" w:color="000000"/>
              <w:bottom w:val="nil" w:sz="6" w:space="0" w:color="auto"/>
              <w:right w:val="single" w:sz="4" w:space="0" w:color="000000"/>
            </w:tcBorders>
            <w:shd w:val="clear" w:color="auto" w:fill="D2D2D2"/>
          </w:tcPr>
          <w:p>
            <w:pPr/>
          </w:p>
        </w:tc>
        <w:tc>
          <w:tcPr>
            <w:tcW w:w="483" w:type="dxa"/>
            <w:vMerge w:val="restart"/>
            <w:tcBorders>
              <w:top w:val="nil" w:sz="6" w:space="0" w:color="auto"/>
              <w:left w:val="single" w:sz="4" w:space="0" w:color="000000"/>
              <w:right w:val="single" w:sz="4" w:space="0" w:color="000000"/>
            </w:tcBorders>
            <w:shd w:val="clear" w:color="auto" w:fill="D2D2D2"/>
          </w:tcPr>
          <w:p>
            <w:pPr>
              <w:pStyle w:val="TableParagraph"/>
              <w:spacing w:line="273" w:lineRule="auto" w:before="26"/>
              <w:ind w:left="26" w:right="24"/>
              <w:jc w:val="both"/>
              <w:rPr>
                <w:rFonts w:ascii="宋体" w:hAnsi="宋体" w:cs="宋体" w:eastAsia="宋体" w:hint="default"/>
                <w:sz w:val="21"/>
                <w:szCs w:val="21"/>
              </w:rPr>
            </w:pPr>
            <w:r>
              <w:rPr>
                <w:rFonts w:ascii="宋体" w:hAnsi="宋体" w:cs="宋体" w:eastAsia="宋体" w:hint="default"/>
                <w:sz w:val="21"/>
                <w:szCs w:val="21"/>
              </w:rPr>
              <w:t>其他 综合 收益 调整</w:t>
            </w:r>
          </w:p>
        </w:tc>
        <w:tc>
          <w:tcPr>
            <w:tcW w:w="1072" w:type="dxa"/>
            <w:vMerge/>
            <w:tcBorders>
              <w:left w:val="single" w:sz="4" w:space="0" w:color="000000"/>
              <w:right w:val="single" w:sz="4" w:space="0" w:color="000000"/>
            </w:tcBorders>
            <w:shd w:val="clear" w:color="auto" w:fill="D2D2D2"/>
          </w:tcPr>
          <w:p>
            <w:pPr/>
          </w:p>
        </w:tc>
        <w:tc>
          <w:tcPr>
            <w:tcW w:w="524" w:type="dxa"/>
            <w:vMerge/>
            <w:tcBorders>
              <w:left w:val="single" w:sz="4" w:space="0" w:color="000000"/>
              <w:right w:val="single" w:sz="4" w:space="0" w:color="000000"/>
            </w:tcBorders>
            <w:shd w:val="clear" w:color="auto" w:fill="D2D2D2"/>
          </w:tcPr>
          <w:p>
            <w:pPr/>
          </w:p>
        </w:tc>
        <w:tc>
          <w:tcPr>
            <w:tcW w:w="1036" w:type="dxa"/>
            <w:vMerge/>
            <w:tcBorders>
              <w:left w:val="single" w:sz="4" w:space="0" w:color="000000"/>
              <w:right w:val="single" w:sz="4" w:space="0" w:color="000000"/>
            </w:tcBorders>
            <w:shd w:val="clear" w:color="auto" w:fill="D2D2D2"/>
          </w:tcPr>
          <w:p>
            <w:pPr/>
          </w:p>
        </w:tc>
        <w:tc>
          <w:tcPr>
            <w:tcW w:w="276" w:type="dxa"/>
            <w:vMerge/>
            <w:tcBorders>
              <w:left w:val="single" w:sz="4" w:space="0" w:color="000000"/>
              <w:right w:val="single" w:sz="4" w:space="0" w:color="000000"/>
            </w:tcBorders>
            <w:shd w:val="clear" w:color="auto" w:fill="D2D2D2"/>
          </w:tcPr>
          <w:p>
            <w:pPr/>
          </w:p>
        </w:tc>
        <w:tc>
          <w:tcPr>
            <w:tcW w:w="1170" w:type="dxa"/>
            <w:vMerge/>
            <w:tcBorders>
              <w:left w:val="single" w:sz="4" w:space="0" w:color="000000"/>
              <w:right w:val="single" w:sz="4" w:space="0" w:color="000000"/>
            </w:tcBorders>
            <w:shd w:val="clear" w:color="auto" w:fill="D2D2D2"/>
          </w:tcPr>
          <w:p>
            <w:pPr/>
          </w:p>
        </w:tc>
        <w:tc>
          <w:tcPr>
            <w:tcW w:w="1104" w:type="dxa"/>
            <w:vMerge/>
            <w:tcBorders>
              <w:left w:val="single" w:sz="4" w:space="0" w:color="000000"/>
              <w:bottom w:val="nil" w:sz="6" w:space="0" w:color="auto"/>
              <w:right w:val="single" w:sz="4" w:space="0" w:color="000000"/>
            </w:tcBorders>
            <w:shd w:val="clear" w:color="auto" w:fill="D2D2D2"/>
          </w:tcPr>
          <w:p>
            <w:pPr/>
          </w:p>
        </w:tc>
      </w:tr>
      <w:tr>
        <w:trPr>
          <w:trHeight w:val="145" w:hRule="exact"/>
        </w:trPr>
        <w:tc>
          <w:tcPr>
            <w:tcW w:w="925" w:type="dxa"/>
            <w:vMerge w:val="restart"/>
            <w:tcBorders>
              <w:top w:val="nil" w:sz="6" w:space="0" w:color="auto"/>
              <w:left w:val="single" w:sz="4" w:space="0" w:color="000000"/>
              <w:right w:val="single" w:sz="4" w:space="0" w:color="000000"/>
            </w:tcBorders>
            <w:shd w:val="clear" w:color="auto" w:fill="D2D2D2"/>
          </w:tcPr>
          <w:p>
            <w:pPr>
              <w:pStyle w:val="TableParagraph"/>
              <w:spacing w:line="273" w:lineRule="auto" w:before="26"/>
              <w:ind w:left="352" w:right="36" w:hanging="316"/>
              <w:jc w:val="left"/>
              <w:rPr>
                <w:rFonts w:ascii="宋体" w:hAnsi="宋体" w:cs="宋体" w:eastAsia="宋体" w:hint="default"/>
                <w:sz w:val="21"/>
                <w:szCs w:val="21"/>
              </w:rPr>
            </w:pPr>
            <w:r>
              <w:rPr>
                <w:rFonts w:ascii="宋体" w:hAnsi="宋体" w:cs="宋体" w:eastAsia="宋体" w:hint="default"/>
                <w:sz w:val="21"/>
                <w:szCs w:val="21"/>
              </w:rPr>
              <w:t>被投资单 位</w:t>
            </w:r>
          </w:p>
        </w:tc>
        <w:tc>
          <w:tcPr>
            <w:tcW w:w="1153" w:type="dxa"/>
            <w:vMerge/>
            <w:tcBorders>
              <w:left w:val="single" w:sz="4" w:space="0" w:color="000000"/>
              <w:bottom w:val="nil" w:sz="6" w:space="0" w:color="auto"/>
              <w:right w:val="single" w:sz="4" w:space="0" w:color="000000"/>
            </w:tcBorders>
            <w:shd w:val="clear" w:color="auto" w:fill="D2D2D2"/>
          </w:tcPr>
          <w:p>
            <w:pPr/>
          </w:p>
        </w:tc>
        <w:tc>
          <w:tcPr>
            <w:tcW w:w="998" w:type="dxa"/>
            <w:vMerge/>
            <w:tcBorders>
              <w:left w:val="single" w:sz="4" w:space="0" w:color="000000"/>
              <w:right w:val="single" w:sz="4" w:space="0" w:color="000000"/>
            </w:tcBorders>
            <w:shd w:val="clear" w:color="auto" w:fill="D2D2D2"/>
          </w:tcPr>
          <w:p>
            <w:pPr/>
          </w:p>
        </w:tc>
        <w:tc>
          <w:tcPr>
            <w:tcW w:w="341" w:type="dxa"/>
            <w:vMerge/>
            <w:tcBorders>
              <w:left w:val="single" w:sz="4" w:space="0" w:color="000000"/>
              <w:right w:val="single" w:sz="4" w:space="0" w:color="000000"/>
            </w:tcBorders>
            <w:shd w:val="clear" w:color="auto" w:fill="D2D2D2"/>
          </w:tcPr>
          <w:p>
            <w:pPr/>
          </w:p>
        </w:tc>
        <w:tc>
          <w:tcPr>
            <w:tcW w:w="1114" w:type="dxa"/>
            <w:vMerge w:val="restart"/>
            <w:tcBorders>
              <w:top w:val="nil" w:sz="6" w:space="0" w:color="auto"/>
              <w:left w:val="single" w:sz="4" w:space="0" w:color="000000"/>
              <w:right w:val="single" w:sz="4" w:space="0" w:color="000000"/>
            </w:tcBorders>
            <w:shd w:val="clear" w:color="auto" w:fill="D2D2D2"/>
          </w:tcPr>
          <w:p>
            <w:pPr>
              <w:pStyle w:val="TableParagraph"/>
              <w:spacing w:line="273" w:lineRule="auto" w:before="48"/>
              <w:ind w:left="131" w:right="130"/>
              <w:jc w:val="both"/>
              <w:rPr>
                <w:rFonts w:ascii="宋体" w:hAnsi="宋体" w:cs="宋体" w:eastAsia="宋体" w:hint="default"/>
                <w:sz w:val="21"/>
                <w:szCs w:val="21"/>
              </w:rPr>
            </w:pPr>
            <w:r>
              <w:rPr>
                <w:rFonts w:ascii="宋体" w:hAnsi="宋体" w:cs="宋体" w:eastAsia="宋体" w:hint="default"/>
                <w:sz w:val="21"/>
                <w:szCs w:val="21"/>
              </w:rPr>
              <w:t>权益法下 确认的投 资损益</w:t>
            </w:r>
          </w:p>
        </w:tc>
        <w:tc>
          <w:tcPr>
            <w:tcW w:w="483" w:type="dxa"/>
            <w:vMerge/>
            <w:tcBorders>
              <w:left w:val="single" w:sz="4" w:space="0" w:color="000000"/>
              <w:right w:val="single" w:sz="4" w:space="0" w:color="000000"/>
            </w:tcBorders>
            <w:shd w:val="clear" w:color="auto" w:fill="D2D2D2"/>
          </w:tcPr>
          <w:p>
            <w:pPr/>
          </w:p>
        </w:tc>
        <w:tc>
          <w:tcPr>
            <w:tcW w:w="1072" w:type="dxa"/>
            <w:vMerge/>
            <w:tcBorders>
              <w:left w:val="single" w:sz="4" w:space="0" w:color="000000"/>
              <w:bottom w:val="nil" w:sz="6" w:space="0" w:color="auto"/>
              <w:right w:val="single" w:sz="4" w:space="0" w:color="000000"/>
            </w:tcBorders>
            <w:shd w:val="clear" w:color="auto" w:fill="D2D2D2"/>
          </w:tcPr>
          <w:p>
            <w:pPr/>
          </w:p>
        </w:tc>
        <w:tc>
          <w:tcPr>
            <w:tcW w:w="524" w:type="dxa"/>
            <w:vMerge/>
            <w:tcBorders>
              <w:left w:val="single" w:sz="4" w:space="0" w:color="000000"/>
              <w:right w:val="single" w:sz="4" w:space="0" w:color="000000"/>
            </w:tcBorders>
            <w:shd w:val="clear" w:color="auto" w:fill="D2D2D2"/>
          </w:tcPr>
          <w:p>
            <w:pPr/>
          </w:p>
        </w:tc>
        <w:tc>
          <w:tcPr>
            <w:tcW w:w="1036" w:type="dxa"/>
            <w:vMerge/>
            <w:tcBorders>
              <w:left w:val="single" w:sz="4" w:space="0" w:color="000000"/>
              <w:bottom w:val="single" w:sz="18" w:space="0" w:color="FFFFFF"/>
              <w:right w:val="single" w:sz="4" w:space="0" w:color="000000"/>
            </w:tcBorders>
            <w:shd w:val="clear" w:color="auto" w:fill="D2D2D2"/>
          </w:tcPr>
          <w:p>
            <w:pPr/>
          </w:p>
        </w:tc>
        <w:tc>
          <w:tcPr>
            <w:tcW w:w="276" w:type="dxa"/>
            <w:vMerge/>
            <w:tcBorders>
              <w:left w:val="single" w:sz="4" w:space="0" w:color="000000"/>
              <w:bottom w:val="single" w:sz="18" w:space="0" w:color="FFFFFF"/>
              <w:right w:val="single" w:sz="4" w:space="0" w:color="000000"/>
            </w:tcBorders>
            <w:shd w:val="clear" w:color="auto" w:fill="D2D2D2"/>
          </w:tcPr>
          <w:p>
            <w:pPr/>
          </w:p>
        </w:tc>
        <w:tc>
          <w:tcPr>
            <w:tcW w:w="1170" w:type="dxa"/>
            <w:vMerge/>
            <w:tcBorders>
              <w:left w:val="single" w:sz="4" w:space="0" w:color="000000"/>
              <w:bottom w:val="single" w:sz="18" w:space="0" w:color="FFFFFF"/>
              <w:right w:val="single" w:sz="4" w:space="0" w:color="000000"/>
            </w:tcBorders>
            <w:shd w:val="clear" w:color="auto" w:fill="D2D2D2"/>
          </w:tcPr>
          <w:p>
            <w:pPr/>
          </w:p>
        </w:tc>
        <w:tc>
          <w:tcPr>
            <w:tcW w:w="1104" w:type="dxa"/>
            <w:vMerge w:val="restart"/>
            <w:tcBorders>
              <w:top w:val="nil" w:sz="6" w:space="0" w:color="auto"/>
              <w:left w:val="single" w:sz="4" w:space="0" w:color="000000"/>
              <w:right w:val="single" w:sz="4" w:space="0" w:color="000000"/>
            </w:tcBorders>
            <w:shd w:val="clear" w:color="auto" w:fill="D2D2D2"/>
          </w:tcPr>
          <w:p>
            <w:pPr>
              <w:pStyle w:val="TableParagraph"/>
              <w:spacing w:line="273" w:lineRule="auto" w:before="3"/>
              <w:ind w:left="229" w:right="23" w:hanging="210"/>
              <w:jc w:val="left"/>
              <w:rPr>
                <w:rFonts w:ascii="宋体" w:hAnsi="宋体" w:cs="宋体" w:eastAsia="宋体" w:hint="default"/>
                <w:sz w:val="21"/>
                <w:szCs w:val="21"/>
              </w:rPr>
            </w:pPr>
            <w:r>
              <w:rPr>
                <w:rFonts w:ascii="宋体" w:hAnsi="宋体" w:cs="宋体" w:eastAsia="宋体" w:hint="default"/>
                <w:sz w:val="21"/>
                <w:szCs w:val="21"/>
              </w:rPr>
              <w:t>减值准备期 末余额</w:t>
            </w:r>
          </w:p>
        </w:tc>
      </w:tr>
      <w:tr>
        <w:trPr>
          <w:trHeight w:val="173" w:hRule="exact"/>
        </w:trPr>
        <w:tc>
          <w:tcPr>
            <w:tcW w:w="925" w:type="dxa"/>
            <w:vMerge/>
            <w:tcBorders>
              <w:left w:val="single" w:sz="4" w:space="0" w:color="000000"/>
              <w:right w:val="single" w:sz="4" w:space="0" w:color="000000"/>
            </w:tcBorders>
            <w:shd w:val="clear" w:color="auto" w:fill="D2D2D2"/>
          </w:tcPr>
          <w:p>
            <w:pPr/>
          </w:p>
        </w:tc>
        <w:tc>
          <w:tcPr>
            <w:tcW w:w="115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4"/>
              <w:ind w:left="157"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998" w:type="dxa"/>
            <w:vMerge/>
            <w:tcBorders>
              <w:left w:val="single" w:sz="4" w:space="0" w:color="000000"/>
              <w:bottom w:val="nil" w:sz="6" w:space="0" w:color="auto"/>
              <w:right w:val="single" w:sz="4" w:space="0" w:color="000000"/>
            </w:tcBorders>
            <w:shd w:val="clear" w:color="auto" w:fill="D2D2D2"/>
          </w:tcPr>
          <w:p>
            <w:pPr/>
          </w:p>
        </w:tc>
        <w:tc>
          <w:tcPr>
            <w:tcW w:w="341" w:type="dxa"/>
            <w:vMerge/>
            <w:tcBorders>
              <w:left w:val="single" w:sz="4" w:space="0" w:color="000000"/>
              <w:right w:val="single" w:sz="4" w:space="0" w:color="000000"/>
            </w:tcBorders>
            <w:shd w:val="clear" w:color="auto" w:fill="D2D2D2"/>
          </w:tcPr>
          <w:p>
            <w:pPr/>
          </w:p>
        </w:tc>
        <w:tc>
          <w:tcPr>
            <w:tcW w:w="1114" w:type="dxa"/>
            <w:vMerge/>
            <w:tcBorders>
              <w:left w:val="single" w:sz="4" w:space="0" w:color="000000"/>
              <w:right w:val="single" w:sz="4" w:space="0" w:color="000000"/>
            </w:tcBorders>
            <w:shd w:val="clear" w:color="auto" w:fill="D2D2D2"/>
          </w:tcPr>
          <w:p>
            <w:pPr/>
          </w:p>
        </w:tc>
        <w:tc>
          <w:tcPr>
            <w:tcW w:w="483" w:type="dxa"/>
            <w:vMerge/>
            <w:tcBorders>
              <w:left w:val="single" w:sz="4" w:space="0" w:color="000000"/>
              <w:right w:val="single" w:sz="4" w:space="0" w:color="000000"/>
            </w:tcBorders>
            <w:shd w:val="clear" w:color="auto" w:fill="D2D2D2"/>
          </w:tcPr>
          <w:p>
            <w:pPr/>
          </w:p>
        </w:tc>
        <w:tc>
          <w:tcPr>
            <w:tcW w:w="1072" w:type="dxa"/>
            <w:vMerge w:val="restart"/>
            <w:tcBorders>
              <w:top w:val="nil" w:sz="6" w:space="0" w:color="auto"/>
              <w:left w:val="single" w:sz="4" w:space="0" w:color="000000"/>
              <w:right w:val="single" w:sz="4" w:space="0" w:color="000000"/>
            </w:tcBorders>
            <w:shd w:val="clear" w:color="auto" w:fill="D2D2D2"/>
          </w:tcPr>
          <w:p>
            <w:pPr>
              <w:pStyle w:val="TableParagraph"/>
              <w:spacing w:line="273" w:lineRule="auto" w:before="43"/>
              <w:ind w:left="323" w:right="106" w:hanging="210"/>
              <w:jc w:val="left"/>
              <w:rPr>
                <w:rFonts w:ascii="宋体" w:hAnsi="宋体" w:cs="宋体" w:eastAsia="宋体" w:hint="default"/>
                <w:sz w:val="21"/>
                <w:szCs w:val="21"/>
              </w:rPr>
            </w:pPr>
            <w:r>
              <w:rPr>
                <w:rFonts w:ascii="宋体" w:hAnsi="宋体" w:cs="宋体" w:eastAsia="宋体" w:hint="default"/>
                <w:sz w:val="21"/>
                <w:szCs w:val="21"/>
              </w:rPr>
              <w:t>其他权益 变动</w:t>
            </w:r>
          </w:p>
        </w:tc>
        <w:tc>
          <w:tcPr>
            <w:tcW w:w="524" w:type="dxa"/>
            <w:vMerge/>
            <w:tcBorders>
              <w:left w:val="single" w:sz="4" w:space="0" w:color="000000"/>
              <w:right w:val="single" w:sz="4" w:space="0" w:color="000000"/>
            </w:tcBorders>
            <w:shd w:val="clear" w:color="auto" w:fill="D2D2D2"/>
          </w:tcPr>
          <w:p>
            <w:pPr/>
          </w:p>
        </w:tc>
        <w:tc>
          <w:tcPr>
            <w:tcW w:w="1036" w:type="dxa"/>
            <w:vMerge w:val="restart"/>
            <w:tcBorders>
              <w:top w:val="single" w:sz="18" w:space="0" w:color="FFFFFF"/>
              <w:left w:val="single" w:sz="4" w:space="0" w:color="000000"/>
              <w:right w:val="single" w:sz="4" w:space="0" w:color="000000"/>
            </w:tcBorders>
            <w:shd w:val="clear" w:color="auto" w:fill="D2D2D2"/>
          </w:tcPr>
          <w:p>
            <w:pPr>
              <w:pStyle w:val="TableParagraph"/>
              <w:spacing w:line="273" w:lineRule="auto" w:before="20"/>
              <w:ind w:left="304" w:right="89" w:hanging="210"/>
              <w:jc w:val="left"/>
              <w:rPr>
                <w:rFonts w:ascii="宋体" w:hAnsi="宋体" w:cs="宋体" w:eastAsia="宋体" w:hint="default"/>
                <w:sz w:val="21"/>
                <w:szCs w:val="21"/>
              </w:rPr>
            </w:pPr>
            <w:r>
              <w:rPr>
                <w:rFonts w:ascii="宋体" w:hAnsi="宋体" w:cs="宋体" w:eastAsia="宋体" w:hint="default"/>
                <w:sz w:val="21"/>
                <w:szCs w:val="21"/>
              </w:rPr>
              <w:t>计提减值 准备</w:t>
            </w:r>
          </w:p>
        </w:tc>
        <w:tc>
          <w:tcPr>
            <w:tcW w:w="276" w:type="dxa"/>
            <w:vMerge w:val="restart"/>
            <w:tcBorders>
              <w:top w:val="single" w:sz="18" w:space="0" w:color="FFFFFF"/>
              <w:left w:val="single" w:sz="4" w:space="0" w:color="000000"/>
              <w:right w:val="single" w:sz="4" w:space="0" w:color="000000"/>
            </w:tcBorders>
            <w:shd w:val="clear" w:color="auto" w:fill="D2D2D2"/>
          </w:tcPr>
          <w:p>
            <w:pPr>
              <w:pStyle w:val="TableParagraph"/>
              <w:spacing w:line="273" w:lineRule="auto" w:before="20"/>
              <w:ind w:left="31" w:right="23"/>
              <w:jc w:val="left"/>
              <w:rPr>
                <w:rFonts w:ascii="宋体" w:hAnsi="宋体" w:cs="宋体" w:eastAsia="宋体" w:hint="default"/>
                <w:sz w:val="21"/>
                <w:szCs w:val="21"/>
              </w:rPr>
            </w:pPr>
            <w:r>
              <w:rPr>
                <w:rFonts w:ascii="宋体" w:hAnsi="宋体" w:cs="宋体" w:eastAsia="宋体" w:hint="default"/>
                <w:sz w:val="21"/>
                <w:szCs w:val="21"/>
              </w:rPr>
              <w:t>其 他</w:t>
            </w:r>
          </w:p>
        </w:tc>
        <w:tc>
          <w:tcPr>
            <w:tcW w:w="1170" w:type="dxa"/>
            <w:vMerge w:val="restart"/>
            <w:tcBorders>
              <w:top w:val="single" w:sz="18" w:space="0" w:color="FFFFFF"/>
              <w:left w:val="single" w:sz="4" w:space="0" w:color="000000"/>
              <w:right w:val="single" w:sz="4" w:space="0" w:color="000000"/>
            </w:tcBorders>
            <w:shd w:val="clear" w:color="auto" w:fill="D2D2D2"/>
          </w:tcPr>
          <w:p>
            <w:pPr>
              <w:pStyle w:val="TableParagraph"/>
              <w:spacing w:line="249" w:lineRule="exact"/>
              <w:ind w:left="160"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104" w:type="dxa"/>
            <w:vMerge/>
            <w:tcBorders>
              <w:left w:val="single" w:sz="4" w:space="0" w:color="000000"/>
              <w:right w:val="single" w:sz="4" w:space="0" w:color="000000"/>
            </w:tcBorders>
            <w:shd w:val="clear" w:color="auto" w:fill="D2D2D2"/>
          </w:tcPr>
          <w:p>
            <w:pPr/>
          </w:p>
        </w:tc>
      </w:tr>
      <w:tr>
        <w:trPr>
          <w:trHeight w:val="191" w:hRule="exact"/>
        </w:trPr>
        <w:tc>
          <w:tcPr>
            <w:tcW w:w="925" w:type="dxa"/>
            <w:vMerge/>
            <w:tcBorders>
              <w:left w:val="single" w:sz="4" w:space="0" w:color="000000"/>
              <w:right w:val="single" w:sz="4" w:space="0" w:color="000000"/>
            </w:tcBorders>
            <w:shd w:val="clear" w:color="auto" w:fill="D2D2D2"/>
          </w:tcPr>
          <w:p>
            <w:pPr/>
          </w:p>
        </w:tc>
        <w:tc>
          <w:tcPr>
            <w:tcW w:w="1153" w:type="dxa"/>
            <w:vMerge/>
            <w:tcBorders>
              <w:left w:val="single" w:sz="4" w:space="0" w:color="000000"/>
              <w:bottom w:val="nil" w:sz="6" w:space="0" w:color="auto"/>
              <w:right w:val="single" w:sz="4" w:space="0" w:color="000000"/>
            </w:tcBorders>
            <w:shd w:val="clear" w:color="auto" w:fill="D2D2D2"/>
          </w:tcPr>
          <w:p>
            <w:pPr/>
          </w:p>
        </w:tc>
        <w:tc>
          <w:tcPr>
            <w:tcW w:w="998" w:type="dxa"/>
            <w:vMerge w:val="restart"/>
            <w:tcBorders>
              <w:top w:val="nil" w:sz="6" w:space="0" w:color="auto"/>
              <w:left w:val="single" w:sz="22" w:space="0" w:color="D2D2D2"/>
              <w:right w:val="single" w:sz="9" w:space="0" w:color="D2D2D2"/>
            </w:tcBorders>
          </w:tcPr>
          <w:p>
            <w:pPr>
              <w:pStyle w:val="TableParagraph"/>
              <w:spacing w:line="240" w:lineRule="auto" w:before="26"/>
              <w:ind w:left="48" w:right="0"/>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shd w:fill="D2D2D2" w:color="auto" w:val="clear"/>
              </w:rPr>
              <w:t>追加投资</w:t>
            </w:r>
            <w:r>
              <w:rPr>
                <w:rFonts w:ascii="宋体" w:hAnsi="宋体" w:cs="宋体" w:eastAsia="宋体" w:hint="default"/>
                <w:sz w:val="21"/>
                <w:szCs w:val="21"/>
              </w:rPr>
            </w:r>
          </w:p>
        </w:tc>
        <w:tc>
          <w:tcPr>
            <w:tcW w:w="341" w:type="dxa"/>
            <w:vMerge/>
            <w:tcBorders>
              <w:left w:val="single" w:sz="4" w:space="0" w:color="000000"/>
              <w:right w:val="single" w:sz="4" w:space="0" w:color="000000"/>
            </w:tcBorders>
            <w:shd w:val="clear" w:color="auto" w:fill="D2D2D2"/>
          </w:tcPr>
          <w:p>
            <w:pPr/>
          </w:p>
        </w:tc>
        <w:tc>
          <w:tcPr>
            <w:tcW w:w="1114" w:type="dxa"/>
            <w:vMerge/>
            <w:tcBorders>
              <w:left w:val="single" w:sz="4" w:space="0" w:color="000000"/>
              <w:right w:val="single" w:sz="4" w:space="0" w:color="000000"/>
            </w:tcBorders>
            <w:shd w:val="clear" w:color="auto" w:fill="D2D2D2"/>
          </w:tcPr>
          <w:p>
            <w:pPr/>
          </w:p>
        </w:tc>
        <w:tc>
          <w:tcPr>
            <w:tcW w:w="483" w:type="dxa"/>
            <w:vMerge/>
            <w:tcBorders>
              <w:left w:val="single" w:sz="4" w:space="0" w:color="000000"/>
              <w:right w:val="single" w:sz="4" w:space="0" w:color="000000"/>
            </w:tcBorders>
            <w:shd w:val="clear" w:color="auto" w:fill="D2D2D2"/>
          </w:tcPr>
          <w:p>
            <w:pPr/>
          </w:p>
        </w:tc>
        <w:tc>
          <w:tcPr>
            <w:tcW w:w="1072" w:type="dxa"/>
            <w:vMerge/>
            <w:tcBorders>
              <w:left w:val="single" w:sz="4" w:space="0" w:color="000000"/>
              <w:right w:val="single" w:sz="4" w:space="0" w:color="000000"/>
            </w:tcBorders>
            <w:shd w:val="clear" w:color="auto" w:fill="D2D2D2"/>
          </w:tcPr>
          <w:p>
            <w:pPr/>
          </w:p>
        </w:tc>
        <w:tc>
          <w:tcPr>
            <w:tcW w:w="524" w:type="dxa"/>
            <w:vMerge/>
            <w:tcBorders>
              <w:left w:val="single" w:sz="4" w:space="0" w:color="000000"/>
              <w:right w:val="single" w:sz="4" w:space="0" w:color="000000"/>
            </w:tcBorders>
            <w:shd w:val="clear" w:color="auto" w:fill="D2D2D2"/>
          </w:tcPr>
          <w:p>
            <w:pPr/>
          </w:p>
        </w:tc>
        <w:tc>
          <w:tcPr>
            <w:tcW w:w="1036" w:type="dxa"/>
            <w:vMerge/>
            <w:tcBorders>
              <w:left w:val="single" w:sz="4" w:space="0" w:color="000000"/>
              <w:right w:val="single" w:sz="4" w:space="0" w:color="000000"/>
            </w:tcBorders>
            <w:shd w:val="clear" w:color="auto" w:fill="D2D2D2"/>
          </w:tcPr>
          <w:p>
            <w:pPr/>
          </w:p>
        </w:tc>
        <w:tc>
          <w:tcPr>
            <w:tcW w:w="276" w:type="dxa"/>
            <w:vMerge/>
            <w:tcBorders>
              <w:left w:val="single" w:sz="4" w:space="0" w:color="000000"/>
              <w:right w:val="single" w:sz="4" w:space="0" w:color="000000"/>
            </w:tcBorders>
            <w:shd w:val="clear" w:color="auto" w:fill="D2D2D2"/>
          </w:tcPr>
          <w:p>
            <w:pPr/>
          </w:p>
        </w:tc>
        <w:tc>
          <w:tcPr>
            <w:tcW w:w="1170" w:type="dxa"/>
            <w:vMerge/>
            <w:tcBorders>
              <w:left w:val="single" w:sz="4" w:space="0" w:color="000000"/>
              <w:bottom w:val="nil" w:sz="6" w:space="0" w:color="auto"/>
              <w:right w:val="single" w:sz="4" w:space="0" w:color="000000"/>
            </w:tcBorders>
            <w:shd w:val="clear" w:color="auto" w:fill="D2D2D2"/>
          </w:tcPr>
          <w:p>
            <w:pPr/>
          </w:p>
        </w:tc>
        <w:tc>
          <w:tcPr>
            <w:tcW w:w="1104" w:type="dxa"/>
            <w:vMerge/>
            <w:tcBorders>
              <w:left w:val="single" w:sz="4" w:space="0" w:color="000000"/>
              <w:right w:val="single" w:sz="4" w:space="0" w:color="000000"/>
            </w:tcBorders>
            <w:shd w:val="clear" w:color="auto" w:fill="D2D2D2"/>
          </w:tcPr>
          <w:p>
            <w:pPr/>
          </w:p>
        </w:tc>
      </w:tr>
      <w:tr>
        <w:trPr>
          <w:trHeight w:val="156" w:hRule="exact"/>
        </w:trPr>
        <w:tc>
          <w:tcPr>
            <w:tcW w:w="925" w:type="dxa"/>
            <w:vMerge/>
            <w:tcBorders>
              <w:left w:val="single" w:sz="4" w:space="0" w:color="000000"/>
              <w:bottom w:val="nil" w:sz="6" w:space="0" w:color="auto"/>
              <w:right w:val="single" w:sz="4" w:space="0" w:color="000000"/>
            </w:tcBorders>
            <w:shd w:val="clear" w:color="auto" w:fill="D2D2D2"/>
          </w:tcPr>
          <w:p>
            <w:pPr/>
          </w:p>
        </w:tc>
        <w:tc>
          <w:tcPr>
            <w:tcW w:w="1153" w:type="dxa"/>
            <w:vMerge w:val="restart"/>
            <w:tcBorders>
              <w:top w:val="nil" w:sz="6" w:space="0" w:color="auto"/>
              <w:left w:val="single" w:sz="4" w:space="0" w:color="000000"/>
              <w:right w:val="single" w:sz="4" w:space="0" w:color="000000"/>
            </w:tcBorders>
            <w:shd w:val="clear" w:color="auto" w:fill="D2D2D2"/>
          </w:tcPr>
          <w:p>
            <w:pPr/>
          </w:p>
        </w:tc>
        <w:tc>
          <w:tcPr>
            <w:tcW w:w="998" w:type="dxa"/>
            <w:vMerge/>
            <w:tcBorders>
              <w:left w:val="single" w:sz="22" w:space="0" w:color="D2D2D2"/>
              <w:bottom w:val="nil" w:sz="6" w:space="0" w:color="auto"/>
              <w:right w:val="single" w:sz="9" w:space="0" w:color="D2D2D2"/>
            </w:tcBorders>
          </w:tcPr>
          <w:p>
            <w:pPr/>
          </w:p>
        </w:tc>
        <w:tc>
          <w:tcPr>
            <w:tcW w:w="341" w:type="dxa"/>
            <w:vMerge/>
            <w:tcBorders>
              <w:left w:val="single" w:sz="4" w:space="0" w:color="000000"/>
              <w:right w:val="single" w:sz="4" w:space="0" w:color="000000"/>
            </w:tcBorders>
            <w:shd w:val="clear" w:color="auto" w:fill="D2D2D2"/>
          </w:tcPr>
          <w:p>
            <w:pPr/>
          </w:p>
        </w:tc>
        <w:tc>
          <w:tcPr>
            <w:tcW w:w="1114" w:type="dxa"/>
            <w:vMerge/>
            <w:tcBorders>
              <w:left w:val="single" w:sz="4" w:space="0" w:color="000000"/>
              <w:right w:val="single" w:sz="4" w:space="0" w:color="000000"/>
            </w:tcBorders>
            <w:shd w:val="clear" w:color="auto" w:fill="D2D2D2"/>
          </w:tcPr>
          <w:p>
            <w:pPr/>
          </w:p>
        </w:tc>
        <w:tc>
          <w:tcPr>
            <w:tcW w:w="483" w:type="dxa"/>
            <w:vMerge/>
            <w:tcBorders>
              <w:left w:val="single" w:sz="4" w:space="0" w:color="000000"/>
              <w:right w:val="single" w:sz="4" w:space="0" w:color="000000"/>
            </w:tcBorders>
            <w:shd w:val="clear" w:color="auto" w:fill="D2D2D2"/>
          </w:tcPr>
          <w:p>
            <w:pPr/>
          </w:p>
        </w:tc>
        <w:tc>
          <w:tcPr>
            <w:tcW w:w="1072" w:type="dxa"/>
            <w:vMerge/>
            <w:tcBorders>
              <w:left w:val="single" w:sz="4" w:space="0" w:color="000000"/>
              <w:right w:val="single" w:sz="4" w:space="0" w:color="000000"/>
            </w:tcBorders>
            <w:shd w:val="clear" w:color="auto" w:fill="D2D2D2"/>
          </w:tcPr>
          <w:p>
            <w:pPr/>
          </w:p>
        </w:tc>
        <w:tc>
          <w:tcPr>
            <w:tcW w:w="524" w:type="dxa"/>
            <w:vMerge/>
            <w:tcBorders>
              <w:left w:val="single" w:sz="4" w:space="0" w:color="000000"/>
              <w:right w:val="single" w:sz="4" w:space="0" w:color="000000"/>
            </w:tcBorders>
            <w:shd w:val="clear" w:color="auto" w:fill="D2D2D2"/>
          </w:tcPr>
          <w:p>
            <w:pPr/>
          </w:p>
        </w:tc>
        <w:tc>
          <w:tcPr>
            <w:tcW w:w="1036" w:type="dxa"/>
            <w:vMerge/>
            <w:tcBorders>
              <w:left w:val="single" w:sz="4" w:space="0" w:color="000000"/>
              <w:right w:val="single" w:sz="4" w:space="0" w:color="000000"/>
            </w:tcBorders>
            <w:shd w:val="clear" w:color="auto" w:fill="D2D2D2"/>
          </w:tcPr>
          <w:p>
            <w:pPr/>
          </w:p>
        </w:tc>
        <w:tc>
          <w:tcPr>
            <w:tcW w:w="276" w:type="dxa"/>
            <w:vMerge/>
            <w:tcBorders>
              <w:left w:val="single" w:sz="4" w:space="0" w:color="000000"/>
              <w:right w:val="single" w:sz="4" w:space="0" w:color="000000"/>
            </w:tcBorders>
            <w:shd w:val="clear" w:color="auto" w:fill="D2D2D2"/>
          </w:tcPr>
          <w:p>
            <w:pPr/>
          </w:p>
        </w:tc>
        <w:tc>
          <w:tcPr>
            <w:tcW w:w="1170" w:type="dxa"/>
            <w:vMerge w:val="restart"/>
            <w:tcBorders>
              <w:top w:val="nil" w:sz="6" w:space="0" w:color="auto"/>
              <w:left w:val="single" w:sz="4" w:space="0" w:color="000000"/>
              <w:right w:val="single" w:sz="4" w:space="0" w:color="000000"/>
            </w:tcBorders>
            <w:shd w:val="clear" w:color="auto" w:fill="D2D2D2"/>
          </w:tcPr>
          <w:p>
            <w:pPr/>
          </w:p>
        </w:tc>
        <w:tc>
          <w:tcPr>
            <w:tcW w:w="1104" w:type="dxa"/>
            <w:vMerge/>
            <w:tcBorders>
              <w:left w:val="single" w:sz="4" w:space="0" w:color="000000"/>
              <w:bottom w:val="nil" w:sz="6" w:space="0" w:color="auto"/>
              <w:right w:val="single" w:sz="4" w:space="0" w:color="000000"/>
            </w:tcBorders>
            <w:shd w:val="clear" w:color="auto" w:fill="D2D2D2"/>
          </w:tcPr>
          <w:p>
            <w:pPr/>
          </w:p>
        </w:tc>
      </w:tr>
      <w:tr>
        <w:trPr>
          <w:trHeight w:val="179" w:hRule="exact"/>
        </w:trPr>
        <w:tc>
          <w:tcPr>
            <w:tcW w:w="925" w:type="dxa"/>
            <w:vMerge w:val="restart"/>
            <w:tcBorders>
              <w:top w:val="nil" w:sz="6" w:space="0" w:color="auto"/>
              <w:left w:val="single" w:sz="4" w:space="0" w:color="000000"/>
              <w:right w:val="single" w:sz="4" w:space="0" w:color="000000"/>
            </w:tcBorders>
            <w:shd w:val="clear" w:color="auto" w:fill="D2D2D2"/>
          </w:tcPr>
          <w:p>
            <w:pPr/>
          </w:p>
        </w:tc>
        <w:tc>
          <w:tcPr>
            <w:tcW w:w="1153" w:type="dxa"/>
            <w:vMerge/>
            <w:tcBorders>
              <w:left w:val="single" w:sz="4" w:space="0" w:color="000000"/>
              <w:right w:val="single" w:sz="4" w:space="0" w:color="000000"/>
            </w:tcBorders>
            <w:shd w:val="clear" w:color="auto" w:fill="D2D2D2"/>
          </w:tcPr>
          <w:p>
            <w:pPr/>
          </w:p>
        </w:tc>
        <w:tc>
          <w:tcPr>
            <w:tcW w:w="998" w:type="dxa"/>
            <w:vMerge w:val="restart"/>
            <w:tcBorders>
              <w:top w:val="nil" w:sz="6" w:space="0" w:color="auto"/>
              <w:left w:val="single" w:sz="4" w:space="0" w:color="000000"/>
              <w:right w:val="single" w:sz="4" w:space="0" w:color="000000"/>
            </w:tcBorders>
            <w:shd w:val="clear" w:color="auto" w:fill="D2D2D2"/>
          </w:tcPr>
          <w:p>
            <w:pPr/>
          </w:p>
        </w:tc>
        <w:tc>
          <w:tcPr>
            <w:tcW w:w="341" w:type="dxa"/>
            <w:vMerge/>
            <w:tcBorders>
              <w:left w:val="single" w:sz="4" w:space="0" w:color="000000"/>
              <w:right w:val="single" w:sz="4" w:space="0" w:color="000000"/>
            </w:tcBorders>
            <w:shd w:val="clear" w:color="auto" w:fill="D2D2D2"/>
          </w:tcPr>
          <w:p>
            <w:pPr/>
          </w:p>
        </w:tc>
        <w:tc>
          <w:tcPr>
            <w:tcW w:w="1114" w:type="dxa"/>
            <w:vMerge/>
            <w:tcBorders>
              <w:left w:val="single" w:sz="4" w:space="0" w:color="000000"/>
              <w:right w:val="single" w:sz="4" w:space="0" w:color="000000"/>
            </w:tcBorders>
            <w:shd w:val="clear" w:color="auto" w:fill="D2D2D2"/>
          </w:tcPr>
          <w:p>
            <w:pPr/>
          </w:p>
        </w:tc>
        <w:tc>
          <w:tcPr>
            <w:tcW w:w="483" w:type="dxa"/>
            <w:vMerge/>
            <w:tcBorders>
              <w:left w:val="single" w:sz="4" w:space="0" w:color="000000"/>
              <w:right w:val="single" w:sz="4" w:space="0" w:color="000000"/>
            </w:tcBorders>
            <w:shd w:val="clear" w:color="auto" w:fill="D2D2D2"/>
          </w:tcPr>
          <w:p>
            <w:pPr/>
          </w:p>
        </w:tc>
        <w:tc>
          <w:tcPr>
            <w:tcW w:w="1072" w:type="dxa"/>
            <w:vMerge/>
            <w:tcBorders>
              <w:left w:val="single" w:sz="4" w:space="0" w:color="000000"/>
              <w:bottom w:val="nil" w:sz="6" w:space="0" w:color="auto"/>
              <w:right w:val="single" w:sz="4" w:space="0" w:color="000000"/>
            </w:tcBorders>
            <w:shd w:val="clear" w:color="auto" w:fill="D2D2D2"/>
          </w:tcPr>
          <w:p>
            <w:pPr/>
          </w:p>
        </w:tc>
        <w:tc>
          <w:tcPr>
            <w:tcW w:w="524" w:type="dxa"/>
            <w:vMerge/>
            <w:tcBorders>
              <w:left w:val="single" w:sz="4" w:space="0" w:color="000000"/>
              <w:right w:val="single" w:sz="4" w:space="0" w:color="000000"/>
            </w:tcBorders>
            <w:shd w:val="clear" w:color="auto" w:fill="D2D2D2"/>
          </w:tcPr>
          <w:p>
            <w:pPr/>
          </w:p>
        </w:tc>
        <w:tc>
          <w:tcPr>
            <w:tcW w:w="1036" w:type="dxa"/>
            <w:vMerge/>
            <w:tcBorders>
              <w:left w:val="single" w:sz="4" w:space="0" w:color="000000"/>
              <w:bottom w:val="nil" w:sz="6" w:space="0" w:color="auto"/>
              <w:right w:val="single" w:sz="4" w:space="0" w:color="000000"/>
            </w:tcBorders>
            <w:shd w:val="clear" w:color="auto" w:fill="D2D2D2"/>
          </w:tcPr>
          <w:p>
            <w:pPr/>
          </w:p>
        </w:tc>
        <w:tc>
          <w:tcPr>
            <w:tcW w:w="276" w:type="dxa"/>
            <w:vMerge/>
            <w:tcBorders>
              <w:left w:val="single" w:sz="4" w:space="0" w:color="000000"/>
              <w:bottom w:val="nil" w:sz="6" w:space="0" w:color="auto"/>
              <w:right w:val="single" w:sz="4" w:space="0" w:color="000000"/>
            </w:tcBorders>
            <w:shd w:val="clear" w:color="auto" w:fill="D2D2D2"/>
          </w:tcPr>
          <w:p>
            <w:pPr/>
          </w:p>
        </w:tc>
        <w:tc>
          <w:tcPr>
            <w:tcW w:w="1170" w:type="dxa"/>
            <w:vMerge/>
            <w:tcBorders>
              <w:left w:val="single" w:sz="4" w:space="0" w:color="000000"/>
              <w:right w:val="single" w:sz="4" w:space="0" w:color="000000"/>
            </w:tcBorders>
            <w:shd w:val="clear" w:color="auto" w:fill="D2D2D2"/>
          </w:tcPr>
          <w:p>
            <w:pPr/>
          </w:p>
        </w:tc>
        <w:tc>
          <w:tcPr>
            <w:tcW w:w="1104" w:type="dxa"/>
            <w:vMerge w:val="restart"/>
            <w:tcBorders>
              <w:top w:val="nil" w:sz="6" w:space="0" w:color="auto"/>
              <w:left w:val="single" w:sz="4" w:space="0" w:color="000000"/>
              <w:right w:val="single" w:sz="4" w:space="0" w:color="000000"/>
            </w:tcBorders>
            <w:shd w:val="clear" w:color="auto" w:fill="D2D2D2"/>
          </w:tcPr>
          <w:p>
            <w:pPr/>
          </w:p>
        </w:tc>
      </w:tr>
      <w:tr>
        <w:trPr>
          <w:trHeight w:val="156" w:hRule="exact"/>
        </w:trPr>
        <w:tc>
          <w:tcPr>
            <w:tcW w:w="925" w:type="dxa"/>
            <w:vMerge/>
            <w:tcBorders>
              <w:left w:val="single" w:sz="4" w:space="0" w:color="000000"/>
              <w:right w:val="single" w:sz="4" w:space="0" w:color="000000"/>
            </w:tcBorders>
            <w:shd w:val="clear" w:color="auto" w:fill="D2D2D2"/>
          </w:tcPr>
          <w:p>
            <w:pPr/>
          </w:p>
        </w:tc>
        <w:tc>
          <w:tcPr>
            <w:tcW w:w="1153" w:type="dxa"/>
            <w:vMerge/>
            <w:tcBorders>
              <w:left w:val="single" w:sz="4" w:space="0" w:color="000000"/>
              <w:right w:val="single" w:sz="4" w:space="0" w:color="000000"/>
            </w:tcBorders>
            <w:shd w:val="clear" w:color="auto" w:fill="D2D2D2"/>
          </w:tcPr>
          <w:p>
            <w:pPr/>
          </w:p>
        </w:tc>
        <w:tc>
          <w:tcPr>
            <w:tcW w:w="998" w:type="dxa"/>
            <w:vMerge/>
            <w:tcBorders>
              <w:left w:val="single" w:sz="4" w:space="0" w:color="000000"/>
              <w:right w:val="single" w:sz="4" w:space="0" w:color="000000"/>
            </w:tcBorders>
            <w:shd w:val="clear" w:color="auto" w:fill="D2D2D2"/>
          </w:tcPr>
          <w:p>
            <w:pPr/>
          </w:p>
        </w:tc>
        <w:tc>
          <w:tcPr>
            <w:tcW w:w="341" w:type="dxa"/>
            <w:vMerge/>
            <w:tcBorders>
              <w:left w:val="single" w:sz="4" w:space="0" w:color="000000"/>
              <w:right w:val="single" w:sz="4" w:space="0" w:color="000000"/>
            </w:tcBorders>
            <w:shd w:val="clear" w:color="auto" w:fill="D2D2D2"/>
          </w:tcPr>
          <w:p>
            <w:pPr/>
          </w:p>
        </w:tc>
        <w:tc>
          <w:tcPr>
            <w:tcW w:w="1114" w:type="dxa"/>
            <w:vMerge/>
            <w:tcBorders>
              <w:left w:val="single" w:sz="4" w:space="0" w:color="000000"/>
              <w:bottom w:val="nil" w:sz="6" w:space="0" w:color="auto"/>
              <w:right w:val="single" w:sz="4" w:space="0" w:color="000000"/>
            </w:tcBorders>
            <w:shd w:val="clear" w:color="auto" w:fill="D2D2D2"/>
          </w:tcPr>
          <w:p>
            <w:pPr/>
          </w:p>
        </w:tc>
        <w:tc>
          <w:tcPr>
            <w:tcW w:w="483" w:type="dxa"/>
            <w:vMerge/>
            <w:tcBorders>
              <w:left w:val="single" w:sz="4" w:space="0" w:color="000000"/>
              <w:right w:val="single" w:sz="4" w:space="0" w:color="000000"/>
            </w:tcBorders>
            <w:shd w:val="clear" w:color="auto" w:fill="D2D2D2"/>
          </w:tcPr>
          <w:p>
            <w:pPr/>
          </w:p>
        </w:tc>
        <w:tc>
          <w:tcPr>
            <w:tcW w:w="1072" w:type="dxa"/>
            <w:vMerge w:val="restart"/>
            <w:tcBorders>
              <w:top w:val="nil" w:sz="6" w:space="0" w:color="auto"/>
              <w:left w:val="single" w:sz="4" w:space="0" w:color="000000"/>
              <w:right w:val="single" w:sz="4" w:space="0" w:color="000000"/>
            </w:tcBorders>
            <w:shd w:val="clear" w:color="auto" w:fill="D2D2D2"/>
          </w:tcPr>
          <w:p>
            <w:pPr/>
          </w:p>
        </w:tc>
        <w:tc>
          <w:tcPr>
            <w:tcW w:w="524" w:type="dxa"/>
            <w:vMerge/>
            <w:tcBorders>
              <w:left w:val="single" w:sz="4" w:space="0" w:color="000000"/>
              <w:right w:val="single" w:sz="4" w:space="0" w:color="000000"/>
            </w:tcBorders>
            <w:shd w:val="clear" w:color="auto" w:fill="D2D2D2"/>
          </w:tcPr>
          <w:p>
            <w:pPr/>
          </w:p>
        </w:tc>
        <w:tc>
          <w:tcPr>
            <w:tcW w:w="1036" w:type="dxa"/>
            <w:vMerge w:val="restart"/>
            <w:tcBorders>
              <w:top w:val="nil" w:sz="6" w:space="0" w:color="auto"/>
              <w:left w:val="single" w:sz="4" w:space="0" w:color="000000"/>
              <w:right w:val="single" w:sz="4" w:space="0" w:color="000000"/>
            </w:tcBorders>
            <w:shd w:val="clear" w:color="auto" w:fill="D2D2D2"/>
          </w:tcPr>
          <w:p>
            <w:pPr/>
          </w:p>
        </w:tc>
        <w:tc>
          <w:tcPr>
            <w:tcW w:w="276" w:type="dxa"/>
            <w:vMerge w:val="restart"/>
            <w:tcBorders>
              <w:top w:val="nil" w:sz="6" w:space="0" w:color="auto"/>
              <w:left w:val="single" w:sz="4" w:space="0" w:color="000000"/>
              <w:right w:val="single" w:sz="4" w:space="0" w:color="000000"/>
            </w:tcBorders>
            <w:shd w:val="clear" w:color="auto" w:fill="D2D2D2"/>
          </w:tcPr>
          <w:p>
            <w:pPr/>
          </w:p>
        </w:tc>
        <w:tc>
          <w:tcPr>
            <w:tcW w:w="1170" w:type="dxa"/>
            <w:vMerge/>
            <w:tcBorders>
              <w:left w:val="single" w:sz="4" w:space="0" w:color="000000"/>
              <w:right w:val="single" w:sz="4" w:space="0" w:color="000000"/>
            </w:tcBorders>
            <w:shd w:val="clear" w:color="auto" w:fill="D2D2D2"/>
          </w:tcPr>
          <w:p>
            <w:pPr/>
          </w:p>
        </w:tc>
        <w:tc>
          <w:tcPr>
            <w:tcW w:w="1104" w:type="dxa"/>
            <w:vMerge/>
            <w:tcBorders>
              <w:left w:val="single" w:sz="4" w:space="0" w:color="000000"/>
              <w:right w:val="single" w:sz="4" w:space="0" w:color="000000"/>
            </w:tcBorders>
            <w:shd w:val="clear" w:color="auto" w:fill="D2D2D2"/>
          </w:tcPr>
          <w:p>
            <w:pPr/>
          </w:p>
        </w:tc>
      </w:tr>
      <w:tr>
        <w:trPr>
          <w:trHeight w:val="156" w:hRule="exact"/>
        </w:trPr>
        <w:tc>
          <w:tcPr>
            <w:tcW w:w="925" w:type="dxa"/>
            <w:vMerge/>
            <w:tcBorders>
              <w:left w:val="single" w:sz="4" w:space="0" w:color="000000"/>
              <w:right w:val="single" w:sz="4" w:space="0" w:color="000000"/>
            </w:tcBorders>
            <w:shd w:val="clear" w:color="auto" w:fill="D2D2D2"/>
          </w:tcPr>
          <w:p>
            <w:pPr/>
          </w:p>
        </w:tc>
        <w:tc>
          <w:tcPr>
            <w:tcW w:w="1153" w:type="dxa"/>
            <w:vMerge/>
            <w:tcBorders>
              <w:left w:val="single" w:sz="4" w:space="0" w:color="000000"/>
              <w:right w:val="single" w:sz="4" w:space="0" w:color="000000"/>
            </w:tcBorders>
            <w:shd w:val="clear" w:color="auto" w:fill="D2D2D2"/>
          </w:tcPr>
          <w:p>
            <w:pPr/>
          </w:p>
        </w:tc>
        <w:tc>
          <w:tcPr>
            <w:tcW w:w="998" w:type="dxa"/>
            <w:vMerge/>
            <w:tcBorders>
              <w:left w:val="single" w:sz="4" w:space="0" w:color="000000"/>
              <w:right w:val="single" w:sz="4" w:space="0" w:color="000000"/>
            </w:tcBorders>
            <w:shd w:val="clear" w:color="auto" w:fill="D2D2D2"/>
          </w:tcPr>
          <w:p>
            <w:pPr/>
          </w:p>
        </w:tc>
        <w:tc>
          <w:tcPr>
            <w:tcW w:w="341" w:type="dxa"/>
            <w:vMerge/>
            <w:tcBorders>
              <w:left w:val="single" w:sz="4" w:space="0" w:color="000000"/>
              <w:bottom w:val="nil" w:sz="6" w:space="0" w:color="auto"/>
              <w:right w:val="single" w:sz="4" w:space="0" w:color="000000"/>
            </w:tcBorders>
            <w:shd w:val="clear" w:color="auto" w:fill="D2D2D2"/>
          </w:tcPr>
          <w:p>
            <w:pPr/>
          </w:p>
        </w:tc>
        <w:tc>
          <w:tcPr>
            <w:tcW w:w="1114" w:type="dxa"/>
            <w:vMerge w:val="restart"/>
            <w:tcBorders>
              <w:top w:val="nil" w:sz="6" w:space="0" w:color="auto"/>
              <w:left w:val="single" w:sz="4" w:space="0" w:color="000000"/>
              <w:right w:val="single" w:sz="4" w:space="0" w:color="000000"/>
            </w:tcBorders>
            <w:shd w:val="clear" w:color="auto" w:fill="D2D2D2"/>
          </w:tcPr>
          <w:p>
            <w:pPr/>
          </w:p>
        </w:tc>
        <w:tc>
          <w:tcPr>
            <w:tcW w:w="483" w:type="dxa"/>
            <w:vMerge/>
            <w:tcBorders>
              <w:left w:val="single" w:sz="4" w:space="0" w:color="000000"/>
              <w:bottom w:val="nil" w:sz="6" w:space="0" w:color="auto"/>
              <w:right w:val="single" w:sz="4" w:space="0" w:color="000000"/>
            </w:tcBorders>
            <w:shd w:val="clear" w:color="auto" w:fill="D2D2D2"/>
          </w:tcPr>
          <w:p>
            <w:pPr/>
          </w:p>
        </w:tc>
        <w:tc>
          <w:tcPr>
            <w:tcW w:w="1072" w:type="dxa"/>
            <w:vMerge/>
            <w:tcBorders>
              <w:left w:val="single" w:sz="4" w:space="0" w:color="000000"/>
              <w:right w:val="single" w:sz="4" w:space="0" w:color="000000"/>
            </w:tcBorders>
            <w:shd w:val="clear" w:color="auto" w:fill="D2D2D2"/>
          </w:tcPr>
          <w:p>
            <w:pPr/>
          </w:p>
        </w:tc>
        <w:tc>
          <w:tcPr>
            <w:tcW w:w="524" w:type="dxa"/>
            <w:vMerge/>
            <w:tcBorders>
              <w:left w:val="single" w:sz="4" w:space="0" w:color="000000"/>
              <w:right w:val="single" w:sz="4" w:space="0" w:color="000000"/>
            </w:tcBorders>
            <w:shd w:val="clear" w:color="auto" w:fill="D2D2D2"/>
          </w:tcPr>
          <w:p>
            <w:pPr/>
          </w:p>
        </w:tc>
        <w:tc>
          <w:tcPr>
            <w:tcW w:w="1036" w:type="dxa"/>
            <w:vMerge/>
            <w:tcBorders>
              <w:left w:val="single" w:sz="4" w:space="0" w:color="000000"/>
              <w:right w:val="single" w:sz="4" w:space="0" w:color="000000"/>
            </w:tcBorders>
            <w:shd w:val="clear" w:color="auto" w:fill="D2D2D2"/>
          </w:tcPr>
          <w:p>
            <w:pPr/>
          </w:p>
        </w:tc>
        <w:tc>
          <w:tcPr>
            <w:tcW w:w="276" w:type="dxa"/>
            <w:vMerge/>
            <w:tcBorders>
              <w:left w:val="single" w:sz="4" w:space="0" w:color="000000"/>
              <w:right w:val="single" w:sz="4" w:space="0" w:color="000000"/>
            </w:tcBorders>
            <w:shd w:val="clear" w:color="auto" w:fill="D2D2D2"/>
          </w:tcPr>
          <w:p>
            <w:pPr/>
          </w:p>
        </w:tc>
        <w:tc>
          <w:tcPr>
            <w:tcW w:w="1170" w:type="dxa"/>
            <w:vMerge/>
            <w:tcBorders>
              <w:left w:val="single" w:sz="4" w:space="0" w:color="000000"/>
              <w:right w:val="single" w:sz="4" w:space="0" w:color="000000"/>
            </w:tcBorders>
            <w:shd w:val="clear" w:color="auto" w:fill="D2D2D2"/>
          </w:tcPr>
          <w:p>
            <w:pPr/>
          </w:p>
        </w:tc>
        <w:tc>
          <w:tcPr>
            <w:tcW w:w="1104" w:type="dxa"/>
            <w:vMerge/>
            <w:tcBorders>
              <w:left w:val="single" w:sz="4" w:space="0" w:color="000000"/>
              <w:right w:val="single" w:sz="4" w:space="0" w:color="000000"/>
            </w:tcBorders>
            <w:shd w:val="clear" w:color="auto" w:fill="D2D2D2"/>
          </w:tcPr>
          <w:p>
            <w:pPr/>
          </w:p>
        </w:tc>
      </w:tr>
      <w:tr>
        <w:trPr>
          <w:trHeight w:val="317" w:hRule="exact"/>
        </w:trPr>
        <w:tc>
          <w:tcPr>
            <w:tcW w:w="925" w:type="dxa"/>
            <w:vMerge/>
            <w:tcBorders>
              <w:left w:val="single" w:sz="4" w:space="0" w:color="000000"/>
              <w:bottom w:val="single" w:sz="4" w:space="0" w:color="000000"/>
              <w:right w:val="single" w:sz="4" w:space="0" w:color="000000"/>
            </w:tcBorders>
            <w:shd w:val="clear" w:color="auto" w:fill="D2D2D2"/>
          </w:tcPr>
          <w:p>
            <w:pPr/>
          </w:p>
        </w:tc>
        <w:tc>
          <w:tcPr>
            <w:tcW w:w="1153" w:type="dxa"/>
            <w:vMerge/>
            <w:tcBorders>
              <w:left w:val="single" w:sz="4" w:space="0" w:color="000000"/>
              <w:bottom w:val="single" w:sz="4" w:space="0" w:color="000000"/>
              <w:right w:val="single" w:sz="4" w:space="0" w:color="000000"/>
            </w:tcBorders>
            <w:shd w:val="clear" w:color="auto" w:fill="D2D2D2"/>
          </w:tcPr>
          <w:p>
            <w:pPr/>
          </w:p>
        </w:tc>
        <w:tc>
          <w:tcPr>
            <w:tcW w:w="998" w:type="dxa"/>
            <w:vMerge/>
            <w:tcBorders>
              <w:left w:val="single" w:sz="4" w:space="0" w:color="000000"/>
              <w:bottom w:val="single" w:sz="4" w:space="0" w:color="000000"/>
              <w:right w:val="single" w:sz="4" w:space="0" w:color="000000"/>
            </w:tcBorders>
            <w:shd w:val="clear" w:color="auto" w:fill="D2D2D2"/>
          </w:tcPr>
          <w:p>
            <w:pPr/>
          </w:p>
        </w:tc>
        <w:tc>
          <w:tcPr>
            <w:tcW w:w="341" w:type="dxa"/>
            <w:tcBorders>
              <w:top w:val="nil" w:sz="6" w:space="0" w:color="auto"/>
              <w:left w:val="single" w:sz="4" w:space="0" w:color="000000"/>
              <w:bottom w:val="single" w:sz="4" w:space="0" w:color="000000"/>
              <w:right w:val="single" w:sz="4" w:space="0" w:color="000000"/>
            </w:tcBorders>
            <w:shd w:val="clear" w:color="auto" w:fill="D2D2D2"/>
          </w:tcPr>
          <w:p>
            <w:pPr/>
          </w:p>
        </w:tc>
        <w:tc>
          <w:tcPr>
            <w:tcW w:w="1114" w:type="dxa"/>
            <w:vMerge/>
            <w:tcBorders>
              <w:left w:val="single" w:sz="4" w:space="0" w:color="000000"/>
              <w:bottom w:val="single" w:sz="4" w:space="0" w:color="000000"/>
              <w:right w:val="single" w:sz="4" w:space="0" w:color="000000"/>
            </w:tcBorders>
            <w:shd w:val="clear" w:color="auto" w:fill="D2D2D2"/>
          </w:tcPr>
          <w:p>
            <w:pPr/>
          </w:p>
        </w:tc>
        <w:tc>
          <w:tcPr>
            <w:tcW w:w="483" w:type="dxa"/>
            <w:tcBorders>
              <w:top w:val="nil" w:sz="6" w:space="0" w:color="auto"/>
              <w:left w:val="single" w:sz="4" w:space="0" w:color="000000"/>
              <w:bottom w:val="single" w:sz="4" w:space="0" w:color="000000"/>
              <w:right w:val="single" w:sz="4" w:space="0" w:color="000000"/>
            </w:tcBorders>
            <w:shd w:val="clear" w:color="auto" w:fill="D2D2D2"/>
          </w:tcPr>
          <w:p>
            <w:pPr/>
          </w:p>
        </w:tc>
        <w:tc>
          <w:tcPr>
            <w:tcW w:w="1072" w:type="dxa"/>
            <w:vMerge/>
            <w:tcBorders>
              <w:left w:val="single" w:sz="4" w:space="0" w:color="000000"/>
              <w:bottom w:val="single" w:sz="4" w:space="0" w:color="000000"/>
              <w:right w:val="single" w:sz="4" w:space="0" w:color="000000"/>
            </w:tcBorders>
            <w:shd w:val="clear" w:color="auto" w:fill="D2D2D2"/>
          </w:tcPr>
          <w:p>
            <w:pPr/>
          </w:p>
        </w:tc>
        <w:tc>
          <w:tcPr>
            <w:tcW w:w="524" w:type="dxa"/>
            <w:vMerge/>
            <w:tcBorders>
              <w:left w:val="single" w:sz="4" w:space="0" w:color="000000"/>
              <w:bottom w:val="single" w:sz="4" w:space="0" w:color="000000"/>
              <w:right w:val="single" w:sz="4" w:space="0" w:color="000000"/>
            </w:tcBorders>
            <w:shd w:val="clear" w:color="auto" w:fill="D2D2D2"/>
          </w:tcPr>
          <w:p>
            <w:pPr/>
          </w:p>
        </w:tc>
        <w:tc>
          <w:tcPr>
            <w:tcW w:w="1036" w:type="dxa"/>
            <w:vMerge/>
            <w:tcBorders>
              <w:left w:val="single" w:sz="4" w:space="0" w:color="000000"/>
              <w:bottom w:val="single" w:sz="4" w:space="0" w:color="000000"/>
              <w:right w:val="single" w:sz="4" w:space="0" w:color="000000"/>
            </w:tcBorders>
            <w:shd w:val="clear" w:color="auto" w:fill="D2D2D2"/>
          </w:tcPr>
          <w:p>
            <w:pPr/>
          </w:p>
        </w:tc>
        <w:tc>
          <w:tcPr>
            <w:tcW w:w="276" w:type="dxa"/>
            <w:vMerge/>
            <w:tcBorders>
              <w:left w:val="single" w:sz="4" w:space="0" w:color="000000"/>
              <w:bottom w:val="single" w:sz="4" w:space="0" w:color="000000"/>
              <w:right w:val="single" w:sz="4" w:space="0" w:color="000000"/>
            </w:tcBorders>
            <w:shd w:val="clear" w:color="auto" w:fill="D2D2D2"/>
          </w:tcPr>
          <w:p>
            <w:pPr/>
          </w:p>
        </w:tc>
        <w:tc>
          <w:tcPr>
            <w:tcW w:w="1170" w:type="dxa"/>
            <w:vMerge/>
            <w:tcBorders>
              <w:left w:val="single" w:sz="4" w:space="0" w:color="000000"/>
              <w:bottom w:val="single" w:sz="4" w:space="0" w:color="000000"/>
              <w:right w:val="single" w:sz="4" w:space="0" w:color="000000"/>
            </w:tcBorders>
            <w:shd w:val="clear" w:color="auto" w:fill="D2D2D2"/>
          </w:tcPr>
          <w:p>
            <w:pPr/>
          </w:p>
        </w:tc>
        <w:tc>
          <w:tcPr>
            <w:tcW w:w="110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0195"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2" w:right="0"/>
              <w:jc w:val="left"/>
              <w:rPr>
                <w:rFonts w:ascii="宋体" w:hAnsi="宋体" w:cs="宋体" w:eastAsia="宋体" w:hint="default"/>
                <w:sz w:val="21"/>
                <w:szCs w:val="21"/>
              </w:rPr>
            </w:pPr>
            <w:r>
              <w:rPr>
                <w:rFonts w:ascii="宋体" w:hAnsi="宋体" w:cs="宋体" w:eastAsia="宋体" w:hint="default"/>
                <w:sz w:val="21"/>
                <w:szCs w:val="21"/>
              </w:rPr>
              <w:t>一、合营企业</w:t>
            </w:r>
          </w:p>
        </w:tc>
      </w:tr>
      <w:tr>
        <w:trPr>
          <w:trHeight w:val="402" w:hRule="exact"/>
        </w:trPr>
        <w:tc>
          <w:tcPr>
            <w:tcW w:w="10195"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2" w:right="0"/>
              <w:jc w:val="left"/>
              <w:rPr>
                <w:rFonts w:ascii="宋体" w:hAnsi="宋体" w:cs="宋体" w:eastAsia="宋体" w:hint="default"/>
                <w:sz w:val="21"/>
                <w:szCs w:val="21"/>
              </w:rPr>
            </w:pPr>
            <w:r>
              <w:rPr>
                <w:rFonts w:ascii="宋体" w:hAnsi="宋体" w:cs="宋体" w:eastAsia="宋体" w:hint="default"/>
                <w:sz w:val="21"/>
                <w:szCs w:val="21"/>
              </w:rPr>
              <w:t>二、联营企业</w:t>
            </w:r>
          </w:p>
        </w:tc>
      </w:tr>
      <w:tr>
        <w:trPr>
          <w:trHeight w:val="1338" w:hRule="exact"/>
        </w:trPr>
        <w:tc>
          <w:tcPr>
            <w:tcW w:w="9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12" w:right="60"/>
              <w:jc w:val="both"/>
              <w:rPr>
                <w:rFonts w:ascii="宋体" w:hAnsi="宋体" w:cs="宋体" w:eastAsia="宋体" w:hint="default"/>
                <w:sz w:val="21"/>
                <w:szCs w:val="21"/>
              </w:rPr>
            </w:pPr>
            <w:r>
              <w:rPr>
                <w:rFonts w:ascii="宋体" w:hAnsi="宋体" w:cs="宋体" w:eastAsia="宋体" w:hint="default"/>
                <w:sz w:val="21"/>
                <w:szCs w:val="21"/>
              </w:rPr>
              <w:t>飞天联合 </w:t>
            </w:r>
            <w:r>
              <w:rPr>
                <w:rFonts w:ascii="宋体" w:hAnsi="宋体" w:cs="宋体" w:eastAsia="宋体" w:hint="default"/>
                <w:sz w:val="21"/>
                <w:szCs w:val="21"/>
              </w:rPr>
              <w:t>(</w:t>
            </w:r>
            <w:r>
              <w:rPr>
                <w:rFonts w:ascii="宋体" w:hAnsi="宋体" w:cs="宋体" w:eastAsia="宋体" w:hint="default"/>
                <w:sz w:val="21"/>
                <w:szCs w:val="21"/>
              </w:rPr>
              <w:t>北京</w:t>
            </w:r>
            <w:r>
              <w:rPr>
                <w:rFonts w:ascii="宋体" w:hAnsi="宋体" w:cs="宋体" w:eastAsia="宋体" w:hint="default"/>
                <w:sz w:val="21"/>
                <w:szCs w:val="21"/>
              </w:rPr>
              <w:t>)</w:t>
            </w:r>
            <w:r>
              <w:rPr>
                <w:rFonts w:ascii="宋体" w:hAnsi="宋体" w:cs="宋体" w:eastAsia="宋体" w:hint="default"/>
                <w:sz w:val="21"/>
                <w:szCs w:val="21"/>
              </w:rPr>
              <w:t>系 统技术有 限公司</w:t>
            </w:r>
          </w:p>
        </w:tc>
        <w:tc>
          <w:tcPr>
            <w:tcW w:w="115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20"/>
              <w:jc w:val="right"/>
              <w:rPr>
                <w:rFonts w:ascii="宋体" w:hAnsi="宋体" w:cs="宋体" w:eastAsia="宋体" w:hint="default"/>
                <w:sz w:val="21"/>
                <w:szCs w:val="21"/>
              </w:rPr>
            </w:pPr>
            <w:r>
              <w:rPr>
                <w:rFonts w:ascii="宋体"/>
                <w:sz w:val="21"/>
              </w:rPr>
              <w:t>81,582,114</w:t>
            </w:r>
          </w:p>
          <w:p>
            <w:pPr>
              <w:pStyle w:val="TableParagraph"/>
              <w:spacing w:line="240" w:lineRule="auto" w:before="37"/>
              <w:ind w:right="20"/>
              <w:jc w:val="right"/>
              <w:rPr>
                <w:rFonts w:ascii="宋体" w:hAnsi="宋体" w:cs="宋体" w:eastAsia="宋体" w:hint="default"/>
                <w:sz w:val="21"/>
                <w:szCs w:val="21"/>
              </w:rPr>
            </w:pPr>
            <w:r>
              <w:rPr>
                <w:rFonts w:ascii="宋体"/>
                <w:sz w:val="21"/>
              </w:rPr>
              <w:t>.74</w:t>
            </w:r>
          </w:p>
        </w:tc>
        <w:tc>
          <w:tcPr>
            <w:tcW w:w="998" w:type="dxa"/>
            <w:tcBorders>
              <w:top w:val="single" w:sz="4" w:space="0" w:color="000000"/>
              <w:left w:val="single" w:sz="4" w:space="0" w:color="000000"/>
              <w:bottom w:val="single" w:sz="4" w:space="0" w:color="000000"/>
              <w:right w:val="single" w:sz="4" w:space="0" w:color="000000"/>
            </w:tcBorders>
          </w:tcPr>
          <w:p>
            <w:pPr/>
          </w:p>
        </w:tc>
        <w:tc>
          <w:tcPr>
            <w:tcW w:w="341" w:type="dxa"/>
            <w:tcBorders>
              <w:top w:val="single" w:sz="4" w:space="0" w:color="000000"/>
              <w:left w:val="single" w:sz="4" w:space="0" w:color="000000"/>
              <w:bottom w:val="single" w:sz="4" w:space="0" w:color="000000"/>
              <w:right w:val="single" w:sz="4" w:space="0" w:color="000000"/>
            </w:tcBorders>
          </w:tcPr>
          <w:p>
            <w:pP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left="130" w:right="0"/>
              <w:jc w:val="left"/>
              <w:rPr>
                <w:rFonts w:ascii="宋体" w:hAnsi="宋体" w:cs="宋体" w:eastAsia="宋体" w:hint="default"/>
                <w:sz w:val="21"/>
                <w:szCs w:val="21"/>
              </w:rPr>
            </w:pPr>
            <w:r>
              <w:rPr>
                <w:rFonts w:ascii="宋体"/>
                <w:sz w:val="21"/>
              </w:rPr>
              <w:t>-8,483,54</w:t>
            </w:r>
          </w:p>
          <w:p>
            <w:pPr>
              <w:pStyle w:val="TableParagraph"/>
              <w:spacing w:line="240" w:lineRule="auto" w:before="37"/>
              <w:ind w:left="655" w:right="0"/>
              <w:jc w:val="left"/>
              <w:rPr>
                <w:rFonts w:ascii="宋体" w:hAnsi="宋体" w:cs="宋体" w:eastAsia="宋体" w:hint="default"/>
                <w:sz w:val="21"/>
                <w:szCs w:val="21"/>
              </w:rPr>
            </w:pPr>
            <w:r>
              <w:rPr>
                <w:rFonts w:ascii="宋体"/>
                <w:sz w:val="21"/>
              </w:rPr>
              <w:t>4.73</w:t>
            </w:r>
          </w:p>
        </w:tc>
        <w:tc>
          <w:tcPr>
            <w:tcW w:w="483" w:type="dxa"/>
            <w:tcBorders>
              <w:top w:val="single" w:sz="4" w:space="0" w:color="000000"/>
              <w:left w:val="single" w:sz="4" w:space="0" w:color="000000"/>
              <w:bottom w:val="single" w:sz="4" w:space="0" w:color="000000"/>
              <w:right w:val="single" w:sz="4" w:space="0" w:color="000000"/>
            </w:tcBorders>
          </w:tcPr>
          <w:p>
            <w:pPr/>
          </w:p>
        </w:tc>
        <w:tc>
          <w:tcPr>
            <w:tcW w:w="1072" w:type="dxa"/>
            <w:tcBorders>
              <w:top w:val="single" w:sz="4" w:space="0" w:color="000000"/>
              <w:left w:val="single" w:sz="4" w:space="0" w:color="000000"/>
              <w:bottom w:val="single" w:sz="4" w:space="0" w:color="000000"/>
              <w:right w:val="single" w:sz="4" w:space="0" w:color="000000"/>
            </w:tcBorders>
          </w:tcPr>
          <w:p>
            <w:pPr/>
          </w:p>
        </w:tc>
        <w:tc>
          <w:tcPr>
            <w:tcW w:w="524" w:type="dxa"/>
            <w:tcBorders>
              <w:top w:val="single" w:sz="4" w:space="0" w:color="000000"/>
              <w:left w:val="single" w:sz="4" w:space="0" w:color="000000"/>
              <w:bottom w:val="single" w:sz="4" w:space="0" w:color="000000"/>
              <w:right w:val="single" w:sz="4" w:space="0" w:color="000000"/>
            </w:tcBorders>
          </w:tcPr>
          <w:p>
            <w:pPr/>
          </w:p>
        </w:tc>
        <w:tc>
          <w:tcPr>
            <w:tcW w:w="1036" w:type="dxa"/>
            <w:tcBorders>
              <w:top w:val="single" w:sz="4" w:space="0" w:color="000000"/>
              <w:left w:val="single" w:sz="4" w:space="0" w:color="000000"/>
              <w:bottom w:val="single" w:sz="4" w:space="0" w:color="000000"/>
              <w:right w:val="single" w:sz="4" w:space="0" w:color="000000"/>
            </w:tcBorders>
          </w:tcPr>
          <w:p>
            <w:pPr/>
          </w:p>
        </w:tc>
        <w:tc>
          <w:tcPr>
            <w:tcW w:w="276" w:type="dxa"/>
            <w:tcBorders>
              <w:top w:val="single" w:sz="4" w:space="0" w:color="000000"/>
              <w:left w:val="single" w:sz="4" w:space="0" w:color="000000"/>
              <w:bottom w:val="single" w:sz="4" w:space="0" w:color="000000"/>
              <w:right w:val="single" w:sz="4" w:space="0" w:color="000000"/>
            </w:tcBorders>
          </w:tcPr>
          <w:p>
            <w:pP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26"/>
              <w:jc w:val="right"/>
              <w:rPr>
                <w:rFonts w:ascii="宋体" w:hAnsi="宋体" w:cs="宋体" w:eastAsia="宋体" w:hint="default"/>
                <w:sz w:val="21"/>
                <w:szCs w:val="21"/>
              </w:rPr>
            </w:pPr>
            <w:r>
              <w:rPr>
                <w:rFonts w:ascii="宋体"/>
                <w:sz w:val="21"/>
              </w:rPr>
              <w:t>73,098,570</w:t>
            </w:r>
          </w:p>
          <w:p>
            <w:pPr>
              <w:pStyle w:val="TableParagraph"/>
              <w:spacing w:line="240" w:lineRule="auto" w:before="37"/>
              <w:ind w:right="26"/>
              <w:jc w:val="right"/>
              <w:rPr>
                <w:rFonts w:ascii="宋体" w:hAnsi="宋体" w:cs="宋体" w:eastAsia="宋体" w:hint="default"/>
                <w:sz w:val="21"/>
                <w:szCs w:val="21"/>
              </w:rPr>
            </w:pPr>
            <w:r>
              <w:rPr>
                <w:rFonts w:ascii="宋体"/>
                <w:sz w:val="21"/>
              </w:rPr>
              <w:t>.01</w:t>
            </w:r>
          </w:p>
        </w:tc>
        <w:tc>
          <w:tcPr>
            <w:tcW w:w="1104"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9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12" w:right="61"/>
              <w:jc w:val="both"/>
              <w:rPr>
                <w:rFonts w:ascii="宋体" w:hAnsi="宋体" w:cs="宋体" w:eastAsia="宋体" w:hint="default"/>
                <w:sz w:val="21"/>
                <w:szCs w:val="21"/>
              </w:rPr>
            </w:pPr>
            <w:r>
              <w:rPr>
                <w:rFonts w:ascii="宋体" w:hAnsi="宋体" w:cs="宋体" w:eastAsia="宋体" w:hint="default"/>
                <w:sz w:val="21"/>
                <w:szCs w:val="21"/>
              </w:rPr>
              <w:t>北京赛弗 网络科技 有限责任 公司</w:t>
            </w:r>
          </w:p>
        </w:tc>
        <w:tc>
          <w:tcPr>
            <w:tcW w:w="115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20"/>
              <w:jc w:val="right"/>
              <w:rPr>
                <w:rFonts w:ascii="宋体" w:hAnsi="宋体" w:cs="宋体" w:eastAsia="宋体" w:hint="default"/>
                <w:sz w:val="21"/>
                <w:szCs w:val="21"/>
              </w:rPr>
            </w:pPr>
            <w:r>
              <w:rPr>
                <w:rFonts w:ascii="宋体"/>
                <w:sz w:val="21"/>
              </w:rPr>
              <w:t>82,701,151</w:t>
            </w:r>
          </w:p>
          <w:p>
            <w:pPr>
              <w:pStyle w:val="TableParagraph"/>
              <w:spacing w:line="240" w:lineRule="auto" w:before="37"/>
              <w:ind w:right="20"/>
              <w:jc w:val="right"/>
              <w:rPr>
                <w:rFonts w:ascii="宋体" w:hAnsi="宋体" w:cs="宋体" w:eastAsia="宋体" w:hint="default"/>
                <w:sz w:val="21"/>
                <w:szCs w:val="21"/>
              </w:rPr>
            </w:pPr>
            <w:r>
              <w:rPr>
                <w:rFonts w:ascii="宋体"/>
                <w:sz w:val="21"/>
              </w:rPr>
              <w:t>.63</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left="118" w:right="0"/>
              <w:jc w:val="left"/>
              <w:rPr>
                <w:rFonts w:ascii="宋体" w:hAnsi="宋体" w:cs="宋体" w:eastAsia="宋体" w:hint="default"/>
                <w:sz w:val="21"/>
                <w:szCs w:val="21"/>
              </w:rPr>
            </w:pPr>
            <w:r>
              <w:rPr>
                <w:rFonts w:ascii="宋体"/>
                <w:sz w:val="21"/>
              </w:rPr>
              <w:t>3,460,00</w:t>
            </w:r>
          </w:p>
          <w:p>
            <w:pPr>
              <w:pStyle w:val="TableParagraph"/>
              <w:spacing w:line="240" w:lineRule="auto" w:before="37"/>
              <w:ind w:left="538" w:right="0"/>
              <w:jc w:val="left"/>
              <w:rPr>
                <w:rFonts w:ascii="宋体" w:hAnsi="宋体" w:cs="宋体" w:eastAsia="宋体" w:hint="default"/>
                <w:sz w:val="21"/>
                <w:szCs w:val="21"/>
              </w:rPr>
            </w:pPr>
            <w:r>
              <w:rPr>
                <w:rFonts w:ascii="宋体"/>
                <w:sz w:val="21"/>
              </w:rPr>
              <w:t>0.00</w:t>
            </w:r>
          </w:p>
        </w:tc>
        <w:tc>
          <w:tcPr>
            <w:tcW w:w="341" w:type="dxa"/>
            <w:tcBorders>
              <w:top w:val="single" w:sz="4" w:space="0" w:color="000000"/>
              <w:left w:val="single" w:sz="4" w:space="0" w:color="000000"/>
              <w:bottom w:val="single" w:sz="4" w:space="0" w:color="000000"/>
              <w:right w:val="single" w:sz="4" w:space="0" w:color="000000"/>
            </w:tcBorders>
          </w:tcPr>
          <w:p>
            <w:pP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left="130" w:right="0"/>
              <w:jc w:val="left"/>
              <w:rPr>
                <w:rFonts w:ascii="宋体" w:hAnsi="宋体" w:cs="宋体" w:eastAsia="宋体" w:hint="default"/>
                <w:sz w:val="21"/>
                <w:szCs w:val="21"/>
              </w:rPr>
            </w:pPr>
            <w:r>
              <w:rPr>
                <w:rFonts w:ascii="宋体"/>
                <w:sz w:val="21"/>
              </w:rPr>
              <w:t>-6,427,23</w:t>
            </w:r>
          </w:p>
          <w:p>
            <w:pPr>
              <w:pStyle w:val="TableParagraph"/>
              <w:spacing w:line="240" w:lineRule="auto" w:before="37"/>
              <w:ind w:left="655" w:right="0"/>
              <w:jc w:val="left"/>
              <w:rPr>
                <w:rFonts w:ascii="宋体" w:hAnsi="宋体" w:cs="宋体" w:eastAsia="宋体" w:hint="default"/>
                <w:sz w:val="21"/>
                <w:szCs w:val="21"/>
              </w:rPr>
            </w:pPr>
            <w:r>
              <w:rPr>
                <w:rFonts w:ascii="宋体"/>
                <w:sz w:val="21"/>
              </w:rPr>
              <w:t>5.70</w:t>
            </w:r>
          </w:p>
        </w:tc>
        <w:tc>
          <w:tcPr>
            <w:tcW w:w="483" w:type="dxa"/>
            <w:tcBorders>
              <w:top w:val="single" w:sz="4" w:space="0" w:color="000000"/>
              <w:left w:val="single" w:sz="4" w:space="0" w:color="000000"/>
              <w:bottom w:val="single" w:sz="4" w:space="0" w:color="000000"/>
              <w:right w:val="single" w:sz="4" w:space="0" w:color="000000"/>
            </w:tcBorders>
          </w:tcPr>
          <w:p>
            <w:pP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20"/>
              <w:jc w:val="right"/>
              <w:rPr>
                <w:rFonts w:ascii="宋体" w:hAnsi="宋体" w:cs="宋体" w:eastAsia="宋体" w:hint="default"/>
                <w:sz w:val="21"/>
                <w:szCs w:val="21"/>
              </w:rPr>
            </w:pPr>
            <w:r>
              <w:rPr>
                <w:rFonts w:ascii="宋体"/>
                <w:sz w:val="21"/>
              </w:rPr>
              <w:t>1,008,652</w:t>
            </w:r>
          </w:p>
          <w:p>
            <w:pPr>
              <w:pStyle w:val="TableParagraph"/>
              <w:spacing w:line="240" w:lineRule="auto" w:before="37"/>
              <w:ind w:right="20"/>
              <w:jc w:val="right"/>
              <w:rPr>
                <w:rFonts w:ascii="宋体" w:hAnsi="宋体" w:cs="宋体" w:eastAsia="宋体" w:hint="default"/>
                <w:sz w:val="21"/>
                <w:szCs w:val="21"/>
              </w:rPr>
            </w:pPr>
            <w:r>
              <w:rPr>
                <w:rFonts w:ascii="宋体"/>
                <w:sz w:val="21"/>
              </w:rPr>
              <w:t>.92</w:t>
            </w:r>
          </w:p>
        </w:tc>
        <w:tc>
          <w:tcPr>
            <w:tcW w:w="524" w:type="dxa"/>
            <w:tcBorders>
              <w:top w:val="single" w:sz="4" w:space="0" w:color="000000"/>
              <w:left w:val="single" w:sz="4" w:space="0" w:color="000000"/>
              <w:bottom w:val="single" w:sz="4" w:space="0" w:color="000000"/>
              <w:right w:val="single" w:sz="4" w:space="0" w:color="000000"/>
            </w:tcBorders>
          </w:tcPr>
          <w:p>
            <w:pPr/>
          </w:p>
        </w:tc>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left="57" w:right="0"/>
              <w:jc w:val="left"/>
              <w:rPr>
                <w:rFonts w:ascii="宋体" w:hAnsi="宋体" w:cs="宋体" w:eastAsia="宋体" w:hint="default"/>
                <w:sz w:val="21"/>
                <w:szCs w:val="21"/>
              </w:rPr>
            </w:pPr>
            <w:r>
              <w:rPr>
                <w:rFonts w:ascii="宋体"/>
                <w:sz w:val="21"/>
              </w:rPr>
              <w:t>70,369,71</w:t>
            </w:r>
          </w:p>
          <w:p>
            <w:pPr>
              <w:pStyle w:val="TableParagraph"/>
              <w:spacing w:line="240" w:lineRule="auto" w:before="37"/>
              <w:ind w:left="581" w:right="0"/>
              <w:jc w:val="left"/>
              <w:rPr>
                <w:rFonts w:ascii="宋体" w:hAnsi="宋体" w:cs="宋体" w:eastAsia="宋体" w:hint="default"/>
                <w:sz w:val="21"/>
                <w:szCs w:val="21"/>
              </w:rPr>
            </w:pPr>
            <w:r>
              <w:rPr>
                <w:rFonts w:ascii="宋体"/>
                <w:sz w:val="21"/>
              </w:rPr>
              <w:t>1.34</w:t>
            </w:r>
          </w:p>
        </w:tc>
        <w:tc>
          <w:tcPr>
            <w:tcW w:w="276" w:type="dxa"/>
            <w:tcBorders>
              <w:top w:val="single" w:sz="4" w:space="0" w:color="000000"/>
              <w:left w:val="single" w:sz="4" w:space="0" w:color="000000"/>
              <w:bottom w:val="single" w:sz="4" w:space="0" w:color="000000"/>
              <w:right w:val="single" w:sz="4" w:space="0" w:color="000000"/>
            </w:tcBorders>
          </w:tcPr>
          <w:p>
            <w:pP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26"/>
              <w:jc w:val="right"/>
              <w:rPr>
                <w:rFonts w:ascii="宋体" w:hAnsi="宋体" w:cs="宋体" w:eastAsia="宋体" w:hint="default"/>
                <w:sz w:val="21"/>
                <w:szCs w:val="21"/>
              </w:rPr>
            </w:pPr>
            <w:r>
              <w:rPr>
                <w:rFonts w:ascii="宋体"/>
                <w:sz w:val="21"/>
              </w:rPr>
              <w:t>80,742,568</w:t>
            </w:r>
          </w:p>
          <w:p>
            <w:pPr>
              <w:pStyle w:val="TableParagraph"/>
              <w:spacing w:line="240" w:lineRule="auto" w:before="37"/>
              <w:ind w:right="26"/>
              <w:jc w:val="right"/>
              <w:rPr>
                <w:rFonts w:ascii="宋体" w:hAnsi="宋体" w:cs="宋体" w:eastAsia="宋体" w:hint="default"/>
                <w:sz w:val="21"/>
                <w:szCs w:val="21"/>
              </w:rPr>
            </w:pPr>
            <w:r>
              <w:rPr>
                <w:rFonts w:ascii="宋体"/>
                <w:sz w:val="21"/>
              </w:rPr>
              <w:t>.85</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20"/>
              <w:jc w:val="right"/>
              <w:rPr>
                <w:rFonts w:ascii="宋体" w:hAnsi="宋体" w:cs="宋体" w:eastAsia="宋体" w:hint="default"/>
                <w:sz w:val="21"/>
                <w:szCs w:val="21"/>
              </w:rPr>
            </w:pPr>
            <w:r>
              <w:rPr>
                <w:rFonts w:ascii="宋体"/>
                <w:sz w:val="21"/>
              </w:rPr>
              <w:t>70,369,711</w:t>
            </w:r>
          </w:p>
          <w:p>
            <w:pPr>
              <w:pStyle w:val="TableParagraph"/>
              <w:spacing w:line="240" w:lineRule="auto" w:before="37"/>
              <w:ind w:right="20"/>
              <w:jc w:val="right"/>
              <w:rPr>
                <w:rFonts w:ascii="宋体" w:hAnsi="宋体" w:cs="宋体" w:eastAsia="宋体" w:hint="default"/>
                <w:sz w:val="21"/>
                <w:szCs w:val="21"/>
              </w:rPr>
            </w:pPr>
            <w:r>
              <w:rPr>
                <w:rFonts w:ascii="宋体"/>
                <w:sz w:val="21"/>
              </w:rPr>
              <w:t>.34</w:t>
            </w:r>
          </w:p>
        </w:tc>
      </w:tr>
      <w:tr>
        <w:trPr>
          <w:trHeight w:val="161" w:hRule="exact"/>
        </w:trPr>
        <w:tc>
          <w:tcPr>
            <w:tcW w:w="925" w:type="dxa"/>
            <w:tcBorders>
              <w:top w:val="single" w:sz="4" w:space="0" w:color="000000"/>
              <w:left w:val="single" w:sz="4" w:space="0" w:color="000000"/>
              <w:bottom w:val="nil" w:sz="6" w:space="0" w:color="auto"/>
              <w:right w:val="single" w:sz="4" w:space="0" w:color="000000"/>
            </w:tcBorders>
            <w:shd w:val="clear" w:color="auto" w:fill="D2D2D2"/>
          </w:tcPr>
          <w:p>
            <w:pPr/>
          </w:p>
        </w:tc>
        <w:tc>
          <w:tcPr>
            <w:tcW w:w="1153" w:type="dxa"/>
            <w:vMerge w:val="restart"/>
            <w:tcBorders>
              <w:top w:val="single" w:sz="4" w:space="0" w:color="000000"/>
              <w:left w:val="single" w:sz="9" w:space="0" w:color="D2D2D2"/>
              <w:right w:val="single" w:sz="4" w:space="0" w:color="000000"/>
            </w:tcBorders>
          </w:tcPr>
          <w:p>
            <w:pPr>
              <w:pStyle w:val="TableParagraph"/>
              <w:spacing w:line="240" w:lineRule="auto" w:before="26"/>
              <w:ind w:left="63" w:right="0"/>
              <w:jc w:val="left"/>
              <w:rPr>
                <w:rFonts w:ascii="宋体" w:hAnsi="宋体" w:cs="宋体" w:eastAsia="宋体" w:hint="default"/>
                <w:sz w:val="21"/>
                <w:szCs w:val="21"/>
              </w:rPr>
            </w:pPr>
            <w:r>
              <w:rPr>
                <w:rFonts w:ascii="宋体"/>
                <w:sz w:val="21"/>
              </w:rPr>
              <w:t>164,283,26</w:t>
            </w:r>
          </w:p>
          <w:p>
            <w:pPr>
              <w:pStyle w:val="TableParagraph"/>
              <w:spacing w:line="240" w:lineRule="auto" w:before="37"/>
              <w:ind w:left="693" w:right="0"/>
              <w:jc w:val="left"/>
              <w:rPr>
                <w:rFonts w:ascii="宋体" w:hAnsi="宋体" w:cs="宋体" w:eastAsia="宋体" w:hint="default"/>
                <w:sz w:val="21"/>
                <w:szCs w:val="21"/>
              </w:rPr>
            </w:pPr>
            <w:r>
              <w:rPr>
                <w:rFonts w:ascii="宋体"/>
                <w:sz w:val="21"/>
              </w:rPr>
              <w:t>6.37</w:t>
            </w:r>
          </w:p>
        </w:tc>
        <w:tc>
          <w:tcPr>
            <w:tcW w:w="998" w:type="dxa"/>
            <w:vMerge w:val="restart"/>
            <w:tcBorders>
              <w:top w:val="single" w:sz="4" w:space="0" w:color="000000"/>
              <w:left w:val="single" w:sz="4" w:space="0" w:color="000000"/>
              <w:right w:val="single" w:sz="4" w:space="0" w:color="000000"/>
            </w:tcBorders>
          </w:tcPr>
          <w:p>
            <w:pPr>
              <w:pStyle w:val="TableParagraph"/>
              <w:spacing w:line="240" w:lineRule="auto" w:before="26"/>
              <w:ind w:left="118" w:right="0"/>
              <w:jc w:val="left"/>
              <w:rPr>
                <w:rFonts w:ascii="宋体" w:hAnsi="宋体" w:cs="宋体" w:eastAsia="宋体" w:hint="default"/>
                <w:sz w:val="21"/>
                <w:szCs w:val="21"/>
              </w:rPr>
            </w:pPr>
            <w:r>
              <w:rPr>
                <w:rFonts w:ascii="宋体"/>
                <w:sz w:val="21"/>
              </w:rPr>
              <w:t>3,460,00</w:t>
            </w:r>
          </w:p>
          <w:p>
            <w:pPr>
              <w:pStyle w:val="TableParagraph"/>
              <w:spacing w:line="240" w:lineRule="auto" w:before="37"/>
              <w:ind w:left="538" w:right="0"/>
              <w:jc w:val="left"/>
              <w:rPr>
                <w:rFonts w:ascii="宋体" w:hAnsi="宋体" w:cs="宋体" w:eastAsia="宋体" w:hint="default"/>
                <w:sz w:val="21"/>
                <w:szCs w:val="21"/>
              </w:rPr>
            </w:pPr>
            <w:r>
              <w:rPr>
                <w:rFonts w:ascii="宋体"/>
                <w:sz w:val="21"/>
              </w:rPr>
              <w:t>0.00</w:t>
            </w:r>
          </w:p>
        </w:tc>
        <w:tc>
          <w:tcPr>
            <w:tcW w:w="341" w:type="dxa"/>
            <w:vMerge w:val="restart"/>
            <w:tcBorders>
              <w:top w:val="single" w:sz="4" w:space="0" w:color="000000"/>
              <w:left w:val="single" w:sz="4" w:space="0" w:color="000000"/>
              <w:right w:val="single" w:sz="4" w:space="0" w:color="000000"/>
            </w:tcBorders>
          </w:tcPr>
          <w:p>
            <w:pPr/>
          </w:p>
        </w:tc>
        <w:tc>
          <w:tcPr>
            <w:tcW w:w="1114" w:type="dxa"/>
            <w:vMerge w:val="restart"/>
            <w:tcBorders>
              <w:top w:val="single" w:sz="4" w:space="0" w:color="000000"/>
              <w:left w:val="single" w:sz="4" w:space="0" w:color="000000"/>
              <w:right w:val="single" w:sz="4" w:space="0" w:color="000000"/>
            </w:tcBorders>
          </w:tcPr>
          <w:p>
            <w:pPr>
              <w:pStyle w:val="TableParagraph"/>
              <w:spacing w:line="240" w:lineRule="auto" w:before="26"/>
              <w:ind w:left="130" w:right="0"/>
              <w:jc w:val="left"/>
              <w:rPr>
                <w:rFonts w:ascii="宋体" w:hAnsi="宋体" w:cs="宋体" w:eastAsia="宋体" w:hint="default"/>
                <w:sz w:val="21"/>
                <w:szCs w:val="21"/>
              </w:rPr>
            </w:pPr>
            <w:r>
              <w:rPr>
                <w:rFonts w:ascii="宋体"/>
                <w:sz w:val="21"/>
              </w:rPr>
              <w:t>-14,910,7</w:t>
            </w:r>
          </w:p>
          <w:p>
            <w:pPr>
              <w:pStyle w:val="TableParagraph"/>
              <w:spacing w:line="240" w:lineRule="auto" w:before="37"/>
              <w:ind w:left="550" w:right="0"/>
              <w:jc w:val="left"/>
              <w:rPr>
                <w:rFonts w:ascii="宋体" w:hAnsi="宋体" w:cs="宋体" w:eastAsia="宋体" w:hint="default"/>
                <w:sz w:val="21"/>
                <w:szCs w:val="21"/>
              </w:rPr>
            </w:pPr>
            <w:r>
              <w:rPr>
                <w:rFonts w:ascii="宋体"/>
                <w:sz w:val="21"/>
              </w:rPr>
              <w:t>80.43</w:t>
            </w:r>
          </w:p>
        </w:tc>
        <w:tc>
          <w:tcPr>
            <w:tcW w:w="483" w:type="dxa"/>
            <w:vMerge w:val="restart"/>
            <w:tcBorders>
              <w:top w:val="single" w:sz="4" w:space="0" w:color="000000"/>
              <w:left w:val="single" w:sz="4" w:space="0" w:color="000000"/>
              <w:right w:val="single" w:sz="4" w:space="0" w:color="000000"/>
            </w:tcBorders>
          </w:tcPr>
          <w:p>
            <w:pPr/>
          </w:p>
        </w:tc>
        <w:tc>
          <w:tcPr>
            <w:tcW w:w="1072" w:type="dxa"/>
            <w:vMerge w:val="restart"/>
            <w:tcBorders>
              <w:top w:val="single" w:sz="4" w:space="0" w:color="000000"/>
              <w:left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1,008,652</w:t>
            </w:r>
          </w:p>
          <w:p>
            <w:pPr>
              <w:pStyle w:val="TableParagraph"/>
              <w:spacing w:line="240" w:lineRule="auto" w:before="37"/>
              <w:ind w:right="20"/>
              <w:jc w:val="right"/>
              <w:rPr>
                <w:rFonts w:ascii="宋体" w:hAnsi="宋体" w:cs="宋体" w:eastAsia="宋体" w:hint="default"/>
                <w:sz w:val="21"/>
                <w:szCs w:val="21"/>
              </w:rPr>
            </w:pPr>
            <w:r>
              <w:rPr>
                <w:rFonts w:ascii="宋体"/>
                <w:sz w:val="21"/>
              </w:rPr>
              <w:t>.92</w:t>
            </w:r>
          </w:p>
        </w:tc>
        <w:tc>
          <w:tcPr>
            <w:tcW w:w="524" w:type="dxa"/>
            <w:vMerge w:val="restart"/>
            <w:tcBorders>
              <w:top w:val="single" w:sz="4" w:space="0" w:color="000000"/>
              <w:left w:val="single" w:sz="4" w:space="0" w:color="000000"/>
              <w:right w:val="single" w:sz="4" w:space="0" w:color="000000"/>
            </w:tcBorders>
          </w:tcPr>
          <w:p>
            <w:pPr/>
          </w:p>
        </w:tc>
        <w:tc>
          <w:tcPr>
            <w:tcW w:w="1036" w:type="dxa"/>
            <w:vMerge w:val="restart"/>
            <w:tcBorders>
              <w:top w:val="single" w:sz="4" w:space="0" w:color="000000"/>
              <w:left w:val="single" w:sz="4" w:space="0" w:color="000000"/>
              <w:right w:val="single" w:sz="4" w:space="0" w:color="000000"/>
            </w:tcBorders>
          </w:tcPr>
          <w:p>
            <w:pPr>
              <w:pStyle w:val="TableParagraph"/>
              <w:spacing w:line="240" w:lineRule="auto" w:before="26"/>
              <w:ind w:left="57" w:right="0"/>
              <w:jc w:val="left"/>
              <w:rPr>
                <w:rFonts w:ascii="宋体" w:hAnsi="宋体" w:cs="宋体" w:eastAsia="宋体" w:hint="default"/>
                <w:sz w:val="21"/>
                <w:szCs w:val="21"/>
              </w:rPr>
            </w:pPr>
            <w:r>
              <w:rPr>
                <w:rFonts w:ascii="宋体"/>
                <w:sz w:val="21"/>
              </w:rPr>
              <w:t>70,369,71</w:t>
            </w:r>
          </w:p>
          <w:p>
            <w:pPr>
              <w:pStyle w:val="TableParagraph"/>
              <w:spacing w:line="240" w:lineRule="auto" w:before="37"/>
              <w:ind w:left="581" w:right="0"/>
              <w:jc w:val="left"/>
              <w:rPr>
                <w:rFonts w:ascii="宋体" w:hAnsi="宋体" w:cs="宋体" w:eastAsia="宋体" w:hint="default"/>
                <w:sz w:val="21"/>
                <w:szCs w:val="21"/>
              </w:rPr>
            </w:pPr>
            <w:r>
              <w:rPr>
                <w:rFonts w:ascii="宋体"/>
                <w:sz w:val="21"/>
              </w:rPr>
              <w:t>1.34</w:t>
            </w:r>
          </w:p>
        </w:tc>
        <w:tc>
          <w:tcPr>
            <w:tcW w:w="276" w:type="dxa"/>
            <w:vMerge w:val="restart"/>
            <w:tcBorders>
              <w:top w:val="single" w:sz="4" w:space="0" w:color="000000"/>
              <w:left w:val="single" w:sz="4" w:space="0" w:color="000000"/>
              <w:right w:val="single" w:sz="4" w:space="0" w:color="000000"/>
            </w:tcBorders>
          </w:tcPr>
          <w:p>
            <w:pPr/>
          </w:p>
        </w:tc>
        <w:tc>
          <w:tcPr>
            <w:tcW w:w="1170" w:type="dxa"/>
            <w:vMerge w:val="restart"/>
            <w:tcBorders>
              <w:top w:val="single" w:sz="4" w:space="0" w:color="000000"/>
              <w:left w:val="single" w:sz="4" w:space="0" w:color="000000"/>
              <w:right w:val="single" w:sz="4" w:space="0" w:color="000000"/>
            </w:tcBorders>
          </w:tcPr>
          <w:p>
            <w:pPr>
              <w:pStyle w:val="TableParagraph"/>
              <w:spacing w:line="240" w:lineRule="auto" w:before="26"/>
              <w:ind w:left="81" w:right="0"/>
              <w:jc w:val="left"/>
              <w:rPr>
                <w:rFonts w:ascii="宋体" w:hAnsi="宋体" w:cs="宋体" w:eastAsia="宋体" w:hint="default"/>
                <w:sz w:val="21"/>
                <w:szCs w:val="21"/>
              </w:rPr>
            </w:pPr>
            <w:r>
              <w:rPr>
                <w:rFonts w:ascii="宋体"/>
                <w:sz w:val="21"/>
              </w:rPr>
              <w:t>153,841,13</w:t>
            </w:r>
          </w:p>
          <w:p>
            <w:pPr>
              <w:pStyle w:val="TableParagraph"/>
              <w:spacing w:line="240" w:lineRule="auto" w:before="37"/>
              <w:ind w:left="711" w:right="0"/>
              <w:jc w:val="left"/>
              <w:rPr>
                <w:rFonts w:ascii="宋体" w:hAnsi="宋体" w:cs="宋体" w:eastAsia="宋体" w:hint="default"/>
                <w:sz w:val="21"/>
                <w:szCs w:val="21"/>
              </w:rPr>
            </w:pPr>
            <w:r>
              <w:rPr>
                <w:rFonts w:ascii="宋体"/>
                <w:sz w:val="21"/>
              </w:rPr>
              <w:t>8.86</w:t>
            </w:r>
          </w:p>
        </w:tc>
        <w:tc>
          <w:tcPr>
            <w:tcW w:w="1104" w:type="dxa"/>
            <w:vMerge w:val="restart"/>
            <w:tcBorders>
              <w:top w:val="single" w:sz="4" w:space="0" w:color="000000"/>
              <w:left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70,369,711</w:t>
            </w:r>
          </w:p>
          <w:p>
            <w:pPr>
              <w:pStyle w:val="TableParagraph"/>
              <w:spacing w:line="240" w:lineRule="auto" w:before="37"/>
              <w:ind w:right="20"/>
              <w:jc w:val="right"/>
              <w:rPr>
                <w:rFonts w:ascii="宋体" w:hAnsi="宋体" w:cs="宋体" w:eastAsia="宋体" w:hint="default"/>
                <w:sz w:val="21"/>
                <w:szCs w:val="21"/>
              </w:rPr>
            </w:pPr>
            <w:r>
              <w:rPr>
                <w:rFonts w:ascii="宋体"/>
                <w:sz w:val="21"/>
              </w:rPr>
              <w:t>.34</w:t>
            </w:r>
          </w:p>
        </w:tc>
      </w:tr>
      <w:tr>
        <w:trPr>
          <w:trHeight w:val="392" w:hRule="exact"/>
        </w:trPr>
        <w:tc>
          <w:tcPr>
            <w:tcW w:w="92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6"/>
              <w:ind w:left="12"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153" w:type="dxa"/>
            <w:vMerge/>
            <w:tcBorders>
              <w:left w:val="single" w:sz="9" w:space="0" w:color="D2D2D2"/>
              <w:right w:val="single" w:sz="4" w:space="0" w:color="000000"/>
            </w:tcBorders>
          </w:tcPr>
          <w:p>
            <w:pPr/>
          </w:p>
        </w:tc>
        <w:tc>
          <w:tcPr>
            <w:tcW w:w="998" w:type="dxa"/>
            <w:vMerge/>
            <w:tcBorders>
              <w:left w:val="single" w:sz="4" w:space="0" w:color="000000"/>
              <w:right w:val="single" w:sz="4" w:space="0" w:color="000000"/>
            </w:tcBorders>
          </w:tcPr>
          <w:p>
            <w:pPr/>
          </w:p>
        </w:tc>
        <w:tc>
          <w:tcPr>
            <w:tcW w:w="341" w:type="dxa"/>
            <w:vMerge/>
            <w:tcBorders>
              <w:left w:val="single" w:sz="4" w:space="0" w:color="000000"/>
              <w:right w:val="single" w:sz="4" w:space="0" w:color="000000"/>
            </w:tcBorders>
          </w:tcPr>
          <w:p>
            <w:pPr/>
          </w:p>
        </w:tc>
        <w:tc>
          <w:tcPr>
            <w:tcW w:w="1114" w:type="dxa"/>
            <w:vMerge/>
            <w:tcBorders>
              <w:left w:val="single" w:sz="4" w:space="0" w:color="000000"/>
              <w:right w:val="single" w:sz="4" w:space="0" w:color="000000"/>
            </w:tcBorders>
          </w:tcPr>
          <w:p>
            <w:pPr/>
          </w:p>
        </w:tc>
        <w:tc>
          <w:tcPr>
            <w:tcW w:w="483" w:type="dxa"/>
            <w:vMerge/>
            <w:tcBorders>
              <w:left w:val="single" w:sz="4" w:space="0" w:color="000000"/>
              <w:right w:val="single" w:sz="4" w:space="0" w:color="000000"/>
            </w:tcBorders>
          </w:tcPr>
          <w:p>
            <w:pPr/>
          </w:p>
        </w:tc>
        <w:tc>
          <w:tcPr>
            <w:tcW w:w="1072" w:type="dxa"/>
            <w:vMerge/>
            <w:tcBorders>
              <w:left w:val="single" w:sz="4" w:space="0" w:color="000000"/>
              <w:right w:val="single" w:sz="4" w:space="0" w:color="000000"/>
            </w:tcBorders>
          </w:tcPr>
          <w:p>
            <w:pPr/>
          </w:p>
        </w:tc>
        <w:tc>
          <w:tcPr>
            <w:tcW w:w="524" w:type="dxa"/>
            <w:vMerge/>
            <w:tcBorders>
              <w:left w:val="single" w:sz="4" w:space="0" w:color="000000"/>
              <w:right w:val="single" w:sz="4" w:space="0" w:color="000000"/>
            </w:tcBorders>
          </w:tcPr>
          <w:p>
            <w:pPr/>
          </w:p>
        </w:tc>
        <w:tc>
          <w:tcPr>
            <w:tcW w:w="1036" w:type="dxa"/>
            <w:vMerge/>
            <w:tcBorders>
              <w:left w:val="single" w:sz="4" w:space="0" w:color="000000"/>
              <w:right w:val="single" w:sz="4" w:space="0" w:color="000000"/>
            </w:tcBorders>
          </w:tcPr>
          <w:p>
            <w:pPr/>
          </w:p>
        </w:tc>
        <w:tc>
          <w:tcPr>
            <w:tcW w:w="276" w:type="dxa"/>
            <w:vMerge/>
            <w:tcBorders>
              <w:left w:val="single" w:sz="4" w:space="0" w:color="000000"/>
              <w:right w:val="single" w:sz="4" w:space="0" w:color="000000"/>
            </w:tcBorders>
          </w:tcPr>
          <w:p>
            <w:pPr/>
          </w:p>
        </w:tc>
        <w:tc>
          <w:tcPr>
            <w:tcW w:w="1170"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161" w:hRule="exact"/>
        </w:trPr>
        <w:tc>
          <w:tcPr>
            <w:tcW w:w="925" w:type="dxa"/>
            <w:tcBorders>
              <w:top w:val="nil" w:sz="6" w:space="0" w:color="auto"/>
              <w:left w:val="single" w:sz="4" w:space="0" w:color="000000"/>
              <w:bottom w:val="single" w:sz="4" w:space="0" w:color="000000"/>
              <w:right w:val="single" w:sz="4" w:space="0" w:color="000000"/>
            </w:tcBorders>
            <w:shd w:val="clear" w:color="auto" w:fill="D2D2D2"/>
          </w:tcPr>
          <w:p>
            <w:pPr/>
          </w:p>
        </w:tc>
        <w:tc>
          <w:tcPr>
            <w:tcW w:w="1153" w:type="dxa"/>
            <w:vMerge/>
            <w:tcBorders>
              <w:left w:val="single" w:sz="9" w:space="0" w:color="D2D2D2"/>
              <w:bottom w:val="single" w:sz="4" w:space="0" w:color="000000"/>
              <w:right w:val="single" w:sz="4" w:space="0" w:color="000000"/>
            </w:tcBorders>
          </w:tcPr>
          <w:p>
            <w:pPr/>
          </w:p>
        </w:tc>
        <w:tc>
          <w:tcPr>
            <w:tcW w:w="998" w:type="dxa"/>
            <w:vMerge/>
            <w:tcBorders>
              <w:left w:val="single" w:sz="4" w:space="0" w:color="000000"/>
              <w:bottom w:val="single" w:sz="4" w:space="0" w:color="000000"/>
              <w:right w:val="single" w:sz="4" w:space="0" w:color="000000"/>
            </w:tcBorders>
          </w:tcPr>
          <w:p>
            <w:pPr/>
          </w:p>
        </w:tc>
        <w:tc>
          <w:tcPr>
            <w:tcW w:w="341" w:type="dxa"/>
            <w:vMerge/>
            <w:tcBorders>
              <w:left w:val="single" w:sz="4" w:space="0" w:color="000000"/>
              <w:bottom w:val="single" w:sz="4" w:space="0" w:color="000000"/>
              <w:right w:val="single" w:sz="4" w:space="0" w:color="000000"/>
            </w:tcBorders>
          </w:tcPr>
          <w:p>
            <w:pPr/>
          </w:p>
        </w:tc>
        <w:tc>
          <w:tcPr>
            <w:tcW w:w="1114" w:type="dxa"/>
            <w:vMerge/>
            <w:tcBorders>
              <w:left w:val="single" w:sz="4" w:space="0" w:color="000000"/>
              <w:bottom w:val="single" w:sz="4" w:space="0" w:color="000000"/>
              <w:right w:val="single" w:sz="4" w:space="0" w:color="000000"/>
            </w:tcBorders>
          </w:tcPr>
          <w:p>
            <w:pPr/>
          </w:p>
        </w:tc>
        <w:tc>
          <w:tcPr>
            <w:tcW w:w="483" w:type="dxa"/>
            <w:vMerge/>
            <w:tcBorders>
              <w:left w:val="single" w:sz="4" w:space="0" w:color="000000"/>
              <w:bottom w:val="single" w:sz="4" w:space="0" w:color="000000"/>
              <w:right w:val="single" w:sz="4" w:space="0" w:color="000000"/>
            </w:tcBorders>
          </w:tcPr>
          <w:p>
            <w:pPr/>
          </w:p>
        </w:tc>
        <w:tc>
          <w:tcPr>
            <w:tcW w:w="1072" w:type="dxa"/>
            <w:vMerge/>
            <w:tcBorders>
              <w:left w:val="single" w:sz="4" w:space="0" w:color="000000"/>
              <w:bottom w:val="single" w:sz="4" w:space="0" w:color="000000"/>
              <w:right w:val="single" w:sz="4" w:space="0" w:color="000000"/>
            </w:tcBorders>
          </w:tcPr>
          <w:p>
            <w:pPr/>
          </w:p>
        </w:tc>
        <w:tc>
          <w:tcPr>
            <w:tcW w:w="524" w:type="dxa"/>
            <w:vMerge/>
            <w:tcBorders>
              <w:left w:val="single" w:sz="4" w:space="0" w:color="000000"/>
              <w:bottom w:val="single" w:sz="4" w:space="0" w:color="000000"/>
              <w:right w:val="single" w:sz="4" w:space="0" w:color="000000"/>
            </w:tcBorders>
          </w:tcPr>
          <w:p>
            <w:pPr/>
          </w:p>
        </w:tc>
        <w:tc>
          <w:tcPr>
            <w:tcW w:w="1036" w:type="dxa"/>
            <w:vMerge/>
            <w:tcBorders>
              <w:left w:val="single" w:sz="4" w:space="0" w:color="000000"/>
              <w:bottom w:val="single" w:sz="4" w:space="0" w:color="000000"/>
              <w:right w:val="single" w:sz="4" w:space="0" w:color="000000"/>
            </w:tcBorders>
          </w:tcPr>
          <w:p>
            <w:pPr/>
          </w:p>
        </w:tc>
        <w:tc>
          <w:tcPr>
            <w:tcW w:w="276" w:type="dxa"/>
            <w:vMerge/>
            <w:tcBorders>
              <w:left w:val="single" w:sz="4" w:space="0" w:color="000000"/>
              <w:bottom w:val="single" w:sz="4" w:space="0" w:color="000000"/>
              <w:right w:val="single" w:sz="4" w:space="0" w:color="000000"/>
            </w:tcBorders>
          </w:tcPr>
          <w:p>
            <w:pPr/>
          </w:p>
        </w:tc>
        <w:tc>
          <w:tcPr>
            <w:tcW w:w="1170" w:type="dxa"/>
            <w:vMerge/>
            <w:tcBorders>
              <w:left w:val="single" w:sz="4" w:space="0" w:color="000000"/>
              <w:bottom w:val="single" w:sz="4" w:space="0" w:color="000000"/>
              <w:right w:val="single" w:sz="4" w:space="0" w:color="000000"/>
            </w:tcBorders>
          </w:tcPr>
          <w:p>
            <w:pPr/>
          </w:p>
        </w:tc>
        <w:tc>
          <w:tcPr>
            <w:tcW w:w="1104" w:type="dxa"/>
            <w:vMerge/>
            <w:tcBorders>
              <w:left w:val="single" w:sz="4" w:space="0" w:color="000000"/>
              <w:bottom w:val="single" w:sz="4" w:space="0" w:color="000000"/>
              <w:right w:val="single" w:sz="4" w:space="0" w:color="000000"/>
            </w:tcBorders>
          </w:tcPr>
          <w:p>
            <w:pPr/>
          </w:p>
        </w:tc>
      </w:tr>
      <w:tr>
        <w:trPr>
          <w:trHeight w:val="161" w:hRule="exact"/>
        </w:trPr>
        <w:tc>
          <w:tcPr>
            <w:tcW w:w="925" w:type="dxa"/>
            <w:tcBorders>
              <w:top w:val="single" w:sz="4" w:space="0" w:color="000000"/>
              <w:left w:val="single" w:sz="4" w:space="0" w:color="000000"/>
              <w:bottom w:val="nil" w:sz="6" w:space="0" w:color="auto"/>
              <w:right w:val="single" w:sz="4" w:space="0" w:color="000000"/>
            </w:tcBorders>
            <w:shd w:val="clear" w:color="auto" w:fill="D2D2D2"/>
          </w:tcPr>
          <w:p>
            <w:pPr/>
          </w:p>
        </w:tc>
        <w:tc>
          <w:tcPr>
            <w:tcW w:w="1153" w:type="dxa"/>
            <w:vMerge w:val="restart"/>
            <w:tcBorders>
              <w:top w:val="single" w:sz="4" w:space="0" w:color="000000"/>
              <w:left w:val="single" w:sz="9" w:space="0" w:color="D2D2D2"/>
              <w:right w:val="single" w:sz="4" w:space="0" w:color="000000"/>
            </w:tcBorders>
          </w:tcPr>
          <w:p>
            <w:pPr>
              <w:pStyle w:val="TableParagraph"/>
              <w:spacing w:line="240" w:lineRule="auto" w:before="26"/>
              <w:ind w:left="63" w:right="0"/>
              <w:jc w:val="left"/>
              <w:rPr>
                <w:rFonts w:ascii="宋体" w:hAnsi="宋体" w:cs="宋体" w:eastAsia="宋体" w:hint="default"/>
                <w:sz w:val="21"/>
                <w:szCs w:val="21"/>
              </w:rPr>
            </w:pPr>
            <w:r>
              <w:rPr>
                <w:rFonts w:ascii="宋体"/>
                <w:sz w:val="21"/>
              </w:rPr>
              <w:t>164,283,26</w:t>
            </w:r>
          </w:p>
          <w:p>
            <w:pPr>
              <w:pStyle w:val="TableParagraph"/>
              <w:spacing w:line="240" w:lineRule="auto" w:before="37"/>
              <w:ind w:left="693" w:right="0"/>
              <w:jc w:val="left"/>
              <w:rPr>
                <w:rFonts w:ascii="宋体" w:hAnsi="宋体" w:cs="宋体" w:eastAsia="宋体" w:hint="default"/>
                <w:sz w:val="21"/>
                <w:szCs w:val="21"/>
              </w:rPr>
            </w:pPr>
            <w:r>
              <w:rPr>
                <w:rFonts w:ascii="宋体"/>
                <w:sz w:val="21"/>
              </w:rPr>
              <w:t>6.37</w:t>
            </w:r>
          </w:p>
        </w:tc>
        <w:tc>
          <w:tcPr>
            <w:tcW w:w="998" w:type="dxa"/>
            <w:vMerge w:val="restart"/>
            <w:tcBorders>
              <w:top w:val="single" w:sz="4" w:space="0" w:color="000000"/>
              <w:left w:val="single" w:sz="4" w:space="0" w:color="000000"/>
              <w:right w:val="single" w:sz="4" w:space="0" w:color="000000"/>
            </w:tcBorders>
          </w:tcPr>
          <w:p>
            <w:pPr>
              <w:pStyle w:val="TableParagraph"/>
              <w:spacing w:line="240" w:lineRule="auto" w:before="26"/>
              <w:ind w:left="118" w:right="0"/>
              <w:jc w:val="left"/>
              <w:rPr>
                <w:rFonts w:ascii="宋体" w:hAnsi="宋体" w:cs="宋体" w:eastAsia="宋体" w:hint="default"/>
                <w:sz w:val="21"/>
                <w:szCs w:val="21"/>
              </w:rPr>
            </w:pPr>
            <w:r>
              <w:rPr>
                <w:rFonts w:ascii="宋体"/>
                <w:sz w:val="21"/>
              </w:rPr>
              <w:t>3,460,00</w:t>
            </w:r>
          </w:p>
          <w:p>
            <w:pPr>
              <w:pStyle w:val="TableParagraph"/>
              <w:spacing w:line="240" w:lineRule="auto" w:before="37"/>
              <w:ind w:left="538" w:right="0"/>
              <w:jc w:val="left"/>
              <w:rPr>
                <w:rFonts w:ascii="宋体" w:hAnsi="宋体" w:cs="宋体" w:eastAsia="宋体" w:hint="default"/>
                <w:sz w:val="21"/>
                <w:szCs w:val="21"/>
              </w:rPr>
            </w:pPr>
            <w:r>
              <w:rPr>
                <w:rFonts w:ascii="宋体"/>
                <w:sz w:val="21"/>
              </w:rPr>
              <w:t>0.00</w:t>
            </w:r>
          </w:p>
        </w:tc>
        <w:tc>
          <w:tcPr>
            <w:tcW w:w="341" w:type="dxa"/>
            <w:vMerge w:val="restart"/>
            <w:tcBorders>
              <w:top w:val="single" w:sz="4" w:space="0" w:color="000000"/>
              <w:left w:val="single" w:sz="4" w:space="0" w:color="000000"/>
              <w:right w:val="single" w:sz="4" w:space="0" w:color="000000"/>
            </w:tcBorders>
          </w:tcPr>
          <w:p>
            <w:pPr/>
          </w:p>
        </w:tc>
        <w:tc>
          <w:tcPr>
            <w:tcW w:w="1114" w:type="dxa"/>
            <w:vMerge w:val="restart"/>
            <w:tcBorders>
              <w:top w:val="single" w:sz="4" w:space="0" w:color="000000"/>
              <w:left w:val="single" w:sz="4" w:space="0" w:color="000000"/>
              <w:right w:val="single" w:sz="4" w:space="0" w:color="000000"/>
            </w:tcBorders>
          </w:tcPr>
          <w:p>
            <w:pPr>
              <w:pStyle w:val="TableParagraph"/>
              <w:spacing w:line="240" w:lineRule="auto" w:before="26"/>
              <w:ind w:left="130" w:right="0"/>
              <w:jc w:val="left"/>
              <w:rPr>
                <w:rFonts w:ascii="宋体" w:hAnsi="宋体" w:cs="宋体" w:eastAsia="宋体" w:hint="default"/>
                <w:sz w:val="21"/>
                <w:szCs w:val="21"/>
              </w:rPr>
            </w:pPr>
            <w:r>
              <w:rPr>
                <w:rFonts w:ascii="宋体"/>
                <w:sz w:val="21"/>
              </w:rPr>
              <w:t>-14,910,7</w:t>
            </w:r>
          </w:p>
          <w:p>
            <w:pPr>
              <w:pStyle w:val="TableParagraph"/>
              <w:spacing w:line="240" w:lineRule="auto" w:before="37"/>
              <w:ind w:left="550" w:right="0"/>
              <w:jc w:val="left"/>
              <w:rPr>
                <w:rFonts w:ascii="宋体" w:hAnsi="宋体" w:cs="宋体" w:eastAsia="宋体" w:hint="default"/>
                <w:sz w:val="21"/>
                <w:szCs w:val="21"/>
              </w:rPr>
            </w:pPr>
            <w:r>
              <w:rPr>
                <w:rFonts w:ascii="宋体"/>
                <w:sz w:val="21"/>
              </w:rPr>
              <w:t>80.43</w:t>
            </w:r>
          </w:p>
        </w:tc>
        <w:tc>
          <w:tcPr>
            <w:tcW w:w="483" w:type="dxa"/>
            <w:vMerge w:val="restart"/>
            <w:tcBorders>
              <w:top w:val="single" w:sz="4" w:space="0" w:color="000000"/>
              <w:left w:val="single" w:sz="4" w:space="0" w:color="000000"/>
              <w:right w:val="single" w:sz="4" w:space="0" w:color="000000"/>
            </w:tcBorders>
          </w:tcPr>
          <w:p>
            <w:pPr/>
          </w:p>
        </w:tc>
        <w:tc>
          <w:tcPr>
            <w:tcW w:w="1072" w:type="dxa"/>
            <w:vMerge w:val="restart"/>
            <w:tcBorders>
              <w:top w:val="single" w:sz="4" w:space="0" w:color="000000"/>
              <w:left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1,008,652</w:t>
            </w:r>
          </w:p>
          <w:p>
            <w:pPr>
              <w:pStyle w:val="TableParagraph"/>
              <w:spacing w:line="240" w:lineRule="auto" w:before="37"/>
              <w:ind w:right="20"/>
              <w:jc w:val="right"/>
              <w:rPr>
                <w:rFonts w:ascii="宋体" w:hAnsi="宋体" w:cs="宋体" w:eastAsia="宋体" w:hint="default"/>
                <w:sz w:val="21"/>
                <w:szCs w:val="21"/>
              </w:rPr>
            </w:pPr>
            <w:r>
              <w:rPr>
                <w:rFonts w:ascii="宋体"/>
                <w:sz w:val="21"/>
              </w:rPr>
              <w:t>.92</w:t>
            </w:r>
          </w:p>
        </w:tc>
        <w:tc>
          <w:tcPr>
            <w:tcW w:w="524" w:type="dxa"/>
            <w:vMerge w:val="restart"/>
            <w:tcBorders>
              <w:top w:val="single" w:sz="4" w:space="0" w:color="000000"/>
              <w:left w:val="single" w:sz="4" w:space="0" w:color="000000"/>
              <w:right w:val="single" w:sz="4" w:space="0" w:color="000000"/>
            </w:tcBorders>
          </w:tcPr>
          <w:p>
            <w:pPr/>
          </w:p>
        </w:tc>
        <w:tc>
          <w:tcPr>
            <w:tcW w:w="1036" w:type="dxa"/>
            <w:vMerge w:val="restart"/>
            <w:tcBorders>
              <w:top w:val="single" w:sz="4" w:space="0" w:color="000000"/>
              <w:left w:val="single" w:sz="4" w:space="0" w:color="000000"/>
              <w:right w:val="single" w:sz="4" w:space="0" w:color="000000"/>
            </w:tcBorders>
          </w:tcPr>
          <w:p>
            <w:pPr>
              <w:pStyle w:val="TableParagraph"/>
              <w:spacing w:line="240" w:lineRule="auto" w:before="26"/>
              <w:ind w:left="57" w:right="0"/>
              <w:jc w:val="left"/>
              <w:rPr>
                <w:rFonts w:ascii="宋体" w:hAnsi="宋体" w:cs="宋体" w:eastAsia="宋体" w:hint="default"/>
                <w:sz w:val="21"/>
                <w:szCs w:val="21"/>
              </w:rPr>
            </w:pPr>
            <w:r>
              <w:rPr>
                <w:rFonts w:ascii="宋体"/>
                <w:sz w:val="21"/>
              </w:rPr>
              <w:t>70,369,71</w:t>
            </w:r>
          </w:p>
          <w:p>
            <w:pPr>
              <w:pStyle w:val="TableParagraph"/>
              <w:spacing w:line="240" w:lineRule="auto" w:before="37"/>
              <w:ind w:left="581" w:right="0"/>
              <w:jc w:val="left"/>
              <w:rPr>
                <w:rFonts w:ascii="宋体" w:hAnsi="宋体" w:cs="宋体" w:eastAsia="宋体" w:hint="default"/>
                <w:sz w:val="21"/>
                <w:szCs w:val="21"/>
              </w:rPr>
            </w:pPr>
            <w:r>
              <w:rPr>
                <w:rFonts w:ascii="宋体"/>
                <w:sz w:val="21"/>
              </w:rPr>
              <w:t>1.34</w:t>
            </w:r>
          </w:p>
        </w:tc>
        <w:tc>
          <w:tcPr>
            <w:tcW w:w="276" w:type="dxa"/>
            <w:vMerge w:val="restart"/>
            <w:tcBorders>
              <w:top w:val="single" w:sz="4" w:space="0" w:color="000000"/>
              <w:left w:val="single" w:sz="4" w:space="0" w:color="000000"/>
              <w:right w:val="single" w:sz="4" w:space="0" w:color="000000"/>
            </w:tcBorders>
          </w:tcPr>
          <w:p>
            <w:pPr/>
          </w:p>
        </w:tc>
        <w:tc>
          <w:tcPr>
            <w:tcW w:w="1170" w:type="dxa"/>
            <w:vMerge w:val="restart"/>
            <w:tcBorders>
              <w:top w:val="single" w:sz="4" w:space="0" w:color="000000"/>
              <w:left w:val="single" w:sz="4" w:space="0" w:color="000000"/>
              <w:right w:val="single" w:sz="4" w:space="0" w:color="000000"/>
            </w:tcBorders>
          </w:tcPr>
          <w:p>
            <w:pPr>
              <w:pStyle w:val="TableParagraph"/>
              <w:spacing w:line="240" w:lineRule="auto" w:before="26"/>
              <w:ind w:left="81" w:right="0"/>
              <w:jc w:val="left"/>
              <w:rPr>
                <w:rFonts w:ascii="宋体" w:hAnsi="宋体" w:cs="宋体" w:eastAsia="宋体" w:hint="default"/>
                <w:sz w:val="21"/>
                <w:szCs w:val="21"/>
              </w:rPr>
            </w:pPr>
            <w:r>
              <w:rPr>
                <w:rFonts w:ascii="宋体"/>
                <w:sz w:val="21"/>
              </w:rPr>
              <w:t>153,841,13</w:t>
            </w:r>
          </w:p>
          <w:p>
            <w:pPr>
              <w:pStyle w:val="TableParagraph"/>
              <w:spacing w:line="240" w:lineRule="auto" w:before="37"/>
              <w:ind w:left="711" w:right="0"/>
              <w:jc w:val="left"/>
              <w:rPr>
                <w:rFonts w:ascii="宋体" w:hAnsi="宋体" w:cs="宋体" w:eastAsia="宋体" w:hint="default"/>
                <w:sz w:val="21"/>
                <w:szCs w:val="21"/>
              </w:rPr>
            </w:pPr>
            <w:r>
              <w:rPr>
                <w:rFonts w:ascii="宋体"/>
                <w:sz w:val="21"/>
              </w:rPr>
              <w:t>8.86</w:t>
            </w:r>
          </w:p>
        </w:tc>
        <w:tc>
          <w:tcPr>
            <w:tcW w:w="1104" w:type="dxa"/>
            <w:vMerge w:val="restart"/>
            <w:tcBorders>
              <w:top w:val="single" w:sz="4" w:space="0" w:color="000000"/>
              <w:left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70,369,711</w:t>
            </w:r>
          </w:p>
          <w:p>
            <w:pPr>
              <w:pStyle w:val="TableParagraph"/>
              <w:spacing w:line="240" w:lineRule="auto" w:before="37"/>
              <w:ind w:right="20"/>
              <w:jc w:val="right"/>
              <w:rPr>
                <w:rFonts w:ascii="宋体" w:hAnsi="宋体" w:cs="宋体" w:eastAsia="宋体" w:hint="default"/>
                <w:sz w:val="21"/>
                <w:szCs w:val="21"/>
              </w:rPr>
            </w:pPr>
            <w:r>
              <w:rPr>
                <w:rFonts w:ascii="宋体"/>
                <w:sz w:val="21"/>
              </w:rPr>
              <w:t>.34</w:t>
            </w:r>
          </w:p>
        </w:tc>
      </w:tr>
      <w:tr>
        <w:trPr>
          <w:trHeight w:val="392" w:hRule="exact"/>
        </w:trPr>
        <w:tc>
          <w:tcPr>
            <w:tcW w:w="92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6"/>
              <w:ind w:left="1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153" w:type="dxa"/>
            <w:vMerge/>
            <w:tcBorders>
              <w:left w:val="single" w:sz="9" w:space="0" w:color="D2D2D2"/>
              <w:right w:val="single" w:sz="4" w:space="0" w:color="000000"/>
            </w:tcBorders>
          </w:tcPr>
          <w:p>
            <w:pPr/>
          </w:p>
        </w:tc>
        <w:tc>
          <w:tcPr>
            <w:tcW w:w="998" w:type="dxa"/>
            <w:vMerge/>
            <w:tcBorders>
              <w:left w:val="single" w:sz="4" w:space="0" w:color="000000"/>
              <w:right w:val="single" w:sz="4" w:space="0" w:color="000000"/>
            </w:tcBorders>
          </w:tcPr>
          <w:p>
            <w:pPr/>
          </w:p>
        </w:tc>
        <w:tc>
          <w:tcPr>
            <w:tcW w:w="341" w:type="dxa"/>
            <w:vMerge/>
            <w:tcBorders>
              <w:left w:val="single" w:sz="4" w:space="0" w:color="000000"/>
              <w:right w:val="single" w:sz="4" w:space="0" w:color="000000"/>
            </w:tcBorders>
          </w:tcPr>
          <w:p>
            <w:pPr/>
          </w:p>
        </w:tc>
        <w:tc>
          <w:tcPr>
            <w:tcW w:w="1114" w:type="dxa"/>
            <w:vMerge/>
            <w:tcBorders>
              <w:left w:val="single" w:sz="4" w:space="0" w:color="000000"/>
              <w:right w:val="single" w:sz="4" w:space="0" w:color="000000"/>
            </w:tcBorders>
          </w:tcPr>
          <w:p>
            <w:pPr/>
          </w:p>
        </w:tc>
        <w:tc>
          <w:tcPr>
            <w:tcW w:w="483" w:type="dxa"/>
            <w:vMerge/>
            <w:tcBorders>
              <w:left w:val="single" w:sz="4" w:space="0" w:color="000000"/>
              <w:right w:val="single" w:sz="4" w:space="0" w:color="000000"/>
            </w:tcBorders>
          </w:tcPr>
          <w:p>
            <w:pPr/>
          </w:p>
        </w:tc>
        <w:tc>
          <w:tcPr>
            <w:tcW w:w="1072" w:type="dxa"/>
            <w:vMerge/>
            <w:tcBorders>
              <w:left w:val="single" w:sz="4" w:space="0" w:color="000000"/>
              <w:right w:val="single" w:sz="4" w:space="0" w:color="000000"/>
            </w:tcBorders>
          </w:tcPr>
          <w:p>
            <w:pPr/>
          </w:p>
        </w:tc>
        <w:tc>
          <w:tcPr>
            <w:tcW w:w="524" w:type="dxa"/>
            <w:vMerge/>
            <w:tcBorders>
              <w:left w:val="single" w:sz="4" w:space="0" w:color="000000"/>
              <w:right w:val="single" w:sz="4" w:space="0" w:color="000000"/>
            </w:tcBorders>
          </w:tcPr>
          <w:p>
            <w:pPr/>
          </w:p>
        </w:tc>
        <w:tc>
          <w:tcPr>
            <w:tcW w:w="1036" w:type="dxa"/>
            <w:vMerge/>
            <w:tcBorders>
              <w:left w:val="single" w:sz="4" w:space="0" w:color="000000"/>
              <w:right w:val="single" w:sz="4" w:space="0" w:color="000000"/>
            </w:tcBorders>
          </w:tcPr>
          <w:p>
            <w:pPr/>
          </w:p>
        </w:tc>
        <w:tc>
          <w:tcPr>
            <w:tcW w:w="276" w:type="dxa"/>
            <w:vMerge/>
            <w:tcBorders>
              <w:left w:val="single" w:sz="4" w:space="0" w:color="000000"/>
              <w:right w:val="single" w:sz="4" w:space="0" w:color="000000"/>
            </w:tcBorders>
          </w:tcPr>
          <w:p>
            <w:pPr/>
          </w:p>
        </w:tc>
        <w:tc>
          <w:tcPr>
            <w:tcW w:w="1170"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161" w:hRule="exact"/>
        </w:trPr>
        <w:tc>
          <w:tcPr>
            <w:tcW w:w="925" w:type="dxa"/>
            <w:tcBorders>
              <w:top w:val="nil" w:sz="6" w:space="0" w:color="auto"/>
              <w:left w:val="single" w:sz="4" w:space="0" w:color="000000"/>
              <w:bottom w:val="single" w:sz="4" w:space="0" w:color="000000"/>
              <w:right w:val="single" w:sz="4" w:space="0" w:color="000000"/>
            </w:tcBorders>
            <w:shd w:val="clear" w:color="auto" w:fill="D2D2D2"/>
          </w:tcPr>
          <w:p>
            <w:pPr/>
          </w:p>
        </w:tc>
        <w:tc>
          <w:tcPr>
            <w:tcW w:w="1153" w:type="dxa"/>
            <w:vMerge/>
            <w:tcBorders>
              <w:left w:val="single" w:sz="9" w:space="0" w:color="D2D2D2"/>
              <w:bottom w:val="single" w:sz="4" w:space="0" w:color="000000"/>
              <w:right w:val="single" w:sz="4" w:space="0" w:color="000000"/>
            </w:tcBorders>
          </w:tcPr>
          <w:p>
            <w:pPr/>
          </w:p>
        </w:tc>
        <w:tc>
          <w:tcPr>
            <w:tcW w:w="998" w:type="dxa"/>
            <w:vMerge/>
            <w:tcBorders>
              <w:left w:val="single" w:sz="4" w:space="0" w:color="000000"/>
              <w:bottom w:val="single" w:sz="4" w:space="0" w:color="000000"/>
              <w:right w:val="single" w:sz="4" w:space="0" w:color="000000"/>
            </w:tcBorders>
          </w:tcPr>
          <w:p>
            <w:pPr/>
          </w:p>
        </w:tc>
        <w:tc>
          <w:tcPr>
            <w:tcW w:w="341" w:type="dxa"/>
            <w:vMerge/>
            <w:tcBorders>
              <w:left w:val="single" w:sz="4" w:space="0" w:color="000000"/>
              <w:bottom w:val="single" w:sz="4" w:space="0" w:color="000000"/>
              <w:right w:val="single" w:sz="4" w:space="0" w:color="000000"/>
            </w:tcBorders>
          </w:tcPr>
          <w:p>
            <w:pPr/>
          </w:p>
        </w:tc>
        <w:tc>
          <w:tcPr>
            <w:tcW w:w="1114" w:type="dxa"/>
            <w:vMerge/>
            <w:tcBorders>
              <w:left w:val="single" w:sz="4" w:space="0" w:color="000000"/>
              <w:bottom w:val="single" w:sz="4" w:space="0" w:color="000000"/>
              <w:right w:val="single" w:sz="4" w:space="0" w:color="000000"/>
            </w:tcBorders>
          </w:tcPr>
          <w:p>
            <w:pPr/>
          </w:p>
        </w:tc>
        <w:tc>
          <w:tcPr>
            <w:tcW w:w="483" w:type="dxa"/>
            <w:vMerge/>
            <w:tcBorders>
              <w:left w:val="single" w:sz="4" w:space="0" w:color="000000"/>
              <w:bottom w:val="single" w:sz="4" w:space="0" w:color="000000"/>
              <w:right w:val="single" w:sz="4" w:space="0" w:color="000000"/>
            </w:tcBorders>
          </w:tcPr>
          <w:p>
            <w:pPr/>
          </w:p>
        </w:tc>
        <w:tc>
          <w:tcPr>
            <w:tcW w:w="1072" w:type="dxa"/>
            <w:vMerge/>
            <w:tcBorders>
              <w:left w:val="single" w:sz="4" w:space="0" w:color="000000"/>
              <w:bottom w:val="single" w:sz="4" w:space="0" w:color="000000"/>
              <w:right w:val="single" w:sz="4" w:space="0" w:color="000000"/>
            </w:tcBorders>
          </w:tcPr>
          <w:p>
            <w:pPr/>
          </w:p>
        </w:tc>
        <w:tc>
          <w:tcPr>
            <w:tcW w:w="524" w:type="dxa"/>
            <w:vMerge/>
            <w:tcBorders>
              <w:left w:val="single" w:sz="4" w:space="0" w:color="000000"/>
              <w:bottom w:val="single" w:sz="4" w:space="0" w:color="000000"/>
              <w:right w:val="single" w:sz="4" w:space="0" w:color="000000"/>
            </w:tcBorders>
          </w:tcPr>
          <w:p>
            <w:pPr/>
          </w:p>
        </w:tc>
        <w:tc>
          <w:tcPr>
            <w:tcW w:w="1036" w:type="dxa"/>
            <w:vMerge/>
            <w:tcBorders>
              <w:left w:val="single" w:sz="4" w:space="0" w:color="000000"/>
              <w:bottom w:val="single" w:sz="4" w:space="0" w:color="000000"/>
              <w:right w:val="single" w:sz="4" w:space="0" w:color="000000"/>
            </w:tcBorders>
          </w:tcPr>
          <w:p>
            <w:pPr/>
          </w:p>
        </w:tc>
        <w:tc>
          <w:tcPr>
            <w:tcW w:w="276" w:type="dxa"/>
            <w:vMerge/>
            <w:tcBorders>
              <w:left w:val="single" w:sz="4" w:space="0" w:color="000000"/>
              <w:bottom w:val="single" w:sz="4" w:space="0" w:color="000000"/>
              <w:right w:val="single" w:sz="4" w:space="0" w:color="000000"/>
            </w:tcBorders>
          </w:tcPr>
          <w:p>
            <w:pPr/>
          </w:p>
        </w:tc>
        <w:tc>
          <w:tcPr>
            <w:tcW w:w="1170" w:type="dxa"/>
            <w:vMerge/>
            <w:tcBorders>
              <w:left w:val="single" w:sz="4" w:space="0" w:color="000000"/>
              <w:bottom w:val="single" w:sz="4" w:space="0" w:color="000000"/>
              <w:right w:val="single" w:sz="4" w:space="0" w:color="000000"/>
            </w:tcBorders>
          </w:tcPr>
          <w:p>
            <w:pPr/>
          </w:p>
        </w:tc>
        <w:tc>
          <w:tcPr>
            <w:tcW w:w="1104" w:type="dxa"/>
            <w:vMerge/>
            <w:tcBorders>
              <w:left w:val="single" w:sz="4" w:space="0" w:color="000000"/>
              <w:bottom w:val="single" w:sz="4" w:space="0" w:color="000000"/>
              <w:right w:val="single" w:sz="4" w:space="0" w:color="000000"/>
            </w:tcBorders>
          </w:tcPr>
          <w:p>
            <w:pPr/>
          </w:p>
        </w:tc>
      </w:tr>
    </w:tbl>
    <w:p>
      <w:pPr>
        <w:spacing w:line="240" w:lineRule="auto" w:before="10"/>
        <w:rPr>
          <w:rFonts w:ascii="宋体" w:hAnsi="宋体" w:cs="宋体" w:eastAsia="宋体" w:hint="default"/>
          <w:sz w:val="4"/>
          <w:szCs w:val="4"/>
        </w:rPr>
      </w:pPr>
    </w:p>
    <w:p>
      <w:pPr>
        <w:pStyle w:val="BodyText"/>
        <w:spacing w:line="350" w:lineRule="auto" w:before="26"/>
        <w:ind w:left="873" w:right="1153"/>
        <w:jc w:val="left"/>
      </w:pPr>
      <w:r>
        <w:rPr/>
        <w:t>其他说明 参股公司北京赛弗网络科技技术有限公司（以下简称“赛弗网络”）</w:t>
      </w:r>
      <w:r>
        <w:rPr>
          <w:rFonts w:ascii="宋体" w:hAnsi="宋体" w:cs="宋体" w:eastAsia="宋体" w:hint="default"/>
        </w:rPr>
        <w:t>2015</w:t>
      </w:r>
      <w:r>
        <w:rPr/>
        <w:t>年、</w:t>
      </w:r>
      <w:r>
        <w:rPr>
          <w:rFonts w:ascii="宋体" w:hAnsi="宋体" w:cs="宋体" w:eastAsia="宋体" w:hint="default"/>
        </w:rPr>
        <w:t>2016</w:t>
      </w:r>
      <w:r>
        <w:rPr/>
        <w:t>年、</w:t>
      </w:r>
    </w:p>
    <w:p>
      <w:pPr>
        <w:pStyle w:val="BodyText"/>
        <w:spacing w:line="240" w:lineRule="auto"/>
        <w:ind w:left="393" w:right="1117"/>
        <w:jc w:val="left"/>
      </w:pPr>
      <w:r>
        <w:rPr>
          <w:rFonts w:ascii="宋体" w:hAnsi="宋体" w:cs="宋体" w:eastAsia="宋体" w:hint="default"/>
        </w:rPr>
        <w:t>2017</w:t>
      </w:r>
      <w:r>
        <w:rPr/>
        <w:t>年连续亏损，存在资产减值迹象。公司委托中联资产评估集团有限公司以资产负债表日</w:t>
      </w:r>
    </w:p>
    <w:p>
      <w:pPr>
        <w:pStyle w:val="BodyText"/>
        <w:spacing w:line="240" w:lineRule="auto" w:before="145"/>
        <w:ind w:left="394" w:right="1117"/>
        <w:jc w:val="left"/>
      </w:pPr>
      <w:r>
        <w:rPr>
          <w:rFonts w:ascii="宋体" w:hAnsi="宋体" w:cs="宋体" w:eastAsia="宋体" w:hint="default"/>
        </w:rPr>
        <w:t>2017</w:t>
      </w:r>
      <w:r>
        <w:rPr/>
        <w:t>年</w:t>
      </w:r>
      <w:r>
        <w:rPr>
          <w:rFonts w:ascii="宋体" w:hAnsi="宋体" w:cs="宋体" w:eastAsia="宋体" w:hint="default"/>
        </w:rPr>
        <w:t>12</w:t>
      </w:r>
      <w:r>
        <w:rPr/>
        <w:t>月</w:t>
      </w:r>
      <w:r>
        <w:rPr>
          <w:rFonts w:ascii="宋体" w:hAnsi="宋体" w:cs="宋体" w:eastAsia="宋体" w:hint="default"/>
        </w:rPr>
        <w:t>31</w:t>
      </w:r>
      <w:r>
        <w:rPr/>
        <w:t>日为基准日采用资产基础法对赛弗网络的全部股东权益进行评估，评估值为</w:t>
      </w:r>
    </w:p>
    <w:p>
      <w:pPr>
        <w:pStyle w:val="BodyText"/>
        <w:spacing w:line="240" w:lineRule="auto" w:before="145"/>
        <w:ind w:left="394" w:right="0"/>
        <w:jc w:val="left"/>
      </w:pPr>
      <w:r>
        <w:rPr>
          <w:rFonts w:ascii="宋体" w:hAnsi="宋体" w:cs="宋体" w:eastAsia="宋体" w:hint="default"/>
        </w:rPr>
        <w:t>3,143.29</w:t>
      </w:r>
      <w:r>
        <w:rPr/>
        <w:t>万元。并于</w:t>
      </w:r>
      <w:r>
        <w:rPr>
          <w:rFonts w:ascii="宋体" w:hAnsi="宋体" w:cs="宋体" w:eastAsia="宋体" w:hint="default"/>
        </w:rPr>
        <w:t>2018</w:t>
      </w:r>
      <w:r>
        <w:rPr/>
        <w:t>年</w:t>
      </w:r>
      <w:r>
        <w:rPr>
          <w:rFonts w:ascii="宋体" w:hAnsi="宋体" w:cs="宋体" w:eastAsia="宋体" w:hint="default"/>
        </w:rPr>
        <w:t>2</w:t>
      </w:r>
      <w:r>
        <w:rPr/>
        <w:t>月</w:t>
      </w:r>
      <w:r>
        <w:rPr>
          <w:rFonts w:ascii="宋体" w:hAnsi="宋体" w:cs="宋体" w:eastAsia="宋体" w:hint="default"/>
        </w:rPr>
        <w:t>7</w:t>
      </w:r>
      <w:r>
        <w:rPr/>
        <w:t>日出具编号为“中联评咨字【</w:t>
      </w:r>
      <w:r>
        <w:rPr>
          <w:rFonts w:ascii="宋体" w:hAnsi="宋体" w:cs="宋体" w:eastAsia="宋体" w:hint="default"/>
        </w:rPr>
        <w:t>2018</w:t>
      </w:r>
      <w:r>
        <w:rPr/>
        <w:t>】第</w:t>
      </w:r>
      <w:r>
        <w:rPr>
          <w:rFonts w:ascii="宋体" w:hAnsi="宋体" w:cs="宋体" w:eastAsia="宋体" w:hint="default"/>
        </w:rPr>
        <w:t>160</w:t>
      </w:r>
      <w:r>
        <w:rPr/>
        <w:t>号”的《评估咨询</w:t>
      </w:r>
    </w:p>
    <w:p>
      <w:pPr>
        <w:spacing w:after="0" w:line="240" w:lineRule="auto"/>
        <w:jc w:val="left"/>
        <w:sectPr>
          <w:pgSz w:w="11910" w:h="16840"/>
          <w:pgMar w:header="747" w:footer="979" w:top="1060" w:bottom="1160" w:left="740" w:right="0"/>
        </w:sectPr>
      </w:pPr>
    </w:p>
    <w:p>
      <w:pPr>
        <w:spacing w:line="240" w:lineRule="auto" w:before="0"/>
        <w:rPr>
          <w:rFonts w:ascii="宋体" w:hAnsi="宋体" w:cs="宋体" w:eastAsia="宋体" w:hint="default"/>
          <w:sz w:val="20"/>
          <w:szCs w:val="20"/>
        </w:rPr>
      </w:pPr>
    </w:p>
    <w:p>
      <w:pPr>
        <w:pStyle w:val="BodyText"/>
        <w:spacing w:line="350" w:lineRule="auto" w:before="199"/>
        <w:ind w:left="193" w:right="1127"/>
        <w:jc w:val="left"/>
      </w:pPr>
      <w:r>
        <w:rPr>
          <w:spacing w:val="-2"/>
        </w:rPr>
        <w:t>报告》。根据持股比例计算出该项长期股权投资未来可收回金额为</w:t>
      </w:r>
      <w:r>
        <w:rPr>
          <w:rFonts w:ascii="宋体" w:hAnsi="宋体" w:cs="宋体" w:eastAsia="宋体" w:hint="default"/>
          <w:spacing w:val="-2"/>
        </w:rPr>
        <w:t>10,372,857.51</w:t>
      </w:r>
      <w:r>
        <w:rPr>
          <w:spacing w:val="-2"/>
        </w:rPr>
        <w:t>元，将未来</w:t>
      </w:r>
      <w:r>
        <w:rPr>
          <w:spacing w:val="-111"/>
        </w:rPr>
        <w:t> </w:t>
      </w:r>
      <w:r>
        <w:rPr>
          <w:spacing w:val="-111"/>
        </w:rPr>
      </w:r>
      <w:r>
        <w:rPr/>
        <w:t>可收回金额低于账面价值</w:t>
      </w:r>
      <w:r>
        <w:rPr>
          <w:rFonts w:ascii="宋体" w:hAnsi="宋体" w:cs="宋体" w:eastAsia="宋体" w:hint="default"/>
        </w:rPr>
        <w:t>80,742,568.85</w:t>
      </w:r>
      <w:r>
        <w:rPr/>
        <w:t>元的差额</w:t>
      </w:r>
      <w:r>
        <w:rPr>
          <w:rFonts w:ascii="宋体" w:hAnsi="宋体" w:cs="宋体" w:eastAsia="宋体" w:hint="default"/>
        </w:rPr>
        <w:t>70,369,711.34</w:t>
      </w:r>
      <w:r>
        <w:rPr/>
        <w:t>元计提减值准备。</w:t>
      </w:r>
    </w:p>
    <w:p>
      <w:pPr>
        <w:pStyle w:val="Heading2"/>
        <w:spacing w:line="240" w:lineRule="auto" w:before="36"/>
        <w:ind w:left="676" w:right="1153"/>
        <w:jc w:val="left"/>
        <w:rPr>
          <w:b w:val="0"/>
          <w:bCs w:val="0"/>
        </w:rPr>
      </w:pPr>
      <w:bookmarkStart w:name="18、投资性房地产" w:id="300"/>
      <w:bookmarkEnd w:id="300"/>
      <w:r>
        <w:rPr>
          <w:b w:val="0"/>
          <w:bCs w:val="0"/>
        </w:rPr>
      </w:r>
      <w:r>
        <w:rPr>
          <w:rFonts w:ascii="宋体" w:hAnsi="宋体" w:cs="宋体" w:eastAsia="宋体" w:hint="default"/>
        </w:rPr>
        <w:t>18</w:t>
      </w:r>
      <w:r>
        <w:rPr/>
        <w:t>、投资性房地产</w:t>
      </w:r>
      <w:r>
        <w:rPr>
          <w:b w:val="0"/>
          <w:bCs w:val="0"/>
        </w:rPr>
      </w:r>
    </w:p>
    <w:p>
      <w:pPr>
        <w:spacing w:line="240" w:lineRule="auto" w:before="1"/>
        <w:rPr>
          <w:rFonts w:ascii="宋体" w:hAnsi="宋体" w:cs="宋体" w:eastAsia="宋体" w:hint="default"/>
          <w:b/>
          <w:bCs/>
          <w:sz w:val="23"/>
          <w:szCs w:val="23"/>
        </w:rPr>
      </w:pPr>
    </w:p>
    <w:p>
      <w:pPr>
        <w:pStyle w:val="Heading2"/>
        <w:spacing w:line="240" w:lineRule="auto" w:before="0"/>
        <w:ind w:left="676" w:right="1153"/>
        <w:jc w:val="left"/>
        <w:rPr>
          <w:b w:val="0"/>
          <w:bCs w:val="0"/>
        </w:rPr>
      </w:pPr>
      <w:bookmarkStart w:name="（1）采用成本计量模式的投资性房地产" w:id="301"/>
      <w:bookmarkEnd w:id="301"/>
      <w:r>
        <w:rPr>
          <w:b w:val="0"/>
          <w:bCs w:val="0"/>
        </w:rPr>
      </w:r>
      <w:r>
        <w:rPr/>
        <w:t>（</w:t>
      </w:r>
      <w:r>
        <w:rPr>
          <w:rFonts w:ascii="宋体" w:hAnsi="宋体" w:cs="宋体" w:eastAsia="宋体" w:hint="default"/>
        </w:rPr>
        <w:t>1</w:t>
      </w:r>
      <w:r>
        <w:rPr/>
        <w:t>）采用成本计量模式的投资性房地产</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0"/>
        <w:ind w:left="673" w:right="1153"/>
        <w:jc w:val="left"/>
      </w:pPr>
      <w:r>
        <w:rPr/>
        <w:t>□ 适用 √ 不适用</w:t>
      </w:r>
    </w:p>
    <w:p>
      <w:pPr>
        <w:pStyle w:val="Heading2"/>
        <w:spacing w:line="240" w:lineRule="auto" w:before="146"/>
        <w:ind w:left="676" w:right="1153"/>
        <w:jc w:val="left"/>
        <w:rPr>
          <w:b w:val="0"/>
          <w:bCs w:val="0"/>
        </w:rPr>
      </w:pPr>
      <w:bookmarkStart w:name="（2）采用公允价值计量模式的投资性房地产" w:id="302"/>
      <w:bookmarkEnd w:id="302"/>
      <w:r>
        <w:rPr>
          <w:b w:val="0"/>
          <w:bCs w:val="0"/>
        </w:rPr>
      </w:r>
      <w:r>
        <w:rPr/>
        <w:t>（</w:t>
      </w:r>
      <w:r>
        <w:rPr>
          <w:rFonts w:ascii="宋体" w:hAnsi="宋体" w:cs="宋体" w:eastAsia="宋体" w:hint="default"/>
        </w:rPr>
        <w:t>2</w:t>
      </w:r>
      <w:r>
        <w:rPr/>
        <w:t>）采用公允价值计量模式的投资性房地产</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0"/>
        <w:ind w:left="673" w:right="1153"/>
        <w:jc w:val="left"/>
      </w:pPr>
      <w:r>
        <w:rPr/>
        <w:t>□ 适用 √ 不适用</w:t>
      </w:r>
    </w:p>
    <w:p>
      <w:pPr>
        <w:pStyle w:val="Heading2"/>
        <w:spacing w:line="240" w:lineRule="auto" w:before="145"/>
        <w:ind w:left="676" w:right="1153"/>
        <w:jc w:val="left"/>
        <w:rPr>
          <w:b w:val="0"/>
          <w:bCs w:val="0"/>
        </w:rPr>
      </w:pPr>
      <w:bookmarkStart w:name="（3）未办妥产权证书的投资性房地产情况" w:id="303"/>
      <w:bookmarkEnd w:id="303"/>
      <w:r>
        <w:rPr>
          <w:b w:val="0"/>
          <w:bCs w:val="0"/>
        </w:rPr>
      </w:r>
      <w:r>
        <w:rPr/>
        <w:t>（</w:t>
      </w:r>
      <w:r>
        <w:rPr>
          <w:rFonts w:ascii="宋体" w:hAnsi="宋体" w:cs="宋体" w:eastAsia="宋体" w:hint="default"/>
        </w:rPr>
        <w:t>3</w:t>
      </w:r>
      <w:r>
        <w:rPr/>
        <w:t>）未办妥产权证书的投资性房地产情况</w:t>
      </w:r>
      <w:r>
        <w:rPr>
          <w:b w:val="0"/>
          <w:bCs w:val="0"/>
        </w:rPr>
      </w:r>
    </w:p>
    <w:p>
      <w:pPr>
        <w:spacing w:line="240" w:lineRule="auto" w:before="2"/>
        <w:rPr>
          <w:rFonts w:ascii="宋体" w:hAnsi="宋体" w:cs="宋体" w:eastAsia="宋体" w:hint="default"/>
          <w:b/>
          <w:bCs/>
          <w:sz w:val="23"/>
          <w:szCs w:val="23"/>
        </w:rPr>
      </w:pPr>
    </w:p>
    <w:p>
      <w:pPr>
        <w:pStyle w:val="BodyText"/>
        <w:spacing w:line="350" w:lineRule="auto" w:before="0"/>
        <w:ind w:left="673" w:right="9313"/>
        <w:jc w:val="left"/>
      </w:pPr>
      <w:r>
        <w:rPr/>
        <w:t>无 其他说明 无</w:t>
      </w:r>
    </w:p>
    <w:p>
      <w:pPr>
        <w:pStyle w:val="Heading2"/>
        <w:spacing w:line="240" w:lineRule="auto" w:before="36"/>
        <w:ind w:left="676" w:right="1153"/>
        <w:jc w:val="left"/>
        <w:rPr>
          <w:b w:val="0"/>
          <w:bCs w:val="0"/>
        </w:rPr>
      </w:pPr>
      <w:bookmarkStart w:name="19、固定资产" w:id="304"/>
      <w:bookmarkEnd w:id="304"/>
      <w:r>
        <w:rPr>
          <w:b w:val="0"/>
          <w:bCs w:val="0"/>
        </w:rPr>
      </w:r>
      <w:r>
        <w:rPr>
          <w:rFonts w:ascii="宋体" w:hAnsi="宋体" w:cs="宋体" w:eastAsia="宋体" w:hint="default"/>
        </w:rPr>
        <w:t>19</w:t>
      </w:r>
      <w:r>
        <w:rPr/>
        <w:t>、固定资产</w:t>
      </w:r>
      <w:r>
        <w:rPr>
          <w:b w:val="0"/>
          <w:bCs w:val="0"/>
        </w:rPr>
      </w:r>
    </w:p>
    <w:p>
      <w:pPr>
        <w:spacing w:line="240" w:lineRule="auto" w:before="1"/>
        <w:rPr>
          <w:rFonts w:ascii="宋体" w:hAnsi="宋体" w:cs="宋体" w:eastAsia="宋体" w:hint="default"/>
          <w:b/>
          <w:bCs/>
          <w:sz w:val="23"/>
          <w:szCs w:val="23"/>
        </w:rPr>
      </w:pPr>
    </w:p>
    <w:p>
      <w:pPr>
        <w:pStyle w:val="Heading2"/>
        <w:spacing w:line="240" w:lineRule="auto" w:before="0"/>
        <w:ind w:left="676" w:right="1153"/>
        <w:jc w:val="left"/>
        <w:rPr>
          <w:b w:val="0"/>
          <w:bCs w:val="0"/>
        </w:rPr>
      </w:pPr>
      <w:bookmarkStart w:name="（1）固定资产情况" w:id="305"/>
      <w:bookmarkEnd w:id="305"/>
      <w:r>
        <w:rPr>
          <w:b w:val="0"/>
          <w:bCs w:val="0"/>
        </w:rPr>
      </w:r>
      <w:r>
        <w:rPr/>
        <w:t>（</w:t>
      </w:r>
      <w:r>
        <w:rPr>
          <w:rFonts w:ascii="宋体" w:hAnsi="宋体" w:cs="宋体" w:eastAsia="宋体" w:hint="default"/>
        </w:rPr>
        <w:t>1</w:t>
      </w:r>
      <w:r>
        <w:rPr/>
        <w:t>）固定资产情况</w:t>
      </w:r>
      <w:r>
        <w:rPr>
          <w:b w:val="0"/>
          <w:bCs w:val="0"/>
        </w:rPr>
      </w:r>
    </w:p>
    <w:p>
      <w:pPr>
        <w:spacing w:before="200"/>
        <w:ind w:left="0" w:right="1129" w:firstLine="0"/>
        <w:jc w:val="right"/>
        <w:rPr>
          <w:rFonts w:ascii="宋体" w:hAnsi="宋体" w:cs="宋体" w:eastAsia="宋体" w:hint="default"/>
          <w:sz w:val="21"/>
          <w:szCs w:val="21"/>
        </w:rPr>
      </w:pPr>
      <w:r>
        <w:rPr>
          <w:rFonts w:ascii="宋体" w:hAnsi="宋体" w:cs="宋体" w:eastAsia="宋体" w:hint="default"/>
          <w:sz w:val="21"/>
          <w:szCs w:val="21"/>
        </w:rPr>
        <w:t>单位： 元</w:t>
      </w:r>
    </w:p>
    <w:p>
      <w:pPr>
        <w:spacing w:line="240" w:lineRule="auto" w:before="0"/>
        <w:rPr>
          <w:rFonts w:ascii="宋体" w:hAnsi="宋体" w:cs="宋体" w:eastAsia="宋体" w:hint="default"/>
          <w:sz w:val="7"/>
          <w:szCs w:val="7"/>
        </w:rPr>
      </w:pPr>
    </w:p>
    <w:tbl>
      <w:tblPr>
        <w:tblW w:w="0" w:type="auto"/>
        <w:jc w:val="left"/>
        <w:tblInd w:w="115" w:type="dxa"/>
        <w:tblLayout w:type="fixed"/>
        <w:tblCellMar>
          <w:top w:w="0" w:type="dxa"/>
          <w:left w:w="0" w:type="dxa"/>
          <w:bottom w:w="0" w:type="dxa"/>
          <w:right w:w="0" w:type="dxa"/>
        </w:tblCellMar>
        <w:tblLook w:val="01E0"/>
      </w:tblPr>
      <w:tblGrid>
        <w:gridCol w:w="1776"/>
        <w:gridCol w:w="1668"/>
        <w:gridCol w:w="1601"/>
        <w:gridCol w:w="1601"/>
        <w:gridCol w:w="1497"/>
        <w:gridCol w:w="1656"/>
      </w:tblGrid>
      <w:tr>
        <w:trPr>
          <w:trHeight w:val="402" w:hRule="exact"/>
        </w:trPr>
        <w:tc>
          <w:tcPr>
            <w:tcW w:w="17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6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03" w:right="0"/>
              <w:jc w:val="left"/>
              <w:rPr>
                <w:rFonts w:ascii="宋体" w:hAnsi="宋体" w:cs="宋体" w:eastAsia="宋体" w:hint="default"/>
                <w:sz w:val="21"/>
                <w:szCs w:val="21"/>
              </w:rPr>
            </w:pPr>
            <w:r>
              <w:rPr>
                <w:rFonts w:ascii="宋体" w:hAnsi="宋体" w:cs="宋体" w:eastAsia="宋体" w:hint="default"/>
                <w:sz w:val="21"/>
                <w:szCs w:val="21"/>
              </w:rPr>
              <w:t>房屋及建筑物</w:t>
            </w:r>
          </w:p>
        </w:tc>
        <w:tc>
          <w:tcPr>
            <w:tcW w:w="16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376" w:right="0"/>
              <w:jc w:val="left"/>
              <w:rPr>
                <w:rFonts w:ascii="宋体" w:hAnsi="宋体" w:cs="宋体" w:eastAsia="宋体" w:hint="default"/>
                <w:sz w:val="21"/>
                <w:szCs w:val="21"/>
              </w:rPr>
            </w:pPr>
            <w:r>
              <w:rPr>
                <w:rFonts w:ascii="宋体" w:hAnsi="宋体" w:cs="宋体" w:eastAsia="宋体" w:hint="default"/>
                <w:sz w:val="21"/>
                <w:szCs w:val="21"/>
              </w:rPr>
              <w:t>机器设备</w:t>
            </w:r>
          </w:p>
        </w:tc>
        <w:tc>
          <w:tcPr>
            <w:tcW w:w="16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375" w:right="0"/>
              <w:jc w:val="left"/>
              <w:rPr>
                <w:rFonts w:ascii="宋体" w:hAnsi="宋体" w:cs="宋体" w:eastAsia="宋体" w:hint="default"/>
                <w:sz w:val="21"/>
                <w:szCs w:val="21"/>
              </w:rPr>
            </w:pPr>
            <w:r>
              <w:rPr>
                <w:rFonts w:ascii="宋体" w:hAnsi="宋体" w:cs="宋体" w:eastAsia="宋体" w:hint="default"/>
                <w:sz w:val="21"/>
                <w:szCs w:val="21"/>
              </w:rPr>
              <w:t>运输工具</w:t>
            </w:r>
          </w:p>
        </w:tc>
        <w:tc>
          <w:tcPr>
            <w:tcW w:w="14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322" w:right="0"/>
              <w:jc w:val="left"/>
              <w:rPr>
                <w:rFonts w:ascii="宋体" w:hAnsi="宋体" w:cs="宋体" w:eastAsia="宋体" w:hint="default"/>
                <w:sz w:val="21"/>
                <w:szCs w:val="21"/>
              </w:rPr>
            </w:pPr>
            <w:r>
              <w:rPr>
                <w:rFonts w:ascii="宋体" w:hAnsi="宋体" w:cs="宋体" w:eastAsia="宋体" w:hint="default"/>
                <w:sz w:val="21"/>
                <w:szCs w:val="21"/>
              </w:rPr>
              <w:t>电子设备</w:t>
            </w:r>
          </w:p>
        </w:tc>
        <w:tc>
          <w:tcPr>
            <w:tcW w:w="1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合计</w:t>
            </w:r>
          </w:p>
        </w:tc>
      </w:tr>
      <w:tr>
        <w:trPr>
          <w:trHeight w:val="402" w:hRule="exact"/>
        </w:trPr>
        <w:tc>
          <w:tcPr>
            <w:tcW w:w="17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一、账面原值：</w:t>
            </w:r>
          </w:p>
        </w:tc>
        <w:tc>
          <w:tcPr>
            <w:tcW w:w="1668" w:type="dxa"/>
            <w:tcBorders>
              <w:top w:val="single" w:sz="4" w:space="0" w:color="000000"/>
              <w:left w:val="single" w:sz="13" w:space="0" w:color="D2D2D2"/>
              <w:bottom w:val="single" w:sz="4" w:space="0" w:color="000000"/>
              <w:right w:val="single" w:sz="4" w:space="0" w:color="000000"/>
            </w:tcBorders>
          </w:tcPr>
          <w:p>
            <w:pPr/>
          </w:p>
        </w:tc>
        <w:tc>
          <w:tcPr>
            <w:tcW w:w="1601" w:type="dxa"/>
            <w:tcBorders>
              <w:top w:val="single" w:sz="4" w:space="0" w:color="000000"/>
              <w:left w:val="single" w:sz="4" w:space="0" w:color="000000"/>
              <w:bottom w:val="single" w:sz="4" w:space="0" w:color="000000"/>
              <w:right w:val="single" w:sz="4" w:space="0" w:color="000000"/>
            </w:tcBorders>
          </w:tcPr>
          <w:p>
            <w:pPr/>
          </w:p>
        </w:tc>
        <w:tc>
          <w:tcPr>
            <w:tcW w:w="1601" w:type="dxa"/>
            <w:tcBorders>
              <w:top w:val="single" w:sz="4" w:space="0" w:color="000000"/>
              <w:left w:val="single" w:sz="4" w:space="0" w:color="000000"/>
              <w:bottom w:val="single" w:sz="4" w:space="0" w:color="000000"/>
              <w:right w:val="single" w:sz="4" w:space="0" w:color="000000"/>
            </w:tcBorders>
          </w:tcPr>
          <w:p>
            <w:pPr/>
          </w:p>
        </w:tc>
        <w:tc>
          <w:tcPr>
            <w:tcW w:w="1497"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1"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期初余额</w:t>
            </w:r>
          </w:p>
        </w:tc>
        <w:tc>
          <w:tcPr>
            <w:tcW w:w="16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left="258" w:right="0"/>
              <w:jc w:val="left"/>
              <w:rPr>
                <w:rFonts w:ascii="宋体" w:hAnsi="宋体" w:cs="宋体" w:eastAsia="宋体" w:hint="default"/>
                <w:sz w:val="21"/>
                <w:szCs w:val="21"/>
              </w:rPr>
            </w:pPr>
            <w:r>
              <w:rPr>
                <w:rFonts w:ascii="宋体"/>
                <w:sz w:val="21"/>
              </w:rPr>
              <w:t>49,808,055.20</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90,771,892.99</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10,220,663.55</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6,101,245.73</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156,901,857.47</w:t>
            </w:r>
          </w:p>
        </w:tc>
      </w:tr>
      <w:tr>
        <w:trPr>
          <w:trHeight w:val="402" w:hRule="exact"/>
        </w:trPr>
        <w:tc>
          <w:tcPr>
            <w:tcW w:w="17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72"/>
              <w:jc w:val="right"/>
              <w:rPr>
                <w:rFonts w:ascii="宋体" w:hAnsi="宋体" w:cs="宋体" w:eastAsia="宋体" w:hint="default"/>
                <w:sz w:val="21"/>
                <w:szCs w:val="21"/>
              </w:rPr>
            </w:pPr>
            <w:r>
              <w:rPr>
                <w:rFonts w:ascii="宋体" w:hAnsi="宋体" w:cs="宋体" w:eastAsia="宋体" w:hint="default"/>
                <w:spacing w:val="-1"/>
                <w:sz w:val="21"/>
                <w:szCs w:val="21"/>
              </w:rPr>
              <w:t>2.</w:t>
            </w:r>
            <w:r>
              <w:rPr>
                <w:rFonts w:ascii="宋体" w:hAnsi="宋体" w:cs="宋体" w:eastAsia="宋体" w:hint="default"/>
                <w:spacing w:val="-1"/>
                <w:sz w:val="21"/>
                <w:szCs w:val="21"/>
              </w:rPr>
              <w:t>本期增加金额</w:t>
            </w:r>
          </w:p>
        </w:tc>
        <w:tc>
          <w:tcPr>
            <w:tcW w:w="16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left="258" w:right="0"/>
              <w:jc w:val="left"/>
              <w:rPr>
                <w:rFonts w:ascii="宋体" w:hAnsi="宋体" w:cs="宋体" w:eastAsia="宋体" w:hint="default"/>
                <w:sz w:val="21"/>
                <w:szCs w:val="21"/>
              </w:rPr>
            </w:pPr>
            <w:r>
              <w:rPr>
                <w:rFonts w:ascii="宋体"/>
                <w:sz w:val="21"/>
              </w:rPr>
              <w:t>62,924,148.07</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1,548,509.42</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9"/>
              <w:jc w:val="right"/>
              <w:rPr>
                <w:rFonts w:ascii="宋体" w:hAnsi="宋体" w:cs="宋体" w:eastAsia="宋体" w:hint="default"/>
                <w:sz w:val="21"/>
                <w:szCs w:val="21"/>
              </w:rPr>
            </w:pPr>
            <w:r>
              <w:rPr>
                <w:rFonts w:ascii="宋体"/>
                <w:sz w:val="21"/>
              </w:rPr>
              <w:t>1,143,108.00</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3"/>
              <w:jc w:val="right"/>
              <w:rPr>
                <w:rFonts w:ascii="宋体" w:hAnsi="宋体" w:cs="宋体" w:eastAsia="宋体" w:hint="default"/>
                <w:sz w:val="21"/>
                <w:szCs w:val="21"/>
              </w:rPr>
            </w:pPr>
            <w:r>
              <w:rPr>
                <w:rFonts w:ascii="宋体"/>
                <w:sz w:val="21"/>
              </w:rPr>
              <w:t>840,561.42</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66,456,326.91</w:t>
            </w:r>
          </w:p>
        </w:tc>
      </w:tr>
      <w:tr>
        <w:trPr>
          <w:trHeight w:val="402" w:hRule="exact"/>
        </w:trPr>
        <w:tc>
          <w:tcPr>
            <w:tcW w:w="17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）购置</w:t>
            </w:r>
          </w:p>
        </w:tc>
        <w:tc>
          <w:tcPr>
            <w:tcW w:w="1668" w:type="dxa"/>
            <w:tcBorders>
              <w:top w:val="single" w:sz="4" w:space="0" w:color="000000"/>
              <w:left w:val="single" w:sz="13" w:space="0" w:color="D2D2D2"/>
              <w:bottom w:val="single" w:sz="4" w:space="0" w:color="000000"/>
              <w:right w:val="single" w:sz="4" w:space="0" w:color="000000"/>
            </w:tcBorders>
          </w:tcPr>
          <w:p>
            <w:pP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591,141.02</w:t>
            </w:r>
          </w:p>
        </w:tc>
        <w:tc>
          <w:tcPr>
            <w:tcW w:w="1601" w:type="dxa"/>
            <w:tcBorders>
              <w:top w:val="single" w:sz="4" w:space="0" w:color="000000"/>
              <w:left w:val="single" w:sz="4" w:space="0" w:color="000000"/>
              <w:bottom w:val="single" w:sz="4" w:space="0" w:color="000000"/>
              <w:right w:val="single" w:sz="4" w:space="0" w:color="000000"/>
            </w:tcBorders>
          </w:tcPr>
          <w:p>
            <w:pP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3"/>
              <w:jc w:val="right"/>
              <w:rPr>
                <w:rFonts w:ascii="宋体" w:hAnsi="宋体" w:cs="宋体" w:eastAsia="宋体" w:hint="default"/>
                <w:sz w:val="21"/>
                <w:szCs w:val="21"/>
              </w:rPr>
            </w:pPr>
            <w:r>
              <w:rPr>
                <w:rFonts w:ascii="宋体"/>
                <w:sz w:val="21"/>
              </w:rPr>
              <w:t>602,624.92</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1,193,765.94</w:t>
            </w:r>
          </w:p>
        </w:tc>
      </w:tr>
      <w:tr>
        <w:trPr>
          <w:trHeight w:val="714" w:hRule="exact"/>
        </w:trPr>
        <w:tc>
          <w:tcPr>
            <w:tcW w:w="17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11" w:right="10" w:firstLine="398"/>
              <w:jc w:val="left"/>
              <w:rPr>
                <w:rFonts w:ascii="宋体" w:hAnsi="宋体" w:cs="宋体" w:eastAsia="宋体" w:hint="default"/>
                <w:sz w:val="21"/>
                <w:szCs w:val="21"/>
              </w:rPr>
            </w:pPr>
            <w:r>
              <w:rPr>
                <w:rFonts w:ascii="宋体" w:hAnsi="宋体" w:cs="宋体" w:eastAsia="宋体" w:hint="default"/>
                <w:spacing w:val="-4"/>
                <w:sz w:val="21"/>
                <w:szCs w:val="21"/>
              </w:rPr>
              <w:t>（</w:t>
            </w:r>
            <w:r>
              <w:rPr>
                <w:rFonts w:ascii="宋体" w:hAnsi="宋体" w:cs="宋体" w:eastAsia="宋体" w:hint="default"/>
                <w:spacing w:val="-4"/>
                <w:sz w:val="21"/>
                <w:szCs w:val="21"/>
              </w:rPr>
              <w:t>2</w:t>
            </w:r>
            <w:r>
              <w:rPr>
                <w:rFonts w:ascii="宋体" w:hAnsi="宋体" w:cs="宋体" w:eastAsia="宋体" w:hint="default"/>
                <w:spacing w:val="-4"/>
                <w:sz w:val="21"/>
                <w:szCs w:val="21"/>
              </w:rPr>
              <w:t>）在建工程</w:t>
            </w:r>
            <w:r>
              <w:rPr>
                <w:rFonts w:ascii="宋体" w:hAnsi="宋体" w:cs="宋体" w:eastAsia="宋体" w:hint="default"/>
                <w:sz w:val="21"/>
                <w:szCs w:val="21"/>
              </w:rPr>
              <w:t> 转入</w:t>
            </w:r>
          </w:p>
        </w:tc>
        <w:tc>
          <w:tcPr>
            <w:tcW w:w="16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58" w:right="0"/>
              <w:jc w:val="left"/>
              <w:rPr>
                <w:rFonts w:ascii="宋体" w:hAnsi="宋体" w:cs="宋体" w:eastAsia="宋体" w:hint="default"/>
                <w:sz w:val="21"/>
                <w:szCs w:val="21"/>
              </w:rPr>
            </w:pPr>
            <w:r>
              <w:rPr>
                <w:rFonts w:ascii="宋体"/>
                <w:sz w:val="21"/>
              </w:rPr>
              <w:t>62,924,148.07</w:t>
            </w:r>
          </w:p>
        </w:tc>
        <w:tc>
          <w:tcPr>
            <w:tcW w:w="1601" w:type="dxa"/>
            <w:tcBorders>
              <w:top w:val="single" w:sz="4" w:space="0" w:color="000000"/>
              <w:left w:val="single" w:sz="4" w:space="0" w:color="000000"/>
              <w:bottom w:val="single" w:sz="4" w:space="0" w:color="000000"/>
              <w:right w:val="single" w:sz="4" w:space="0" w:color="000000"/>
            </w:tcBorders>
          </w:tcPr>
          <w:p>
            <w:pPr/>
          </w:p>
        </w:tc>
        <w:tc>
          <w:tcPr>
            <w:tcW w:w="1601" w:type="dxa"/>
            <w:tcBorders>
              <w:top w:val="single" w:sz="4" w:space="0" w:color="000000"/>
              <w:left w:val="single" w:sz="4" w:space="0" w:color="000000"/>
              <w:bottom w:val="single" w:sz="4" w:space="0" w:color="000000"/>
              <w:right w:val="single" w:sz="4" w:space="0" w:color="000000"/>
            </w:tcBorders>
          </w:tcPr>
          <w:p>
            <w:pPr/>
          </w:p>
        </w:tc>
        <w:tc>
          <w:tcPr>
            <w:tcW w:w="1497"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1"/>
              <w:jc w:val="right"/>
              <w:rPr>
                <w:rFonts w:ascii="宋体" w:hAnsi="宋体" w:cs="宋体" w:eastAsia="宋体" w:hint="default"/>
                <w:sz w:val="21"/>
                <w:szCs w:val="21"/>
              </w:rPr>
            </w:pPr>
            <w:r>
              <w:rPr>
                <w:rFonts w:ascii="宋体"/>
                <w:sz w:val="21"/>
              </w:rPr>
              <w:t>62,924,148.07</w:t>
            </w:r>
          </w:p>
        </w:tc>
      </w:tr>
      <w:tr>
        <w:trPr>
          <w:trHeight w:val="714" w:hRule="exact"/>
        </w:trPr>
        <w:tc>
          <w:tcPr>
            <w:tcW w:w="17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11" w:right="10" w:firstLine="398"/>
              <w:jc w:val="left"/>
              <w:rPr>
                <w:rFonts w:ascii="宋体" w:hAnsi="宋体" w:cs="宋体" w:eastAsia="宋体" w:hint="default"/>
                <w:sz w:val="21"/>
                <w:szCs w:val="21"/>
              </w:rPr>
            </w:pPr>
            <w:r>
              <w:rPr>
                <w:rFonts w:ascii="宋体" w:hAnsi="宋体" w:cs="宋体" w:eastAsia="宋体" w:hint="default"/>
                <w:spacing w:val="-4"/>
                <w:sz w:val="21"/>
                <w:szCs w:val="21"/>
              </w:rPr>
              <w:t>（</w:t>
            </w:r>
            <w:r>
              <w:rPr>
                <w:rFonts w:ascii="宋体" w:hAnsi="宋体" w:cs="宋体" w:eastAsia="宋体" w:hint="default"/>
                <w:spacing w:val="-4"/>
                <w:sz w:val="21"/>
                <w:szCs w:val="21"/>
              </w:rPr>
              <w:t>3</w:t>
            </w:r>
            <w:r>
              <w:rPr>
                <w:rFonts w:ascii="宋体" w:hAnsi="宋体" w:cs="宋体" w:eastAsia="宋体" w:hint="default"/>
                <w:spacing w:val="-4"/>
                <w:sz w:val="21"/>
                <w:szCs w:val="21"/>
              </w:rPr>
              <w:t>）企业合并</w:t>
            </w:r>
            <w:r>
              <w:rPr>
                <w:rFonts w:ascii="宋体" w:hAnsi="宋体" w:cs="宋体" w:eastAsia="宋体" w:hint="default"/>
                <w:sz w:val="21"/>
                <w:szCs w:val="21"/>
              </w:rPr>
              <w:t> 增加</w:t>
            </w:r>
          </w:p>
        </w:tc>
        <w:tc>
          <w:tcPr>
            <w:tcW w:w="1668" w:type="dxa"/>
            <w:tcBorders>
              <w:top w:val="single" w:sz="4" w:space="0" w:color="000000"/>
              <w:left w:val="single" w:sz="13" w:space="0" w:color="D2D2D2"/>
              <w:bottom w:val="single" w:sz="4" w:space="0" w:color="000000"/>
              <w:right w:val="single" w:sz="4" w:space="0" w:color="000000"/>
            </w:tcBorders>
          </w:tcPr>
          <w:p>
            <w:pP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0"/>
              <w:jc w:val="right"/>
              <w:rPr>
                <w:rFonts w:ascii="宋体" w:hAnsi="宋体" w:cs="宋体" w:eastAsia="宋体" w:hint="default"/>
                <w:sz w:val="21"/>
                <w:szCs w:val="21"/>
              </w:rPr>
            </w:pPr>
            <w:r>
              <w:rPr>
                <w:rFonts w:ascii="宋体"/>
                <w:sz w:val="21"/>
              </w:rPr>
              <w:t>957,368.40</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9"/>
              <w:jc w:val="right"/>
              <w:rPr>
                <w:rFonts w:ascii="宋体" w:hAnsi="宋体" w:cs="宋体" w:eastAsia="宋体" w:hint="default"/>
                <w:sz w:val="21"/>
                <w:szCs w:val="21"/>
              </w:rPr>
            </w:pPr>
            <w:r>
              <w:rPr>
                <w:rFonts w:ascii="宋体"/>
                <w:sz w:val="21"/>
              </w:rPr>
              <w:t>1,143,108.00</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3"/>
              <w:jc w:val="right"/>
              <w:rPr>
                <w:rFonts w:ascii="宋体" w:hAnsi="宋体" w:cs="宋体" w:eastAsia="宋体" w:hint="default"/>
                <w:sz w:val="21"/>
                <w:szCs w:val="21"/>
              </w:rPr>
            </w:pPr>
            <w:r>
              <w:rPr>
                <w:rFonts w:ascii="宋体"/>
                <w:sz w:val="21"/>
              </w:rPr>
              <w:t>237,936.50</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0"/>
              <w:jc w:val="right"/>
              <w:rPr>
                <w:rFonts w:ascii="宋体" w:hAnsi="宋体" w:cs="宋体" w:eastAsia="宋体" w:hint="default"/>
                <w:sz w:val="21"/>
                <w:szCs w:val="21"/>
              </w:rPr>
            </w:pPr>
            <w:r>
              <w:rPr>
                <w:rFonts w:ascii="宋体"/>
                <w:sz w:val="21"/>
              </w:rPr>
              <w:t>2,338,412.90</w:t>
            </w:r>
          </w:p>
        </w:tc>
      </w:tr>
      <w:tr>
        <w:trPr>
          <w:trHeight w:val="402" w:hRule="exact"/>
        </w:trPr>
        <w:tc>
          <w:tcPr>
            <w:tcW w:w="177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68" w:type="dxa"/>
            <w:tcBorders>
              <w:top w:val="single" w:sz="4" w:space="0" w:color="000000"/>
              <w:left w:val="single" w:sz="13" w:space="0" w:color="D2D2D2"/>
              <w:bottom w:val="single" w:sz="4" w:space="0" w:color="000000"/>
              <w:right w:val="single" w:sz="4" w:space="0" w:color="000000"/>
            </w:tcBorders>
          </w:tcPr>
          <w:p>
            <w:pPr/>
          </w:p>
        </w:tc>
        <w:tc>
          <w:tcPr>
            <w:tcW w:w="1601" w:type="dxa"/>
            <w:tcBorders>
              <w:top w:val="single" w:sz="4" w:space="0" w:color="000000"/>
              <w:left w:val="single" w:sz="4" w:space="0" w:color="000000"/>
              <w:bottom w:val="single" w:sz="4" w:space="0" w:color="000000"/>
              <w:right w:val="single" w:sz="4" w:space="0" w:color="000000"/>
            </w:tcBorders>
          </w:tcPr>
          <w:p>
            <w:pPr/>
          </w:p>
        </w:tc>
        <w:tc>
          <w:tcPr>
            <w:tcW w:w="1601" w:type="dxa"/>
            <w:tcBorders>
              <w:top w:val="single" w:sz="4" w:space="0" w:color="000000"/>
              <w:left w:val="single" w:sz="4" w:space="0" w:color="000000"/>
              <w:bottom w:val="single" w:sz="4" w:space="0" w:color="000000"/>
              <w:right w:val="single" w:sz="4" w:space="0" w:color="000000"/>
            </w:tcBorders>
          </w:tcPr>
          <w:p>
            <w:pPr/>
          </w:p>
        </w:tc>
        <w:tc>
          <w:tcPr>
            <w:tcW w:w="1497"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72"/>
              <w:jc w:val="right"/>
              <w:rPr>
                <w:rFonts w:ascii="宋体" w:hAnsi="宋体" w:cs="宋体" w:eastAsia="宋体" w:hint="default"/>
                <w:sz w:val="21"/>
                <w:szCs w:val="21"/>
              </w:rPr>
            </w:pPr>
            <w:r>
              <w:rPr>
                <w:rFonts w:ascii="宋体" w:hAnsi="宋体" w:cs="宋体" w:eastAsia="宋体" w:hint="default"/>
                <w:spacing w:val="-1"/>
                <w:sz w:val="21"/>
                <w:szCs w:val="21"/>
              </w:rPr>
              <w:t>3.</w:t>
            </w:r>
            <w:r>
              <w:rPr>
                <w:rFonts w:ascii="宋体" w:hAnsi="宋体" w:cs="宋体" w:eastAsia="宋体" w:hint="default"/>
                <w:spacing w:val="-1"/>
                <w:sz w:val="21"/>
                <w:szCs w:val="21"/>
              </w:rPr>
              <w:t>本期减少金额</w:t>
            </w:r>
          </w:p>
        </w:tc>
        <w:tc>
          <w:tcPr>
            <w:tcW w:w="1668" w:type="dxa"/>
            <w:tcBorders>
              <w:top w:val="single" w:sz="4" w:space="0" w:color="000000"/>
              <w:left w:val="single" w:sz="13" w:space="0" w:color="D2D2D2"/>
              <w:bottom w:val="single" w:sz="4" w:space="0" w:color="000000"/>
              <w:right w:val="single" w:sz="4" w:space="0" w:color="000000"/>
            </w:tcBorders>
          </w:tcPr>
          <w:p>
            <w:pP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274,447.68</w:t>
            </w:r>
          </w:p>
        </w:tc>
        <w:tc>
          <w:tcPr>
            <w:tcW w:w="1601" w:type="dxa"/>
            <w:tcBorders>
              <w:top w:val="single" w:sz="4" w:space="0" w:color="000000"/>
              <w:left w:val="single" w:sz="4" w:space="0" w:color="000000"/>
              <w:bottom w:val="single" w:sz="4" w:space="0" w:color="000000"/>
              <w:right w:val="single" w:sz="4" w:space="0" w:color="000000"/>
            </w:tcBorders>
          </w:tcPr>
          <w:p>
            <w:pP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3"/>
              <w:jc w:val="right"/>
              <w:rPr>
                <w:rFonts w:ascii="宋体" w:hAnsi="宋体" w:cs="宋体" w:eastAsia="宋体" w:hint="default"/>
                <w:sz w:val="21"/>
                <w:szCs w:val="21"/>
              </w:rPr>
            </w:pPr>
            <w:r>
              <w:rPr>
                <w:rFonts w:ascii="宋体"/>
                <w:sz w:val="21"/>
              </w:rPr>
              <w:t>128,139.14</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3"/>
              <w:jc w:val="right"/>
              <w:rPr>
                <w:rFonts w:ascii="宋体" w:hAnsi="宋体" w:cs="宋体" w:eastAsia="宋体" w:hint="default"/>
                <w:sz w:val="21"/>
                <w:szCs w:val="21"/>
              </w:rPr>
            </w:pPr>
            <w:r>
              <w:rPr>
                <w:rFonts w:ascii="宋体"/>
                <w:sz w:val="21"/>
              </w:rPr>
              <w:t>402,586.82</w:t>
            </w:r>
          </w:p>
        </w:tc>
      </w:tr>
      <w:tr>
        <w:trPr>
          <w:trHeight w:val="714" w:hRule="exact"/>
        </w:trPr>
        <w:tc>
          <w:tcPr>
            <w:tcW w:w="17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09" w:right="0"/>
              <w:jc w:val="left"/>
              <w:rPr>
                <w:rFonts w:ascii="宋体" w:hAnsi="宋体" w:cs="宋体" w:eastAsia="宋体" w:hint="default"/>
                <w:sz w:val="21"/>
                <w:szCs w:val="21"/>
              </w:rPr>
            </w:pPr>
            <w:r>
              <w:rPr>
                <w:rFonts w:ascii="宋体" w:hAnsi="宋体" w:cs="宋体" w:eastAsia="宋体" w:hint="default"/>
                <w:spacing w:val="-4"/>
                <w:sz w:val="21"/>
                <w:szCs w:val="21"/>
              </w:rPr>
              <w:t>（</w:t>
            </w:r>
            <w:r>
              <w:rPr>
                <w:rFonts w:ascii="宋体" w:hAnsi="宋体" w:cs="宋体" w:eastAsia="宋体" w:hint="default"/>
                <w:spacing w:val="-4"/>
                <w:sz w:val="21"/>
                <w:szCs w:val="21"/>
              </w:rPr>
              <w:t>1</w:t>
            </w:r>
            <w:r>
              <w:rPr>
                <w:rFonts w:ascii="宋体" w:hAnsi="宋体" w:cs="宋体" w:eastAsia="宋体" w:hint="default"/>
                <w:spacing w:val="-4"/>
                <w:sz w:val="21"/>
                <w:szCs w:val="21"/>
              </w:rPr>
              <w:t>）处置或报</w:t>
            </w:r>
          </w:p>
          <w:p>
            <w:pPr>
              <w:pStyle w:val="TableParagraph"/>
              <w:spacing w:line="240" w:lineRule="auto" w:before="37"/>
              <w:ind w:left="11" w:right="0"/>
              <w:jc w:val="left"/>
              <w:rPr>
                <w:rFonts w:ascii="宋体" w:hAnsi="宋体" w:cs="宋体" w:eastAsia="宋体" w:hint="default"/>
                <w:sz w:val="21"/>
                <w:szCs w:val="21"/>
              </w:rPr>
            </w:pPr>
            <w:r>
              <w:rPr>
                <w:rFonts w:ascii="宋体" w:hAnsi="宋体" w:cs="宋体" w:eastAsia="宋体" w:hint="default"/>
                <w:sz w:val="21"/>
                <w:szCs w:val="21"/>
              </w:rPr>
              <w:t>废</w:t>
            </w:r>
          </w:p>
        </w:tc>
        <w:tc>
          <w:tcPr>
            <w:tcW w:w="1668" w:type="dxa"/>
            <w:tcBorders>
              <w:top w:val="single" w:sz="4" w:space="0" w:color="000000"/>
              <w:left w:val="single" w:sz="13" w:space="0" w:color="D2D2D2"/>
              <w:bottom w:val="single" w:sz="4" w:space="0" w:color="000000"/>
              <w:right w:val="single" w:sz="4" w:space="0" w:color="000000"/>
            </w:tcBorders>
          </w:tcPr>
          <w:p>
            <w:pP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0"/>
              <w:jc w:val="right"/>
              <w:rPr>
                <w:rFonts w:ascii="宋体" w:hAnsi="宋体" w:cs="宋体" w:eastAsia="宋体" w:hint="default"/>
                <w:sz w:val="21"/>
                <w:szCs w:val="21"/>
              </w:rPr>
            </w:pPr>
            <w:r>
              <w:rPr>
                <w:rFonts w:ascii="宋体"/>
                <w:sz w:val="21"/>
              </w:rPr>
              <w:t>274,447.68</w:t>
            </w:r>
          </w:p>
        </w:tc>
        <w:tc>
          <w:tcPr>
            <w:tcW w:w="1601" w:type="dxa"/>
            <w:tcBorders>
              <w:top w:val="single" w:sz="4" w:space="0" w:color="000000"/>
              <w:left w:val="single" w:sz="4" w:space="0" w:color="000000"/>
              <w:bottom w:val="single" w:sz="4" w:space="0" w:color="000000"/>
              <w:right w:val="single" w:sz="4" w:space="0" w:color="000000"/>
            </w:tcBorders>
          </w:tcPr>
          <w:p>
            <w:pP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3"/>
              <w:jc w:val="right"/>
              <w:rPr>
                <w:rFonts w:ascii="宋体" w:hAnsi="宋体" w:cs="宋体" w:eastAsia="宋体" w:hint="default"/>
                <w:sz w:val="21"/>
                <w:szCs w:val="21"/>
              </w:rPr>
            </w:pPr>
            <w:r>
              <w:rPr>
                <w:rFonts w:ascii="宋体"/>
                <w:sz w:val="21"/>
              </w:rPr>
              <w:t>128,139.14</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3"/>
              <w:jc w:val="right"/>
              <w:rPr>
                <w:rFonts w:ascii="宋体" w:hAnsi="宋体" w:cs="宋体" w:eastAsia="宋体" w:hint="default"/>
                <w:sz w:val="21"/>
                <w:szCs w:val="21"/>
              </w:rPr>
            </w:pPr>
            <w:r>
              <w:rPr>
                <w:rFonts w:ascii="宋体"/>
                <w:sz w:val="21"/>
              </w:rPr>
              <w:t>402,586.82</w:t>
            </w:r>
          </w:p>
        </w:tc>
      </w:tr>
      <w:tr>
        <w:trPr>
          <w:trHeight w:val="402" w:hRule="exact"/>
        </w:trPr>
        <w:tc>
          <w:tcPr>
            <w:tcW w:w="177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68" w:type="dxa"/>
            <w:tcBorders>
              <w:top w:val="single" w:sz="4" w:space="0" w:color="000000"/>
              <w:left w:val="single" w:sz="13" w:space="0" w:color="D2D2D2"/>
              <w:bottom w:val="single" w:sz="4" w:space="0" w:color="000000"/>
              <w:right w:val="single" w:sz="4" w:space="0" w:color="000000"/>
            </w:tcBorders>
          </w:tcPr>
          <w:p>
            <w:pPr/>
          </w:p>
        </w:tc>
        <w:tc>
          <w:tcPr>
            <w:tcW w:w="1601" w:type="dxa"/>
            <w:tcBorders>
              <w:top w:val="single" w:sz="4" w:space="0" w:color="000000"/>
              <w:left w:val="single" w:sz="4" w:space="0" w:color="000000"/>
              <w:bottom w:val="single" w:sz="4" w:space="0" w:color="000000"/>
              <w:right w:val="single" w:sz="4" w:space="0" w:color="000000"/>
            </w:tcBorders>
          </w:tcPr>
          <w:p>
            <w:pPr/>
          </w:p>
        </w:tc>
        <w:tc>
          <w:tcPr>
            <w:tcW w:w="1601" w:type="dxa"/>
            <w:tcBorders>
              <w:top w:val="single" w:sz="4" w:space="0" w:color="000000"/>
              <w:left w:val="single" w:sz="4" w:space="0" w:color="000000"/>
              <w:bottom w:val="single" w:sz="4" w:space="0" w:color="000000"/>
              <w:right w:val="single" w:sz="4" w:space="0" w:color="000000"/>
            </w:tcBorders>
          </w:tcPr>
          <w:p>
            <w:pPr/>
          </w:p>
        </w:tc>
        <w:tc>
          <w:tcPr>
            <w:tcW w:w="1497"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1"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期末余额</w:t>
            </w:r>
          </w:p>
        </w:tc>
        <w:tc>
          <w:tcPr>
            <w:tcW w:w="16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left="153" w:right="0"/>
              <w:jc w:val="left"/>
              <w:rPr>
                <w:rFonts w:ascii="宋体" w:hAnsi="宋体" w:cs="宋体" w:eastAsia="宋体" w:hint="default"/>
                <w:sz w:val="21"/>
                <w:szCs w:val="21"/>
              </w:rPr>
            </w:pPr>
            <w:r>
              <w:rPr>
                <w:rFonts w:ascii="宋体"/>
                <w:sz w:val="21"/>
              </w:rPr>
              <w:t>112,732,203.27</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92,045,954.73</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11,363,771.55</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6,813,668.01</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222,955,597.56</w:t>
            </w:r>
          </w:p>
        </w:tc>
      </w:tr>
      <w:tr>
        <w:trPr>
          <w:trHeight w:val="402" w:hRule="exact"/>
        </w:trPr>
        <w:tc>
          <w:tcPr>
            <w:tcW w:w="17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二、累计折旧</w:t>
            </w:r>
          </w:p>
        </w:tc>
        <w:tc>
          <w:tcPr>
            <w:tcW w:w="1668" w:type="dxa"/>
            <w:tcBorders>
              <w:top w:val="single" w:sz="4" w:space="0" w:color="000000"/>
              <w:left w:val="single" w:sz="13" w:space="0" w:color="D2D2D2"/>
              <w:bottom w:val="single" w:sz="4" w:space="0" w:color="000000"/>
              <w:right w:val="single" w:sz="4" w:space="0" w:color="000000"/>
            </w:tcBorders>
          </w:tcPr>
          <w:p>
            <w:pPr/>
          </w:p>
        </w:tc>
        <w:tc>
          <w:tcPr>
            <w:tcW w:w="1601" w:type="dxa"/>
            <w:tcBorders>
              <w:top w:val="single" w:sz="4" w:space="0" w:color="000000"/>
              <w:left w:val="single" w:sz="4" w:space="0" w:color="000000"/>
              <w:bottom w:val="single" w:sz="4" w:space="0" w:color="000000"/>
              <w:right w:val="single" w:sz="4" w:space="0" w:color="000000"/>
            </w:tcBorders>
          </w:tcPr>
          <w:p>
            <w:pPr/>
          </w:p>
        </w:tc>
        <w:tc>
          <w:tcPr>
            <w:tcW w:w="1601" w:type="dxa"/>
            <w:tcBorders>
              <w:top w:val="single" w:sz="4" w:space="0" w:color="000000"/>
              <w:left w:val="single" w:sz="4" w:space="0" w:color="000000"/>
              <w:bottom w:val="single" w:sz="4" w:space="0" w:color="000000"/>
              <w:right w:val="single" w:sz="4" w:space="0" w:color="000000"/>
            </w:tcBorders>
          </w:tcPr>
          <w:p>
            <w:pPr/>
          </w:p>
        </w:tc>
        <w:tc>
          <w:tcPr>
            <w:tcW w:w="1497"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1"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期初余额</w:t>
            </w:r>
          </w:p>
        </w:tc>
        <w:tc>
          <w:tcPr>
            <w:tcW w:w="16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left="258" w:right="0"/>
              <w:jc w:val="left"/>
              <w:rPr>
                <w:rFonts w:ascii="宋体" w:hAnsi="宋体" w:cs="宋体" w:eastAsia="宋体" w:hint="default"/>
                <w:sz w:val="21"/>
                <w:szCs w:val="21"/>
              </w:rPr>
            </w:pPr>
            <w:r>
              <w:rPr>
                <w:rFonts w:ascii="宋体"/>
                <w:sz w:val="21"/>
              </w:rPr>
              <w:t>15,534,245.74</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75,748,251.74</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9"/>
              <w:jc w:val="right"/>
              <w:rPr>
                <w:rFonts w:ascii="宋体" w:hAnsi="宋体" w:cs="宋体" w:eastAsia="宋体" w:hint="default"/>
                <w:sz w:val="21"/>
                <w:szCs w:val="21"/>
              </w:rPr>
            </w:pPr>
            <w:r>
              <w:rPr>
                <w:rFonts w:ascii="宋体"/>
                <w:sz w:val="21"/>
              </w:rPr>
              <w:t>9,166,271.43</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5,493,535.53</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105,942,304.44</w:t>
            </w:r>
          </w:p>
        </w:tc>
      </w:tr>
    </w:tbl>
    <w:p>
      <w:pPr>
        <w:spacing w:after="0" w:line="240" w:lineRule="auto"/>
        <w:jc w:val="right"/>
        <w:rPr>
          <w:rFonts w:ascii="宋体" w:hAnsi="宋体" w:cs="宋体" w:eastAsia="宋体" w:hint="default"/>
          <w:sz w:val="21"/>
          <w:szCs w:val="21"/>
        </w:rPr>
        <w:sectPr>
          <w:pgSz w:w="11910" w:h="16840"/>
          <w:pgMar w:header="747" w:footer="979" w:top="1060" w:bottom="1160" w:left="940" w:right="0"/>
        </w:sectPr>
      </w:pPr>
    </w:p>
    <w:p>
      <w:pPr>
        <w:spacing w:line="240" w:lineRule="auto" w:before="6"/>
        <w:rPr>
          <w:rFonts w:ascii="宋体" w:hAnsi="宋体" w:cs="宋体" w:eastAsia="宋体" w:hint="default"/>
          <w:sz w:val="28"/>
          <w:szCs w:val="28"/>
        </w:rPr>
      </w:pPr>
    </w:p>
    <w:tbl>
      <w:tblPr>
        <w:tblW w:w="0" w:type="auto"/>
        <w:jc w:val="left"/>
        <w:tblInd w:w="103" w:type="dxa"/>
        <w:tblLayout w:type="fixed"/>
        <w:tblCellMar>
          <w:top w:w="0" w:type="dxa"/>
          <w:left w:w="0" w:type="dxa"/>
          <w:bottom w:w="0" w:type="dxa"/>
          <w:right w:w="0" w:type="dxa"/>
        </w:tblCellMar>
        <w:tblLook w:val="01E0"/>
      </w:tblPr>
      <w:tblGrid>
        <w:gridCol w:w="1799"/>
        <w:gridCol w:w="1657"/>
        <w:gridCol w:w="1601"/>
        <w:gridCol w:w="1601"/>
        <w:gridCol w:w="1497"/>
        <w:gridCol w:w="1656"/>
      </w:tblGrid>
      <w:tr>
        <w:trPr>
          <w:trHeight w:val="402" w:hRule="exact"/>
        </w:trPr>
        <w:tc>
          <w:tcPr>
            <w:tcW w:w="1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84"/>
              <w:jc w:val="right"/>
              <w:rPr>
                <w:rFonts w:ascii="宋体" w:hAnsi="宋体" w:cs="宋体" w:eastAsia="宋体" w:hint="default"/>
                <w:sz w:val="21"/>
                <w:szCs w:val="21"/>
              </w:rPr>
            </w:pPr>
            <w:r>
              <w:rPr>
                <w:rFonts w:ascii="宋体" w:hAnsi="宋体" w:cs="宋体" w:eastAsia="宋体" w:hint="default"/>
                <w:spacing w:val="-1"/>
                <w:sz w:val="21"/>
                <w:szCs w:val="21"/>
              </w:rPr>
              <w:t>2.</w:t>
            </w:r>
            <w:r>
              <w:rPr>
                <w:rFonts w:ascii="宋体" w:hAnsi="宋体" w:cs="宋体" w:eastAsia="宋体" w:hint="default"/>
                <w:spacing w:val="-1"/>
                <w:sz w:val="21"/>
                <w:szCs w:val="21"/>
              </w:rPr>
              <w:t>本期增加金额</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2,905,487.81</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10,211,804.81</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9"/>
              <w:jc w:val="right"/>
              <w:rPr>
                <w:rFonts w:ascii="宋体" w:hAnsi="宋体" w:cs="宋体" w:eastAsia="宋体" w:hint="default"/>
                <w:sz w:val="21"/>
                <w:szCs w:val="21"/>
              </w:rPr>
            </w:pPr>
            <w:r>
              <w:rPr>
                <w:rFonts w:ascii="宋体"/>
                <w:sz w:val="21"/>
              </w:rPr>
              <w:t>1,352,457.32</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3"/>
              <w:jc w:val="right"/>
              <w:rPr>
                <w:rFonts w:ascii="宋体" w:hAnsi="宋体" w:cs="宋体" w:eastAsia="宋体" w:hint="default"/>
                <w:sz w:val="21"/>
                <w:szCs w:val="21"/>
              </w:rPr>
            </w:pPr>
            <w:r>
              <w:rPr>
                <w:rFonts w:ascii="宋体"/>
                <w:sz w:val="21"/>
              </w:rPr>
              <w:t>458,458.78</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14,928,208.72</w:t>
            </w:r>
          </w:p>
        </w:tc>
      </w:tr>
      <w:tr>
        <w:trPr>
          <w:trHeight w:val="402" w:hRule="exact"/>
        </w:trPr>
        <w:tc>
          <w:tcPr>
            <w:tcW w:w="1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42"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）计提</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2,905,487.81</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9,647,495.63</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358,530.37</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3"/>
              <w:jc w:val="right"/>
              <w:rPr>
                <w:rFonts w:ascii="宋体" w:hAnsi="宋体" w:cs="宋体" w:eastAsia="宋体" w:hint="default"/>
                <w:sz w:val="21"/>
                <w:szCs w:val="21"/>
              </w:rPr>
            </w:pPr>
            <w:r>
              <w:rPr>
                <w:rFonts w:ascii="宋体"/>
                <w:sz w:val="21"/>
              </w:rPr>
              <w:t>255,393.90</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13,166,907.71</w:t>
            </w:r>
          </w:p>
        </w:tc>
      </w:tr>
      <w:tr>
        <w:trPr>
          <w:trHeight w:val="402" w:hRule="exact"/>
        </w:trPr>
        <w:tc>
          <w:tcPr>
            <w:tcW w:w="1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企业合并增加</w:t>
            </w:r>
          </w:p>
        </w:tc>
        <w:tc>
          <w:tcPr>
            <w:tcW w:w="1657" w:type="dxa"/>
            <w:tcBorders>
              <w:top w:val="single" w:sz="4" w:space="0" w:color="000000"/>
              <w:left w:val="single" w:sz="4" w:space="0" w:color="000000"/>
              <w:bottom w:val="single" w:sz="4" w:space="0" w:color="000000"/>
              <w:right w:val="single" w:sz="4" w:space="0" w:color="000000"/>
            </w:tcBorders>
          </w:tcPr>
          <w:p>
            <w:pP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564,309.18</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993,926.95</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3"/>
              <w:jc w:val="right"/>
              <w:rPr>
                <w:rFonts w:ascii="宋体" w:hAnsi="宋体" w:cs="宋体" w:eastAsia="宋体" w:hint="default"/>
                <w:sz w:val="21"/>
                <w:szCs w:val="21"/>
              </w:rPr>
            </w:pPr>
            <w:r>
              <w:rPr>
                <w:rFonts w:ascii="宋体"/>
                <w:sz w:val="21"/>
              </w:rPr>
              <w:t>203,064.88</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1,761,301.01</w:t>
            </w:r>
          </w:p>
        </w:tc>
      </w:tr>
      <w:tr>
        <w:trPr>
          <w:trHeight w:val="402" w:hRule="exact"/>
        </w:trPr>
        <w:tc>
          <w:tcPr>
            <w:tcW w:w="179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57" w:type="dxa"/>
            <w:tcBorders>
              <w:top w:val="single" w:sz="4" w:space="0" w:color="000000"/>
              <w:left w:val="single" w:sz="4" w:space="0" w:color="000000"/>
              <w:bottom w:val="single" w:sz="4" w:space="0" w:color="000000"/>
              <w:right w:val="single" w:sz="4" w:space="0" w:color="000000"/>
            </w:tcBorders>
          </w:tcPr>
          <w:p>
            <w:pPr/>
          </w:p>
        </w:tc>
        <w:tc>
          <w:tcPr>
            <w:tcW w:w="1601" w:type="dxa"/>
            <w:tcBorders>
              <w:top w:val="single" w:sz="4" w:space="0" w:color="000000"/>
              <w:left w:val="single" w:sz="4" w:space="0" w:color="000000"/>
              <w:bottom w:val="single" w:sz="4" w:space="0" w:color="000000"/>
              <w:right w:val="single" w:sz="4" w:space="0" w:color="000000"/>
            </w:tcBorders>
          </w:tcPr>
          <w:p>
            <w:pPr/>
          </w:p>
        </w:tc>
        <w:tc>
          <w:tcPr>
            <w:tcW w:w="1601" w:type="dxa"/>
            <w:tcBorders>
              <w:top w:val="single" w:sz="4" w:space="0" w:color="000000"/>
              <w:left w:val="single" w:sz="4" w:space="0" w:color="000000"/>
              <w:bottom w:val="single" w:sz="4" w:space="0" w:color="000000"/>
              <w:right w:val="single" w:sz="4" w:space="0" w:color="000000"/>
            </w:tcBorders>
          </w:tcPr>
          <w:p>
            <w:pPr/>
          </w:p>
        </w:tc>
        <w:tc>
          <w:tcPr>
            <w:tcW w:w="1497"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84"/>
              <w:jc w:val="right"/>
              <w:rPr>
                <w:rFonts w:ascii="宋体" w:hAnsi="宋体" w:cs="宋体" w:eastAsia="宋体" w:hint="default"/>
                <w:sz w:val="21"/>
                <w:szCs w:val="21"/>
              </w:rPr>
            </w:pPr>
            <w:r>
              <w:rPr>
                <w:rFonts w:ascii="宋体" w:hAnsi="宋体" w:cs="宋体" w:eastAsia="宋体" w:hint="default"/>
                <w:spacing w:val="-1"/>
                <w:sz w:val="21"/>
                <w:szCs w:val="21"/>
              </w:rPr>
              <w:t>3.</w:t>
            </w:r>
            <w:r>
              <w:rPr>
                <w:rFonts w:ascii="宋体" w:hAnsi="宋体" w:cs="宋体" w:eastAsia="宋体" w:hint="default"/>
                <w:spacing w:val="-1"/>
                <w:sz w:val="21"/>
                <w:szCs w:val="21"/>
              </w:rPr>
              <w:t>本期减少金额</w:t>
            </w:r>
          </w:p>
        </w:tc>
        <w:tc>
          <w:tcPr>
            <w:tcW w:w="1657" w:type="dxa"/>
            <w:tcBorders>
              <w:top w:val="single" w:sz="4" w:space="0" w:color="000000"/>
              <w:left w:val="single" w:sz="4" w:space="0" w:color="000000"/>
              <w:bottom w:val="single" w:sz="4" w:space="0" w:color="000000"/>
              <w:right w:val="single" w:sz="4" w:space="0" w:color="000000"/>
            </w:tcBorders>
          </w:tcPr>
          <w:p>
            <w:pP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266,214.30</w:t>
            </w:r>
          </w:p>
        </w:tc>
        <w:tc>
          <w:tcPr>
            <w:tcW w:w="1601" w:type="dxa"/>
            <w:tcBorders>
              <w:top w:val="single" w:sz="4" w:space="0" w:color="000000"/>
              <w:left w:val="single" w:sz="4" w:space="0" w:color="000000"/>
              <w:bottom w:val="single" w:sz="4" w:space="0" w:color="000000"/>
              <w:right w:val="single" w:sz="4" w:space="0" w:color="000000"/>
            </w:tcBorders>
          </w:tcPr>
          <w:p>
            <w:pP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3"/>
              <w:jc w:val="right"/>
              <w:rPr>
                <w:rFonts w:ascii="宋体" w:hAnsi="宋体" w:cs="宋体" w:eastAsia="宋体" w:hint="default"/>
                <w:sz w:val="21"/>
                <w:szCs w:val="21"/>
              </w:rPr>
            </w:pPr>
            <w:r>
              <w:rPr>
                <w:rFonts w:ascii="宋体"/>
                <w:sz w:val="21"/>
              </w:rPr>
              <w:t>124,294.97</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3"/>
              <w:jc w:val="right"/>
              <w:rPr>
                <w:rFonts w:ascii="宋体" w:hAnsi="宋体" w:cs="宋体" w:eastAsia="宋体" w:hint="default"/>
                <w:sz w:val="21"/>
                <w:szCs w:val="21"/>
              </w:rPr>
            </w:pPr>
            <w:r>
              <w:rPr>
                <w:rFonts w:ascii="宋体"/>
                <w:sz w:val="21"/>
              </w:rPr>
              <w:t>390,509.27</w:t>
            </w:r>
          </w:p>
        </w:tc>
      </w:tr>
      <w:tr>
        <w:trPr>
          <w:trHeight w:val="714" w:hRule="exact"/>
        </w:trPr>
        <w:tc>
          <w:tcPr>
            <w:tcW w:w="1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21" w:right="0"/>
              <w:jc w:val="left"/>
              <w:rPr>
                <w:rFonts w:ascii="宋体" w:hAnsi="宋体" w:cs="宋体" w:eastAsia="宋体" w:hint="default"/>
                <w:sz w:val="21"/>
                <w:szCs w:val="21"/>
              </w:rPr>
            </w:pPr>
            <w:r>
              <w:rPr>
                <w:rFonts w:ascii="宋体" w:hAnsi="宋体" w:cs="宋体" w:eastAsia="宋体" w:hint="default"/>
                <w:spacing w:val="-4"/>
                <w:sz w:val="21"/>
                <w:szCs w:val="21"/>
              </w:rPr>
              <w:t>（</w:t>
            </w:r>
            <w:r>
              <w:rPr>
                <w:rFonts w:ascii="宋体" w:hAnsi="宋体" w:cs="宋体" w:eastAsia="宋体" w:hint="default"/>
                <w:spacing w:val="-4"/>
                <w:sz w:val="21"/>
                <w:szCs w:val="21"/>
              </w:rPr>
              <w:t>1</w:t>
            </w:r>
            <w:r>
              <w:rPr>
                <w:rFonts w:ascii="宋体" w:hAnsi="宋体" w:cs="宋体" w:eastAsia="宋体" w:hint="default"/>
                <w:spacing w:val="-4"/>
                <w:sz w:val="21"/>
                <w:szCs w:val="21"/>
              </w:rPr>
              <w:t>）处置或报</w:t>
            </w:r>
          </w:p>
          <w:p>
            <w:pPr>
              <w:pStyle w:val="TableParagraph"/>
              <w:spacing w:line="240" w:lineRule="auto" w:before="38"/>
              <w:ind w:left="22" w:right="0"/>
              <w:jc w:val="left"/>
              <w:rPr>
                <w:rFonts w:ascii="宋体" w:hAnsi="宋体" w:cs="宋体" w:eastAsia="宋体" w:hint="default"/>
                <w:sz w:val="21"/>
                <w:szCs w:val="21"/>
              </w:rPr>
            </w:pPr>
            <w:r>
              <w:rPr>
                <w:rFonts w:ascii="宋体" w:hAnsi="宋体" w:cs="宋体" w:eastAsia="宋体" w:hint="default"/>
                <w:sz w:val="21"/>
                <w:szCs w:val="21"/>
              </w:rPr>
              <w:t>废</w:t>
            </w:r>
          </w:p>
        </w:tc>
        <w:tc>
          <w:tcPr>
            <w:tcW w:w="1657" w:type="dxa"/>
            <w:tcBorders>
              <w:top w:val="single" w:sz="4" w:space="0" w:color="000000"/>
              <w:left w:val="single" w:sz="4" w:space="0" w:color="000000"/>
              <w:bottom w:val="single" w:sz="4" w:space="0" w:color="000000"/>
              <w:right w:val="single" w:sz="4" w:space="0" w:color="000000"/>
            </w:tcBorders>
          </w:tcPr>
          <w:p>
            <w:pP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0"/>
              <w:jc w:val="right"/>
              <w:rPr>
                <w:rFonts w:ascii="宋体" w:hAnsi="宋体" w:cs="宋体" w:eastAsia="宋体" w:hint="default"/>
                <w:sz w:val="21"/>
                <w:szCs w:val="21"/>
              </w:rPr>
            </w:pPr>
            <w:r>
              <w:rPr>
                <w:rFonts w:ascii="宋体"/>
                <w:sz w:val="21"/>
              </w:rPr>
              <w:t>266,214.30</w:t>
            </w:r>
          </w:p>
        </w:tc>
        <w:tc>
          <w:tcPr>
            <w:tcW w:w="1601" w:type="dxa"/>
            <w:tcBorders>
              <w:top w:val="single" w:sz="4" w:space="0" w:color="000000"/>
              <w:left w:val="single" w:sz="4" w:space="0" w:color="000000"/>
              <w:bottom w:val="single" w:sz="4" w:space="0" w:color="000000"/>
              <w:right w:val="single" w:sz="4" w:space="0" w:color="000000"/>
            </w:tcBorders>
          </w:tcPr>
          <w:p>
            <w:pP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3"/>
              <w:jc w:val="right"/>
              <w:rPr>
                <w:rFonts w:ascii="宋体" w:hAnsi="宋体" w:cs="宋体" w:eastAsia="宋体" w:hint="default"/>
                <w:sz w:val="21"/>
                <w:szCs w:val="21"/>
              </w:rPr>
            </w:pPr>
            <w:r>
              <w:rPr>
                <w:rFonts w:ascii="宋体"/>
                <w:sz w:val="21"/>
              </w:rPr>
              <w:t>124,294.97</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3"/>
              <w:jc w:val="right"/>
              <w:rPr>
                <w:rFonts w:ascii="宋体" w:hAnsi="宋体" w:cs="宋体" w:eastAsia="宋体" w:hint="default"/>
                <w:sz w:val="21"/>
                <w:szCs w:val="21"/>
              </w:rPr>
            </w:pPr>
            <w:r>
              <w:rPr>
                <w:rFonts w:ascii="宋体"/>
                <w:sz w:val="21"/>
              </w:rPr>
              <w:t>390,509.27</w:t>
            </w:r>
          </w:p>
        </w:tc>
      </w:tr>
      <w:tr>
        <w:trPr>
          <w:trHeight w:val="402" w:hRule="exact"/>
        </w:trPr>
        <w:tc>
          <w:tcPr>
            <w:tcW w:w="179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57" w:type="dxa"/>
            <w:tcBorders>
              <w:top w:val="single" w:sz="4" w:space="0" w:color="000000"/>
              <w:left w:val="single" w:sz="4" w:space="0" w:color="000000"/>
              <w:bottom w:val="single" w:sz="4" w:space="0" w:color="000000"/>
              <w:right w:val="single" w:sz="4" w:space="0" w:color="000000"/>
            </w:tcBorders>
          </w:tcPr>
          <w:p>
            <w:pPr/>
          </w:p>
        </w:tc>
        <w:tc>
          <w:tcPr>
            <w:tcW w:w="1601" w:type="dxa"/>
            <w:tcBorders>
              <w:top w:val="single" w:sz="4" w:space="0" w:color="000000"/>
              <w:left w:val="single" w:sz="4" w:space="0" w:color="000000"/>
              <w:bottom w:val="single" w:sz="4" w:space="0" w:color="000000"/>
              <w:right w:val="single" w:sz="4" w:space="0" w:color="000000"/>
            </w:tcBorders>
          </w:tcPr>
          <w:p>
            <w:pPr/>
          </w:p>
        </w:tc>
        <w:tc>
          <w:tcPr>
            <w:tcW w:w="1601" w:type="dxa"/>
            <w:tcBorders>
              <w:top w:val="single" w:sz="4" w:space="0" w:color="000000"/>
              <w:left w:val="single" w:sz="4" w:space="0" w:color="000000"/>
              <w:bottom w:val="single" w:sz="4" w:space="0" w:color="000000"/>
              <w:right w:val="single" w:sz="4" w:space="0" w:color="000000"/>
            </w:tcBorders>
          </w:tcPr>
          <w:p>
            <w:pPr/>
          </w:p>
        </w:tc>
        <w:tc>
          <w:tcPr>
            <w:tcW w:w="1497"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32"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期末余额</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18,439,733.55</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85,693,842.25</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10,518,728.75</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5,827,699.34</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120,480,003.89</w:t>
            </w:r>
          </w:p>
        </w:tc>
      </w:tr>
      <w:tr>
        <w:trPr>
          <w:trHeight w:val="402" w:hRule="exact"/>
        </w:trPr>
        <w:tc>
          <w:tcPr>
            <w:tcW w:w="1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三、减值准备</w:t>
            </w:r>
          </w:p>
        </w:tc>
        <w:tc>
          <w:tcPr>
            <w:tcW w:w="1657" w:type="dxa"/>
            <w:tcBorders>
              <w:top w:val="single" w:sz="4" w:space="0" w:color="000000"/>
              <w:left w:val="single" w:sz="4" w:space="0" w:color="000000"/>
              <w:bottom w:val="single" w:sz="4" w:space="0" w:color="000000"/>
              <w:right w:val="single" w:sz="4" w:space="0" w:color="000000"/>
            </w:tcBorders>
          </w:tcPr>
          <w:p>
            <w:pPr/>
          </w:p>
        </w:tc>
        <w:tc>
          <w:tcPr>
            <w:tcW w:w="1601" w:type="dxa"/>
            <w:tcBorders>
              <w:top w:val="single" w:sz="4" w:space="0" w:color="000000"/>
              <w:left w:val="single" w:sz="4" w:space="0" w:color="000000"/>
              <w:bottom w:val="single" w:sz="4" w:space="0" w:color="000000"/>
              <w:right w:val="single" w:sz="4" w:space="0" w:color="000000"/>
            </w:tcBorders>
          </w:tcPr>
          <w:p>
            <w:pPr/>
          </w:p>
        </w:tc>
        <w:tc>
          <w:tcPr>
            <w:tcW w:w="1601" w:type="dxa"/>
            <w:tcBorders>
              <w:top w:val="single" w:sz="4" w:space="0" w:color="000000"/>
              <w:left w:val="single" w:sz="4" w:space="0" w:color="000000"/>
              <w:bottom w:val="single" w:sz="4" w:space="0" w:color="000000"/>
              <w:right w:val="single" w:sz="4" w:space="0" w:color="000000"/>
            </w:tcBorders>
          </w:tcPr>
          <w:p>
            <w:pPr/>
          </w:p>
        </w:tc>
        <w:tc>
          <w:tcPr>
            <w:tcW w:w="1497"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32"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期初余额</w:t>
            </w:r>
          </w:p>
        </w:tc>
        <w:tc>
          <w:tcPr>
            <w:tcW w:w="1657" w:type="dxa"/>
            <w:tcBorders>
              <w:top w:val="single" w:sz="4" w:space="0" w:color="000000"/>
              <w:left w:val="single" w:sz="4" w:space="0" w:color="000000"/>
              <w:bottom w:val="single" w:sz="4" w:space="0" w:color="000000"/>
              <w:right w:val="single" w:sz="4" w:space="0" w:color="000000"/>
            </w:tcBorders>
          </w:tcPr>
          <w:p>
            <w:pPr/>
          </w:p>
        </w:tc>
        <w:tc>
          <w:tcPr>
            <w:tcW w:w="1601" w:type="dxa"/>
            <w:tcBorders>
              <w:top w:val="single" w:sz="4" w:space="0" w:color="000000"/>
              <w:left w:val="single" w:sz="4" w:space="0" w:color="000000"/>
              <w:bottom w:val="single" w:sz="4" w:space="0" w:color="000000"/>
              <w:right w:val="single" w:sz="4" w:space="0" w:color="000000"/>
            </w:tcBorders>
          </w:tcPr>
          <w:p>
            <w:pPr/>
          </w:p>
        </w:tc>
        <w:tc>
          <w:tcPr>
            <w:tcW w:w="1601" w:type="dxa"/>
            <w:tcBorders>
              <w:top w:val="single" w:sz="4" w:space="0" w:color="000000"/>
              <w:left w:val="single" w:sz="4" w:space="0" w:color="000000"/>
              <w:bottom w:val="single" w:sz="4" w:space="0" w:color="000000"/>
              <w:right w:val="single" w:sz="4" w:space="0" w:color="000000"/>
            </w:tcBorders>
          </w:tcPr>
          <w:p>
            <w:pPr/>
          </w:p>
        </w:tc>
        <w:tc>
          <w:tcPr>
            <w:tcW w:w="1497"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84"/>
              <w:jc w:val="right"/>
              <w:rPr>
                <w:rFonts w:ascii="宋体" w:hAnsi="宋体" w:cs="宋体" w:eastAsia="宋体" w:hint="default"/>
                <w:sz w:val="21"/>
                <w:szCs w:val="21"/>
              </w:rPr>
            </w:pPr>
            <w:r>
              <w:rPr>
                <w:rFonts w:ascii="宋体" w:hAnsi="宋体" w:cs="宋体" w:eastAsia="宋体" w:hint="default"/>
                <w:spacing w:val="-1"/>
                <w:sz w:val="21"/>
                <w:szCs w:val="21"/>
              </w:rPr>
              <w:t>2.</w:t>
            </w:r>
            <w:r>
              <w:rPr>
                <w:rFonts w:ascii="宋体" w:hAnsi="宋体" w:cs="宋体" w:eastAsia="宋体" w:hint="default"/>
                <w:spacing w:val="-1"/>
                <w:sz w:val="21"/>
                <w:szCs w:val="21"/>
              </w:rPr>
              <w:t>本期增加金额</w:t>
            </w:r>
          </w:p>
        </w:tc>
        <w:tc>
          <w:tcPr>
            <w:tcW w:w="1657" w:type="dxa"/>
            <w:tcBorders>
              <w:top w:val="single" w:sz="4" w:space="0" w:color="000000"/>
              <w:left w:val="single" w:sz="4" w:space="0" w:color="000000"/>
              <w:bottom w:val="single" w:sz="4" w:space="0" w:color="000000"/>
              <w:right w:val="single" w:sz="4" w:space="0" w:color="000000"/>
            </w:tcBorders>
          </w:tcPr>
          <w:p>
            <w:pPr/>
          </w:p>
        </w:tc>
        <w:tc>
          <w:tcPr>
            <w:tcW w:w="1601" w:type="dxa"/>
            <w:tcBorders>
              <w:top w:val="single" w:sz="4" w:space="0" w:color="000000"/>
              <w:left w:val="single" w:sz="4" w:space="0" w:color="000000"/>
              <w:bottom w:val="single" w:sz="4" w:space="0" w:color="000000"/>
              <w:right w:val="single" w:sz="4" w:space="0" w:color="000000"/>
            </w:tcBorders>
          </w:tcPr>
          <w:p>
            <w:pPr/>
          </w:p>
        </w:tc>
        <w:tc>
          <w:tcPr>
            <w:tcW w:w="1601" w:type="dxa"/>
            <w:tcBorders>
              <w:top w:val="single" w:sz="4" w:space="0" w:color="000000"/>
              <w:left w:val="single" w:sz="4" w:space="0" w:color="000000"/>
              <w:bottom w:val="single" w:sz="4" w:space="0" w:color="000000"/>
              <w:right w:val="single" w:sz="4" w:space="0" w:color="000000"/>
            </w:tcBorders>
          </w:tcPr>
          <w:p>
            <w:pPr/>
          </w:p>
        </w:tc>
        <w:tc>
          <w:tcPr>
            <w:tcW w:w="1497"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42"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）计提</w:t>
            </w:r>
          </w:p>
        </w:tc>
        <w:tc>
          <w:tcPr>
            <w:tcW w:w="1657" w:type="dxa"/>
            <w:tcBorders>
              <w:top w:val="single" w:sz="4" w:space="0" w:color="000000"/>
              <w:left w:val="single" w:sz="4" w:space="0" w:color="000000"/>
              <w:bottom w:val="single" w:sz="4" w:space="0" w:color="000000"/>
              <w:right w:val="single" w:sz="4" w:space="0" w:color="000000"/>
            </w:tcBorders>
          </w:tcPr>
          <w:p>
            <w:pPr/>
          </w:p>
        </w:tc>
        <w:tc>
          <w:tcPr>
            <w:tcW w:w="1601" w:type="dxa"/>
            <w:tcBorders>
              <w:top w:val="single" w:sz="4" w:space="0" w:color="000000"/>
              <w:left w:val="single" w:sz="4" w:space="0" w:color="000000"/>
              <w:bottom w:val="single" w:sz="4" w:space="0" w:color="000000"/>
              <w:right w:val="single" w:sz="4" w:space="0" w:color="000000"/>
            </w:tcBorders>
          </w:tcPr>
          <w:p>
            <w:pPr/>
          </w:p>
        </w:tc>
        <w:tc>
          <w:tcPr>
            <w:tcW w:w="1601" w:type="dxa"/>
            <w:tcBorders>
              <w:top w:val="single" w:sz="4" w:space="0" w:color="000000"/>
              <w:left w:val="single" w:sz="4" w:space="0" w:color="000000"/>
              <w:bottom w:val="single" w:sz="4" w:space="0" w:color="000000"/>
              <w:right w:val="single" w:sz="4" w:space="0" w:color="000000"/>
            </w:tcBorders>
          </w:tcPr>
          <w:p>
            <w:pPr/>
          </w:p>
        </w:tc>
        <w:tc>
          <w:tcPr>
            <w:tcW w:w="1497"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9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57" w:type="dxa"/>
            <w:tcBorders>
              <w:top w:val="single" w:sz="4" w:space="0" w:color="000000"/>
              <w:left w:val="single" w:sz="4" w:space="0" w:color="000000"/>
              <w:bottom w:val="single" w:sz="4" w:space="0" w:color="000000"/>
              <w:right w:val="single" w:sz="4" w:space="0" w:color="000000"/>
            </w:tcBorders>
          </w:tcPr>
          <w:p>
            <w:pPr/>
          </w:p>
        </w:tc>
        <w:tc>
          <w:tcPr>
            <w:tcW w:w="1601" w:type="dxa"/>
            <w:tcBorders>
              <w:top w:val="single" w:sz="4" w:space="0" w:color="000000"/>
              <w:left w:val="single" w:sz="4" w:space="0" w:color="000000"/>
              <w:bottom w:val="single" w:sz="4" w:space="0" w:color="000000"/>
              <w:right w:val="single" w:sz="4" w:space="0" w:color="000000"/>
            </w:tcBorders>
          </w:tcPr>
          <w:p>
            <w:pPr/>
          </w:p>
        </w:tc>
        <w:tc>
          <w:tcPr>
            <w:tcW w:w="1601" w:type="dxa"/>
            <w:tcBorders>
              <w:top w:val="single" w:sz="4" w:space="0" w:color="000000"/>
              <w:left w:val="single" w:sz="4" w:space="0" w:color="000000"/>
              <w:bottom w:val="single" w:sz="4" w:space="0" w:color="000000"/>
              <w:right w:val="single" w:sz="4" w:space="0" w:color="000000"/>
            </w:tcBorders>
          </w:tcPr>
          <w:p>
            <w:pPr/>
          </w:p>
        </w:tc>
        <w:tc>
          <w:tcPr>
            <w:tcW w:w="1497"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83"/>
              <w:jc w:val="right"/>
              <w:rPr>
                <w:rFonts w:ascii="宋体" w:hAnsi="宋体" w:cs="宋体" w:eastAsia="宋体" w:hint="default"/>
                <w:sz w:val="21"/>
                <w:szCs w:val="21"/>
              </w:rPr>
            </w:pPr>
            <w:r>
              <w:rPr>
                <w:rFonts w:ascii="宋体" w:hAnsi="宋体" w:cs="宋体" w:eastAsia="宋体" w:hint="default"/>
                <w:spacing w:val="-1"/>
                <w:sz w:val="21"/>
                <w:szCs w:val="21"/>
              </w:rPr>
              <w:t>3.</w:t>
            </w:r>
            <w:r>
              <w:rPr>
                <w:rFonts w:ascii="宋体" w:hAnsi="宋体" w:cs="宋体" w:eastAsia="宋体" w:hint="default"/>
                <w:spacing w:val="-1"/>
                <w:sz w:val="21"/>
                <w:szCs w:val="21"/>
              </w:rPr>
              <w:t>本期减少金额</w:t>
            </w:r>
          </w:p>
        </w:tc>
        <w:tc>
          <w:tcPr>
            <w:tcW w:w="1657" w:type="dxa"/>
            <w:tcBorders>
              <w:top w:val="single" w:sz="4" w:space="0" w:color="000000"/>
              <w:left w:val="single" w:sz="4" w:space="0" w:color="000000"/>
              <w:bottom w:val="single" w:sz="4" w:space="0" w:color="000000"/>
              <w:right w:val="single" w:sz="4" w:space="0" w:color="000000"/>
            </w:tcBorders>
          </w:tcPr>
          <w:p>
            <w:pPr/>
          </w:p>
        </w:tc>
        <w:tc>
          <w:tcPr>
            <w:tcW w:w="1601" w:type="dxa"/>
            <w:tcBorders>
              <w:top w:val="single" w:sz="4" w:space="0" w:color="000000"/>
              <w:left w:val="single" w:sz="4" w:space="0" w:color="000000"/>
              <w:bottom w:val="single" w:sz="4" w:space="0" w:color="000000"/>
              <w:right w:val="single" w:sz="4" w:space="0" w:color="000000"/>
            </w:tcBorders>
          </w:tcPr>
          <w:p>
            <w:pPr/>
          </w:p>
        </w:tc>
        <w:tc>
          <w:tcPr>
            <w:tcW w:w="1601" w:type="dxa"/>
            <w:tcBorders>
              <w:top w:val="single" w:sz="4" w:space="0" w:color="000000"/>
              <w:left w:val="single" w:sz="4" w:space="0" w:color="000000"/>
              <w:bottom w:val="single" w:sz="4" w:space="0" w:color="000000"/>
              <w:right w:val="single" w:sz="4" w:space="0" w:color="000000"/>
            </w:tcBorders>
          </w:tcPr>
          <w:p>
            <w:pPr/>
          </w:p>
        </w:tc>
        <w:tc>
          <w:tcPr>
            <w:tcW w:w="1497"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21" w:right="0"/>
              <w:jc w:val="left"/>
              <w:rPr>
                <w:rFonts w:ascii="宋体" w:hAnsi="宋体" w:cs="宋体" w:eastAsia="宋体" w:hint="default"/>
                <w:sz w:val="21"/>
                <w:szCs w:val="21"/>
              </w:rPr>
            </w:pPr>
            <w:r>
              <w:rPr>
                <w:rFonts w:ascii="宋体" w:hAnsi="宋体" w:cs="宋体" w:eastAsia="宋体" w:hint="default"/>
                <w:spacing w:val="-4"/>
                <w:sz w:val="21"/>
                <w:szCs w:val="21"/>
              </w:rPr>
              <w:t>（</w:t>
            </w:r>
            <w:r>
              <w:rPr>
                <w:rFonts w:ascii="宋体" w:hAnsi="宋体" w:cs="宋体" w:eastAsia="宋体" w:hint="default"/>
                <w:spacing w:val="-4"/>
                <w:sz w:val="21"/>
                <w:szCs w:val="21"/>
              </w:rPr>
              <w:t>1</w:t>
            </w:r>
            <w:r>
              <w:rPr>
                <w:rFonts w:ascii="宋体" w:hAnsi="宋体" w:cs="宋体" w:eastAsia="宋体" w:hint="default"/>
                <w:spacing w:val="-4"/>
                <w:sz w:val="21"/>
                <w:szCs w:val="21"/>
              </w:rPr>
              <w:t>）处置或报</w:t>
            </w:r>
          </w:p>
          <w:p>
            <w:pPr>
              <w:pStyle w:val="TableParagraph"/>
              <w:spacing w:line="240" w:lineRule="auto" w:before="38"/>
              <w:ind w:left="22" w:right="0"/>
              <w:jc w:val="left"/>
              <w:rPr>
                <w:rFonts w:ascii="宋体" w:hAnsi="宋体" w:cs="宋体" w:eastAsia="宋体" w:hint="default"/>
                <w:sz w:val="21"/>
                <w:szCs w:val="21"/>
              </w:rPr>
            </w:pPr>
            <w:r>
              <w:rPr>
                <w:rFonts w:ascii="宋体" w:hAnsi="宋体" w:cs="宋体" w:eastAsia="宋体" w:hint="default"/>
                <w:sz w:val="21"/>
                <w:szCs w:val="21"/>
              </w:rPr>
              <w:t>废</w:t>
            </w:r>
          </w:p>
        </w:tc>
        <w:tc>
          <w:tcPr>
            <w:tcW w:w="1657" w:type="dxa"/>
            <w:tcBorders>
              <w:top w:val="single" w:sz="4" w:space="0" w:color="000000"/>
              <w:left w:val="single" w:sz="4" w:space="0" w:color="000000"/>
              <w:bottom w:val="single" w:sz="4" w:space="0" w:color="000000"/>
              <w:right w:val="single" w:sz="4" w:space="0" w:color="000000"/>
            </w:tcBorders>
          </w:tcPr>
          <w:p>
            <w:pPr/>
          </w:p>
        </w:tc>
        <w:tc>
          <w:tcPr>
            <w:tcW w:w="1601" w:type="dxa"/>
            <w:tcBorders>
              <w:top w:val="single" w:sz="4" w:space="0" w:color="000000"/>
              <w:left w:val="single" w:sz="4" w:space="0" w:color="000000"/>
              <w:bottom w:val="single" w:sz="4" w:space="0" w:color="000000"/>
              <w:right w:val="single" w:sz="4" w:space="0" w:color="000000"/>
            </w:tcBorders>
          </w:tcPr>
          <w:p>
            <w:pPr/>
          </w:p>
        </w:tc>
        <w:tc>
          <w:tcPr>
            <w:tcW w:w="1601" w:type="dxa"/>
            <w:tcBorders>
              <w:top w:val="single" w:sz="4" w:space="0" w:color="000000"/>
              <w:left w:val="single" w:sz="4" w:space="0" w:color="000000"/>
              <w:bottom w:val="single" w:sz="4" w:space="0" w:color="000000"/>
              <w:right w:val="single" w:sz="4" w:space="0" w:color="000000"/>
            </w:tcBorders>
          </w:tcPr>
          <w:p>
            <w:pPr/>
          </w:p>
        </w:tc>
        <w:tc>
          <w:tcPr>
            <w:tcW w:w="1497"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9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57" w:type="dxa"/>
            <w:tcBorders>
              <w:top w:val="single" w:sz="4" w:space="0" w:color="000000"/>
              <w:left w:val="single" w:sz="4" w:space="0" w:color="000000"/>
              <w:bottom w:val="single" w:sz="4" w:space="0" w:color="000000"/>
              <w:right w:val="single" w:sz="4" w:space="0" w:color="000000"/>
            </w:tcBorders>
          </w:tcPr>
          <w:p>
            <w:pPr/>
          </w:p>
        </w:tc>
        <w:tc>
          <w:tcPr>
            <w:tcW w:w="1601" w:type="dxa"/>
            <w:tcBorders>
              <w:top w:val="single" w:sz="4" w:space="0" w:color="000000"/>
              <w:left w:val="single" w:sz="4" w:space="0" w:color="000000"/>
              <w:bottom w:val="single" w:sz="4" w:space="0" w:color="000000"/>
              <w:right w:val="single" w:sz="4" w:space="0" w:color="000000"/>
            </w:tcBorders>
          </w:tcPr>
          <w:p>
            <w:pPr/>
          </w:p>
        </w:tc>
        <w:tc>
          <w:tcPr>
            <w:tcW w:w="1601" w:type="dxa"/>
            <w:tcBorders>
              <w:top w:val="single" w:sz="4" w:space="0" w:color="000000"/>
              <w:left w:val="single" w:sz="4" w:space="0" w:color="000000"/>
              <w:bottom w:val="single" w:sz="4" w:space="0" w:color="000000"/>
              <w:right w:val="single" w:sz="4" w:space="0" w:color="000000"/>
            </w:tcBorders>
          </w:tcPr>
          <w:p>
            <w:pPr/>
          </w:p>
        </w:tc>
        <w:tc>
          <w:tcPr>
            <w:tcW w:w="1497"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32"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期末余额</w:t>
            </w:r>
          </w:p>
        </w:tc>
        <w:tc>
          <w:tcPr>
            <w:tcW w:w="1657" w:type="dxa"/>
            <w:tcBorders>
              <w:top w:val="single" w:sz="4" w:space="0" w:color="000000"/>
              <w:left w:val="single" w:sz="4" w:space="0" w:color="000000"/>
              <w:bottom w:val="single" w:sz="4" w:space="0" w:color="000000"/>
              <w:right w:val="single" w:sz="4" w:space="0" w:color="000000"/>
            </w:tcBorders>
          </w:tcPr>
          <w:p>
            <w:pPr/>
          </w:p>
        </w:tc>
        <w:tc>
          <w:tcPr>
            <w:tcW w:w="1601" w:type="dxa"/>
            <w:tcBorders>
              <w:top w:val="single" w:sz="4" w:space="0" w:color="000000"/>
              <w:left w:val="single" w:sz="4" w:space="0" w:color="000000"/>
              <w:bottom w:val="single" w:sz="4" w:space="0" w:color="000000"/>
              <w:right w:val="single" w:sz="4" w:space="0" w:color="000000"/>
            </w:tcBorders>
          </w:tcPr>
          <w:p>
            <w:pPr/>
          </w:p>
        </w:tc>
        <w:tc>
          <w:tcPr>
            <w:tcW w:w="1601" w:type="dxa"/>
            <w:tcBorders>
              <w:top w:val="single" w:sz="4" w:space="0" w:color="000000"/>
              <w:left w:val="single" w:sz="4" w:space="0" w:color="000000"/>
              <w:bottom w:val="single" w:sz="4" w:space="0" w:color="000000"/>
              <w:right w:val="single" w:sz="4" w:space="0" w:color="000000"/>
            </w:tcBorders>
          </w:tcPr>
          <w:p>
            <w:pPr/>
          </w:p>
        </w:tc>
        <w:tc>
          <w:tcPr>
            <w:tcW w:w="1497"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四、账面价值</w:t>
            </w:r>
          </w:p>
        </w:tc>
        <w:tc>
          <w:tcPr>
            <w:tcW w:w="1657" w:type="dxa"/>
            <w:tcBorders>
              <w:top w:val="single" w:sz="4" w:space="0" w:color="000000"/>
              <w:left w:val="single" w:sz="4" w:space="0" w:color="000000"/>
              <w:bottom w:val="single" w:sz="4" w:space="0" w:color="000000"/>
              <w:right w:val="single" w:sz="4" w:space="0" w:color="000000"/>
            </w:tcBorders>
          </w:tcPr>
          <w:p>
            <w:pPr/>
          </w:p>
        </w:tc>
        <w:tc>
          <w:tcPr>
            <w:tcW w:w="1601" w:type="dxa"/>
            <w:tcBorders>
              <w:top w:val="single" w:sz="4" w:space="0" w:color="000000"/>
              <w:left w:val="single" w:sz="4" w:space="0" w:color="000000"/>
              <w:bottom w:val="single" w:sz="4" w:space="0" w:color="000000"/>
              <w:right w:val="single" w:sz="4" w:space="0" w:color="000000"/>
            </w:tcBorders>
          </w:tcPr>
          <w:p>
            <w:pPr/>
          </w:p>
        </w:tc>
        <w:tc>
          <w:tcPr>
            <w:tcW w:w="1601" w:type="dxa"/>
            <w:tcBorders>
              <w:top w:val="single" w:sz="4" w:space="0" w:color="000000"/>
              <w:left w:val="single" w:sz="4" w:space="0" w:color="000000"/>
              <w:bottom w:val="single" w:sz="4" w:space="0" w:color="000000"/>
              <w:right w:val="single" w:sz="4" w:space="0" w:color="000000"/>
            </w:tcBorders>
          </w:tcPr>
          <w:p>
            <w:pPr/>
          </w:p>
        </w:tc>
        <w:tc>
          <w:tcPr>
            <w:tcW w:w="1497"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84"/>
              <w:jc w:val="right"/>
              <w:rPr>
                <w:rFonts w:ascii="宋体" w:hAnsi="宋体" w:cs="宋体" w:eastAsia="宋体" w:hint="default"/>
                <w:sz w:val="21"/>
                <w:szCs w:val="21"/>
              </w:rPr>
            </w:pPr>
            <w:r>
              <w:rPr>
                <w:rFonts w:ascii="宋体" w:hAnsi="宋体" w:cs="宋体" w:eastAsia="宋体" w:hint="default"/>
                <w:spacing w:val="-1"/>
                <w:sz w:val="21"/>
                <w:szCs w:val="21"/>
              </w:rPr>
              <w:t>1.</w:t>
            </w:r>
            <w:r>
              <w:rPr>
                <w:rFonts w:ascii="宋体" w:hAnsi="宋体" w:cs="宋体" w:eastAsia="宋体" w:hint="default"/>
                <w:spacing w:val="-1"/>
                <w:sz w:val="21"/>
                <w:szCs w:val="21"/>
              </w:rPr>
              <w:t>期末账面价值</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94,292,469.72</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6,352,112.48</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845,042.80</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3"/>
              <w:jc w:val="right"/>
              <w:rPr>
                <w:rFonts w:ascii="宋体" w:hAnsi="宋体" w:cs="宋体" w:eastAsia="宋体" w:hint="default"/>
                <w:sz w:val="21"/>
                <w:szCs w:val="21"/>
              </w:rPr>
            </w:pPr>
            <w:r>
              <w:rPr>
                <w:rFonts w:ascii="宋体"/>
                <w:sz w:val="21"/>
              </w:rPr>
              <w:t>985,968.67</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102,475,593.67</w:t>
            </w:r>
          </w:p>
        </w:tc>
      </w:tr>
      <w:tr>
        <w:trPr>
          <w:trHeight w:val="402" w:hRule="exact"/>
        </w:trPr>
        <w:tc>
          <w:tcPr>
            <w:tcW w:w="1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84"/>
              <w:jc w:val="right"/>
              <w:rPr>
                <w:rFonts w:ascii="宋体" w:hAnsi="宋体" w:cs="宋体" w:eastAsia="宋体" w:hint="default"/>
                <w:sz w:val="21"/>
                <w:szCs w:val="21"/>
              </w:rPr>
            </w:pPr>
            <w:r>
              <w:rPr>
                <w:rFonts w:ascii="宋体" w:hAnsi="宋体" w:cs="宋体" w:eastAsia="宋体" w:hint="default"/>
                <w:spacing w:val="-1"/>
                <w:sz w:val="21"/>
                <w:szCs w:val="21"/>
              </w:rPr>
              <w:t>2.</w:t>
            </w:r>
            <w:r>
              <w:rPr>
                <w:rFonts w:ascii="宋体" w:hAnsi="宋体" w:cs="宋体" w:eastAsia="宋体" w:hint="default"/>
                <w:spacing w:val="-1"/>
                <w:sz w:val="21"/>
                <w:szCs w:val="21"/>
              </w:rPr>
              <w:t>期初账面价值</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34,273,809.46</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15,023,641.25</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9"/>
              <w:jc w:val="right"/>
              <w:rPr>
                <w:rFonts w:ascii="宋体" w:hAnsi="宋体" w:cs="宋体" w:eastAsia="宋体" w:hint="default"/>
                <w:sz w:val="21"/>
                <w:szCs w:val="21"/>
              </w:rPr>
            </w:pPr>
            <w:r>
              <w:rPr>
                <w:rFonts w:ascii="宋体"/>
                <w:sz w:val="21"/>
              </w:rPr>
              <w:t>1,054,392.12</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3"/>
              <w:jc w:val="right"/>
              <w:rPr>
                <w:rFonts w:ascii="宋体" w:hAnsi="宋体" w:cs="宋体" w:eastAsia="宋体" w:hint="default"/>
                <w:sz w:val="21"/>
                <w:szCs w:val="21"/>
              </w:rPr>
            </w:pPr>
            <w:r>
              <w:rPr>
                <w:rFonts w:ascii="宋体"/>
                <w:sz w:val="21"/>
              </w:rPr>
              <w:t>607,710.20</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50,959,553.03</w:t>
            </w:r>
          </w:p>
        </w:tc>
      </w:tr>
    </w:tbl>
    <w:p>
      <w:pPr>
        <w:spacing w:line="240" w:lineRule="auto" w:before="2"/>
        <w:rPr>
          <w:rFonts w:ascii="宋体" w:hAnsi="宋体" w:cs="宋体" w:eastAsia="宋体" w:hint="default"/>
          <w:sz w:val="18"/>
          <w:szCs w:val="18"/>
        </w:rPr>
      </w:pPr>
    </w:p>
    <w:p>
      <w:pPr>
        <w:pStyle w:val="Heading2"/>
        <w:spacing w:line="564" w:lineRule="auto"/>
        <w:ind w:left="673" w:right="7462" w:hanging="480"/>
        <w:jc w:val="left"/>
        <w:rPr>
          <w:rFonts w:ascii="宋体" w:hAnsi="宋体" w:cs="宋体" w:eastAsia="宋体" w:hint="default"/>
          <w:b w:val="0"/>
          <w:bCs w:val="0"/>
        </w:rPr>
      </w:pPr>
      <w:bookmarkStart w:name="（2）暂时闲置的固定资产情况" w:id="306"/>
      <w:bookmarkEnd w:id="306"/>
      <w:r>
        <w:rPr>
          <w:b w:val="0"/>
          <w:bCs w:val="0"/>
        </w:rPr>
      </w:r>
      <w:r>
        <w:rPr>
          <w:w w:val="95"/>
        </w:rPr>
        <w:t>（</w:t>
      </w:r>
      <w:r>
        <w:rPr>
          <w:rFonts w:ascii="宋体" w:hAnsi="宋体" w:cs="宋体" w:eastAsia="宋体" w:hint="default"/>
          <w:w w:val="95"/>
        </w:rPr>
        <w:t>2</w:t>
      </w:r>
      <w:r>
        <w:rPr>
          <w:w w:val="95"/>
        </w:rPr>
        <w:t>）暂时闲置的固定资产情况</w:t>
      </w:r>
      <w:r>
        <w:rPr>
          <w:spacing w:val="36"/>
          <w:w w:val="95"/>
        </w:rPr>
        <w:t> </w:t>
      </w:r>
      <w:r>
        <w:rPr>
          <w:rFonts w:ascii="宋体" w:hAnsi="宋体" w:cs="宋体" w:eastAsia="宋体" w:hint="default"/>
          <w:b w:val="0"/>
          <w:bCs w:val="0"/>
        </w:rPr>
        <w:t>无</w:t>
      </w:r>
    </w:p>
    <w:p>
      <w:pPr>
        <w:pStyle w:val="Heading2"/>
        <w:spacing w:line="564" w:lineRule="auto" w:before="0"/>
        <w:ind w:left="673" w:right="6547" w:hanging="480"/>
        <w:jc w:val="left"/>
        <w:rPr>
          <w:rFonts w:ascii="宋体" w:hAnsi="宋体" w:cs="宋体" w:eastAsia="宋体" w:hint="default"/>
          <w:b w:val="0"/>
          <w:bCs w:val="0"/>
        </w:rPr>
      </w:pPr>
      <w:bookmarkStart w:name="（3）通过融资租赁租入的固定资产情况" w:id="307"/>
      <w:bookmarkEnd w:id="307"/>
      <w:r>
        <w:rPr>
          <w:b w:val="0"/>
          <w:bCs w:val="0"/>
        </w:rPr>
      </w:r>
      <w:r>
        <w:rPr>
          <w:w w:val="95"/>
        </w:rPr>
        <w:t>（</w:t>
      </w:r>
      <w:r>
        <w:rPr>
          <w:rFonts w:ascii="宋体" w:hAnsi="宋体" w:cs="宋体" w:eastAsia="宋体" w:hint="default"/>
          <w:w w:val="95"/>
        </w:rPr>
        <w:t>3</w:t>
      </w:r>
      <w:r>
        <w:rPr>
          <w:w w:val="95"/>
        </w:rPr>
        <w:t>）通过融资租赁租入的固定资产情况</w:t>
      </w:r>
      <w:r>
        <w:rPr>
          <w:spacing w:val="81"/>
          <w:w w:val="95"/>
        </w:rPr>
        <w:t> </w:t>
      </w:r>
      <w:r>
        <w:rPr>
          <w:rFonts w:ascii="宋体" w:hAnsi="宋体" w:cs="宋体" w:eastAsia="宋体" w:hint="default"/>
          <w:b w:val="0"/>
          <w:bCs w:val="0"/>
        </w:rPr>
        <w:t>无</w:t>
      </w:r>
    </w:p>
    <w:p>
      <w:pPr>
        <w:pStyle w:val="Heading2"/>
        <w:spacing w:line="564" w:lineRule="auto" w:before="0"/>
        <w:ind w:left="673" w:right="7005" w:hanging="480"/>
        <w:jc w:val="left"/>
        <w:rPr>
          <w:rFonts w:ascii="宋体" w:hAnsi="宋体" w:cs="宋体" w:eastAsia="宋体" w:hint="default"/>
          <w:b w:val="0"/>
          <w:bCs w:val="0"/>
        </w:rPr>
      </w:pPr>
      <w:bookmarkStart w:name="（4）通过经营租赁租出的固定资产" w:id="308"/>
      <w:bookmarkEnd w:id="308"/>
      <w:r>
        <w:rPr>
          <w:b w:val="0"/>
          <w:bCs w:val="0"/>
        </w:rPr>
      </w:r>
      <w:r>
        <w:rPr>
          <w:w w:val="95"/>
        </w:rPr>
        <w:t>（</w:t>
      </w:r>
      <w:r>
        <w:rPr>
          <w:rFonts w:ascii="宋体" w:hAnsi="宋体" w:cs="宋体" w:eastAsia="宋体" w:hint="default"/>
          <w:w w:val="95"/>
        </w:rPr>
        <w:t>4</w:t>
      </w:r>
      <w:r>
        <w:rPr>
          <w:w w:val="95"/>
        </w:rPr>
        <w:t>）通过经营租赁租出的固定资产</w:t>
      </w:r>
      <w:r>
        <w:rPr>
          <w:spacing w:val="60"/>
          <w:w w:val="95"/>
        </w:rPr>
        <w:t> </w:t>
      </w:r>
      <w:r>
        <w:rPr>
          <w:spacing w:val="60"/>
          <w:w w:val="95"/>
        </w:rPr>
      </w:r>
      <w:r>
        <w:rPr>
          <w:rFonts w:ascii="宋体" w:hAnsi="宋体" w:cs="宋体" w:eastAsia="宋体" w:hint="default"/>
          <w:b w:val="0"/>
          <w:bCs w:val="0"/>
        </w:rPr>
        <w:t>无</w:t>
      </w:r>
    </w:p>
    <w:p>
      <w:pPr>
        <w:spacing w:after="0" w:line="564" w:lineRule="auto"/>
        <w:jc w:val="left"/>
        <w:rPr>
          <w:rFonts w:ascii="宋体" w:hAnsi="宋体" w:cs="宋体" w:eastAsia="宋体" w:hint="default"/>
        </w:rPr>
        <w:sectPr>
          <w:pgSz w:w="11910" w:h="16840"/>
          <w:pgMar w:header="747" w:footer="979" w:top="1060" w:bottom="1160" w:left="940" w:right="0"/>
        </w:sectPr>
      </w:pPr>
    </w:p>
    <w:p>
      <w:pPr>
        <w:spacing w:line="240" w:lineRule="auto" w:before="9"/>
        <w:rPr>
          <w:rFonts w:ascii="宋体" w:hAnsi="宋体" w:cs="宋体" w:eastAsia="宋体" w:hint="default"/>
          <w:sz w:val="23"/>
          <w:szCs w:val="23"/>
        </w:rPr>
      </w:pPr>
    </w:p>
    <w:p>
      <w:pPr>
        <w:pStyle w:val="Heading2"/>
        <w:spacing w:line="240" w:lineRule="auto"/>
        <w:ind w:left="813" w:right="1129"/>
        <w:jc w:val="left"/>
        <w:rPr>
          <w:b w:val="0"/>
          <w:bCs w:val="0"/>
        </w:rPr>
      </w:pPr>
      <w:bookmarkStart w:name="（5）未办妥产权证书的固定资产情况" w:id="309"/>
      <w:bookmarkEnd w:id="309"/>
      <w:r>
        <w:rPr>
          <w:b w:val="0"/>
          <w:bCs w:val="0"/>
        </w:rPr>
      </w:r>
      <w:r>
        <w:rPr/>
        <w:t>（</w:t>
      </w:r>
      <w:r>
        <w:rPr>
          <w:rFonts w:ascii="宋体" w:hAnsi="宋体" w:cs="宋体" w:eastAsia="宋体" w:hint="default"/>
        </w:rPr>
        <w:t>5</w:t>
      </w:r>
      <w:r>
        <w:rPr/>
        <w:t>）未办妥产权证书的固定资产情况</w:t>
      </w:r>
      <w:r>
        <w:rPr>
          <w:b w:val="0"/>
          <w:bCs w:val="0"/>
        </w:rPr>
      </w:r>
    </w:p>
    <w:p>
      <w:pPr>
        <w:spacing w:line="240" w:lineRule="auto" w:before="12"/>
        <w:rPr>
          <w:rFonts w:ascii="宋体" w:hAnsi="宋体" w:cs="宋体" w:eastAsia="宋体" w:hint="default"/>
          <w:b/>
          <w:bCs/>
          <w:sz w:val="21"/>
          <w:szCs w:val="21"/>
        </w:rPr>
      </w:pPr>
    </w:p>
    <w:p>
      <w:pPr>
        <w:spacing w:before="35"/>
        <w:ind w:left="0" w:right="1129" w:firstLine="0"/>
        <w:jc w:val="right"/>
        <w:rPr>
          <w:rFonts w:ascii="宋体" w:hAnsi="宋体" w:cs="宋体" w:eastAsia="宋体" w:hint="default"/>
          <w:sz w:val="21"/>
          <w:szCs w:val="21"/>
        </w:rPr>
      </w:pPr>
      <w:r>
        <w:rPr>
          <w:rFonts w:ascii="宋体" w:hAnsi="宋体" w:cs="宋体" w:eastAsia="宋体" w:hint="default"/>
          <w:sz w:val="21"/>
          <w:szCs w:val="21"/>
        </w:rPr>
        <w:t>单位： 元</w:t>
      </w:r>
    </w:p>
    <w:p>
      <w:pPr>
        <w:spacing w:line="240" w:lineRule="auto" w:before="13"/>
        <w:rPr>
          <w:rFonts w:ascii="宋体" w:hAnsi="宋体" w:cs="宋体" w:eastAsia="宋体" w:hint="default"/>
          <w:sz w:val="6"/>
          <w:szCs w:val="6"/>
        </w:rPr>
      </w:pPr>
    </w:p>
    <w:tbl>
      <w:tblPr>
        <w:tblW w:w="0" w:type="auto"/>
        <w:jc w:val="left"/>
        <w:tblInd w:w="809" w:type="dxa"/>
        <w:tblLayout w:type="fixed"/>
        <w:tblCellMar>
          <w:top w:w="0" w:type="dxa"/>
          <w:left w:w="0" w:type="dxa"/>
          <w:bottom w:w="0" w:type="dxa"/>
          <w:right w:w="0" w:type="dxa"/>
        </w:tblCellMar>
        <w:tblLook w:val="01E0"/>
      </w:tblPr>
      <w:tblGrid>
        <w:gridCol w:w="3188"/>
        <w:gridCol w:w="2625"/>
        <w:gridCol w:w="3758"/>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26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账面价值</w:t>
            </w:r>
          </w:p>
        </w:tc>
        <w:tc>
          <w:tcPr>
            <w:tcW w:w="37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824" w:right="0"/>
              <w:jc w:val="left"/>
              <w:rPr>
                <w:rFonts w:ascii="宋体" w:hAnsi="宋体" w:cs="宋体" w:eastAsia="宋体" w:hint="default"/>
                <w:sz w:val="21"/>
                <w:szCs w:val="21"/>
              </w:rPr>
            </w:pPr>
            <w:r>
              <w:rPr>
                <w:rFonts w:ascii="宋体" w:hAnsi="宋体" w:cs="宋体" w:eastAsia="宋体" w:hint="default"/>
                <w:sz w:val="21"/>
                <w:szCs w:val="21"/>
              </w:rPr>
              <w:t>未办妥产权证书的原因</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房屋及建筑物</w:t>
            </w:r>
          </w:p>
        </w:tc>
        <w:tc>
          <w:tcPr>
            <w:tcW w:w="2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228" w:right="0"/>
              <w:jc w:val="left"/>
              <w:rPr>
                <w:rFonts w:ascii="宋体" w:hAnsi="宋体" w:cs="宋体" w:eastAsia="宋体" w:hint="default"/>
                <w:sz w:val="21"/>
                <w:szCs w:val="21"/>
              </w:rPr>
            </w:pPr>
            <w:r>
              <w:rPr>
                <w:rFonts w:ascii="宋体"/>
                <w:sz w:val="21"/>
              </w:rPr>
              <w:t>62,924,148.07</w:t>
            </w:r>
          </w:p>
        </w:tc>
        <w:tc>
          <w:tcPr>
            <w:tcW w:w="3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0"/>
              <w:jc w:val="right"/>
              <w:rPr>
                <w:rFonts w:ascii="宋体" w:hAnsi="宋体" w:cs="宋体" w:eastAsia="宋体" w:hint="default"/>
                <w:sz w:val="21"/>
                <w:szCs w:val="21"/>
              </w:rPr>
            </w:pPr>
            <w:r>
              <w:rPr>
                <w:rFonts w:ascii="宋体" w:hAnsi="宋体" w:cs="宋体" w:eastAsia="宋体" w:hint="default"/>
                <w:sz w:val="21"/>
                <w:szCs w:val="21"/>
              </w:rPr>
              <w:t>正在办理中</w:t>
            </w:r>
          </w:p>
        </w:tc>
      </w:tr>
    </w:tbl>
    <w:p>
      <w:pPr>
        <w:spacing w:line="240" w:lineRule="auto" w:before="10"/>
        <w:rPr>
          <w:rFonts w:ascii="宋体" w:hAnsi="宋体" w:cs="宋体" w:eastAsia="宋体" w:hint="default"/>
          <w:sz w:val="4"/>
          <w:szCs w:val="4"/>
        </w:rPr>
      </w:pPr>
    </w:p>
    <w:p>
      <w:pPr>
        <w:pStyle w:val="BodyText"/>
        <w:spacing w:line="240" w:lineRule="auto" w:before="26"/>
        <w:ind w:left="1294" w:right="1129"/>
        <w:jc w:val="left"/>
      </w:pPr>
      <w:r>
        <w:rPr/>
        <w:t>其他说明</w:t>
      </w:r>
    </w:p>
    <w:p>
      <w:pPr>
        <w:pStyle w:val="BodyText"/>
        <w:spacing w:line="350" w:lineRule="auto" w:before="145"/>
        <w:ind w:left="813" w:right="1129" w:firstLine="480"/>
        <w:jc w:val="left"/>
      </w:pPr>
      <w:r>
        <w:rPr>
          <w:spacing w:val="-2"/>
        </w:rPr>
        <w:t>①固定资产期末原值较期初原值增加</w:t>
      </w:r>
      <w:r>
        <w:rPr>
          <w:rFonts w:ascii="宋体" w:hAnsi="宋体" w:cs="宋体" w:eastAsia="宋体" w:hint="default"/>
          <w:spacing w:val="-2"/>
        </w:rPr>
        <w:t>66,053,740.09</w:t>
      </w:r>
      <w:r>
        <w:rPr>
          <w:spacing w:val="-2"/>
        </w:rPr>
        <w:t>元，增长</w:t>
      </w:r>
      <w:r>
        <w:rPr>
          <w:rFonts w:ascii="宋体" w:hAnsi="宋体" w:cs="宋体" w:eastAsia="宋体" w:hint="default"/>
          <w:spacing w:val="-2"/>
        </w:rPr>
        <w:t>42.10%</w:t>
      </w:r>
      <w:r>
        <w:rPr>
          <w:spacing w:val="-2"/>
        </w:rPr>
        <w:t>。主要系新建厂房由</w:t>
      </w:r>
      <w:r>
        <w:rPr/>
        <w:t> 在建工程转入固定资产所致。</w:t>
      </w:r>
    </w:p>
    <w:p>
      <w:pPr>
        <w:pStyle w:val="BodyText"/>
        <w:spacing w:line="240" w:lineRule="auto"/>
        <w:ind w:left="1293" w:right="1129"/>
        <w:jc w:val="left"/>
      </w:pPr>
      <w:r>
        <w:rPr/>
        <w:t>②期末无闲置的固定资产。</w:t>
      </w:r>
    </w:p>
    <w:p>
      <w:pPr>
        <w:spacing w:line="350" w:lineRule="auto" w:before="145"/>
        <w:ind w:left="1296" w:right="5953" w:hanging="3"/>
        <w:jc w:val="left"/>
        <w:rPr>
          <w:rFonts w:ascii="宋体" w:hAnsi="宋体" w:cs="宋体" w:eastAsia="宋体" w:hint="default"/>
          <w:sz w:val="24"/>
          <w:szCs w:val="24"/>
        </w:rPr>
      </w:pPr>
      <w:r>
        <w:rPr>
          <w:rFonts w:ascii="宋体" w:hAnsi="宋体" w:cs="宋体" w:eastAsia="宋体" w:hint="default"/>
          <w:sz w:val="24"/>
          <w:szCs w:val="24"/>
        </w:rPr>
        <w:t>③期末无通过融资租赁租入的固定资产。 </w:t>
      </w:r>
      <w:bookmarkStart w:name="20、在建工程" w:id="310"/>
      <w:bookmarkEnd w:id="310"/>
      <w:r>
        <w:rPr>
          <w:rFonts w:ascii="宋体" w:hAnsi="宋体" w:cs="宋体" w:eastAsia="宋体" w:hint="default"/>
          <w:sz w:val="24"/>
          <w:szCs w:val="24"/>
        </w:rPr>
      </w:r>
      <w:r>
        <w:rPr>
          <w:rFonts w:ascii="宋体" w:hAnsi="宋体" w:cs="宋体" w:eastAsia="宋体" w:hint="default"/>
          <w:b/>
          <w:bCs/>
          <w:sz w:val="24"/>
          <w:szCs w:val="24"/>
        </w:rPr>
        <w:t>20</w:t>
      </w:r>
      <w:r>
        <w:rPr>
          <w:rFonts w:ascii="宋体" w:hAnsi="宋体" w:cs="宋体" w:eastAsia="宋体" w:hint="default"/>
          <w:b/>
          <w:bCs/>
          <w:sz w:val="24"/>
          <w:szCs w:val="24"/>
        </w:rPr>
        <w:t>、在建工程</w:t>
      </w:r>
      <w:r>
        <w:rPr>
          <w:rFonts w:ascii="宋体" w:hAnsi="宋体" w:cs="宋体" w:eastAsia="宋体" w:hint="default"/>
          <w:sz w:val="24"/>
          <w:szCs w:val="24"/>
        </w:rPr>
      </w:r>
    </w:p>
    <w:p>
      <w:pPr>
        <w:pStyle w:val="Heading2"/>
        <w:spacing w:line="240" w:lineRule="auto" w:before="192"/>
        <w:ind w:left="1296" w:right="1129"/>
        <w:jc w:val="left"/>
        <w:rPr>
          <w:b w:val="0"/>
          <w:bCs w:val="0"/>
        </w:rPr>
      </w:pPr>
      <w:bookmarkStart w:name="（1）在建工程情况" w:id="311"/>
      <w:bookmarkEnd w:id="311"/>
      <w:r>
        <w:rPr>
          <w:b w:val="0"/>
          <w:bCs w:val="0"/>
        </w:rPr>
      </w:r>
      <w:r>
        <w:rPr/>
        <w:t>（</w:t>
      </w:r>
      <w:r>
        <w:rPr>
          <w:rFonts w:ascii="宋体" w:hAnsi="宋体" w:cs="宋体" w:eastAsia="宋体" w:hint="default"/>
        </w:rPr>
        <w:t>1</w:t>
      </w:r>
      <w:r>
        <w:rPr/>
        <w:t>）在建工程情况</w:t>
      </w:r>
      <w:r>
        <w:rPr>
          <w:b w:val="0"/>
          <w:bCs w:val="0"/>
        </w:rPr>
      </w:r>
    </w:p>
    <w:p>
      <w:pPr>
        <w:spacing w:before="199"/>
        <w:ind w:left="0" w:right="1129" w:firstLine="0"/>
        <w:jc w:val="right"/>
        <w:rPr>
          <w:rFonts w:ascii="宋体" w:hAnsi="宋体" w:cs="宋体" w:eastAsia="宋体" w:hint="default"/>
          <w:sz w:val="21"/>
          <w:szCs w:val="21"/>
        </w:rPr>
      </w:pPr>
      <w:r>
        <w:rPr>
          <w:rFonts w:ascii="宋体" w:hAnsi="宋体" w:cs="宋体" w:eastAsia="宋体" w:hint="default"/>
          <w:sz w:val="21"/>
          <w:szCs w:val="21"/>
        </w:rPr>
        <w:t>单位： 元</w:t>
      </w:r>
    </w:p>
    <w:p>
      <w:pPr>
        <w:spacing w:line="240" w:lineRule="auto" w:before="13"/>
        <w:rPr>
          <w:rFonts w:ascii="宋体" w:hAnsi="宋体" w:cs="宋体" w:eastAsia="宋体" w:hint="default"/>
          <w:sz w:val="6"/>
          <w:szCs w:val="6"/>
        </w:rPr>
      </w:pPr>
    </w:p>
    <w:tbl>
      <w:tblPr>
        <w:tblW w:w="0" w:type="auto"/>
        <w:jc w:val="left"/>
        <w:tblInd w:w="737" w:type="dxa"/>
        <w:tblLayout w:type="fixed"/>
        <w:tblCellMar>
          <w:top w:w="0" w:type="dxa"/>
          <w:left w:w="0" w:type="dxa"/>
          <w:bottom w:w="0" w:type="dxa"/>
          <w:right w:w="0" w:type="dxa"/>
        </w:tblCellMar>
        <w:tblLook w:val="01E0"/>
      </w:tblPr>
      <w:tblGrid>
        <w:gridCol w:w="2268"/>
        <w:gridCol w:w="1560"/>
        <w:gridCol w:w="568"/>
        <w:gridCol w:w="1642"/>
        <w:gridCol w:w="1618"/>
        <w:gridCol w:w="568"/>
        <w:gridCol w:w="1559"/>
      </w:tblGrid>
      <w:tr>
        <w:trPr>
          <w:trHeight w:val="402" w:hRule="exact"/>
        </w:trPr>
        <w:tc>
          <w:tcPr>
            <w:tcW w:w="22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29"/>
                <w:szCs w:val="29"/>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377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74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713" w:hRule="exact"/>
        </w:trPr>
        <w:tc>
          <w:tcPr>
            <w:tcW w:w="2268" w:type="dxa"/>
            <w:vMerge/>
            <w:tcBorders>
              <w:left w:val="single" w:sz="4" w:space="0" w:color="000000"/>
              <w:bottom w:val="single" w:sz="4" w:space="0" w:color="000000"/>
              <w:right w:val="single" w:sz="4" w:space="0" w:color="000000"/>
            </w:tcBorders>
            <w:shd w:val="clear" w:color="auto" w:fill="D2D2D2"/>
          </w:tcPr>
          <w:p>
            <w:pP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354"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5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68" w:right="67"/>
              <w:jc w:val="left"/>
              <w:rPr>
                <w:rFonts w:ascii="宋体" w:hAnsi="宋体" w:cs="宋体" w:eastAsia="宋体" w:hint="default"/>
                <w:sz w:val="21"/>
                <w:szCs w:val="21"/>
              </w:rPr>
            </w:pPr>
            <w:r>
              <w:rPr>
                <w:rFonts w:ascii="宋体" w:hAnsi="宋体" w:cs="宋体" w:eastAsia="宋体" w:hint="default"/>
                <w:sz w:val="21"/>
                <w:szCs w:val="21"/>
              </w:rPr>
              <w:t>减值 准备</w:t>
            </w:r>
          </w:p>
        </w:tc>
        <w:tc>
          <w:tcPr>
            <w:tcW w:w="16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395"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16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383"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5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68" w:right="67"/>
              <w:jc w:val="left"/>
              <w:rPr>
                <w:rFonts w:ascii="宋体" w:hAnsi="宋体" w:cs="宋体" w:eastAsia="宋体" w:hint="default"/>
                <w:sz w:val="21"/>
                <w:szCs w:val="21"/>
              </w:rPr>
            </w:pPr>
            <w:r>
              <w:rPr>
                <w:rFonts w:ascii="宋体" w:hAnsi="宋体" w:cs="宋体" w:eastAsia="宋体" w:hint="default"/>
                <w:sz w:val="21"/>
                <w:szCs w:val="21"/>
              </w:rPr>
              <w:t>减值 准备</w:t>
            </w:r>
          </w:p>
        </w:tc>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353" w:right="0"/>
              <w:jc w:val="left"/>
              <w:rPr>
                <w:rFonts w:ascii="宋体" w:hAnsi="宋体" w:cs="宋体" w:eastAsia="宋体" w:hint="default"/>
                <w:sz w:val="21"/>
                <w:szCs w:val="21"/>
              </w:rPr>
            </w:pPr>
            <w:r>
              <w:rPr>
                <w:rFonts w:ascii="宋体" w:hAnsi="宋体" w:cs="宋体" w:eastAsia="宋体" w:hint="default"/>
                <w:sz w:val="21"/>
                <w:szCs w:val="21"/>
              </w:rPr>
              <w:t>账面价值</w:t>
            </w: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工程主体</w:t>
            </w:r>
            <w:r>
              <w:rPr>
                <w:rFonts w:ascii="宋体" w:hAnsi="宋体" w:cs="宋体" w:eastAsia="宋体" w:hint="default"/>
                <w:sz w:val="21"/>
                <w:szCs w:val="21"/>
              </w:rPr>
              <w:t>--</w:t>
            </w:r>
            <w:r>
              <w:rPr>
                <w:rFonts w:ascii="宋体" w:hAnsi="宋体" w:cs="宋体" w:eastAsia="宋体" w:hint="default"/>
                <w:sz w:val="21"/>
                <w:szCs w:val="21"/>
              </w:rPr>
              <w:t>新厂区</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1"/>
              <w:jc w:val="right"/>
              <w:rPr>
                <w:rFonts w:ascii="宋体" w:hAnsi="宋体" w:cs="宋体" w:eastAsia="宋体" w:hint="default"/>
                <w:sz w:val="21"/>
                <w:szCs w:val="21"/>
              </w:rPr>
            </w:pPr>
            <w:r>
              <w:rPr>
                <w:rFonts w:ascii="宋体"/>
                <w:sz w:val="21"/>
              </w:rPr>
              <w:t>24,667,348.76</w:t>
            </w:r>
          </w:p>
        </w:tc>
        <w:tc>
          <w:tcPr>
            <w:tcW w:w="568" w:type="dxa"/>
            <w:tcBorders>
              <w:top w:val="single" w:sz="4" w:space="0" w:color="000000"/>
              <w:left w:val="single" w:sz="4" w:space="0" w:color="000000"/>
              <w:bottom w:val="single" w:sz="4" w:space="0" w:color="000000"/>
              <w:right w:val="single" w:sz="4" w:space="0" w:color="000000"/>
            </w:tcBorders>
          </w:tcPr>
          <w:p>
            <w:pP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0"/>
              <w:jc w:val="right"/>
              <w:rPr>
                <w:rFonts w:ascii="宋体" w:hAnsi="宋体" w:cs="宋体" w:eastAsia="宋体" w:hint="default"/>
                <w:sz w:val="21"/>
                <w:szCs w:val="21"/>
              </w:rPr>
            </w:pPr>
            <w:r>
              <w:rPr>
                <w:rFonts w:ascii="宋体"/>
                <w:sz w:val="21"/>
              </w:rPr>
              <w:t>24,667,348.76</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0"/>
              <w:jc w:val="right"/>
              <w:rPr>
                <w:rFonts w:ascii="宋体" w:hAnsi="宋体" w:cs="宋体" w:eastAsia="宋体" w:hint="default"/>
                <w:sz w:val="21"/>
                <w:szCs w:val="21"/>
              </w:rPr>
            </w:pPr>
            <w:r>
              <w:rPr>
                <w:rFonts w:ascii="宋体"/>
                <w:sz w:val="21"/>
              </w:rPr>
              <w:t>24,227,276.24</w:t>
            </w:r>
          </w:p>
        </w:tc>
        <w:tc>
          <w:tcPr>
            <w:tcW w:w="568"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1"/>
              <w:jc w:val="right"/>
              <w:rPr>
                <w:rFonts w:ascii="宋体" w:hAnsi="宋体" w:cs="宋体" w:eastAsia="宋体" w:hint="default"/>
                <w:sz w:val="21"/>
                <w:szCs w:val="21"/>
              </w:rPr>
            </w:pPr>
            <w:r>
              <w:rPr>
                <w:rFonts w:ascii="宋体"/>
                <w:sz w:val="21"/>
              </w:rPr>
              <w:t>24,227,276.24</w:t>
            </w:r>
          </w:p>
        </w:tc>
      </w:tr>
      <w:tr>
        <w:trPr>
          <w:trHeight w:val="714"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7"/>
              <w:ind w:left="22" w:right="135"/>
              <w:jc w:val="left"/>
              <w:rPr>
                <w:rFonts w:ascii="宋体" w:hAnsi="宋体" w:cs="宋体" w:eastAsia="宋体" w:hint="default"/>
                <w:sz w:val="21"/>
                <w:szCs w:val="21"/>
              </w:rPr>
            </w:pPr>
            <w:r>
              <w:rPr>
                <w:rFonts w:ascii="宋体" w:hAnsi="宋体" w:cs="宋体" w:eastAsia="宋体" w:hint="default"/>
                <w:sz w:val="21"/>
                <w:szCs w:val="21"/>
              </w:rPr>
              <w:t>轨道交通运营安全服务 系统</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21"/>
              <w:jc w:val="right"/>
              <w:rPr>
                <w:rFonts w:ascii="宋体" w:hAnsi="宋体" w:cs="宋体" w:eastAsia="宋体" w:hint="default"/>
                <w:sz w:val="21"/>
                <w:szCs w:val="21"/>
              </w:rPr>
            </w:pPr>
            <w:r>
              <w:rPr>
                <w:rFonts w:ascii="宋体"/>
                <w:sz w:val="21"/>
              </w:rPr>
              <w:t>91,673,210.25</w:t>
            </w:r>
          </w:p>
        </w:tc>
        <w:tc>
          <w:tcPr>
            <w:tcW w:w="568" w:type="dxa"/>
            <w:tcBorders>
              <w:top w:val="single" w:sz="4" w:space="0" w:color="000000"/>
              <w:left w:val="single" w:sz="4" w:space="0" w:color="000000"/>
              <w:bottom w:val="single" w:sz="4" w:space="0" w:color="000000"/>
              <w:right w:val="single" w:sz="4" w:space="0" w:color="000000"/>
            </w:tcBorders>
          </w:tcPr>
          <w:p>
            <w:pP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20"/>
              <w:jc w:val="right"/>
              <w:rPr>
                <w:rFonts w:ascii="宋体" w:hAnsi="宋体" w:cs="宋体" w:eastAsia="宋体" w:hint="default"/>
                <w:sz w:val="21"/>
                <w:szCs w:val="21"/>
              </w:rPr>
            </w:pPr>
            <w:r>
              <w:rPr>
                <w:rFonts w:ascii="宋体"/>
                <w:sz w:val="21"/>
              </w:rPr>
              <w:t>91,673,210.25</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20"/>
              <w:jc w:val="right"/>
              <w:rPr>
                <w:rFonts w:ascii="宋体" w:hAnsi="宋体" w:cs="宋体" w:eastAsia="宋体" w:hint="default"/>
                <w:sz w:val="21"/>
                <w:szCs w:val="21"/>
              </w:rPr>
            </w:pPr>
            <w:r>
              <w:rPr>
                <w:rFonts w:ascii="宋体"/>
                <w:sz w:val="21"/>
              </w:rPr>
              <w:t>80,892,499.35</w:t>
            </w:r>
          </w:p>
        </w:tc>
        <w:tc>
          <w:tcPr>
            <w:tcW w:w="568"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21"/>
              <w:jc w:val="right"/>
              <w:rPr>
                <w:rFonts w:ascii="宋体" w:hAnsi="宋体" w:cs="宋体" w:eastAsia="宋体" w:hint="default"/>
                <w:sz w:val="21"/>
                <w:szCs w:val="21"/>
              </w:rPr>
            </w:pPr>
            <w:r>
              <w:rPr>
                <w:rFonts w:ascii="宋体"/>
                <w:sz w:val="21"/>
              </w:rPr>
              <w:t>80,892,499.35</w:t>
            </w:r>
          </w:p>
        </w:tc>
      </w:tr>
      <w:tr>
        <w:trPr>
          <w:trHeight w:val="1026"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7"/>
              <w:ind w:left="22" w:right="135"/>
              <w:jc w:val="both"/>
              <w:rPr>
                <w:rFonts w:ascii="宋体" w:hAnsi="宋体" w:cs="宋体" w:eastAsia="宋体" w:hint="default"/>
                <w:sz w:val="21"/>
                <w:szCs w:val="21"/>
              </w:rPr>
            </w:pPr>
            <w:r>
              <w:rPr>
                <w:rFonts w:ascii="宋体" w:hAnsi="宋体" w:cs="宋体" w:eastAsia="宋体" w:hint="default"/>
                <w:sz w:val="21"/>
                <w:szCs w:val="21"/>
              </w:rPr>
              <w:t>北斗铁路列车卫星定位 与辅助预警系统应用示 范</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right="21"/>
              <w:jc w:val="right"/>
              <w:rPr>
                <w:rFonts w:ascii="宋体" w:hAnsi="宋体" w:cs="宋体" w:eastAsia="宋体" w:hint="default"/>
                <w:sz w:val="21"/>
                <w:szCs w:val="21"/>
              </w:rPr>
            </w:pPr>
            <w:r>
              <w:rPr>
                <w:rFonts w:ascii="宋体"/>
                <w:sz w:val="21"/>
              </w:rPr>
              <w:t>5,617,680.60</w:t>
            </w:r>
          </w:p>
        </w:tc>
        <w:tc>
          <w:tcPr>
            <w:tcW w:w="568" w:type="dxa"/>
            <w:tcBorders>
              <w:top w:val="single" w:sz="4" w:space="0" w:color="000000"/>
              <w:left w:val="single" w:sz="4" w:space="0" w:color="000000"/>
              <w:bottom w:val="single" w:sz="4" w:space="0" w:color="000000"/>
              <w:right w:val="single" w:sz="4" w:space="0" w:color="000000"/>
            </w:tcBorders>
          </w:tcPr>
          <w:p>
            <w:pP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right="19"/>
              <w:jc w:val="right"/>
              <w:rPr>
                <w:rFonts w:ascii="宋体" w:hAnsi="宋体" w:cs="宋体" w:eastAsia="宋体" w:hint="default"/>
                <w:sz w:val="21"/>
                <w:szCs w:val="21"/>
              </w:rPr>
            </w:pPr>
            <w:r>
              <w:rPr>
                <w:rFonts w:ascii="宋体"/>
                <w:sz w:val="21"/>
              </w:rPr>
              <w:t>5,617,680.60</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right="21"/>
              <w:jc w:val="right"/>
              <w:rPr>
                <w:rFonts w:ascii="宋体" w:hAnsi="宋体" w:cs="宋体" w:eastAsia="宋体" w:hint="default"/>
                <w:sz w:val="21"/>
                <w:szCs w:val="21"/>
              </w:rPr>
            </w:pPr>
            <w:r>
              <w:rPr>
                <w:rFonts w:ascii="宋体"/>
                <w:sz w:val="21"/>
              </w:rPr>
              <w:t>4,569,347.28</w:t>
            </w:r>
          </w:p>
        </w:tc>
        <w:tc>
          <w:tcPr>
            <w:tcW w:w="568"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right="23"/>
              <w:jc w:val="right"/>
              <w:rPr>
                <w:rFonts w:ascii="宋体" w:hAnsi="宋体" w:cs="宋体" w:eastAsia="宋体" w:hint="default"/>
                <w:sz w:val="21"/>
                <w:szCs w:val="21"/>
              </w:rPr>
            </w:pPr>
            <w:r>
              <w:rPr>
                <w:rFonts w:ascii="宋体"/>
                <w:spacing w:val="-1"/>
                <w:sz w:val="21"/>
              </w:rPr>
              <w:t>4,569,347.28</w:t>
            </w:r>
            <w:r>
              <w:rPr>
                <w:rFonts w:ascii="宋体"/>
                <w:sz w:val="21"/>
              </w:rPr>
            </w:r>
          </w:p>
        </w:tc>
      </w:tr>
      <w:tr>
        <w:trPr>
          <w:trHeight w:val="714"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7"/>
              <w:ind w:left="22" w:right="135"/>
              <w:jc w:val="left"/>
              <w:rPr>
                <w:rFonts w:ascii="宋体" w:hAnsi="宋体" w:cs="宋体" w:eastAsia="宋体" w:hint="default"/>
                <w:sz w:val="21"/>
                <w:szCs w:val="21"/>
              </w:rPr>
            </w:pPr>
            <w:r>
              <w:rPr>
                <w:rFonts w:ascii="宋体" w:hAnsi="宋体" w:cs="宋体" w:eastAsia="宋体" w:hint="default"/>
                <w:sz w:val="21"/>
                <w:szCs w:val="21"/>
              </w:rPr>
              <w:t>轨道交通信息集成与网 络化运营调度指挥系统</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21"/>
              <w:jc w:val="right"/>
              <w:rPr>
                <w:rFonts w:ascii="宋体" w:hAnsi="宋体" w:cs="宋体" w:eastAsia="宋体" w:hint="default"/>
                <w:sz w:val="21"/>
                <w:szCs w:val="21"/>
              </w:rPr>
            </w:pPr>
            <w:r>
              <w:rPr>
                <w:rFonts w:ascii="宋体"/>
                <w:sz w:val="21"/>
              </w:rPr>
              <w:t>3,067,539.94</w:t>
            </w:r>
          </w:p>
        </w:tc>
        <w:tc>
          <w:tcPr>
            <w:tcW w:w="568" w:type="dxa"/>
            <w:tcBorders>
              <w:top w:val="single" w:sz="4" w:space="0" w:color="000000"/>
              <w:left w:val="single" w:sz="4" w:space="0" w:color="000000"/>
              <w:bottom w:val="single" w:sz="4" w:space="0" w:color="000000"/>
              <w:right w:val="single" w:sz="4" w:space="0" w:color="000000"/>
            </w:tcBorders>
          </w:tcPr>
          <w:p>
            <w:pP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19"/>
              <w:jc w:val="right"/>
              <w:rPr>
                <w:rFonts w:ascii="宋体" w:hAnsi="宋体" w:cs="宋体" w:eastAsia="宋体" w:hint="default"/>
                <w:sz w:val="21"/>
                <w:szCs w:val="21"/>
              </w:rPr>
            </w:pPr>
            <w:r>
              <w:rPr>
                <w:rFonts w:ascii="宋体"/>
                <w:sz w:val="21"/>
              </w:rPr>
              <w:t>3,067,539.94</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21"/>
              <w:jc w:val="right"/>
              <w:rPr>
                <w:rFonts w:ascii="宋体" w:hAnsi="宋体" w:cs="宋体" w:eastAsia="宋体" w:hint="default"/>
                <w:sz w:val="21"/>
                <w:szCs w:val="21"/>
              </w:rPr>
            </w:pPr>
            <w:r>
              <w:rPr>
                <w:rFonts w:ascii="宋体"/>
                <w:sz w:val="21"/>
              </w:rPr>
              <w:t>3,067,539.94</w:t>
            </w:r>
          </w:p>
        </w:tc>
        <w:tc>
          <w:tcPr>
            <w:tcW w:w="568"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20"/>
              <w:jc w:val="right"/>
              <w:rPr>
                <w:rFonts w:ascii="宋体" w:hAnsi="宋体" w:cs="宋体" w:eastAsia="宋体" w:hint="default"/>
                <w:sz w:val="21"/>
                <w:szCs w:val="21"/>
              </w:rPr>
            </w:pPr>
            <w:r>
              <w:rPr>
                <w:rFonts w:ascii="宋体"/>
                <w:sz w:val="21"/>
              </w:rPr>
              <w:t>3,067,539.94</w:t>
            </w:r>
          </w:p>
        </w:tc>
      </w:tr>
      <w:tr>
        <w:trPr>
          <w:trHeight w:val="714"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7"/>
              <w:ind w:left="22" w:right="135"/>
              <w:jc w:val="left"/>
              <w:rPr>
                <w:rFonts w:ascii="宋体" w:hAnsi="宋体" w:cs="宋体" w:eastAsia="宋体" w:hint="default"/>
                <w:sz w:val="21"/>
                <w:szCs w:val="21"/>
              </w:rPr>
            </w:pPr>
            <w:r>
              <w:rPr>
                <w:rFonts w:ascii="宋体" w:hAnsi="宋体" w:cs="宋体" w:eastAsia="宋体" w:hint="default"/>
                <w:sz w:val="21"/>
                <w:szCs w:val="21"/>
              </w:rPr>
              <w:t>城轨自动化监控平台系 统关键技术研究与应用</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21"/>
              <w:jc w:val="right"/>
              <w:rPr>
                <w:rFonts w:ascii="宋体" w:hAnsi="宋体" w:cs="宋体" w:eastAsia="宋体" w:hint="default"/>
                <w:sz w:val="21"/>
                <w:szCs w:val="21"/>
              </w:rPr>
            </w:pPr>
            <w:r>
              <w:rPr>
                <w:rFonts w:ascii="宋体"/>
                <w:sz w:val="21"/>
              </w:rPr>
              <w:t>7,092,323.80</w:t>
            </w:r>
          </w:p>
        </w:tc>
        <w:tc>
          <w:tcPr>
            <w:tcW w:w="568" w:type="dxa"/>
            <w:tcBorders>
              <w:top w:val="single" w:sz="4" w:space="0" w:color="000000"/>
              <w:left w:val="single" w:sz="4" w:space="0" w:color="000000"/>
              <w:bottom w:val="single" w:sz="4" w:space="0" w:color="000000"/>
              <w:right w:val="single" w:sz="4" w:space="0" w:color="000000"/>
            </w:tcBorders>
          </w:tcPr>
          <w:p>
            <w:pP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19"/>
              <w:jc w:val="right"/>
              <w:rPr>
                <w:rFonts w:ascii="宋体" w:hAnsi="宋体" w:cs="宋体" w:eastAsia="宋体" w:hint="default"/>
                <w:sz w:val="21"/>
                <w:szCs w:val="21"/>
              </w:rPr>
            </w:pPr>
            <w:r>
              <w:rPr>
                <w:rFonts w:ascii="宋体"/>
                <w:sz w:val="21"/>
              </w:rPr>
              <w:t>7,092,323.80</w:t>
            </w:r>
          </w:p>
        </w:tc>
        <w:tc>
          <w:tcPr>
            <w:tcW w:w="1618"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7"/>
              <w:ind w:left="22" w:right="135"/>
              <w:jc w:val="left"/>
              <w:rPr>
                <w:rFonts w:ascii="宋体" w:hAnsi="宋体" w:cs="宋体" w:eastAsia="宋体" w:hint="default"/>
                <w:sz w:val="21"/>
                <w:szCs w:val="21"/>
              </w:rPr>
            </w:pPr>
            <w:r>
              <w:rPr>
                <w:rFonts w:ascii="宋体" w:hAnsi="宋体" w:cs="宋体" w:eastAsia="宋体" w:hint="default"/>
                <w:sz w:val="21"/>
                <w:szCs w:val="21"/>
              </w:rPr>
              <w:t>轨道交通信号智能电源 产业化项目</w:t>
            </w:r>
          </w:p>
        </w:tc>
        <w:tc>
          <w:tcPr>
            <w:tcW w:w="1560"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642"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20"/>
              <w:jc w:val="right"/>
              <w:rPr>
                <w:rFonts w:ascii="宋体" w:hAnsi="宋体" w:cs="宋体" w:eastAsia="宋体" w:hint="default"/>
                <w:sz w:val="21"/>
                <w:szCs w:val="21"/>
              </w:rPr>
            </w:pPr>
            <w:r>
              <w:rPr>
                <w:rFonts w:ascii="宋体"/>
                <w:sz w:val="21"/>
              </w:rPr>
              <w:t>54,699,996.60</w:t>
            </w:r>
          </w:p>
        </w:tc>
        <w:tc>
          <w:tcPr>
            <w:tcW w:w="568"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21"/>
              <w:jc w:val="right"/>
              <w:rPr>
                <w:rFonts w:ascii="宋体" w:hAnsi="宋体" w:cs="宋体" w:eastAsia="宋体" w:hint="default"/>
                <w:sz w:val="21"/>
                <w:szCs w:val="21"/>
              </w:rPr>
            </w:pPr>
            <w:r>
              <w:rPr>
                <w:rFonts w:ascii="宋体"/>
                <w:sz w:val="21"/>
              </w:rPr>
              <w:t>54,699,996.60</w:t>
            </w:r>
          </w:p>
        </w:tc>
      </w:tr>
      <w:tr>
        <w:trPr>
          <w:trHeight w:val="1026"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7"/>
              <w:ind w:left="22" w:right="135"/>
              <w:jc w:val="both"/>
              <w:rPr>
                <w:rFonts w:ascii="宋体" w:hAnsi="宋体" w:cs="宋体" w:eastAsia="宋体" w:hint="default"/>
                <w:sz w:val="21"/>
                <w:szCs w:val="21"/>
              </w:rPr>
            </w:pPr>
            <w:r>
              <w:rPr>
                <w:rFonts w:ascii="宋体" w:hAnsi="宋体" w:cs="宋体" w:eastAsia="宋体" w:hint="default"/>
                <w:sz w:val="21"/>
                <w:szCs w:val="21"/>
              </w:rPr>
              <w:t>成都新一驱动科技有限 责任公司新建厂房项目 工程</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right="21"/>
              <w:jc w:val="right"/>
              <w:rPr>
                <w:rFonts w:ascii="宋体" w:hAnsi="宋体" w:cs="宋体" w:eastAsia="宋体" w:hint="default"/>
                <w:sz w:val="21"/>
                <w:szCs w:val="21"/>
              </w:rPr>
            </w:pPr>
            <w:r>
              <w:rPr>
                <w:rFonts w:ascii="宋体"/>
                <w:sz w:val="21"/>
              </w:rPr>
              <w:t>9,509,498.86</w:t>
            </w:r>
          </w:p>
        </w:tc>
        <w:tc>
          <w:tcPr>
            <w:tcW w:w="568" w:type="dxa"/>
            <w:tcBorders>
              <w:top w:val="single" w:sz="4" w:space="0" w:color="000000"/>
              <w:left w:val="single" w:sz="4" w:space="0" w:color="000000"/>
              <w:bottom w:val="single" w:sz="4" w:space="0" w:color="000000"/>
              <w:right w:val="single" w:sz="4" w:space="0" w:color="000000"/>
            </w:tcBorders>
          </w:tcPr>
          <w:p>
            <w:pP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right="19"/>
              <w:jc w:val="right"/>
              <w:rPr>
                <w:rFonts w:ascii="宋体" w:hAnsi="宋体" w:cs="宋体" w:eastAsia="宋体" w:hint="default"/>
                <w:sz w:val="21"/>
                <w:szCs w:val="21"/>
              </w:rPr>
            </w:pPr>
            <w:r>
              <w:rPr>
                <w:rFonts w:ascii="宋体"/>
                <w:sz w:val="21"/>
              </w:rPr>
              <w:t>9,509,498.86</w:t>
            </w:r>
          </w:p>
        </w:tc>
        <w:tc>
          <w:tcPr>
            <w:tcW w:w="1618"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1"/>
              <w:jc w:val="right"/>
              <w:rPr>
                <w:rFonts w:ascii="宋体" w:hAnsi="宋体" w:cs="宋体" w:eastAsia="宋体" w:hint="default"/>
                <w:sz w:val="21"/>
                <w:szCs w:val="21"/>
              </w:rPr>
            </w:pPr>
            <w:r>
              <w:rPr>
                <w:rFonts w:ascii="宋体"/>
                <w:sz w:val="21"/>
              </w:rPr>
              <w:t>141,627,602.21</w:t>
            </w:r>
          </w:p>
        </w:tc>
        <w:tc>
          <w:tcPr>
            <w:tcW w:w="568" w:type="dxa"/>
            <w:tcBorders>
              <w:top w:val="single" w:sz="4" w:space="0" w:color="000000"/>
              <w:left w:val="single" w:sz="4" w:space="0" w:color="000000"/>
              <w:bottom w:val="single" w:sz="4" w:space="0" w:color="000000"/>
              <w:right w:val="single" w:sz="4" w:space="0" w:color="000000"/>
            </w:tcBorders>
          </w:tcPr>
          <w:p>
            <w:pP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9"/>
              <w:jc w:val="right"/>
              <w:rPr>
                <w:rFonts w:ascii="宋体" w:hAnsi="宋体" w:cs="宋体" w:eastAsia="宋体" w:hint="default"/>
                <w:sz w:val="21"/>
                <w:szCs w:val="21"/>
              </w:rPr>
            </w:pPr>
            <w:r>
              <w:rPr>
                <w:rFonts w:ascii="宋体"/>
                <w:spacing w:val="-1"/>
                <w:sz w:val="21"/>
              </w:rPr>
              <w:t>141,627,602.21</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1"/>
              <w:jc w:val="right"/>
              <w:rPr>
                <w:rFonts w:ascii="宋体" w:hAnsi="宋体" w:cs="宋体" w:eastAsia="宋体" w:hint="default"/>
                <w:sz w:val="21"/>
                <w:szCs w:val="21"/>
              </w:rPr>
            </w:pPr>
            <w:r>
              <w:rPr>
                <w:rFonts w:ascii="宋体"/>
                <w:sz w:val="21"/>
              </w:rPr>
              <w:t>167,456,659.41</w:t>
            </w:r>
          </w:p>
        </w:tc>
        <w:tc>
          <w:tcPr>
            <w:tcW w:w="568"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0"/>
              <w:jc w:val="right"/>
              <w:rPr>
                <w:rFonts w:ascii="宋体" w:hAnsi="宋体" w:cs="宋体" w:eastAsia="宋体" w:hint="default"/>
                <w:sz w:val="21"/>
                <w:szCs w:val="21"/>
              </w:rPr>
            </w:pPr>
            <w:r>
              <w:rPr>
                <w:rFonts w:ascii="宋体"/>
                <w:sz w:val="21"/>
              </w:rPr>
              <w:t>167,456,659.41</w:t>
            </w:r>
          </w:p>
        </w:tc>
      </w:tr>
    </w:tbl>
    <w:p>
      <w:pPr>
        <w:spacing w:line="240" w:lineRule="auto" w:before="10"/>
        <w:rPr>
          <w:rFonts w:ascii="宋体" w:hAnsi="宋体" w:cs="宋体" w:eastAsia="宋体" w:hint="default"/>
          <w:sz w:val="4"/>
          <w:szCs w:val="4"/>
        </w:rPr>
      </w:pPr>
    </w:p>
    <w:p>
      <w:pPr>
        <w:pStyle w:val="Heading2"/>
        <w:spacing w:line="240" w:lineRule="auto"/>
        <w:ind w:left="1296" w:right="1129"/>
        <w:jc w:val="left"/>
        <w:rPr>
          <w:b w:val="0"/>
          <w:bCs w:val="0"/>
        </w:rPr>
      </w:pPr>
      <w:bookmarkStart w:name="（2）重要在建工程项目本期变动情况" w:id="312"/>
      <w:bookmarkEnd w:id="312"/>
      <w:r>
        <w:rPr>
          <w:b w:val="0"/>
          <w:bCs w:val="0"/>
        </w:rPr>
      </w:r>
      <w:r>
        <w:rPr/>
        <w:t>（</w:t>
      </w:r>
      <w:r>
        <w:rPr>
          <w:rFonts w:ascii="宋体" w:hAnsi="宋体" w:cs="宋体" w:eastAsia="宋体" w:hint="default"/>
        </w:rPr>
        <w:t>2</w:t>
      </w:r>
      <w:r>
        <w:rPr/>
        <w:t>）重要在建工程项目本期变动情况</w:t>
      </w:r>
      <w:r>
        <w:rPr>
          <w:b w:val="0"/>
          <w:bCs w:val="0"/>
        </w:rPr>
      </w:r>
    </w:p>
    <w:p>
      <w:pPr>
        <w:spacing w:line="240" w:lineRule="auto" w:before="8"/>
        <w:rPr>
          <w:rFonts w:ascii="宋体" w:hAnsi="宋体" w:cs="宋体" w:eastAsia="宋体" w:hint="default"/>
          <w:b/>
          <w:bCs/>
          <w:sz w:val="12"/>
          <w:szCs w:val="12"/>
        </w:rPr>
      </w:pPr>
    </w:p>
    <w:p>
      <w:pPr>
        <w:spacing w:before="35"/>
        <w:ind w:left="0" w:right="1129" w:firstLine="0"/>
        <w:jc w:val="right"/>
        <w:rPr>
          <w:rFonts w:ascii="宋体" w:hAnsi="宋体" w:cs="宋体" w:eastAsia="宋体" w:hint="default"/>
          <w:sz w:val="21"/>
          <w:szCs w:val="21"/>
        </w:rPr>
      </w:pPr>
      <w:r>
        <w:rPr>
          <w:rFonts w:ascii="宋体" w:hAnsi="宋体" w:cs="宋体" w:eastAsia="宋体" w:hint="default"/>
          <w:sz w:val="21"/>
          <w:szCs w:val="21"/>
        </w:rPr>
        <w:t>单位： 元</w:t>
      </w:r>
    </w:p>
    <w:p>
      <w:pPr>
        <w:spacing w:line="240" w:lineRule="auto" w:before="12"/>
        <w:rPr>
          <w:rFonts w:ascii="宋体" w:hAnsi="宋体" w:cs="宋体" w:eastAsia="宋体" w:hint="default"/>
          <w:sz w:val="6"/>
          <w:szCs w:val="6"/>
        </w:rPr>
      </w:pPr>
    </w:p>
    <w:tbl>
      <w:tblPr>
        <w:tblW w:w="0" w:type="auto"/>
        <w:jc w:val="left"/>
        <w:tblInd w:w="111" w:type="dxa"/>
        <w:tblLayout w:type="fixed"/>
        <w:tblCellMar>
          <w:top w:w="0" w:type="dxa"/>
          <w:left w:w="0" w:type="dxa"/>
          <w:bottom w:w="0" w:type="dxa"/>
          <w:right w:w="0" w:type="dxa"/>
        </w:tblCellMar>
        <w:tblLook w:val="01E0"/>
      </w:tblPr>
      <w:tblGrid>
        <w:gridCol w:w="1430"/>
        <w:gridCol w:w="1111"/>
        <w:gridCol w:w="992"/>
        <w:gridCol w:w="993"/>
        <w:gridCol w:w="992"/>
        <w:gridCol w:w="567"/>
        <w:gridCol w:w="1134"/>
        <w:gridCol w:w="567"/>
        <w:gridCol w:w="425"/>
        <w:gridCol w:w="568"/>
        <w:gridCol w:w="566"/>
        <w:gridCol w:w="425"/>
        <w:gridCol w:w="481"/>
      </w:tblGrid>
      <w:tr>
        <w:trPr>
          <w:trHeight w:val="403"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283" w:right="0"/>
              <w:jc w:val="left"/>
              <w:rPr>
                <w:rFonts w:ascii="宋体" w:hAnsi="宋体" w:cs="宋体" w:eastAsia="宋体" w:hint="default"/>
                <w:sz w:val="21"/>
                <w:szCs w:val="21"/>
              </w:rPr>
            </w:pPr>
            <w:r>
              <w:rPr>
                <w:rFonts w:ascii="宋体" w:hAnsi="宋体" w:cs="宋体" w:eastAsia="宋体" w:hint="default"/>
                <w:sz w:val="21"/>
                <w:szCs w:val="21"/>
              </w:rPr>
              <w:t>项目名称</w:t>
            </w:r>
          </w:p>
        </w:tc>
        <w:tc>
          <w:tcPr>
            <w:tcW w:w="11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235" w:right="0"/>
              <w:jc w:val="left"/>
              <w:rPr>
                <w:rFonts w:ascii="宋体" w:hAnsi="宋体" w:cs="宋体" w:eastAsia="宋体" w:hint="default"/>
                <w:sz w:val="21"/>
                <w:szCs w:val="21"/>
              </w:rPr>
            </w:pPr>
            <w:r>
              <w:rPr>
                <w:rFonts w:ascii="宋体" w:hAnsi="宋体" w:cs="宋体" w:eastAsia="宋体" w:hint="default"/>
                <w:sz w:val="21"/>
                <w:szCs w:val="21"/>
              </w:rPr>
              <w:t>预算数</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71"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71"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70" w:right="0"/>
              <w:jc w:val="left"/>
              <w:rPr>
                <w:rFonts w:ascii="宋体" w:hAnsi="宋体" w:cs="宋体" w:eastAsia="宋体" w:hint="default"/>
                <w:sz w:val="21"/>
                <w:szCs w:val="21"/>
              </w:rPr>
            </w:pPr>
            <w:r>
              <w:rPr>
                <w:rFonts w:ascii="宋体" w:hAnsi="宋体" w:cs="宋体" w:eastAsia="宋体" w:hint="default"/>
                <w:sz w:val="21"/>
                <w:szCs w:val="21"/>
              </w:rPr>
              <w:t>本期转入</w:t>
            </w:r>
          </w:p>
        </w:tc>
        <w:tc>
          <w:tcPr>
            <w:tcW w:w="5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69" w:right="0"/>
              <w:jc w:val="left"/>
              <w:rPr>
                <w:rFonts w:ascii="宋体" w:hAnsi="宋体" w:cs="宋体" w:eastAsia="宋体" w:hint="default"/>
                <w:sz w:val="21"/>
                <w:szCs w:val="21"/>
              </w:rPr>
            </w:pPr>
            <w:r>
              <w:rPr>
                <w:rFonts w:ascii="宋体" w:hAnsi="宋体" w:cs="宋体" w:eastAsia="宋体" w:hint="default"/>
                <w:sz w:val="21"/>
                <w:szCs w:val="21"/>
              </w:rPr>
              <w:t>本期</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141"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5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68" w:right="0"/>
              <w:jc w:val="left"/>
              <w:rPr>
                <w:rFonts w:ascii="宋体" w:hAnsi="宋体" w:cs="宋体" w:eastAsia="宋体" w:hint="default"/>
                <w:sz w:val="21"/>
                <w:szCs w:val="21"/>
              </w:rPr>
            </w:pPr>
            <w:r>
              <w:rPr>
                <w:rFonts w:ascii="宋体" w:hAnsi="宋体" w:cs="宋体" w:eastAsia="宋体" w:hint="default"/>
                <w:sz w:val="21"/>
                <w:szCs w:val="21"/>
              </w:rPr>
              <w:t>工程</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02" w:right="0"/>
              <w:jc w:val="left"/>
              <w:rPr>
                <w:rFonts w:ascii="宋体" w:hAnsi="宋体" w:cs="宋体" w:eastAsia="宋体" w:hint="default"/>
                <w:sz w:val="21"/>
                <w:szCs w:val="21"/>
              </w:rPr>
            </w:pPr>
            <w:r>
              <w:rPr>
                <w:rFonts w:ascii="宋体" w:hAnsi="宋体" w:cs="宋体" w:eastAsia="宋体" w:hint="default"/>
                <w:sz w:val="21"/>
                <w:szCs w:val="21"/>
              </w:rPr>
              <w:t>工</w:t>
            </w:r>
          </w:p>
        </w:tc>
        <w:tc>
          <w:tcPr>
            <w:tcW w:w="5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68" w:right="0"/>
              <w:jc w:val="left"/>
              <w:rPr>
                <w:rFonts w:ascii="宋体" w:hAnsi="宋体" w:cs="宋体" w:eastAsia="宋体" w:hint="default"/>
                <w:sz w:val="21"/>
                <w:szCs w:val="21"/>
              </w:rPr>
            </w:pPr>
            <w:r>
              <w:rPr>
                <w:rFonts w:ascii="宋体" w:hAnsi="宋体" w:cs="宋体" w:eastAsia="宋体" w:hint="default"/>
                <w:sz w:val="21"/>
                <w:szCs w:val="21"/>
              </w:rPr>
              <w:t>利息</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73" w:right="0"/>
              <w:jc w:val="left"/>
              <w:rPr>
                <w:rFonts w:ascii="宋体" w:hAnsi="宋体" w:cs="宋体" w:eastAsia="宋体" w:hint="default"/>
                <w:sz w:val="21"/>
                <w:szCs w:val="21"/>
              </w:rPr>
            </w:pPr>
            <w:r>
              <w:rPr>
                <w:rFonts w:ascii="宋体" w:hAnsi="宋体" w:cs="宋体" w:eastAsia="宋体" w:hint="default"/>
                <w:sz w:val="21"/>
                <w:szCs w:val="21"/>
              </w:rPr>
              <w:t>其</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02" w:right="0"/>
              <w:jc w:val="left"/>
              <w:rPr>
                <w:rFonts w:ascii="宋体" w:hAnsi="宋体" w:cs="宋体" w:eastAsia="宋体" w:hint="default"/>
                <w:sz w:val="21"/>
                <w:szCs w:val="21"/>
              </w:rPr>
            </w:pPr>
            <w:r>
              <w:rPr>
                <w:rFonts w:ascii="宋体" w:hAnsi="宋体" w:cs="宋体" w:eastAsia="宋体" w:hint="default"/>
                <w:sz w:val="21"/>
                <w:szCs w:val="21"/>
              </w:rPr>
              <w:t>本</w:t>
            </w:r>
          </w:p>
        </w:tc>
        <w:tc>
          <w:tcPr>
            <w:tcW w:w="4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30" w:right="0"/>
              <w:jc w:val="left"/>
              <w:rPr>
                <w:rFonts w:ascii="宋体" w:hAnsi="宋体" w:cs="宋体" w:eastAsia="宋体" w:hint="default"/>
                <w:sz w:val="21"/>
                <w:szCs w:val="21"/>
              </w:rPr>
            </w:pPr>
            <w:r>
              <w:rPr>
                <w:rFonts w:ascii="宋体" w:hAnsi="宋体" w:cs="宋体" w:eastAsia="宋体" w:hint="default"/>
                <w:sz w:val="21"/>
                <w:szCs w:val="21"/>
              </w:rPr>
              <w:t>资金</w:t>
            </w:r>
          </w:p>
        </w:tc>
      </w:tr>
    </w:tbl>
    <w:p>
      <w:pPr>
        <w:spacing w:after="0" w:line="240" w:lineRule="auto"/>
        <w:jc w:val="left"/>
        <w:rPr>
          <w:rFonts w:ascii="宋体" w:hAnsi="宋体" w:cs="宋体" w:eastAsia="宋体" w:hint="default"/>
          <w:sz w:val="21"/>
          <w:szCs w:val="21"/>
        </w:rPr>
        <w:sectPr>
          <w:pgSz w:w="11910" w:h="16840"/>
          <w:pgMar w:header="747" w:footer="979" w:top="1060" w:bottom="1160" w:left="320" w:right="0"/>
        </w:sectPr>
      </w:pPr>
    </w:p>
    <w:p>
      <w:pPr>
        <w:spacing w:line="240" w:lineRule="auto" w:before="6"/>
        <w:rPr>
          <w:rFonts w:ascii="宋体" w:hAnsi="宋体" w:cs="宋体" w:eastAsia="宋体" w:hint="default"/>
          <w:sz w:val="28"/>
          <w:szCs w:val="28"/>
        </w:rPr>
      </w:pPr>
    </w:p>
    <w:tbl>
      <w:tblPr>
        <w:tblW w:w="0" w:type="auto"/>
        <w:jc w:val="left"/>
        <w:tblInd w:w="100" w:type="dxa"/>
        <w:tblLayout w:type="fixed"/>
        <w:tblCellMar>
          <w:top w:w="0" w:type="dxa"/>
          <w:left w:w="0" w:type="dxa"/>
          <w:bottom w:w="0" w:type="dxa"/>
          <w:right w:w="0" w:type="dxa"/>
        </w:tblCellMar>
        <w:tblLook w:val="01E0"/>
      </w:tblPr>
      <w:tblGrid>
        <w:gridCol w:w="1442"/>
        <w:gridCol w:w="1111"/>
        <w:gridCol w:w="992"/>
        <w:gridCol w:w="993"/>
        <w:gridCol w:w="992"/>
        <w:gridCol w:w="566"/>
        <w:gridCol w:w="1134"/>
        <w:gridCol w:w="568"/>
        <w:gridCol w:w="425"/>
        <w:gridCol w:w="566"/>
        <w:gridCol w:w="568"/>
        <w:gridCol w:w="425"/>
        <w:gridCol w:w="492"/>
      </w:tblGrid>
      <w:tr>
        <w:trPr>
          <w:trHeight w:val="2235"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1" w:lineRule="exact"/>
              <w:ind w:left="280"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固定资产</w:t>
            </w:r>
          </w:p>
          <w:p>
            <w:pPr>
              <w:pStyle w:val="TableParagraph"/>
              <w:spacing w:line="240" w:lineRule="auto" w:before="38"/>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0" w:lineRule="exact"/>
              <w:ind w:left="68" w:right="0"/>
              <w:jc w:val="left"/>
              <w:rPr>
                <w:rFonts w:ascii="宋体" w:hAnsi="宋体" w:cs="宋体" w:eastAsia="宋体" w:hint="default"/>
                <w:sz w:val="21"/>
                <w:szCs w:val="21"/>
              </w:rPr>
            </w:pPr>
            <w:r>
              <w:rPr>
                <w:rFonts w:ascii="宋体" w:hAnsi="宋体" w:cs="宋体" w:eastAsia="宋体" w:hint="default"/>
                <w:sz w:val="21"/>
                <w:szCs w:val="21"/>
              </w:rPr>
              <w:t>其他</w:t>
            </w:r>
          </w:p>
          <w:p>
            <w:pPr>
              <w:pStyle w:val="TableParagraph"/>
              <w:spacing w:line="273" w:lineRule="auto" w:before="37"/>
              <w:ind w:left="68" w:right="66"/>
              <w:jc w:val="left"/>
              <w:rPr>
                <w:rFonts w:ascii="宋体" w:hAnsi="宋体" w:cs="宋体" w:eastAsia="宋体" w:hint="default"/>
                <w:sz w:val="21"/>
                <w:szCs w:val="21"/>
              </w:rPr>
            </w:pPr>
            <w:r>
              <w:rPr>
                <w:rFonts w:ascii="宋体" w:hAnsi="宋体" w:cs="宋体" w:eastAsia="宋体" w:hint="default"/>
                <w:sz w:val="21"/>
                <w:szCs w:val="21"/>
              </w:rPr>
              <w:t>减少 金额</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0" w:lineRule="exact"/>
              <w:ind w:left="68" w:right="0"/>
              <w:jc w:val="both"/>
              <w:rPr>
                <w:rFonts w:ascii="宋体" w:hAnsi="宋体" w:cs="宋体" w:eastAsia="宋体" w:hint="default"/>
                <w:sz w:val="21"/>
                <w:szCs w:val="21"/>
              </w:rPr>
            </w:pPr>
            <w:r>
              <w:rPr>
                <w:rFonts w:ascii="宋体" w:hAnsi="宋体" w:cs="宋体" w:eastAsia="宋体" w:hint="default"/>
                <w:sz w:val="21"/>
                <w:szCs w:val="21"/>
              </w:rPr>
              <w:t>累计</w:t>
            </w:r>
          </w:p>
          <w:p>
            <w:pPr>
              <w:pStyle w:val="TableParagraph"/>
              <w:spacing w:line="273" w:lineRule="auto" w:before="37"/>
              <w:ind w:left="68" w:right="69"/>
              <w:jc w:val="both"/>
              <w:rPr>
                <w:rFonts w:ascii="宋体" w:hAnsi="宋体" w:cs="宋体" w:eastAsia="宋体" w:hint="default"/>
                <w:sz w:val="21"/>
                <w:szCs w:val="21"/>
              </w:rPr>
            </w:pPr>
            <w:r>
              <w:rPr>
                <w:rFonts w:ascii="宋体" w:hAnsi="宋体" w:cs="宋体" w:eastAsia="宋体" w:hint="default"/>
                <w:sz w:val="21"/>
                <w:szCs w:val="21"/>
              </w:rPr>
              <w:t>投入 占预 算比 例</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0" w:lineRule="exact"/>
              <w:ind w:left="101" w:right="0"/>
              <w:jc w:val="left"/>
              <w:rPr>
                <w:rFonts w:ascii="宋体" w:hAnsi="宋体" w:cs="宋体" w:eastAsia="宋体" w:hint="default"/>
                <w:sz w:val="21"/>
                <w:szCs w:val="21"/>
              </w:rPr>
            </w:pPr>
            <w:r>
              <w:rPr>
                <w:rFonts w:ascii="宋体" w:hAnsi="宋体" w:cs="宋体" w:eastAsia="宋体" w:hint="default"/>
                <w:sz w:val="21"/>
                <w:szCs w:val="21"/>
              </w:rPr>
              <w:t>程</w:t>
            </w:r>
          </w:p>
          <w:p>
            <w:pPr>
              <w:pStyle w:val="TableParagraph"/>
              <w:spacing w:line="273" w:lineRule="auto" w:before="37"/>
              <w:ind w:left="101" w:right="101"/>
              <w:jc w:val="left"/>
              <w:rPr>
                <w:rFonts w:ascii="宋体" w:hAnsi="宋体" w:cs="宋体" w:eastAsia="宋体" w:hint="default"/>
                <w:sz w:val="21"/>
                <w:szCs w:val="21"/>
              </w:rPr>
            </w:pPr>
            <w:r>
              <w:rPr>
                <w:rFonts w:ascii="宋体" w:hAnsi="宋体" w:cs="宋体" w:eastAsia="宋体" w:hint="default"/>
                <w:sz w:val="21"/>
                <w:szCs w:val="21"/>
              </w:rPr>
              <w:t>进 度</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0" w:lineRule="exact"/>
              <w:ind w:left="68" w:right="0"/>
              <w:jc w:val="both"/>
              <w:rPr>
                <w:rFonts w:ascii="宋体" w:hAnsi="宋体" w:cs="宋体" w:eastAsia="宋体" w:hint="default"/>
                <w:sz w:val="21"/>
                <w:szCs w:val="21"/>
              </w:rPr>
            </w:pPr>
            <w:r>
              <w:rPr>
                <w:rFonts w:ascii="宋体" w:hAnsi="宋体" w:cs="宋体" w:eastAsia="宋体" w:hint="default"/>
                <w:sz w:val="21"/>
                <w:szCs w:val="21"/>
              </w:rPr>
              <w:t>资本</w:t>
            </w:r>
          </w:p>
          <w:p>
            <w:pPr>
              <w:pStyle w:val="TableParagraph"/>
              <w:spacing w:line="273" w:lineRule="auto" w:before="37"/>
              <w:ind w:left="68" w:right="66"/>
              <w:jc w:val="both"/>
              <w:rPr>
                <w:rFonts w:ascii="宋体" w:hAnsi="宋体" w:cs="宋体" w:eastAsia="宋体" w:hint="default"/>
                <w:sz w:val="21"/>
                <w:szCs w:val="21"/>
              </w:rPr>
            </w:pPr>
            <w:r>
              <w:rPr>
                <w:rFonts w:ascii="宋体" w:hAnsi="宋体" w:cs="宋体" w:eastAsia="宋体" w:hint="default"/>
                <w:sz w:val="21"/>
                <w:szCs w:val="21"/>
              </w:rPr>
              <w:t>化累 计金 额</w:t>
            </w:r>
          </w:p>
        </w:tc>
        <w:tc>
          <w:tcPr>
            <w:tcW w:w="5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0" w:lineRule="exact"/>
              <w:ind w:left="69" w:right="0"/>
              <w:jc w:val="both"/>
              <w:rPr>
                <w:rFonts w:ascii="宋体" w:hAnsi="宋体" w:cs="宋体" w:eastAsia="宋体" w:hint="default"/>
                <w:sz w:val="21"/>
                <w:szCs w:val="21"/>
              </w:rPr>
            </w:pPr>
            <w:r>
              <w:rPr>
                <w:rFonts w:ascii="宋体" w:hAnsi="宋体" w:cs="宋体" w:eastAsia="宋体" w:hint="default"/>
                <w:sz w:val="21"/>
                <w:szCs w:val="21"/>
              </w:rPr>
              <w:t>中：</w:t>
            </w:r>
          </w:p>
          <w:p>
            <w:pPr>
              <w:pStyle w:val="TableParagraph"/>
              <w:spacing w:line="273" w:lineRule="auto" w:before="37"/>
              <w:ind w:left="69" w:right="66"/>
              <w:jc w:val="both"/>
              <w:rPr>
                <w:rFonts w:ascii="宋体" w:hAnsi="宋体" w:cs="宋体" w:eastAsia="宋体" w:hint="default"/>
                <w:sz w:val="21"/>
                <w:szCs w:val="21"/>
              </w:rPr>
            </w:pPr>
            <w:r>
              <w:rPr>
                <w:rFonts w:ascii="宋体" w:hAnsi="宋体" w:cs="宋体" w:eastAsia="宋体" w:hint="default"/>
                <w:sz w:val="21"/>
                <w:szCs w:val="21"/>
              </w:rPr>
              <w:t>本期 利息 资本 化金 额</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0" w:lineRule="exact"/>
              <w:ind w:left="101" w:right="0"/>
              <w:jc w:val="both"/>
              <w:rPr>
                <w:rFonts w:ascii="宋体" w:hAnsi="宋体" w:cs="宋体" w:eastAsia="宋体" w:hint="default"/>
                <w:sz w:val="21"/>
                <w:szCs w:val="21"/>
              </w:rPr>
            </w:pPr>
            <w:r>
              <w:rPr>
                <w:rFonts w:ascii="宋体" w:hAnsi="宋体" w:cs="宋体" w:eastAsia="宋体" w:hint="default"/>
                <w:sz w:val="21"/>
                <w:szCs w:val="21"/>
              </w:rPr>
              <w:t>期</w:t>
            </w:r>
          </w:p>
          <w:p>
            <w:pPr>
              <w:pStyle w:val="TableParagraph"/>
              <w:spacing w:line="273" w:lineRule="auto" w:before="37"/>
              <w:ind w:left="101" w:right="101"/>
              <w:jc w:val="both"/>
              <w:rPr>
                <w:rFonts w:ascii="宋体" w:hAnsi="宋体" w:cs="宋体" w:eastAsia="宋体" w:hint="default"/>
                <w:sz w:val="21"/>
                <w:szCs w:val="21"/>
              </w:rPr>
            </w:pPr>
            <w:r>
              <w:rPr>
                <w:rFonts w:ascii="宋体" w:hAnsi="宋体" w:cs="宋体" w:eastAsia="宋体" w:hint="default"/>
                <w:sz w:val="21"/>
                <w:szCs w:val="21"/>
              </w:rPr>
              <w:t>利 息 资 本 化 率</w:t>
            </w:r>
          </w:p>
        </w:tc>
        <w:tc>
          <w:tcPr>
            <w:tcW w:w="4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1" w:lineRule="exact"/>
              <w:ind w:left="30" w:right="0"/>
              <w:jc w:val="left"/>
              <w:rPr>
                <w:rFonts w:ascii="宋体" w:hAnsi="宋体" w:cs="宋体" w:eastAsia="宋体" w:hint="default"/>
                <w:sz w:val="21"/>
                <w:szCs w:val="21"/>
              </w:rPr>
            </w:pPr>
            <w:r>
              <w:rPr>
                <w:rFonts w:ascii="宋体" w:hAnsi="宋体" w:cs="宋体" w:eastAsia="宋体" w:hint="default"/>
                <w:sz w:val="21"/>
                <w:szCs w:val="21"/>
              </w:rPr>
              <w:t>来源</w:t>
            </w:r>
          </w:p>
        </w:tc>
      </w:tr>
      <w:tr>
        <w:trPr>
          <w:trHeight w:val="1338" w:hRule="exact"/>
        </w:trPr>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73" w:lineRule="auto"/>
              <w:ind w:left="22" w:right="147"/>
              <w:jc w:val="left"/>
              <w:rPr>
                <w:rFonts w:ascii="宋体" w:hAnsi="宋体" w:cs="宋体" w:eastAsia="宋体" w:hint="default"/>
                <w:sz w:val="21"/>
                <w:szCs w:val="21"/>
              </w:rPr>
            </w:pPr>
            <w:r>
              <w:rPr>
                <w:rFonts w:ascii="宋体" w:hAnsi="宋体" w:cs="宋体" w:eastAsia="宋体" w:hint="default"/>
                <w:sz w:val="21"/>
                <w:szCs w:val="21"/>
              </w:rPr>
              <w:t>工程主体</w:t>
            </w:r>
            <w:r>
              <w:rPr>
                <w:rFonts w:ascii="宋体" w:hAnsi="宋体" w:cs="宋体" w:eastAsia="宋体" w:hint="default"/>
                <w:sz w:val="21"/>
                <w:szCs w:val="21"/>
              </w:rPr>
              <w:t>--</w:t>
            </w:r>
            <w:r>
              <w:rPr>
                <w:rFonts w:ascii="宋体" w:hAnsi="宋体" w:cs="宋体" w:eastAsia="宋体" w:hint="default"/>
                <w:sz w:val="21"/>
                <w:szCs w:val="21"/>
              </w:rPr>
              <w:t>新 厂区</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left="27" w:right="0"/>
              <w:jc w:val="left"/>
              <w:rPr>
                <w:rFonts w:ascii="宋体" w:hAnsi="宋体" w:cs="宋体" w:eastAsia="宋体" w:hint="default"/>
                <w:sz w:val="21"/>
                <w:szCs w:val="21"/>
              </w:rPr>
            </w:pPr>
            <w:r>
              <w:rPr>
                <w:rFonts w:ascii="宋体"/>
                <w:sz w:val="21"/>
              </w:rPr>
              <w:t>500,000,00</w:t>
            </w:r>
          </w:p>
          <w:p>
            <w:pPr>
              <w:pStyle w:val="TableParagraph"/>
              <w:spacing w:line="240" w:lineRule="auto" w:before="37"/>
              <w:ind w:left="657" w:right="0"/>
              <w:jc w:val="left"/>
              <w:rPr>
                <w:rFonts w:ascii="宋体" w:hAnsi="宋体" w:cs="宋体" w:eastAsia="宋体" w:hint="default"/>
                <w:sz w:val="21"/>
                <w:szCs w:val="21"/>
              </w:rPr>
            </w:pPr>
            <w:r>
              <w:rPr>
                <w:rFonts w:ascii="宋体"/>
                <w:sz w:val="21"/>
              </w:rPr>
              <w:t>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left="118" w:right="0"/>
              <w:jc w:val="left"/>
              <w:rPr>
                <w:rFonts w:ascii="宋体" w:hAnsi="宋体" w:cs="宋体" w:eastAsia="宋体" w:hint="default"/>
                <w:sz w:val="21"/>
                <w:szCs w:val="21"/>
              </w:rPr>
            </w:pPr>
            <w:r>
              <w:rPr>
                <w:rFonts w:ascii="宋体"/>
                <w:sz w:val="21"/>
              </w:rPr>
              <w:t>24,227,2</w:t>
            </w:r>
          </w:p>
          <w:p>
            <w:pPr>
              <w:pStyle w:val="TableParagraph"/>
              <w:spacing w:line="240" w:lineRule="auto" w:before="37"/>
              <w:ind w:left="434" w:right="0"/>
              <w:jc w:val="left"/>
              <w:rPr>
                <w:rFonts w:ascii="宋体" w:hAnsi="宋体" w:cs="宋体" w:eastAsia="宋体" w:hint="default"/>
                <w:sz w:val="21"/>
                <w:szCs w:val="21"/>
              </w:rPr>
            </w:pPr>
            <w:r>
              <w:rPr>
                <w:rFonts w:ascii="宋体"/>
                <w:sz w:val="21"/>
              </w:rPr>
              <w:t>76.24</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21"/>
              <w:jc w:val="right"/>
              <w:rPr>
                <w:rFonts w:ascii="宋体" w:hAnsi="宋体" w:cs="宋体" w:eastAsia="宋体" w:hint="default"/>
                <w:sz w:val="21"/>
                <w:szCs w:val="21"/>
              </w:rPr>
            </w:pPr>
            <w:r>
              <w:rPr>
                <w:rFonts w:ascii="宋体"/>
                <w:sz w:val="21"/>
              </w:rPr>
              <w:t>440,072.</w:t>
            </w:r>
          </w:p>
          <w:p>
            <w:pPr>
              <w:pStyle w:val="TableParagraph"/>
              <w:spacing w:line="240" w:lineRule="auto" w:before="37"/>
              <w:ind w:right="21"/>
              <w:jc w:val="right"/>
              <w:rPr>
                <w:rFonts w:ascii="宋体" w:hAnsi="宋体" w:cs="宋体" w:eastAsia="宋体" w:hint="default"/>
                <w:sz w:val="21"/>
                <w:szCs w:val="21"/>
              </w:rPr>
            </w:pPr>
            <w:r>
              <w:rPr>
                <w:rFonts w:ascii="宋体"/>
                <w:sz w:val="21"/>
              </w:rPr>
              <w:t>52</w:t>
            </w:r>
          </w:p>
        </w:tc>
        <w:tc>
          <w:tcPr>
            <w:tcW w:w="992"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23"/>
              <w:jc w:val="right"/>
              <w:rPr>
                <w:rFonts w:ascii="宋体" w:hAnsi="宋体" w:cs="宋体" w:eastAsia="宋体" w:hint="default"/>
                <w:sz w:val="21"/>
                <w:szCs w:val="21"/>
              </w:rPr>
            </w:pPr>
            <w:r>
              <w:rPr>
                <w:rFonts w:ascii="宋体"/>
                <w:sz w:val="21"/>
              </w:rPr>
              <w:t>24,667,348</w:t>
            </w:r>
          </w:p>
          <w:p>
            <w:pPr>
              <w:pStyle w:val="TableParagraph"/>
              <w:spacing w:line="240" w:lineRule="auto" w:before="37"/>
              <w:ind w:right="21"/>
              <w:jc w:val="right"/>
              <w:rPr>
                <w:rFonts w:ascii="宋体" w:hAnsi="宋体" w:cs="宋体" w:eastAsia="宋体" w:hint="default"/>
                <w:sz w:val="21"/>
                <w:szCs w:val="21"/>
              </w:rPr>
            </w:pPr>
            <w:r>
              <w:rPr>
                <w:rFonts w:ascii="宋体"/>
                <w:sz w:val="21"/>
              </w:rPr>
              <w:t>.76</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left="113" w:right="0"/>
              <w:jc w:val="left"/>
              <w:rPr>
                <w:rFonts w:ascii="宋体" w:hAnsi="宋体" w:cs="宋体" w:eastAsia="宋体" w:hint="default"/>
                <w:sz w:val="21"/>
                <w:szCs w:val="21"/>
              </w:rPr>
            </w:pPr>
            <w:r>
              <w:rPr>
                <w:rFonts w:ascii="宋体"/>
                <w:sz w:val="21"/>
              </w:rPr>
              <w:t>12.8</w:t>
            </w:r>
          </w:p>
          <w:p>
            <w:pPr>
              <w:pStyle w:val="TableParagraph"/>
              <w:spacing w:line="240" w:lineRule="auto" w:before="37"/>
              <w:ind w:left="323" w:right="0"/>
              <w:jc w:val="left"/>
              <w:rPr>
                <w:rFonts w:ascii="宋体" w:hAnsi="宋体" w:cs="宋体" w:eastAsia="宋体" w:hint="default"/>
                <w:sz w:val="21"/>
                <w:szCs w:val="21"/>
              </w:rPr>
            </w:pPr>
            <w:r>
              <w:rPr>
                <w:rFonts w:ascii="宋体"/>
                <w:sz w:val="21"/>
              </w:rPr>
              <w:t>1%</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left="22" w:right="0"/>
              <w:jc w:val="left"/>
              <w:rPr>
                <w:rFonts w:ascii="宋体" w:hAnsi="宋体" w:cs="宋体" w:eastAsia="宋体" w:hint="default"/>
                <w:sz w:val="21"/>
                <w:szCs w:val="21"/>
              </w:rPr>
            </w:pPr>
            <w:r>
              <w:rPr>
                <w:rFonts w:ascii="宋体"/>
                <w:sz w:val="21"/>
              </w:rPr>
              <w:t>12.</w:t>
            </w:r>
          </w:p>
          <w:p>
            <w:pPr>
              <w:pStyle w:val="TableParagraph"/>
              <w:spacing w:line="240" w:lineRule="auto" w:before="37"/>
              <w:ind w:left="22" w:right="0"/>
              <w:jc w:val="left"/>
              <w:rPr>
                <w:rFonts w:ascii="宋体" w:hAnsi="宋体" w:cs="宋体" w:eastAsia="宋体" w:hint="default"/>
                <w:sz w:val="21"/>
                <w:szCs w:val="21"/>
              </w:rPr>
            </w:pPr>
            <w:r>
              <w:rPr>
                <w:rFonts w:ascii="宋体"/>
                <w:sz w:val="21"/>
              </w:rPr>
              <w:t>81%</w:t>
            </w: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自筹</w:t>
            </w:r>
          </w:p>
          <w:p>
            <w:pPr>
              <w:pStyle w:val="TableParagraph"/>
              <w:spacing w:line="319" w:lineRule="auto" w:before="75"/>
              <w:ind w:left="22" w:right="97"/>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募 集资 金</w:t>
            </w:r>
          </w:p>
        </w:tc>
      </w:tr>
      <w:tr>
        <w:trPr>
          <w:trHeight w:val="1338" w:hRule="exact"/>
        </w:trPr>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73" w:lineRule="auto"/>
              <w:ind w:left="22" w:right="147"/>
              <w:jc w:val="left"/>
              <w:rPr>
                <w:rFonts w:ascii="宋体" w:hAnsi="宋体" w:cs="宋体" w:eastAsia="宋体" w:hint="default"/>
                <w:sz w:val="21"/>
                <w:szCs w:val="21"/>
              </w:rPr>
            </w:pPr>
            <w:r>
              <w:rPr>
                <w:rFonts w:ascii="宋体" w:hAnsi="宋体" w:cs="宋体" w:eastAsia="宋体" w:hint="default"/>
                <w:sz w:val="21"/>
                <w:szCs w:val="21"/>
              </w:rPr>
              <w:t>轨道交通运营 安全服务系统</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left="27" w:right="0"/>
              <w:jc w:val="left"/>
              <w:rPr>
                <w:rFonts w:ascii="宋体" w:hAnsi="宋体" w:cs="宋体" w:eastAsia="宋体" w:hint="default"/>
                <w:sz w:val="21"/>
                <w:szCs w:val="21"/>
              </w:rPr>
            </w:pPr>
            <w:r>
              <w:rPr>
                <w:rFonts w:ascii="宋体"/>
                <w:sz w:val="21"/>
              </w:rPr>
              <w:t>240,342,00</w:t>
            </w:r>
          </w:p>
          <w:p>
            <w:pPr>
              <w:pStyle w:val="TableParagraph"/>
              <w:spacing w:line="240" w:lineRule="auto" w:before="37"/>
              <w:ind w:left="657" w:right="0"/>
              <w:jc w:val="left"/>
              <w:rPr>
                <w:rFonts w:ascii="宋体" w:hAnsi="宋体" w:cs="宋体" w:eastAsia="宋体" w:hint="default"/>
                <w:sz w:val="21"/>
                <w:szCs w:val="21"/>
              </w:rPr>
            </w:pPr>
            <w:r>
              <w:rPr>
                <w:rFonts w:ascii="宋体"/>
                <w:sz w:val="21"/>
              </w:rPr>
              <w:t>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left="118" w:right="0"/>
              <w:jc w:val="left"/>
              <w:rPr>
                <w:rFonts w:ascii="宋体" w:hAnsi="宋体" w:cs="宋体" w:eastAsia="宋体" w:hint="default"/>
                <w:sz w:val="21"/>
                <w:szCs w:val="21"/>
              </w:rPr>
            </w:pPr>
            <w:r>
              <w:rPr>
                <w:rFonts w:ascii="宋体"/>
                <w:sz w:val="21"/>
              </w:rPr>
              <w:t>80,892,4</w:t>
            </w:r>
          </w:p>
          <w:p>
            <w:pPr>
              <w:pStyle w:val="TableParagraph"/>
              <w:spacing w:line="240" w:lineRule="auto" w:before="37"/>
              <w:ind w:left="434" w:right="0"/>
              <w:jc w:val="left"/>
              <w:rPr>
                <w:rFonts w:ascii="宋体" w:hAnsi="宋体" w:cs="宋体" w:eastAsia="宋体" w:hint="default"/>
                <w:sz w:val="21"/>
                <w:szCs w:val="21"/>
              </w:rPr>
            </w:pPr>
            <w:r>
              <w:rPr>
                <w:rFonts w:ascii="宋体"/>
                <w:sz w:val="21"/>
              </w:rPr>
              <w:t>99.35</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left="120" w:right="0"/>
              <w:jc w:val="left"/>
              <w:rPr>
                <w:rFonts w:ascii="宋体" w:hAnsi="宋体" w:cs="宋体" w:eastAsia="宋体" w:hint="default"/>
                <w:sz w:val="21"/>
                <w:szCs w:val="21"/>
              </w:rPr>
            </w:pPr>
            <w:r>
              <w:rPr>
                <w:rFonts w:ascii="宋体"/>
                <w:sz w:val="21"/>
              </w:rPr>
              <w:t>10,780,7</w:t>
            </w:r>
          </w:p>
          <w:p>
            <w:pPr>
              <w:pStyle w:val="TableParagraph"/>
              <w:spacing w:line="240" w:lineRule="auto" w:before="37"/>
              <w:ind w:left="435" w:right="0"/>
              <w:jc w:val="left"/>
              <w:rPr>
                <w:rFonts w:ascii="宋体" w:hAnsi="宋体" w:cs="宋体" w:eastAsia="宋体" w:hint="default"/>
                <w:sz w:val="21"/>
                <w:szCs w:val="21"/>
              </w:rPr>
            </w:pPr>
            <w:r>
              <w:rPr>
                <w:rFonts w:ascii="宋体"/>
                <w:sz w:val="21"/>
              </w:rPr>
              <w:t>10.90</w:t>
            </w:r>
          </w:p>
        </w:tc>
        <w:tc>
          <w:tcPr>
            <w:tcW w:w="992"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23"/>
              <w:jc w:val="right"/>
              <w:rPr>
                <w:rFonts w:ascii="宋体" w:hAnsi="宋体" w:cs="宋体" w:eastAsia="宋体" w:hint="default"/>
                <w:sz w:val="21"/>
                <w:szCs w:val="21"/>
              </w:rPr>
            </w:pPr>
            <w:r>
              <w:rPr>
                <w:rFonts w:ascii="宋体"/>
                <w:sz w:val="21"/>
              </w:rPr>
              <w:t>91,673,210</w:t>
            </w:r>
          </w:p>
          <w:p>
            <w:pPr>
              <w:pStyle w:val="TableParagraph"/>
              <w:spacing w:line="240" w:lineRule="auto" w:before="37"/>
              <w:ind w:right="21"/>
              <w:jc w:val="right"/>
              <w:rPr>
                <w:rFonts w:ascii="宋体" w:hAnsi="宋体" w:cs="宋体" w:eastAsia="宋体" w:hint="default"/>
                <w:sz w:val="21"/>
                <w:szCs w:val="21"/>
              </w:rPr>
            </w:pPr>
            <w:r>
              <w:rPr>
                <w:rFonts w:ascii="宋体"/>
                <w:sz w:val="21"/>
              </w:rPr>
              <w:t>.25</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left="113" w:right="0"/>
              <w:jc w:val="left"/>
              <w:rPr>
                <w:rFonts w:ascii="宋体" w:hAnsi="宋体" w:cs="宋体" w:eastAsia="宋体" w:hint="default"/>
                <w:sz w:val="21"/>
                <w:szCs w:val="21"/>
              </w:rPr>
            </w:pPr>
            <w:r>
              <w:rPr>
                <w:rFonts w:ascii="宋体"/>
                <w:sz w:val="21"/>
              </w:rPr>
              <w:t>38.1</w:t>
            </w:r>
          </w:p>
          <w:p>
            <w:pPr>
              <w:pStyle w:val="TableParagraph"/>
              <w:spacing w:line="240" w:lineRule="auto" w:before="37"/>
              <w:ind w:left="323" w:right="0"/>
              <w:jc w:val="left"/>
              <w:rPr>
                <w:rFonts w:ascii="宋体" w:hAnsi="宋体" w:cs="宋体" w:eastAsia="宋体" w:hint="default"/>
                <w:sz w:val="21"/>
                <w:szCs w:val="21"/>
              </w:rPr>
            </w:pPr>
            <w:r>
              <w:rPr>
                <w:rFonts w:ascii="宋体"/>
                <w:sz w:val="21"/>
              </w:rPr>
              <w:t>4%</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left="22" w:right="0"/>
              <w:jc w:val="left"/>
              <w:rPr>
                <w:rFonts w:ascii="宋体" w:hAnsi="宋体" w:cs="宋体" w:eastAsia="宋体" w:hint="default"/>
                <w:sz w:val="21"/>
                <w:szCs w:val="21"/>
              </w:rPr>
            </w:pPr>
            <w:r>
              <w:rPr>
                <w:rFonts w:ascii="宋体"/>
                <w:sz w:val="21"/>
              </w:rPr>
              <w:t>38.</w:t>
            </w:r>
          </w:p>
          <w:p>
            <w:pPr>
              <w:pStyle w:val="TableParagraph"/>
              <w:spacing w:line="240" w:lineRule="auto" w:before="37"/>
              <w:ind w:left="22" w:right="0"/>
              <w:jc w:val="left"/>
              <w:rPr>
                <w:rFonts w:ascii="宋体" w:hAnsi="宋体" w:cs="宋体" w:eastAsia="宋体" w:hint="default"/>
                <w:sz w:val="21"/>
                <w:szCs w:val="21"/>
              </w:rPr>
            </w:pPr>
            <w:r>
              <w:rPr>
                <w:rFonts w:ascii="宋体"/>
                <w:sz w:val="21"/>
              </w:rPr>
              <w:t>14%</w:t>
            </w: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自筹</w:t>
            </w:r>
          </w:p>
          <w:p>
            <w:pPr>
              <w:pStyle w:val="TableParagraph"/>
              <w:spacing w:line="319" w:lineRule="auto" w:before="75"/>
              <w:ind w:left="22" w:right="97"/>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募 集资 金</w:t>
            </w:r>
          </w:p>
        </w:tc>
      </w:tr>
      <w:tr>
        <w:trPr>
          <w:trHeight w:val="1338" w:hRule="exact"/>
        </w:trPr>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2" w:right="147"/>
              <w:jc w:val="both"/>
              <w:rPr>
                <w:rFonts w:ascii="宋体" w:hAnsi="宋体" w:cs="宋体" w:eastAsia="宋体" w:hint="default"/>
                <w:sz w:val="21"/>
                <w:szCs w:val="21"/>
              </w:rPr>
            </w:pPr>
            <w:r>
              <w:rPr>
                <w:rFonts w:ascii="宋体" w:hAnsi="宋体" w:cs="宋体" w:eastAsia="宋体" w:hint="default"/>
                <w:sz w:val="21"/>
                <w:szCs w:val="21"/>
              </w:rPr>
              <w:t>北斗铁路列车 卫星定位与辅 助预警系统应 用示范</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23"/>
              <w:jc w:val="right"/>
              <w:rPr>
                <w:rFonts w:ascii="宋体" w:hAnsi="宋体" w:cs="宋体" w:eastAsia="宋体" w:hint="default"/>
                <w:sz w:val="21"/>
                <w:szCs w:val="21"/>
              </w:rPr>
            </w:pPr>
            <w:r>
              <w:rPr>
                <w:rFonts w:ascii="宋体"/>
                <w:sz w:val="21"/>
              </w:rPr>
              <w:t>34,013,000</w:t>
            </w:r>
          </w:p>
          <w:p>
            <w:pPr>
              <w:pStyle w:val="TableParagraph"/>
              <w:spacing w:line="240" w:lineRule="auto" w:before="37"/>
              <w:ind w:right="21"/>
              <w:jc w:val="right"/>
              <w:rPr>
                <w:rFonts w:ascii="宋体" w:hAnsi="宋体" w:cs="宋体" w:eastAsia="宋体" w:hint="default"/>
                <w:sz w:val="21"/>
                <w:szCs w:val="21"/>
              </w:rPr>
            </w:pPr>
            <w:r>
              <w:rPr>
                <w:rFonts w:ascii="宋体"/>
                <w:sz w:val="21"/>
              </w:rPr>
              <w:t>.00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left="118" w:right="0"/>
              <w:jc w:val="left"/>
              <w:rPr>
                <w:rFonts w:ascii="宋体" w:hAnsi="宋体" w:cs="宋体" w:eastAsia="宋体" w:hint="default"/>
                <w:sz w:val="21"/>
                <w:szCs w:val="21"/>
              </w:rPr>
            </w:pPr>
            <w:r>
              <w:rPr>
                <w:rFonts w:ascii="宋体"/>
                <w:sz w:val="21"/>
              </w:rPr>
              <w:t>4,569,34</w:t>
            </w:r>
          </w:p>
          <w:p>
            <w:pPr>
              <w:pStyle w:val="TableParagraph"/>
              <w:spacing w:line="240" w:lineRule="auto" w:before="37"/>
              <w:ind w:left="538" w:right="0"/>
              <w:jc w:val="left"/>
              <w:rPr>
                <w:rFonts w:ascii="宋体" w:hAnsi="宋体" w:cs="宋体" w:eastAsia="宋体" w:hint="default"/>
                <w:sz w:val="21"/>
                <w:szCs w:val="21"/>
              </w:rPr>
            </w:pPr>
            <w:r>
              <w:rPr>
                <w:rFonts w:ascii="宋体"/>
                <w:sz w:val="21"/>
              </w:rPr>
              <w:t>7.28</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left="120" w:right="0"/>
              <w:jc w:val="left"/>
              <w:rPr>
                <w:rFonts w:ascii="宋体" w:hAnsi="宋体" w:cs="宋体" w:eastAsia="宋体" w:hint="default"/>
                <w:sz w:val="21"/>
                <w:szCs w:val="21"/>
              </w:rPr>
            </w:pPr>
            <w:r>
              <w:rPr>
                <w:rFonts w:ascii="宋体"/>
                <w:sz w:val="21"/>
              </w:rPr>
              <w:t>1,048,33</w:t>
            </w:r>
          </w:p>
          <w:p>
            <w:pPr>
              <w:pStyle w:val="TableParagraph"/>
              <w:spacing w:line="240" w:lineRule="auto" w:before="37"/>
              <w:ind w:left="540" w:right="0"/>
              <w:jc w:val="left"/>
              <w:rPr>
                <w:rFonts w:ascii="宋体" w:hAnsi="宋体" w:cs="宋体" w:eastAsia="宋体" w:hint="default"/>
                <w:sz w:val="21"/>
                <w:szCs w:val="21"/>
              </w:rPr>
            </w:pPr>
            <w:r>
              <w:rPr>
                <w:rFonts w:ascii="宋体"/>
                <w:sz w:val="21"/>
              </w:rPr>
              <w:t>3.32</w:t>
            </w:r>
          </w:p>
        </w:tc>
        <w:tc>
          <w:tcPr>
            <w:tcW w:w="992"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23"/>
              <w:jc w:val="right"/>
              <w:rPr>
                <w:rFonts w:ascii="宋体" w:hAnsi="宋体" w:cs="宋体" w:eastAsia="宋体" w:hint="default"/>
                <w:sz w:val="21"/>
                <w:szCs w:val="21"/>
              </w:rPr>
            </w:pPr>
            <w:r>
              <w:rPr>
                <w:rFonts w:ascii="宋体"/>
                <w:sz w:val="21"/>
              </w:rPr>
              <w:t>5,617,680.</w:t>
            </w:r>
          </w:p>
          <w:p>
            <w:pPr>
              <w:pStyle w:val="TableParagraph"/>
              <w:spacing w:line="240" w:lineRule="auto" w:before="37"/>
              <w:ind w:right="20"/>
              <w:jc w:val="right"/>
              <w:rPr>
                <w:rFonts w:ascii="宋体" w:hAnsi="宋体" w:cs="宋体" w:eastAsia="宋体" w:hint="default"/>
                <w:sz w:val="21"/>
                <w:szCs w:val="21"/>
              </w:rPr>
            </w:pPr>
            <w:r>
              <w:rPr>
                <w:rFonts w:ascii="宋体"/>
                <w:sz w:val="21"/>
              </w:rPr>
              <w:t>60</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left="113" w:right="0"/>
              <w:jc w:val="left"/>
              <w:rPr>
                <w:rFonts w:ascii="宋体" w:hAnsi="宋体" w:cs="宋体" w:eastAsia="宋体" w:hint="default"/>
                <w:sz w:val="21"/>
                <w:szCs w:val="21"/>
              </w:rPr>
            </w:pPr>
            <w:r>
              <w:rPr>
                <w:rFonts w:ascii="宋体"/>
                <w:sz w:val="21"/>
              </w:rPr>
              <w:t>16.5</w:t>
            </w:r>
          </w:p>
          <w:p>
            <w:pPr>
              <w:pStyle w:val="TableParagraph"/>
              <w:spacing w:line="240" w:lineRule="auto" w:before="37"/>
              <w:ind w:left="323" w:right="0"/>
              <w:jc w:val="left"/>
              <w:rPr>
                <w:rFonts w:ascii="宋体" w:hAnsi="宋体" w:cs="宋体" w:eastAsia="宋体" w:hint="default"/>
                <w:sz w:val="21"/>
                <w:szCs w:val="21"/>
              </w:rPr>
            </w:pPr>
            <w:r>
              <w:rPr>
                <w:rFonts w:ascii="宋体"/>
                <w:sz w:val="21"/>
              </w:rPr>
              <w:t>2%</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left="22" w:right="0"/>
              <w:jc w:val="left"/>
              <w:rPr>
                <w:rFonts w:ascii="宋体" w:hAnsi="宋体" w:cs="宋体" w:eastAsia="宋体" w:hint="default"/>
                <w:sz w:val="21"/>
                <w:szCs w:val="21"/>
              </w:rPr>
            </w:pPr>
            <w:r>
              <w:rPr>
                <w:rFonts w:ascii="宋体"/>
                <w:sz w:val="21"/>
              </w:rPr>
              <w:t>16.</w:t>
            </w:r>
          </w:p>
          <w:p>
            <w:pPr>
              <w:pStyle w:val="TableParagraph"/>
              <w:spacing w:line="240" w:lineRule="auto" w:before="37"/>
              <w:ind w:left="22" w:right="0"/>
              <w:jc w:val="left"/>
              <w:rPr>
                <w:rFonts w:ascii="宋体" w:hAnsi="宋体" w:cs="宋体" w:eastAsia="宋体" w:hint="default"/>
                <w:sz w:val="21"/>
                <w:szCs w:val="21"/>
              </w:rPr>
            </w:pPr>
            <w:r>
              <w:rPr>
                <w:rFonts w:ascii="宋体"/>
                <w:sz w:val="21"/>
              </w:rPr>
              <w:t>52%</w:t>
            </w: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自筹</w:t>
            </w:r>
          </w:p>
          <w:p>
            <w:pPr>
              <w:pStyle w:val="TableParagraph"/>
              <w:spacing w:line="319" w:lineRule="auto" w:before="75"/>
              <w:ind w:left="22" w:right="97"/>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政 府补 助</w:t>
            </w:r>
          </w:p>
        </w:tc>
      </w:tr>
      <w:tr>
        <w:trPr>
          <w:trHeight w:val="1338" w:hRule="exact"/>
        </w:trPr>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2" w:right="147"/>
              <w:jc w:val="both"/>
              <w:rPr>
                <w:rFonts w:ascii="宋体" w:hAnsi="宋体" w:cs="宋体" w:eastAsia="宋体" w:hint="default"/>
                <w:sz w:val="21"/>
                <w:szCs w:val="21"/>
              </w:rPr>
            </w:pPr>
            <w:r>
              <w:rPr>
                <w:rFonts w:ascii="宋体" w:hAnsi="宋体" w:cs="宋体" w:eastAsia="宋体" w:hint="default"/>
                <w:sz w:val="21"/>
                <w:szCs w:val="21"/>
              </w:rPr>
              <w:t>轨道交通信息 集成与网络化 运营调度指挥 系统</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23"/>
              <w:jc w:val="right"/>
              <w:rPr>
                <w:rFonts w:ascii="宋体" w:hAnsi="宋体" w:cs="宋体" w:eastAsia="宋体" w:hint="default"/>
                <w:sz w:val="21"/>
                <w:szCs w:val="21"/>
              </w:rPr>
            </w:pPr>
            <w:r>
              <w:rPr>
                <w:rFonts w:ascii="宋体"/>
                <w:sz w:val="21"/>
              </w:rPr>
              <w:t>31,000,000</w:t>
            </w:r>
          </w:p>
          <w:p>
            <w:pPr>
              <w:pStyle w:val="TableParagraph"/>
              <w:spacing w:line="240" w:lineRule="auto" w:before="37"/>
              <w:ind w:right="21"/>
              <w:jc w:val="right"/>
              <w:rPr>
                <w:rFonts w:ascii="宋体" w:hAnsi="宋体" w:cs="宋体" w:eastAsia="宋体" w:hint="default"/>
                <w:sz w:val="21"/>
                <w:szCs w:val="21"/>
              </w:rPr>
            </w:pPr>
            <w:r>
              <w:rPr>
                <w:rFonts w:ascii="宋体"/>
                <w:sz w:val="21"/>
              </w:rPr>
              <w:t>.00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left="118" w:right="0"/>
              <w:jc w:val="left"/>
              <w:rPr>
                <w:rFonts w:ascii="宋体" w:hAnsi="宋体" w:cs="宋体" w:eastAsia="宋体" w:hint="default"/>
                <w:sz w:val="21"/>
                <w:szCs w:val="21"/>
              </w:rPr>
            </w:pPr>
            <w:r>
              <w:rPr>
                <w:rFonts w:ascii="宋体"/>
                <w:sz w:val="21"/>
              </w:rPr>
              <w:t>3,067,53</w:t>
            </w:r>
          </w:p>
          <w:p>
            <w:pPr>
              <w:pStyle w:val="TableParagraph"/>
              <w:spacing w:line="240" w:lineRule="auto" w:before="37"/>
              <w:ind w:left="538" w:right="0"/>
              <w:jc w:val="left"/>
              <w:rPr>
                <w:rFonts w:ascii="宋体" w:hAnsi="宋体" w:cs="宋体" w:eastAsia="宋体" w:hint="default"/>
                <w:sz w:val="21"/>
                <w:szCs w:val="21"/>
              </w:rPr>
            </w:pPr>
            <w:r>
              <w:rPr>
                <w:rFonts w:ascii="宋体"/>
                <w:sz w:val="21"/>
              </w:rPr>
              <w:t>9.94</w:t>
            </w:r>
          </w:p>
        </w:tc>
        <w:tc>
          <w:tcPr>
            <w:tcW w:w="993"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23"/>
              <w:jc w:val="right"/>
              <w:rPr>
                <w:rFonts w:ascii="宋体" w:hAnsi="宋体" w:cs="宋体" w:eastAsia="宋体" w:hint="default"/>
                <w:sz w:val="21"/>
                <w:szCs w:val="21"/>
              </w:rPr>
            </w:pPr>
            <w:r>
              <w:rPr>
                <w:rFonts w:ascii="宋体"/>
                <w:sz w:val="21"/>
              </w:rPr>
              <w:t>3,067,539.</w:t>
            </w:r>
          </w:p>
          <w:p>
            <w:pPr>
              <w:pStyle w:val="TableParagraph"/>
              <w:spacing w:line="240" w:lineRule="auto" w:before="37"/>
              <w:ind w:right="20"/>
              <w:jc w:val="right"/>
              <w:rPr>
                <w:rFonts w:ascii="宋体" w:hAnsi="宋体" w:cs="宋体" w:eastAsia="宋体" w:hint="default"/>
                <w:sz w:val="21"/>
                <w:szCs w:val="21"/>
              </w:rPr>
            </w:pPr>
            <w:r>
              <w:rPr>
                <w:rFonts w:ascii="宋体"/>
                <w:sz w:val="21"/>
              </w:rPr>
              <w:t>94</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22"/>
              <w:jc w:val="right"/>
              <w:rPr>
                <w:rFonts w:ascii="宋体" w:hAnsi="宋体" w:cs="宋体" w:eastAsia="宋体" w:hint="default"/>
                <w:sz w:val="21"/>
                <w:szCs w:val="21"/>
              </w:rPr>
            </w:pPr>
            <w:r>
              <w:rPr>
                <w:rFonts w:ascii="宋体"/>
                <w:sz w:val="21"/>
              </w:rPr>
              <w:t>9.90</w:t>
            </w:r>
          </w:p>
          <w:p>
            <w:pPr>
              <w:pStyle w:val="TableParagraph"/>
              <w:spacing w:line="240" w:lineRule="auto" w:before="37"/>
              <w:ind w:right="21"/>
              <w:jc w:val="right"/>
              <w:rPr>
                <w:rFonts w:ascii="宋体" w:hAnsi="宋体" w:cs="宋体" w:eastAsia="宋体" w:hint="default"/>
                <w:sz w:val="21"/>
                <w:szCs w:val="21"/>
              </w:rPr>
            </w:pPr>
            <w:r>
              <w:rPr>
                <w:rFonts w:ascii="宋体"/>
                <w:sz w:val="21"/>
              </w:rPr>
              <w:t>%</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left="22" w:right="0"/>
              <w:jc w:val="left"/>
              <w:rPr>
                <w:rFonts w:ascii="宋体" w:hAnsi="宋体" w:cs="宋体" w:eastAsia="宋体" w:hint="default"/>
                <w:sz w:val="21"/>
                <w:szCs w:val="21"/>
              </w:rPr>
            </w:pPr>
            <w:r>
              <w:rPr>
                <w:rFonts w:ascii="宋体"/>
                <w:sz w:val="21"/>
              </w:rPr>
              <w:t>9.9</w:t>
            </w:r>
          </w:p>
          <w:p>
            <w:pPr>
              <w:pStyle w:val="TableParagraph"/>
              <w:spacing w:line="240" w:lineRule="auto" w:before="37"/>
              <w:ind w:left="22" w:right="0"/>
              <w:jc w:val="left"/>
              <w:rPr>
                <w:rFonts w:ascii="宋体" w:hAnsi="宋体" w:cs="宋体" w:eastAsia="宋体" w:hint="default"/>
                <w:sz w:val="21"/>
                <w:szCs w:val="21"/>
              </w:rPr>
            </w:pPr>
            <w:r>
              <w:rPr>
                <w:rFonts w:ascii="宋体"/>
                <w:sz w:val="21"/>
              </w:rPr>
              <w:t>0%</w:t>
            </w: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自筹</w:t>
            </w:r>
          </w:p>
          <w:p>
            <w:pPr>
              <w:pStyle w:val="TableParagraph"/>
              <w:spacing w:line="319" w:lineRule="auto" w:before="75"/>
              <w:ind w:left="22" w:right="97"/>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政 府补 助</w:t>
            </w:r>
          </w:p>
        </w:tc>
      </w:tr>
      <w:tr>
        <w:trPr>
          <w:trHeight w:val="1338" w:hRule="exact"/>
        </w:trPr>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2" w:right="147"/>
              <w:jc w:val="both"/>
              <w:rPr>
                <w:rFonts w:ascii="宋体" w:hAnsi="宋体" w:cs="宋体" w:eastAsia="宋体" w:hint="default"/>
                <w:sz w:val="21"/>
                <w:szCs w:val="21"/>
              </w:rPr>
            </w:pPr>
            <w:r>
              <w:rPr>
                <w:rFonts w:ascii="宋体" w:hAnsi="宋体" w:cs="宋体" w:eastAsia="宋体" w:hint="default"/>
                <w:sz w:val="21"/>
                <w:szCs w:val="21"/>
              </w:rPr>
              <w:t>城轨自动化监 控平台系统关 键技术研究与 应用</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23"/>
              <w:jc w:val="right"/>
              <w:rPr>
                <w:rFonts w:ascii="宋体" w:hAnsi="宋体" w:cs="宋体" w:eastAsia="宋体" w:hint="default"/>
                <w:sz w:val="21"/>
                <w:szCs w:val="21"/>
              </w:rPr>
            </w:pPr>
            <w:r>
              <w:rPr>
                <w:rFonts w:ascii="宋体"/>
                <w:sz w:val="21"/>
              </w:rPr>
              <w:t>30,960,000</w:t>
            </w:r>
          </w:p>
          <w:p>
            <w:pPr>
              <w:pStyle w:val="TableParagraph"/>
              <w:spacing w:line="240" w:lineRule="auto" w:before="37"/>
              <w:ind w:right="21"/>
              <w:jc w:val="right"/>
              <w:rPr>
                <w:rFonts w:ascii="宋体" w:hAnsi="宋体" w:cs="宋体" w:eastAsia="宋体" w:hint="default"/>
                <w:sz w:val="21"/>
                <w:szCs w:val="21"/>
              </w:rPr>
            </w:pPr>
            <w:r>
              <w:rPr>
                <w:rFonts w:ascii="宋体"/>
                <w:sz w:val="21"/>
              </w:rPr>
              <w:t>.00</w:t>
            </w:r>
          </w:p>
        </w:tc>
        <w:tc>
          <w:tcPr>
            <w:tcW w:w="992"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left="120" w:right="0"/>
              <w:jc w:val="left"/>
              <w:rPr>
                <w:rFonts w:ascii="宋体" w:hAnsi="宋体" w:cs="宋体" w:eastAsia="宋体" w:hint="default"/>
                <w:sz w:val="21"/>
                <w:szCs w:val="21"/>
              </w:rPr>
            </w:pPr>
            <w:r>
              <w:rPr>
                <w:rFonts w:ascii="宋体"/>
                <w:sz w:val="21"/>
              </w:rPr>
              <w:t>7,092,32</w:t>
            </w:r>
          </w:p>
          <w:p>
            <w:pPr>
              <w:pStyle w:val="TableParagraph"/>
              <w:spacing w:line="240" w:lineRule="auto" w:before="37"/>
              <w:ind w:left="540" w:right="0"/>
              <w:jc w:val="left"/>
              <w:rPr>
                <w:rFonts w:ascii="宋体" w:hAnsi="宋体" w:cs="宋体" w:eastAsia="宋体" w:hint="default"/>
                <w:sz w:val="21"/>
                <w:szCs w:val="21"/>
              </w:rPr>
            </w:pPr>
            <w:r>
              <w:rPr>
                <w:rFonts w:ascii="宋体"/>
                <w:sz w:val="21"/>
              </w:rPr>
              <w:t>3.80</w:t>
            </w:r>
          </w:p>
        </w:tc>
        <w:tc>
          <w:tcPr>
            <w:tcW w:w="992"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23"/>
              <w:jc w:val="right"/>
              <w:rPr>
                <w:rFonts w:ascii="宋体" w:hAnsi="宋体" w:cs="宋体" w:eastAsia="宋体" w:hint="default"/>
                <w:sz w:val="21"/>
                <w:szCs w:val="21"/>
              </w:rPr>
            </w:pPr>
            <w:r>
              <w:rPr>
                <w:rFonts w:ascii="宋体"/>
                <w:sz w:val="21"/>
              </w:rPr>
              <w:t>7,092,323.</w:t>
            </w:r>
          </w:p>
          <w:p>
            <w:pPr>
              <w:pStyle w:val="TableParagraph"/>
              <w:spacing w:line="240" w:lineRule="auto" w:before="37"/>
              <w:ind w:right="20"/>
              <w:jc w:val="right"/>
              <w:rPr>
                <w:rFonts w:ascii="宋体" w:hAnsi="宋体" w:cs="宋体" w:eastAsia="宋体" w:hint="default"/>
                <w:sz w:val="21"/>
                <w:szCs w:val="21"/>
              </w:rPr>
            </w:pPr>
            <w:r>
              <w:rPr>
                <w:rFonts w:ascii="宋体"/>
                <w:sz w:val="21"/>
              </w:rPr>
              <w:t>80</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left="113" w:right="0"/>
              <w:jc w:val="left"/>
              <w:rPr>
                <w:rFonts w:ascii="宋体" w:hAnsi="宋体" w:cs="宋体" w:eastAsia="宋体" w:hint="default"/>
                <w:sz w:val="21"/>
                <w:szCs w:val="21"/>
              </w:rPr>
            </w:pPr>
            <w:r>
              <w:rPr>
                <w:rFonts w:ascii="宋体"/>
                <w:sz w:val="21"/>
              </w:rPr>
              <w:t>22.9</w:t>
            </w:r>
          </w:p>
          <w:p>
            <w:pPr>
              <w:pStyle w:val="TableParagraph"/>
              <w:spacing w:line="240" w:lineRule="auto" w:before="37"/>
              <w:ind w:left="323" w:right="0"/>
              <w:jc w:val="left"/>
              <w:rPr>
                <w:rFonts w:ascii="宋体" w:hAnsi="宋体" w:cs="宋体" w:eastAsia="宋体" w:hint="default"/>
                <w:sz w:val="21"/>
                <w:szCs w:val="21"/>
              </w:rPr>
            </w:pPr>
            <w:r>
              <w:rPr>
                <w:rFonts w:ascii="宋体"/>
                <w:sz w:val="21"/>
              </w:rPr>
              <w:t>1%</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left="22" w:right="0"/>
              <w:jc w:val="left"/>
              <w:rPr>
                <w:rFonts w:ascii="宋体" w:hAnsi="宋体" w:cs="宋体" w:eastAsia="宋体" w:hint="default"/>
                <w:sz w:val="21"/>
                <w:szCs w:val="21"/>
              </w:rPr>
            </w:pPr>
            <w:r>
              <w:rPr>
                <w:rFonts w:ascii="宋体"/>
                <w:sz w:val="21"/>
              </w:rPr>
              <w:t>22.</w:t>
            </w:r>
          </w:p>
          <w:p>
            <w:pPr>
              <w:pStyle w:val="TableParagraph"/>
              <w:spacing w:line="240" w:lineRule="auto" w:before="37"/>
              <w:ind w:left="22" w:right="0"/>
              <w:jc w:val="left"/>
              <w:rPr>
                <w:rFonts w:ascii="宋体" w:hAnsi="宋体" w:cs="宋体" w:eastAsia="宋体" w:hint="default"/>
                <w:sz w:val="21"/>
                <w:szCs w:val="21"/>
              </w:rPr>
            </w:pPr>
            <w:r>
              <w:rPr>
                <w:rFonts w:ascii="宋体"/>
                <w:sz w:val="21"/>
              </w:rPr>
              <w:t>91%</w:t>
            </w: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自筹</w:t>
            </w: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2" w:right="147"/>
              <w:jc w:val="both"/>
              <w:rPr>
                <w:rFonts w:ascii="宋体" w:hAnsi="宋体" w:cs="宋体" w:eastAsia="宋体" w:hint="default"/>
                <w:sz w:val="21"/>
                <w:szCs w:val="21"/>
              </w:rPr>
            </w:pPr>
            <w:r>
              <w:rPr>
                <w:rFonts w:ascii="宋体" w:hAnsi="宋体" w:cs="宋体" w:eastAsia="宋体" w:hint="default"/>
                <w:sz w:val="21"/>
                <w:szCs w:val="21"/>
              </w:rPr>
              <w:t>轨道交通信号 智能电源产业 化项目</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3"/>
              <w:jc w:val="right"/>
              <w:rPr>
                <w:rFonts w:ascii="宋体" w:hAnsi="宋体" w:cs="宋体" w:eastAsia="宋体" w:hint="default"/>
                <w:sz w:val="21"/>
                <w:szCs w:val="21"/>
              </w:rPr>
            </w:pPr>
            <w:r>
              <w:rPr>
                <w:rFonts w:ascii="宋体"/>
                <w:sz w:val="21"/>
              </w:rPr>
              <w:t>58,000,000</w:t>
            </w:r>
          </w:p>
          <w:p>
            <w:pPr>
              <w:pStyle w:val="TableParagraph"/>
              <w:spacing w:line="240" w:lineRule="auto" w:before="37"/>
              <w:ind w:right="21"/>
              <w:jc w:val="right"/>
              <w:rPr>
                <w:rFonts w:ascii="宋体" w:hAnsi="宋体" w:cs="宋体" w:eastAsia="宋体" w:hint="default"/>
                <w:sz w:val="21"/>
                <w:szCs w:val="21"/>
              </w:rPr>
            </w:pPr>
            <w:r>
              <w:rPr>
                <w:rFonts w:ascii="宋体"/>
                <w:sz w:val="21"/>
              </w:rPr>
              <w:t>.00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118" w:right="0"/>
              <w:jc w:val="left"/>
              <w:rPr>
                <w:rFonts w:ascii="宋体" w:hAnsi="宋体" w:cs="宋体" w:eastAsia="宋体" w:hint="default"/>
                <w:sz w:val="21"/>
                <w:szCs w:val="21"/>
              </w:rPr>
            </w:pPr>
            <w:r>
              <w:rPr>
                <w:rFonts w:ascii="宋体"/>
                <w:sz w:val="21"/>
              </w:rPr>
              <w:t>54,699,9</w:t>
            </w:r>
          </w:p>
          <w:p>
            <w:pPr>
              <w:pStyle w:val="TableParagraph"/>
              <w:spacing w:line="240" w:lineRule="auto" w:before="37"/>
              <w:ind w:left="434" w:right="0"/>
              <w:jc w:val="left"/>
              <w:rPr>
                <w:rFonts w:ascii="宋体" w:hAnsi="宋体" w:cs="宋体" w:eastAsia="宋体" w:hint="default"/>
                <w:sz w:val="21"/>
                <w:szCs w:val="21"/>
              </w:rPr>
            </w:pPr>
            <w:r>
              <w:rPr>
                <w:rFonts w:ascii="宋体"/>
                <w:sz w:val="21"/>
              </w:rPr>
              <w:t>96.60</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120" w:right="0"/>
              <w:jc w:val="left"/>
              <w:rPr>
                <w:rFonts w:ascii="宋体" w:hAnsi="宋体" w:cs="宋体" w:eastAsia="宋体" w:hint="default"/>
                <w:sz w:val="21"/>
                <w:szCs w:val="21"/>
              </w:rPr>
            </w:pPr>
            <w:r>
              <w:rPr>
                <w:rFonts w:ascii="宋体"/>
                <w:sz w:val="21"/>
              </w:rPr>
              <w:t>8,224,15</w:t>
            </w:r>
          </w:p>
          <w:p>
            <w:pPr>
              <w:pStyle w:val="TableParagraph"/>
              <w:spacing w:line="240" w:lineRule="auto" w:before="37"/>
              <w:ind w:left="540" w:right="0"/>
              <w:jc w:val="left"/>
              <w:rPr>
                <w:rFonts w:ascii="宋体" w:hAnsi="宋体" w:cs="宋体" w:eastAsia="宋体" w:hint="default"/>
                <w:sz w:val="21"/>
                <w:szCs w:val="21"/>
              </w:rPr>
            </w:pPr>
            <w:r>
              <w:rPr>
                <w:rFonts w:ascii="宋体"/>
                <w:sz w:val="21"/>
              </w:rPr>
              <w:t>1.47</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118" w:right="0"/>
              <w:jc w:val="left"/>
              <w:rPr>
                <w:rFonts w:ascii="宋体" w:hAnsi="宋体" w:cs="宋体" w:eastAsia="宋体" w:hint="default"/>
                <w:sz w:val="21"/>
                <w:szCs w:val="21"/>
              </w:rPr>
            </w:pPr>
            <w:r>
              <w:rPr>
                <w:rFonts w:ascii="宋体"/>
                <w:sz w:val="21"/>
              </w:rPr>
              <w:t>62,924,1</w:t>
            </w:r>
          </w:p>
          <w:p>
            <w:pPr>
              <w:pStyle w:val="TableParagraph"/>
              <w:spacing w:line="240" w:lineRule="auto" w:before="37"/>
              <w:ind w:left="434" w:right="0"/>
              <w:jc w:val="left"/>
              <w:rPr>
                <w:rFonts w:ascii="宋体" w:hAnsi="宋体" w:cs="宋体" w:eastAsia="宋体" w:hint="default"/>
                <w:sz w:val="21"/>
                <w:szCs w:val="21"/>
              </w:rPr>
            </w:pPr>
            <w:r>
              <w:rPr>
                <w:rFonts w:ascii="宋体"/>
                <w:sz w:val="21"/>
              </w:rPr>
              <w:t>48.07</w:t>
            </w:r>
          </w:p>
        </w:tc>
        <w:tc>
          <w:tcPr>
            <w:tcW w:w="56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89" w:right="0"/>
              <w:jc w:val="center"/>
              <w:rPr>
                <w:rFonts w:ascii="宋体" w:hAnsi="宋体" w:cs="宋体" w:eastAsia="宋体" w:hint="default"/>
                <w:sz w:val="21"/>
                <w:szCs w:val="21"/>
              </w:rPr>
            </w:pPr>
            <w:r>
              <w:rPr>
                <w:rFonts w:ascii="宋体"/>
                <w:sz w:val="21"/>
              </w:rPr>
              <w:t>108.</w:t>
            </w:r>
          </w:p>
          <w:p>
            <w:pPr>
              <w:pStyle w:val="TableParagraph"/>
              <w:spacing w:line="240" w:lineRule="auto" w:before="37"/>
              <w:ind w:left="195" w:right="0"/>
              <w:jc w:val="center"/>
              <w:rPr>
                <w:rFonts w:ascii="宋体" w:hAnsi="宋体" w:cs="宋体" w:eastAsia="宋体" w:hint="default"/>
                <w:sz w:val="21"/>
                <w:szCs w:val="21"/>
              </w:rPr>
            </w:pPr>
            <w:r>
              <w:rPr>
                <w:rFonts w:ascii="宋体"/>
                <w:sz w:val="21"/>
              </w:rPr>
              <w:t>49%</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sz w:val="21"/>
              </w:rPr>
              <w:t>100</w:t>
            </w:r>
          </w:p>
          <w:p>
            <w:pPr>
              <w:pStyle w:val="TableParagraph"/>
              <w:spacing w:line="240" w:lineRule="auto" w:before="36"/>
              <w:ind w:left="22" w:right="0"/>
              <w:jc w:val="left"/>
              <w:rPr>
                <w:rFonts w:ascii="宋体" w:hAnsi="宋体" w:cs="宋体" w:eastAsia="宋体" w:hint="default"/>
                <w:sz w:val="21"/>
                <w:szCs w:val="21"/>
              </w:rPr>
            </w:pPr>
            <w:r>
              <w:rPr>
                <w:rFonts w:ascii="宋体"/>
                <w:sz w:val="21"/>
              </w:rPr>
              <w:t>.00</w:t>
            </w:r>
          </w:p>
          <w:p>
            <w:pPr>
              <w:pStyle w:val="TableParagraph"/>
              <w:spacing w:line="240" w:lineRule="auto" w:before="38"/>
              <w:ind w:left="22" w:right="0"/>
              <w:jc w:val="left"/>
              <w:rPr>
                <w:rFonts w:ascii="宋体" w:hAnsi="宋体" w:cs="宋体" w:eastAsia="宋体" w:hint="default"/>
                <w:sz w:val="21"/>
                <w:szCs w:val="21"/>
              </w:rPr>
            </w:pPr>
            <w:r>
              <w:rPr>
                <w:rFonts w:ascii="宋体"/>
                <w:sz w:val="21"/>
              </w:rPr>
              <w:t>%</w:t>
            </w: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自筹</w:t>
            </w:r>
          </w:p>
        </w:tc>
      </w:tr>
      <w:tr>
        <w:trPr>
          <w:trHeight w:val="1338" w:hRule="exact"/>
        </w:trPr>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2" w:right="147"/>
              <w:jc w:val="both"/>
              <w:rPr>
                <w:rFonts w:ascii="宋体" w:hAnsi="宋体" w:cs="宋体" w:eastAsia="宋体" w:hint="default"/>
                <w:sz w:val="21"/>
                <w:szCs w:val="21"/>
              </w:rPr>
            </w:pPr>
            <w:r>
              <w:rPr>
                <w:rFonts w:ascii="宋体" w:hAnsi="宋体" w:cs="宋体" w:eastAsia="宋体" w:hint="default"/>
                <w:sz w:val="21"/>
                <w:szCs w:val="21"/>
              </w:rPr>
              <w:t>成都新一驱动 科技有限责任 公司新建厂房 项目工程</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23"/>
              <w:jc w:val="right"/>
              <w:rPr>
                <w:rFonts w:ascii="宋体" w:hAnsi="宋体" w:cs="宋体" w:eastAsia="宋体" w:hint="default"/>
                <w:sz w:val="21"/>
                <w:szCs w:val="21"/>
              </w:rPr>
            </w:pPr>
            <w:r>
              <w:rPr>
                <w:rFonts w:ascii="宋体"/>
                <w:sz w:val="21"/>
              </w:rPr>
              <w:t>19,745,400</w:t>
            </w:r>
          </w:p>
          <w:p>
            <w:pPr>
              <w:pStyle w:val="TableParagraph"/>
              <w:spacing w:line="240" w:lineRule="auto" w:before="37"/>
              <w:ind w:right="21"/>
              <w:jc w:val="right"/>
              <w:rPr>
                <w:rFonts w:ascii="宋体" w:hAnsi="宋体" w:cs="宋体" w:eastAsia="宋体" w:hint="default"/>
                <w:sz w:val="21"/>
                <w:szCs w:val="21"/>
              </w:rPr>
            </w:pPr>
            <w:r>
              <w:rPr>
                <w:rFonts w:ascii="宋体"/>
                <w:sz w:val="21"/>
              </w:rPr>
              <w:t>.00</w:t>
            </w:r>
          </w:p>
        </w:tc>
        <w:tc>
          <w:tcPr>
            <w:tcW w:w="992"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left="120" w:right="0"/>
              <w:jc w:val="left"/>
              <w:rPr>
                <w:rFonts w:ascii="宋体" w:hAnsi="宋体" w:cs="宋体" w:eastAsia="宋体" w:hint="default"/>
                <w:sz w:val="21"/>
                <w:szCs w:val="21"/>
              </w:rPr>
            </w:pPr>
            <w:r>
              <w:rPr>
                <w:rFonts w:ascii="宋体"/>
                <w:sz w:val="21"/>
              </w:rPr>
              <w:t>9,509,49</w:t>
            </w:r>
          </w:p>
          <w:p>
            <w:pPr>
              <w:pStyle w:val="TableParagraph"/>
              <w:spacing w:line="240" w:lineRule="auto" w:before="37"/>
              <w:ind w:left="540" w:right="0"/>
              <w:jc w:val="left"/>
              <w:rPr>
                <w:rFonts w:ascii="宋体" w:hAnsi="宋体" w:cs="宋体" w:eastAsia="宋体" w:hint="default"/>
                <w:sz w:val="21"/>
                <w:szCs w:val="21"/>
              </w:rPr>
            </w:pPr>
            <w:r>
              <w:rPr>
                <w:rFonts w:ascii="宋体"/>
                <w:sz w:val="21"/>
              </w:rPr>
              <w:t>8.86</w:t>
            </w:r>
          </w:p>
        </w:tc>
        <w:tc>
          <w:tcPr>
            <w:tcW w:w="992"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23"/>
              <w:jc w:val="right"/>
              <w:rPr>
                <w:rFonts w:ascii="宋体" w:hAnsi="宋体" w:cs="宋体" w:eastAsia="宋体" w:hint="default"/>
                <w:sz w:val="21"/>
                <w:szCs w:val="21"/>
              </w:rPr>
            </w:pPr>
            <w:r>
              <w:rPr>
                <w:rFonts w:ascii="宋体"/>
                <w:sz w:val="21"/>
              </w:rPr>
              <w:t>9,509,498.</w:t>
            </w:r>
          </w:p>
          <w:p>
            <w:pPr>
              <w:pStyle w:val="TableParagraph"/>
              <w:spacing w:line="240" w:lineRule="auto" w:before="37"/>
              <w:ind w:right="20"/>
              <w:jc w:val="right"/>
              <w:rPr>
                <w:rFonts w:ascii="宋体" w:hAnsi="宋体" w:cs="宋体" w:eastAsia="宋体" w:hint="default"/>
                <w:sz w:val="21"/>
                <w:szCs w:val="21"/>
              </w:rPr>
            </w:pPr>
            <w:r>
              <w:rPr>
                <w:rFonts w:ascii="宋体"/>
                <w:sz w:val="21"/>
              </w:rPr>
              <w:t>86</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left="113" w:right="0"/>
              <w:jc w:val="left"/>
              <w:rPr>
                <w:rFonts w:ascii="宋体" w:hAnsi="宋体" w:cs="宋体" w:eastAsia="宋体" w:hint="default"/>
                <w:sz w:val="21"/>
                <w:szCs w:val="21"/>
              </w:rPr>
            </w:pPr>
            <w:r>
              <w:rPr>
                <w:rFonts w:ascii="宋体"/>
                <w:sz w:val="21"/>
              </w:rPr>
              <w:t>48.1</w:t>
            </w:r>
          </w:p>
          <w:p>
            <w:pPr>
              <w:pStyle w:val="TableParagraph"/>
              <w:spacing w:line="240" w:lineRule="auto" w:before="37"/>
              <w:ind w:left="323" w:right="0"/>
              <w:jc w:val="left"/>
              <w:rPr>
                <w:rFonts w:ascii="宋体" w:hAnsi="宋体" w:cs="宋体" w:eastAsia="宋体" w:hint="default"/>
                <w:sz w:val="21"/>
                <w:szCs w:val="21"/>
              </w:rPr>
            </w:pPr>
            <w:r>
              <w:rPr>
                <w:rFonts w:ascii="宋体"/>
                <w:sz w:val="21"/>
              </w:rPr>
              <w:t>6%</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left="22" w:right="0"/>
              <w:jc w:val="left"/>
              <w:rPr>
                <w:rFonts w:ascii="宋体" w:hAnsi="宋体" w:cs="宋体" w:eastAsia="宋体" w:hint="default"/>
                <w:sz w:val="21"/>
                <w:szCs w:val="21"/>
              </w:rPr>
            </w:pPr>
            <w:r>
              <w:rPr>
                <w:rFonts w:ascii="宋体"/>
                <w:sz w:val="21"/>
              </w:rPr>
              <w:t>48.</w:t>
            </w:r>
          </w:p>
          <w:p>
            <w:pPr>
              <w:pStyle w:val="TableParagraph"/>
              <w:spacing w:line="240" w:lineRule="auto" w:before="37"/>
              <w:ind w:left="22" w:right="0"/>
              <w:jc w:val="left"/>
              <w:rPr>
                <w:rFonts w:ascii="宋体" w:hAnsi="宋体" w:cs="宋体" w:eastAsia="宋体" w:hint="default"/>
                <w:sz w:val="21"/>
                <w:szCs w:val="21"/>
              </w:rPr>
            </w:pPr>
            <w:r>
              <w:rPr>
                <w:rFonts w:ascii="宋体"/>
                <w:sz w:val="21"/>
              </w:rPr>
              <w:t>16%</w:t>
            </w: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自筹</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7" w:right="0"/>
              <w:jc w:val="left"/>
              <w:rPr>
                <w:rFonts w:ascii="宋体" w:hAnsi="宋体" w:cs="宋体" w:eastAsia="宋体" w:hint="default"/>
                <w:sz w:val="21"/>
                <w:szCs w:val="21"/>
              </w:rPr>
            </w:pPr>
            <w:r>
              <w:rPr>
                <w:rFonts w:ascii="宋体"/>
                <w:sz w:val="21"/>
              </w:rPr>
              <w:t>914,060,40</w:t>
            </w:r>
          </w:p>
          <w:p>
            <w:pPr>
              <w:pStyle w:val="TableParagraph"/>
              <w:spacing w:line="240" w:lineRule="auto" w:before="37"/>
              <w:ind w:left="657" w:right="0"/>
              <w:jc w:val="left"/>
              <w:rPr>
                <w:rFonts w:ascii="宋体" w:hAnsi="宋体" w:cs="宋体" w:eastAsia="宋体" w:hint="default"/>
                <w:sz w:val="21"/>
                <w:szCs w:val="21"/>
              </w:rPr>
            </w:pPr>
            <w:r>
              <w:rPr>
                <w:rFonts w:ascii="宋体"/>
                <w:sz w:val="21"/>
              </w:rPr>
              <w:t>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18" w:right="0"/>
              <w:jc w:val="left"/>
              <w:rPr>
                <w:rFonts w:ascii="宋体" w:hAnsi="宋体" w:cs="宋体" w:eastAsia="宋体" w:hint="default"/>
                <w:sz w:val="21"/>
                <w:szCs w:val="21"/>
              </w:rPr>
            </w:pPr>
            <w:r>
              <w:rPr>
                <w:rFonts w:ascii="宋体"/>
                <w:sz w:val="21"/>
              </w:rPr>
              <w:t>167,456,</w:t>
            </w:r>
          </w:p>
          <w:p>
            <w:pPr>
              <w:pStyle w:val="TableParagraph"/>
              <w:spacing w:line="240" w:lineRule="auto" w:before="37"/>
              <w:ind w:left="328" w:right="0"/>
              <w:jc w:val="left"/>
              <w:rPr>
                <w:rFonts w:ascii="宋体" w:hAnsi="宋体" w:cs="宋体" w:eastAsia="宋体" w:hint="default"/>
                <w:sz w:val="21"/>
                <w:szCs w:val="21"/>
              </w:rPr>
            </w:pPr>
            <w:r>
              <w:rPr>
                <w:rFonts w:ascii="宋体"/>
                <w:sz w:val="21"/>
              </w:rPr>
              <w:t>659.41</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20" w:right="0"/>
              <w:jc w:val="left"/>
              <w:rPr>
                <w:rFonts w:ascii="宋体" w:hAnsi="宋体" w:cs="宋体" w:eastAsia="宋体" w:hint="default"/>
                <w:sz w:val="21"/>
                <w:szCs w:val="21"/>
              </w:rPr>
            </w:pPr>
            <w:r>
              <w:rPr>
                <w:rFonts w:ascii="宋体"/>
                <w:sz w:val="21"/>
              </w:rPr>
              <w:t>37,095,0</w:t>
            </w:r>
          </w:p>
          <w:p>
            <w:pPr>
              <w:pStyle w:val="TableParagraph"/>
              <w:spacing w:line="240" w:lineRule="auto" w:before="37"/>
              <w:ind w:left="435" w:right="0"/>
              <w:jc w:val="left"/>
              <w:rPr>
                <w:rFonts w:ascii="宋体" w:hAnsi="宋体" w:cs="宋体" w:eastAsia="宋体" w:hint="default"/>
                <w:sz w:val="21"/>
                <w:szCs w:val="21"/>
              </w:rPr>
            </w:pPr>
            <w:r>
              <w:rPr>
                <w:rFonts w:ascii="宋体"/>
                <w:sz w:val="21"/>
              </w:rPr>
              <w:t>90.87</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18" w:right="0"/>
              <w:jc w:val="left"/>
              <w:rPr>
                <w:rFonts w:ascii="宋体" w:hAnsi="宋体" w:cs="宋体" w:eastAsia="宋体" w:hint="default"/>
                <w:sz w:val="21"/>
                <w:szCs w:val="21"/>
              </w:rPr>
            </w:pPr>
            <w:r>
              <w:rPr>
                <w:rFonts w:ascii="宋体"/>
                <w:sz w:val="21"/>
              </w:rPr>
              <w:t>62,924,1</w:t>
            </w:r>
          </w:p>
          <w:p>
            <w:pPr>
              <w:pStyle w:val="TableParagraph"/>
              <w:spacing w:line="240" w:lineRule="auto" w:before="37"/>
              <w:ind w:left="434" w:right="0"/>
              <w:jc w:val="left"/>
              <w:rPr>
                <w:rFonts w:ascii="宋体" w:hAnsi="宋体" w:cs="宋体" w:eastAsia="宋体" w:hint="default"/>
                <w:sz w:val="21"/>
                <w:szCs w:val="21"/>
              </w:rPr>
            </w:pPr>
            <w:r>
              <w:rPr>
                <w:rFonts w:ascii="宋体"/>
                <w:sz w:val="21"/>
              </w:rPr>
              <w:t>48.07</w:t>
            </w:r>
          </w:p>
        </w:tc>
        <w:tc>
          <w:tcPr>
            <w:tcW w:w="56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50" w:right="0"/>
              <w:jc w:val="left"/>
              <w:rPr>
                <w:rFonts w:ascii="宋体" w:hAnsi="宋体" w:cs="宋体" w:eastAsia="宋体" w:hint="default"/>
                <w:sz w:val="21"/>
                <w:szCs w:val="21"/>
              </w:rPr>
            </w:pPr>
            <w:r>
              <w:rPr>
                <w:rFonts w:ascii="宋体"/>
                <w:sz w:val="21"/>
              </w:rPr>
              <w:t>141,627,60</w:t>
            </w:r>
          </w:p>
          <w:p>
            <w:pPr>
              <w:pStyle w:val="TableParagraph"/>
              <w:spacing w:line="240" w:lineRule="auto" w:before="37"/>
              <w:ind w:left="680" w:right="0"/>
              <w:jc w:val="left"/>
              <w:rPr>
                <w:rFonts w:ascii="宋体" w:hAnsi="宋体" w:cs="宋体" w:eastAsia="宋体" w:hint="default"/>
                <w:sz w:val="21"/>
                <w:szCs w:val="21"/>
              </w:rPr>
            </w:pPr>
            <w:r>
              <w:rPr>
                <w:rFonts w:ascii="宋体"/>
                <w:sz w:val="21"/>
              </w:rPr>
              <w:t>2.21</w:t>
            </w:r>
          </w:p>
        </w:tc>
        <w:tc>
          <w:tcPr>
            <w:tcW w:w="5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172" w:right="0"/>
              <w:jc w:val="left"/>
              <w:rPr>
                <w:rFonts w:ascii="宋体" w:hAnsi="宋体" w:cs="宋体" w:eastAsia="宋体" w:hint="default"/>
                <w:sz w:val="21"/>
                <w:szCs w:val="21"/>
              </w:rPr>
            </w:pPr>
            <w:r>
              <w:rPr>
                <w:rFonts w:ascii="宋体"/>
                <w:sz w:val="21"/>
              </w:rPr>
              <w:t>--</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101" w:right="0"/>
              <w:jc w:val="left"/>
              <w:rPr>
                <w:rFonts w:ascii="宋体" w:hAnsi="宋体" w:cs="宋体" w:eastAsia="宋体" w:hint="default"/>
                <w:sz w:val="21"/>
                <w:szCs w:val="21"/>
              </w:rPr>
            </w:pPr>
            <w:r>
              <w:rPr>
                <w:rFonts w:ascii="宋体"/>
                <w:sz w:val="21"/>
              </w:rPr>
              <w:t>--</w:t>
            </w: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135" w:right="0"/>
              <w:jc w:val="left"/>
              <w:rPr>
                <w:rFonts w:ascii="宋体" w:hAnsi="宋体" w:cs="宋体" w:eastAsia="宋体" w:hint="default"/>
                <w:sz w:val="21"/>
                <w:szCs w:val="21"/>
              </w:rPr>
            </w:pPr>
            <w:r>
              <w:rPr>
                <w:rFonts w:ascii="宋体"/>
                <w:sz w:val="21"/>
              </w:rPr>
              <w:t>--</w:t>
            </w:r>
          </w:p>
        </w:tc>
      </w:tr>
    </w:tbl>
    <w:p>
      <w:pPr>
        <w:spacing w:line="240" w:lineRule="auto" w:before="2"/>
        <w:rPr>
          <w:rFonts w:ascii="宋体" w:hAnsi="宋体" w:cs="宋体" w:eastAsia="宋体" w:hint="default"/>
          <w:sz w:val="19"/>
          <w:szCs w:val="19"/>
        </w:rPr>
      </w:pPr>
    </w:p>
    <w:p>
      <w:pPr>
        <w:spacing w:before="35"/>
        <w:ind w:left="814" w:right="1129" w:firstLine="0"/>
        <w:jc w:val="left"/>
        <w:rPr>
          <w:rFonts w:ascii="宋体" w:hAnsi="宋体" w:cs="宋体" w:eastAsia="宋体" w:hint="default"/>
          <w:sz w:val="21"/>
          <w:szCs w:val="21"/>
        </w:rPr>
      </w:pPr>
      <w:bookmarkStart w:name="（3）本期计提在建工程减值准备情况" w:id="313"/>
      <w:bookmarkEnd w:id="313"/>
      <w:r>
        <w:rPr/>
      </w:r>
      <w:r>
        <w:rPr>
          <w:rFonts w:ascii="宋体" w:hAnsi="宋体" w:cs="宋体" w:eastAsia="宋体" w:hint="default"/>
          <w:b/>
          <w:bCs/>
          <w:sz w:val="21"/>
          <w:szCs w:val="21"/>
        </w:rPr>
        <w:t>（</w:t>
      </w:r>
      <w:r>
        <w:rPr>
          <w:rFonts w:ascii="宋体" w:hAnsi="宋体" w:cs="宋体" w:eastAsia="宋体" w:hint="default"/>
          <w:b/>
          <w:bCs/>
          <w:sz w:val="21"/>
          <w:szCs w:val="21"/>
        </w:rPr>
        <w:t>3</w:t>
      </w:r>
      <w:r>
        <w:rPr>
          <w:rFonts w:ascii="宋体" w:hAnsi="宋体" w:cs="宋体" w:eastAsia="宋体" w:hint="default"/>
          <w:b/>
          <w:bCs/>
          <w:sz w:val="21"/>
          <w:szCs w:val="21"/>
        </w:rPr>
        <w:t>）本期计提在建工程减值准备情况</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pStyle w:val="BodyText"/>
        <w:spacing w:line="350" w:lineRule="auto" w:before="179"/>
        <w:ind w:left="1294" w:right="6672"/>
        <w:jc w:val="left"/>
      </w:pPr>
      <w:r>
        <w:rPr/>
        <w:t>无 本报告期无在建工程减值准备情况</w:t>
      </w:r>
    </w:p>
    <w:p>
      <w:pPr>
        <w:spacing w:after="0" w:line="350" w:lineRule="auto"/>
        <w:jc w:val="left"/>
        <w:sectPr>
          <w:pgSz w:w="11910" w:h="16840"/>
          <w:pgMar w:header="747" w:footer="979" w:top="1060" w:bottom="1160" w:left="32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7"/>
          <w:szCs w:val="17"/>
        </w:rPr>
      </w:pPr>
    </w:p>
    <w:p>
      <w:pPr>
        <w:pStyle w:val="Heading2"/>
        <w:spacing w:line="240" w:lineRule="auto"/>
        <w:ind w:right="996"/>
        <w:jc w:val="left"/>
        <w:rPr>
          <w:b w:val="0"/>
          <w:bCs w:val="0"/>
        </w:rPr>
      </w:pPr>
      <w:bookmarkStart w:name="21、工程物资" w:id="314"/>
      <w:bookmarkEnd w:id="314"/>
      <w:r>
        <w:rPr>
          <w:b w:val="0"/>
          <w:bCs w:val="0"/>
        </w:rPr>
      </w:r>
      <w:r>
        <w:rPr>
          <w:rFonts w:ascii="宋体" w:hAnsi="宋体" w:cs="宋体" w:eastAsia="宋体" w:hint="default"/>
        </w:rPr>
        <w:t>21</w:t>
      </w:r>
      <w:r>
        <w:rPr/>
        <w:t>、工程物资</w:t>
      </w:r>
      <w:r>
        <w:rPr>
          <w:b w:val="0"/>
          <w:bCs w:val="0"/>
        </w:rPr>
      </w:r>
    </w:p>
    <w:p>
      <w:pPr>
        <w:spacing w:line="240" w:lineRule="auto" w:before="1"/>
        <w:rPr>
          <w:rFonts w:ascii="宋体" w:hAnsi="宋体" w:cs="宋体" w:eastAsia="宋体" w:hint="default"/>
          <w:b/>
          <w:bCs/>
          <w:sz w:val="23"/>
          <w:szCs w:val="23"/>
        </w:rPr>
      </w:pPr>
    </w:p>
    <w:p>
      <w:pPr>
        <w:pStyle w:val="Heading2"/>
        <w:spacing w:line="352" w:lineRule="auto" w:before="0"/>
        <w:ind w:left="633" w:right="8344"/>
        <w:jc w:val="left"/>
        <w:rPr>
          <w:b w:val="0"/>
          <w:bCs w:val="0"/>
        </w:rPr>
      </w:pPr>
      <w:r>
        <w:rPr>
          <w:rFonts w:ascii="宋体" w:hAnsi="宋体" w:cs="宋体" w:eastAsia="宋体" w:hint="default"/>
          <w:b w:val="0"/>
          <w:bCs w:val="0"/>
        </w:rPr>
        <w:t>无 </w:t>
      </w:r>
      <w:bookmarkStart w:name="22、固定资产清理" w:id="315"/>
      <w:bookmarkEnd w:id="315"/>
      <w:r>
        <w:rPr>
          <w:rFonts w:ascii="宋体" w:hAnsi="宋体" w:cs="宋体" w:eastAsia="宋体" w:hint="default"/>
          <w:b w:val="0"/>
          <w:bCs w:val="0"/>
        </w:rPr>
      </w:r>
      <w:r>
        <w:rPr>
          <w:rFonts w:ascii="宋体" w:hAnsi="宋体" w:cs="宋体" w:eastAsia="宋体" w:hint="default"/>
        </w:rPr>
        <w:t>22</w:t>
      </w:r>
      <w:r>
        <w:rPr/>
        <w:t>、固定资产清理</w:t>
      </w:r>
      <w:r>
        <w:rPr>
          <w:b w:val="0"/>
          <w:bCs w:val="0"/>
        </w:rPr>
      </w:r>
    </w:p>
    <w:p>
      <w:pPr>
        <w:pStyle w:val="Heading2"/>
        <w:spacing w:line="350" w:lineRule="auto" w:before="188"/>
        <w:ind w:right="8101" w:hanging="3"/>
        <w:jc w:val="left"/>
        <w:rPr>
          <w:b w:val="0"/>
          <w:bCs w:val="0"/>
        </w:rPr>
      </w:pPr>
      <w:r>
        <w:rPr>
          <w:rFonts w:ascii="宋体" w:hAnsi="宋体" w:cs="宋体" w:eastAsia="宋体" w:hint="default"/>
          <w:b w:val="0"/>
          <w:bCs w:val="0"/>
        </w:rPr>
        <w:t>无 </w:t>
      </w:r>
      <w:bookmarkStart w:name="23、生产性生物资产" w:id="316"/>
      <w:bookmarkEnd w:id="316"/>
      <w:r>
        <w:rPr>
          <w:rFonts w:ascii="宋体" w:hAnsi="宋体" w:cs="宋体" w:eastAsia="宋体" w:hint="default"/>
          <w:b w:val="0"/>
          <w:bCs w:val="0"/>
        </w:rPr>
      </w:r>
      <w:r>
        <w:rPr>
          <w:rFonts w:ascii="宋体" w:hAnsi="宋体" w:cs="宋体" w:eastAsia="宋体" w:hint="default"/>
        </w:rPr>
        <w:t>23</w:t>
      </w:r>
      <w:r>
        <w:rPr/>
        <w:t>、生产性生物资产</w:t>
      </w:r>
      <w:r>
        <w:rPr>
          <w:b w:val="0"/>
          <w:bCs w:val="0"/>
        </w:rPr>
      </w:r>
    </w:p>
    <w:p>
      <w:pPr>
        <w:pStyle w:val="Heading2"/>
        <w:spacing w:line="240" w:lineRule="auto" w:before="192"/>
        <w:ind w:right="996"/>
        <w:jc w:val="left"/>
        <w:rPr>
          <w:b w:val="0"/>
          <w:bCs w:val="0"/>
        </w:rPr>
      </w:pPr>
      <w:bookmarkStart w:name="（1）采用成本计量模式的生产性生物资产" w:id="317"/>
      <w:bookmarkEnd w:id="317"/>
      <w:r>
        <w:rPr>
          <w:b w:val="0"/>
          <w:bCs w:val="0"/>
        </w:rPr>
      </w:r>
      <w:r>
        <w:rPr/>
        <w:t>（</w:t>
      </w:r>
      <w:r>
        <w:rPr>
          <w:rFonts w:ascii="宋体" w:hAnsi="宋体" w:cs="宋体" w:eastAsia="宋体" w:hint="default"/>
        </w:rPr>
        <w:t>1</w:t>
      </w:r>
      <w:r>
        <w:rPr/>
        <w:t>）采用成本计量模式的生产性生物资产</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0"/>
        <w:ind w:left="633" w:right="996"/>
        <w:jc w:val="left"/>
      </w:pPr>
      <w:r>
        <w:rPr/>
        <w:t>□ 适用 √ 不适用</w:t>
      </w:r>
    </w:p>
    <w:p>
      <w:pPr>
        <w:pStyle w:val="Heading2"/>
        <w:spacing w:line="240" w:lineRule="auto" w:before="145"/>
        <w:ind w:right="996"/>
        <w:jc w:val="left"/>
        <w:rPr>
          <w:b w:val="0"/>
          <w:bCs w:val="0"/>
        </w:rPr>
      </w:pPr>
      <w:bookmarkStart w:name="（2）采用公允价值计量模式的生产性生物资产" w:id="318"/>
      <w:bookmarkEnd w:id="318"/>
      <w:r>
        <w:rPr>
          <w:b w:val="0"/>
          <w:bCs w:val="0"/>
        </w:rPr>
      </w:r>
      <w:r>
        <w:rPr/>
        <w:t>（</w:t>
      </w:r>
      <w:r>
        <w:rPr>
          <w:rFonts w:ascii="宋体" w:hAnsi="宋体" w:cs="宋体" w:eastAsia="宋体" w:hint="default"/>
        </w:rPr>
        <w:t>2</w:t>
      </w:r>
      <w:r>
        <w:rPr/>
        <w:t>）采用公允价值计量模式的生产性生物资产</w:t>
      </w:r>
      <w:r>
        <w:rPr>
          <w:b w:val="0"/>
          <w:bCs w:val="0"/>
        </w:rPr>
      </w:r>
    </w:p>
    <w:p>
      <w:pPr>
        <w:spacing w:line="240" w:lineRule="auto" w:before="2"/>
        <w:rPr>
          <w:rFonts w:ascii="宋体" w:hAnsi="宋体" w:cs="宋体" w:eastAsia="宋体" w:hint="default"/>
          <w:b/>
          <w:bCs/>
          <w:sz w:val="23"/>
          <w:szCs w:val="23"/>
        </w:rPr>
      </w:pPr>
    </w:p>
    <w:p>
      <w:pPr>
        <w:spacing w:line="350" w:lineRule="auto" w:before="0"/>
        <w:ind w:left="636" w:right="8233" w:hanging="3"/>
        <w:jc w:val="left"/>
        <w:rPr>
          <w:rFonts w:ascii="宋体" w:hAnsi="宋体" w:cs="宋体" w:eastAsia="宋体" w:hint="default"/>
          <w:sz w:val="24"/>
          <w:szCs w:val="24"/>
        </w:rPr>
      </w:pPr>
      <w:r>
        <w:rPr>
          <w:rFonts w:ascii="宋体" w:hAnsi="宋体" w:cs="宋体" w:eastAsia="宋体" w:hint="default"/>
          <w:sz w:val="24"/>
          <w:szCs w:val="24"/>
        </w:rPr>
        <w:t>□ 适用 √ 不适用 </w:t>
      </w:r>
      <w:bookmarkStart w:name="24、油气资产" w:id="319"/>
      <w:bookmarkEnd w:id="319"/>
      <w:r>
        <w:rPr>
          <w:rFonts w:ascii="宋体" w:hAnsi="宋体" w:cs="宋体" w:eastAsia="宋体" w:hint="default"/>
          <w:sz w:val="24"/>
          <w:szCs w:val="24"/>
        </w:rPr>
      </w:r>
      <w:r>
        <w:rPr>
          <w:rFonts w:ascii="宋体" w:hAnsi="宋体" w:cs="宋体" w:eastAsia="宋体" w:hint="default"/>
          <w:b/>
          <w:bCs/>
          <w:sz w:val="24"/>
          <w:szCs w:val="24"/>
        </w:rPr>
        <w:t>24</w:t>
      </w:r>
      <w:r>
        <w:rPr>
          <w:rFonts w:ascii="宋体" w:hAnsi="宋体" w:cs="宋体" w:eastAsia="宋体" w:hint="default"/>
          <w:b/>
          <w:bCs/>
          <w:sz w:val="24"/>
          <w:szCs w:val="24"/>
        </w:rPr>
        <w:t>、油气资产</w:t>
      </w:r>
      <w:r>
        <w:rPr>
          <w:rFonts w:ascii="宋体" w:hAnsi="宋体" w:cs="宋体" w:eastAsia="宋体" w:hint="default"/>
          <w:sz w:val="24"/>
          <w:szCs w:val="24"/>
        </w:rPr>
      </w:r>
    </w:p>
    <w:p>
      <w:pPr>
        <w:spacing w:line="352" w:lineRule="auto" w:before="191"/>
        <w:ind w:left="636" w:right="8233" w:hanging="3"/>
        <w:jc w:val="left"/>
        <w:rPr>
          <w:rFonts w:ascii="宋体" w:hAnsi="宋体" w:cs="宋体" w:eastAsia="宋体" w:hint="default"/>
          <w:sz w:val="24"/>
          <w:szCs w:val="24"/>
        </w:rPr>
      </w:pPr>
      <w:r>
        <w:rPr>
          <w:rFonts w:ascii="宋体" w:hAnsi="宋体" w:cs="宋体" w:eastAsia="宋体" w:hint="default"/>
          <w:sz w:val="24"/>
          <w:szCs w:val="24"/>
        </w:rPr>
        <w:t>□ 适用 √ 不适用 </w:t>
      </w:r>
      <w:bookmarkStart w:name="25、无形资产" w:id="320"/>
      <w:bookmarkEnd w:id="320"/>
      <w:r>
        <w:rPr>
          <w:rFonts w:ascii="宋体" w:hAnsi="宋体" w:cs="宋体" w:eastAsia="宋体" w:hint="default"/>
          <w:sz w:val="24"/>
          <w:szCs w:val="24"/>
        </w:rPr>
      </w:r>
      <w:r>
        <w:rPr>
          <w:rFonts w:ascii="宋体" w:hAnsi="宋体" w:cs="宋体" w:eastAsia="宋体" w:hint="default"/>
          <w:b/>
          <w:bCs/>
          <w:sz w:val="24"/>
          <w:szCs w:val="24"/>
        </w:rPr>
        <w:t>25</w:t>
      </w:r>
      <w:r>
        <w:rPr>
          <w:rFonts w:ascii="宋体" w:hAnsi="宋体" w:cs="宋体" w:eastAsia="宋体" w:hint="default"/>
          <w:b/>
          <w:bCs/>
          <w:sz w:val="24"/>
          <w:szCs w:val="24"/>
        </w:rPr>
        <w:t>、无形资产</w:t>
      </w:r>
      <w:r>
        <w:rPr>
          <w:rFonts w:ascii="宋体" w:hAnsi="宋体" w:cs="宋体" w:eastAsia="宋体" w:hint="default"/>
          <w:sz w:val="24"/>
          <w:szCs w:val="24"/>
        </w:rPr>
      </w:r>
    </w:p>
    <w:p>
      <w:pPr>
        <w:pStyle w:val="Heading2"/>
        <w:spacing w:line="240" w:lineRule="auto" w:before="189"/>
        <w:ind w:right="996"/>
        <w:jc w:val="left"/>
        <w:rPr>
          <w:b w:val="0"/>
          <w:bCs w:val="0"/>
        </w:rPr>
      </w:pPr>
      <w:bookmarkStart w:name="（1）无形资产情况" w:id="321"/>
      <w:bookmarkEnd w:id="321"/>
      <w:r>
        <w:rPr>
          <w:b w:val="0"/>
          <w:bCs w:val="0"/>
        </w:rPr>
      </w:r>
      <w:r>
        <w:rPr/>
        <w:t>（</w:t>
      </w:r>
      <w:r>
        <w:rPr>
          <w:rFonts w:ascii="宋体" w:hAnsi="宋体" w:cs="宋体" w:eastAsia="宋体" w:hint="default"/>
        </w:rPr>
        <w:t>1</w:t>
      </w:r>
      <w:r>
        <w:rPr/>
        <w:t>）无形资产情况</w:t>
      </w:r>
      <w:r>
        <w:rPr>
          <w:b w:val="0"/>
          <w:bCs w:val="0"/>
        </w:rPr>
      </w:r>
    </w:p>
    <w:p>
      <w:pPr>
        <w:spacing w:line="240" w:lineRule="auto" w:before="8"/>
        <w:rPr>
          <w:rFonts w:ascii="宋体" w:hAnsi="宋体" w:cs="宋体" w:eastAsia="宋体" w:hint="default"/>
          <w:b/>
          <w:bCs/>
          <w:sz w:val="12"/>
          <w:szCs w:val="12"/>
        </w:rPr>
      </w:pPr>
    </w:p>
    <w:p>
      <w:pPr>
        <w:spacing w:before="35"/>
        <w:ind w:left="0" w:right="1129" w:firstLine="0"/>
        <w:jc w:val="right"/>
        <w:rPr>
          <w:rFonts w:ascii="宋体" w:hAnsi="宋体" w:cs="宋体" w:eastAsia="宋体" w:hint="default"/>
          <w:sz w:val="21"/>
          <w:szCs w:val="21"/>
        </w:rPr>
      </w:pPr>
      <w:r>
        <w:rPr>
          <w:rFonts w:ascii="宋体" w:hAnsi="宋体" w:cs="宋体" w:eastAsia="宋体" w:hint="default"/>
          <w:sz w:val="21"/>
          <w:szCs w:val="21"/>
        </w:rPr>
        <w:t>单位： 元</w:t>
      </w:r>
    </w:p>
    <w:p>
      <w:pPr>
        <w:spacing w:line="240" w:lineRule="auto" w:before="0"/>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529"/>
        <w:gridCol w:w="1713"/>
        <w:gridCol w:w="568"/>
        <w:gridCol w:w="648"/>
        <w:gridCol w:w="1367"/>
        <w:gridCol w:w="1529"/>
        <w:gridCol w:w="1842"/>
      </w:tblGrid>
      <w:tr>
        <w:trPr>
          <w:trHeight w:val="402"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7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332"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5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4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53" w:right="0"/>
              <w:jc w:val="left"/>
              <w:rPr>
                <w:rFonts w:ascii="宋体" w:hAnsi="宋体" w:cs="宋体" w:eastAsia="宋体" w:hint="default"/>
                <w:sz w:val="21"/>
                <w:szCs w:val="21"/>
              </w:rPr>
            </w:pPr>
            <w:r>
              <w:rPr>
                <w:rFonts w:ascii="宋体" w:hAnsi="宋体" w:cs="宋体" w:eastAsia="宋体" w:hint="default"/>
                <w:sz w:val="21"/>
                <w:szCs w:val="21"/>
              </w:rPr>
              <w:t>非专有技术</w:t>
            </w:r>
          </w:p>
        </w:tc>
        <w:tc>
          <w:tcPr>
            <w:tcW w:w="1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软件</w:t>
            </w:r>
          </w:p>
        </w:tc>
        <w:tc>
          <w:tcPr>
            <w:tcW w:w="18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合计</w:t>
            </w:r>
          </w:p>
        </w:tc>
      </w:tr>
      <w:tr>
        <w:trPr>
          <w:trHeight w:val="402"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一、账面原值</w:t>
            </w:r>
          </w:p>
        </w:tc>
        <w:tc>
          <w:tcPr>
            <w:tcW w:w="1713" w:type="dxa"/>
            <w:tcBorders>
              <w:top w:val="single" w:sz="4" w:space="0" w:color="000000"/>
              <w:left w:val="single" w:sz="10" w:space="0" w:color="D2D2D2"/>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期初余额</w:t>
            </w:r>
          </w:p>
        </w:tc>
        <w:tc>
          <w:tcPr>
            <w:tcW w:w="171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56,427,577.83</w:t>
            </w:r>
          </w:p>
        </w:tc>
        <w:tc>
          <w:tcPr>
            <w:tcW w:w="568"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9"/>
              <w:jc w:val="right"/>
              <w:rPr>
                <w:rFonts w:ascii="宋体" w:hAnsi="宋体" w:cs="宋体" w:eastAsia="宋体" w:hint="default"/>
                <w:sz w:val="21"/>
                <w:szCs w:val="21"/>
              </w:rPr>
            </w:pPr>
            <w:r>
              <w:rPr>
                <w:rFonts w:ascii="宋体"/>
                <w:sz w:val="21"/>
              </w:rPr>
              <w:t>1,600,000.00</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4,358,064.96</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62,385,642.79</w:t>
            </w:r>
          </w:p>
        </w:tc>
      </w:tr>
      <w:tr>
        <w:trPr>
          <w:trHeight w:val="402"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本期增加金额</w:t>
            </w:r>
          </w:p>
        </w:tc>
        <w:tc>
          <w:tcPr>
            <w:tcW w:w="1713" w:type="dxa"/>
            <w:tcBorders>
              <w:top w:val="single" w:sz="4" w:space="0" w:color="000000"/>
              <w:left w:val="single" w:sz="10" w:space="0" w:color="D2D2D2"/>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22,025.64</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22,025.64</w:t>
            </w:r>
          </w:p>
        </w:tc>
      </w:tr>
      <w:tr>
        <w:trPr>
          <w:trHeight w:val="402"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641"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）购置</w:t>
            </w:r>
          </w:p>
        </w:tc>
        <w:tc>
          <w:tcPr>
            <w:tcW w:w="1713" w:type="dxa"/>
            <w:tcBorders>
              <w:top w:val="single" w:sz="4" w:space="0" w:color="000000"/>
              <w:left w:val="single" w:sz="10" w:space="0" w:color="D2D2D2"/>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22,025.64</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22,025.64</w:t>
            </w:r>
          </w:p>
        </w:tc>
      </w:tr>
      <w:tr>
        <w:trPr>
          <w:trHeight w:val="402"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641"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）内部研发</w:t>
            </w:r>
          </w:p>
        </w:tc>
        <w:tc>
          <w:tcPr>
            <w:tcW w:w="1713" w:type="dxa"/>
            <w:tcBorders>
              <w:top w:val="single" w:sz="4" w:space="0" w:color="000000"/>
              <w:left w:val="single" w:sz="10" w:space="0" w:color="D2D2D2"/>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641"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z w:val="21"/>
                <w:szCs w:val="21"/>
              </w:rPr>
              <w:t>）企业合并增加</w:t>
            </w:r>
          </w:p>
        </w:tc>
        <w:tc>
          <w:tcPr>
            <w:tcW w:w="1713" w:type="dxa"/>
            <w:tcBorders>
              <w:top w:val="single" w:sz="4" w:space="0" w:color="000000"/>
              <w:left w:val="single" w:sz="10" w:space="0" w:color="D2D2D2"/>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13" w:type="dxa"/>
            <w:tcBorders>
              <w:top w:val="single" w:sz="4" w:space="0" w:color="000000"/>
              <w:left w:val="single" w:sz="10" w:space="0" w:color="D2D2D2"/>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1"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本期减少金额</w:t>
            </w:r>
          </w:p>
        </w:tc>
        <w:tc>
          <w:tcPr>
            <w:tcW w:w="1713" w:type="dxa"/>
            <w:tcBorders>
              <w:top w:val="single" w:sz="4" w:space="0" w:color="000000"/>
              <w:left w:val="single" w:sz="10" w:space="0" w:color="D2D2D2"/>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641"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）处置</w:t>
            </w:r>
          </w:p>
        </w:tc>
        <w:tc>
          <w:tcPr>
            <w:tcW w:w="1713" w:type="dxa"/>
            <w:tcBorders>
              <w:top w:val="single" w:sz="4" w:space="0" w:color="000000"/>
              <w:left w:val="single" w:sz="10" w:space="0" w:color="D2D2D2"/>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13" w:type="dxa"/>
            <w:tcBorders>
              <w:top w:val="single" w:sz="4" w:space="0" w:color="000000"/>
              <w:left w:val="single" w:sz="10" w:space="0" w:color="D2D2D2"/>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期末余额</w:t>
            </w:r>
          </w:p>
        </w:tc>
        <w:tc>
          <w:tcPr>
            <w:tcW w:w="171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56,427,577.83</w:t>
            </w:r>
          </w:p>
        </w:tc>
        <w:tc>
          <w:tcPr>
            <w:tcW w:w="568"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9"/>
              <w:jc w:val="right"/>
              <w:rPr>
                <w:rFonts w:ascii="宋体" w:hAnsi="宋体" w:cs="宋体" w:eastAsia="宋体" w:hint="default"/>
                <w:sz w:val="21"/>
                <w:szCs w:val="21"/>
              </w:rPr>
            </w:pPr>
            <w:r>
              <w:rPr>
                <w:rFonts w:ascii="宋体"/>
                <w:sz w:val="21"/>
              </w:rPr>
              <w:t>1,600,000.00</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4,380,090.60</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62,407,668.43</w:t>
            </w:r>
          </w:p>
        </w:tc>
      </w:tr>
      <w:tr>
        <w:trPr>
          <w:trHeight w:val="402"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二、累计摊销</w:t>
            </w:r>
          </w:p>
        </w:tc>
        <w:tc>
          <w:tcPr>
            <w:tcW w:w="1713" w:type="dxa"/>
            <w:tcBorders>
              <w:top w:val="single" w:sz="4" w:space="0" w:color="000000"/>
              <w:left w:val="single" w:sz="10" w:space="0" w:color="D2D2D2"/>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期初余额</w:t>
            </w:r>
          </w:p>
        </w:tc>
        <w:tc>
          <w:tcPr>
            <w:tcW w:w="171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4,802,563.37</w:t>
            </w:r>
          </w:p>
        </w:tc>
        <w:tc>
          <w:tcPr>
            <w:tcW w:w="568"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9"/>
              <w:jc w:val="right"/>
              <w:rPr>
                <w:rFonts w:ascii="宋体" w:hAnsi="宋体" w:cs="宋体" w:eastAsia="宋体" w:hint="default"/>
                <w:sz w:val="21"/>
                <w:szCs w:val="21"/>
              </w:rPr>
            </w:pPr>
            <w:r>
              <w:rPr>
                <w:rFonts w:ascii="宋体"/>
                <w:sz w:val="21"/>
              </w:rPr>
              <w:t>1,479,999.63</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3,090,361.99</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9,372,924.99</w:t>
            </w:r>
          </w:p>
        </w:tc>
      </w:tr>
      <w:tr>
        <w:trPr>
          <w:trHeight w:val="402"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本期增加金额</w:t>
            </w:r>
          </w:p>
        </w:tc>
        <w:tc>
          <w:tcPr>
            <w:tcW w:w="171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1,155,425.76</w:t>
            </w:r>
          </w:p>
        </w:tc>
        <w:tc>
          <w:tcPr>
            <w:tcW w:w="568"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120,000.37</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pacing w:val="-1"/>
                <w:sz w:val="21"/>
              </w:rPr>
              <w:t>1,189,287.09</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2,464,713.22</w:t>
            </w:r>
          </w:p>
        </w:tc>
      </w:tr>
    </w:tbl>
    <w:p>
      <w:pPr>
        <w:spacing w:after="0" w:line="240" w:lineRule="auto"/>
        <w:jc w:val="right"/>
        <w:rPr>
          <w:rFonts w:ascii="宋体" w:hAnsi="宋体" w:cs="宋体" w:eastAsia="宋体" w:hint="default"/>
          <w:sz w:val="21"/>
          <w:szCs w:val="21"/>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89" w:type="dxa"/>
        <w:tblLayout w:type="fixed"/>
        <w:tblCellMar>
          <w:top w:w="0" w:type="dxa"/>
          <w:left w:w="0" w:type="dxa"/>
          <w:bottom w:w="0" w:type="dxa"/>
          <w:right w:w="0" w:type="dxa"/>
        </w:tblCellMar>
        <w:tblLook w:val="01E0"/>
      </w:tblPr>
      <w:tblGrid>
        <w:gridCol w:w="2541"/>
        <w:gridCol w:w="1713"/>
        <w:gridCol w:w="568"/>
        <w:gridCol w:w="648"/>
        <w:gridCol w:w="1367"/>
        <w:gridCol w:w="1529"/>
        <w:gridCol w:w="1842"/>
      </w:tblGrid>
      <w:tr>
        <w:trPr>
          <w:trHeight w:val="402" w:hRule="exact"/>
        </w:trPr>
        <w:tc>
          <w:tcPr>
            <w:tcW w:w="25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65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）计提</w:t>
            </w:r>
          </w:p>
        </w:tc>
        <w:tc>
          <w:tcPr>
            <w:tcW w:w="171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1,155,425.76</w:t>
            </w:r>
          </w:p>
        </w:tc>
        <w:tc>
          <w:tcPr>
            <w:tcW w:w="568"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120,000.37</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1,189,287.09</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2,464,713.22</w:t>
            </w:r>
          </w:p>
        </w:tc>
      </w:tr>
      <w:tr>
        <w:trPr>
          <w:trHeight w:val="402" w:hRule="exact"/>
        </w:trPr>
        <w:tc>
          <w:tcPr>
            <w:tcW w:w="254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13" w:type="dxa"/>
            <w:tcBorders>
              <w:top w:val="single" w:sz="4" w:space="0" w:color="000000"/>
              <w:left w:val="single" w:sz="10" w:space="0" w:color="D2D2D2"/>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5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616"/>
              <w:jc w:val="right"/>
              <w:rPr>
                <w:rFonts w:ascii="宋体" w:hAnsi="宋体" w:cs="宋体" w:eastAsia="宋体" w:hint="default"/>
                <w:sz w:val="21"/>
                <w:szCs w:val="21"/>
              </w:rPr>
            </w:pPr>
            <w:r>
              <w:rPr>
                <w:rFonts w:ascii="宋体" w:hAnsi="宋体" w:cs="宋体" w:eastAsia="宋体" w:hint="default"/>
                <w:spacing w:val="-1"/>
                <w:sz w:val="21"/>
                <w:szCs w:val="21"/>
              </w:rPr>
              <w:t>3.</w:t>
            </w:r>
            <w:r>
              <w:rPr>
                <w:rFonts w:ascii="宋体" w:hAnsi="宋体" w:cs="宋体" w:eastAsia="宋体" w:hint="default"/>
                <w:spacing w:val="-1"/>
                <w:sz w:val="21"/>
                <w:szCs w:val="21"/>
              </w:rPr>
              <w:t>本期减少金额</w:t>
            </w:r>
          </w:p>
        </w:tc>
        <w:tc>
          <w:tcPr>
            <w:tcW w:w="1713" w:type="dxa"/>
            <w:tcBorders>
              <w:top w:val="single" w:sz="4" w:space="0" w:color="000000"/>
              <w:left w:val="single" w:sz="10" w:space="0" w:color="D2D2D2"/>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5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65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）处置</w:t>
            </w:r>
          </w:p>
        </w:tc>
        <w:tc>
          <w:tcPr>
            <w:tcW w:w="1713" w:type="dxa"/>
            <w:tcBorders>
              <w:top w:val="single" w:sz="4" w:space="0" w:color="000000"/>
              <w:left w:val="single" w:sz="10" w:space="0" w:color="D2D2D2"/>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54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13" w:type="dxa"/>
            <w:tcBorders>
              <w:top w:val="single" w:sz="4" w:space="0" w:color="000000"/>
              <w:left w:val="single" w:sz="10" w:space="0" w:color="D2D2D2"/>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5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42"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期末余额</w:t>
            </w:r>
          </w:p>
        </w:tc>
        <w:tc>
          <w:tcPr>
            <w:tcW w:w="171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5,957,989.13</w:t>
            </w:r>
          </w:p>
        </w:tc>
        <w:tc>
          <w:tcPr>
            <w:tcW w:w="568"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9"/>
              <w:jc w:val="right"/>
              <w:rPr>
                <w:rFonts w:ascii="宋体" w:hAnsi="宋体" w:cs="宋体" w:eastAsia="宋体" w:hint="default"/>
                <w:sz w:val="21"/>
                <w:szCs w:val="21"/>
              </w:rPr>
            </w:pPr>
            <w:r>
              <w:rPr>
                <w:rFonts w:ascii="宋体"/>
                <w:sz w:val="21"/>
              </w:rPr>
              <w:t>1,600,000.00</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4,279,649.08</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11,837,638.21</w:t>
            </w:r>
          </w:p>
        </w:tc>
      </w:tr>
      <w:tr>
        <w:trPr>
          <w:trHeight w:val="402" w:hRule="exact"/>
        </w:trPr>
        <w:tc>
          <w:tcPr>
            <w:tcW w:w="25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三、减值准备</w:t>
            </w:r>
          </w:p>
        </w:tc>
        <w:tc>
          <w:tcPr>
            <w:tcW w:w="1713" w:type="dxa"/>
            <w:tcBorders>
              <w:top w:val="single" w:sz="4" w:space="0" w:color="000000"/>
              <w:left w:val="single" w:sz="10" w:space="0" w:color="D2D2D2"/>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5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42"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期初余额</w:t>
            </w:r>
          </w:p>
        </w:tc>
        <w:tc>
          <w:tcPr>
            <w:tcW w:w="1713" w:type="dxa"/>
            <w:tcBorders>
              <w:top w:val="single" w:sz="4" w:space="0" w:color="000000"/>
              <w:left w:val="single" w:sz="10" w:space="0" w:color="D2D2D2"/>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5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616"/>
              <w:jc w:val="right"/>
              <w:rPr>
                <w:rFonts w:ascii="宋体" w:hAnsi="宋体" w:cs="宋体" w:eastAsia="宋体" w:hint="default"/>
                <w:sz w:val="21"/>
                <w:szCs w:val="21"/>
              </w:rPr>
            </w:pPr>
            <w:r>
              <w:rPr>
                <w:rFonts w:ascii="宋体" w:hAnsi="宋体" w:cs="宋体" w:eastAsia="宋体" w:hint="default"/>
                <w:spacing w:val="-1"/>
                <w:sz w:val="21"/>
                <w:szCs w:val="21"/>
              </w:rPr>
              <w:t>2.</w:t>
            </w:r>
            <w:r>
              <w:rPr>
                <w:rFonts w:ascii="宋体" w:hAnsi="宋体" w:cs="宋体" w:eastAsia="宋体" w:hint="default"/>
                <w:spacing w:val="-1"/>
                <w:sz w:val="21"/>
                <w:szCs w:val="21"/>
              </w:rPr>
              <w:t>本期增加金额</w:t>
            </w:r>
          </w:p>
        </w:tc>
        <w:tc>
          <w:tcPr>
            <w:tcW w:w="1713" w:type="dxa"/>
            <w:tcBorders>
              <w:top w:val="single" w:sz="4" w:space="0" w:color="000000"/>
              <w:left w:val="single" w:sz="10" w:space="0" w:color="D2D2D2"/>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5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65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）计提</w:t>
            </w:r>
          </w:p>
        </w:tc>
        <w:tc>
          <w:tcPr>
            <w:tcW w:w="1713" w:type="dxa"/>
            <w:tcBorders>
              <w:top w:val="single" w:sz="4" w:space="0" w:color="000000"/>
              <w:left w:val="single" w:sz="10" w:space="0" w:color="D2D2D2"/>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54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13" w:type="dxa"/>
            <w:tcBorders>
              <w:top w:val="single" w:sz="4" w:space="0" w:color="000000"/>
              <w:left w:val="single" w:sz="10" w:space="0" w:color="D2D2D2"/>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5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616"/>
              <w:jc w:val="right"/>
              <w:rPr>
                <w:rFonts w:ascii="宋体" w:hAnsi="宋体" w:cs="宋体" w:eastAsia="宋体" w:hint="default"/>
                <w:sz w:val="21"/>
                <w:szCs w:val="21"/>
              </w:rPr>
            </w:pPr>
            <w:r>
              <w:rPr>
                <w:rFonts w:ascii="宋体" w:hAnsi="宋体" w:cs="宋体" w:eastAsia="宋体" w:hint="default"/>
                <w:spacing w:val="-1"/>
                <w:sz w:val="21"/>
                <w:szCs w:val="21"/>
              </w:rPr>
              <w:t>3.</w:t>
            </w:r>
            <w:r>
              <w:rPr>
                <w:rFonts w:ascii="宋体" w:hAnsi="宋体" w:cs="宋体" w:eastAsia="宋体" w:hint="default"/>
                <w:spacing w:val="-1"/>
                <w:sz w:val="21"/>
                <w:szCs w:val="21"/>
              </w:rPr>
              <w:t>本期减少金额</w:t>
            </w:r>
          </w:p>
        </w:tc>
        <w:tc>
          <w:tcPr>
            <w:tcW w:w="1713" w:type="dxa"/>
            <w:tcBorders>
              <w:top w:val="single" w:sz="4" w:space="0" w:color="000000"/>
              <w:left w:val="single" w:sz="10" w:space="0" w:color="D2D2D2"/>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5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42"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）处置</w:t>
            </w:r>
          </w:p>
        </w:tc>
        <w:tc>
          <w:tcPr>
            <w:tcW w:w="1713" w:type="dxa"/>
            <w:tcBorders>
              <w:top w:val="single" w:sz="4" w:space="0" w:color="000000"/>
              <w:left w:val="single" w:sz="10" w:space="0" w:color="D2D2D2"/>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54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13" w:type="dxa"/>
            <w:tcBorders>
              <w:top w:val="single" w:sz="4" w:space="0" w:color="000000"/>
              <w:left w:val="single" w:sz="10" w:space="0" w:color="D2D2D2"/>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5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42"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期末余额</w:t>
            </w:r>
          </w:p>
        </w:tc>
        <w:tc>
          <w:tcPr>
            <w:tcW w:w="1713" w:type="dxa"/>
            <w:tcBorders>
              <w:top w:val="single" w:sz="4" w:space="0" w:color="000000"/>
              <w:left w:val="single" w:sz="10" w:space="0" w:color="D2D2D2"/>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5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四、账面价值</w:t>
            </w:r>
          </w:p>
        </w:tc>
        <w:tc>
          <w:tcPr>
            <w:tcW w:w="1713" w:type="dxa"/>
            <w:tcBorders>
              <w:top w:val="single" w:sz="4" w:space="0" w:color="000000"/>
              <w:left w:val="single" w:sz="10" w:space="0" w:color="D2D2D2"/>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5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616"/>
              <w:jc w:val="right"/>
              <w:rPr>
                <w:rFonts w:ascii="宋体" w:hAnsi="宋体" w:cs="宋体" w:eastAsia="宋体" w:hint="default"/>
                <w:sz w:val="21"/>
                <w:szCs w:val="21"/>
              </w:rPr>
            </w:pPr>
            <w:r>
              <w:rPr>
                <w:rFonts w:ascii="宋体" w:hAnsi="宋体" w:cs="宋体" w:eastAsia="宋体" w:hint="default"/>
                <w:spacing w:val="-1"/>
                <w:sz w:val="21"/>
                <w:szCs w:val="21"/>
              </w:rPr>
              <w:t>1.</w:t>
            </w:r>
            <w:r>
              <w:rPr>
                <w:rFonts w:ascii="宋体" w:hAnsi="宋体" w:cs="宋体" w:eastAsia="宋体" w:hint="default"/>
                <w:spacing w:val="-1"/>
                <w:sz w:val="21"/>
                <w:szCs w:val="21"/>
              </w:rPr>
              <w:t>期末账面价值</w:t>
            </w:r>
          </w:p>
        </w:tc>
        <w:tc>
          <w:tcPr>
            <w:tcW w:w="171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50,469,588.70</w:t>
            </w:r>
          </w:p>
        </w:tc>
        <w:tc>
          <w:tcPr>
            <w:tcW w:w="568"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3"/>
              <w:jc w:val="right"/>
              <w:rPr>
                <w:rFonts w:ascii="宋体" w:hAnsi="宋体" w:cs="宋体" w:eastAsia="宋体" w:hint="default"/>
                <w:sz w:val="21"/>
                <w:szCs w:val="21"/>
              </w:rPr>
            </w:pPr>
            <w:r>
              <w:rPr>
                <w:rFonts w:ascii="宋体"/>
                <w:sz w:val="21"/>
              </w:rPr>
              <w:t>100,441.52</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50,570,030.22</w:t>
            </w:r>
          </w:p>
        </w:tc>
      </w:tr>
      <w:tr>
        <w:trPr>
          <w:trHeight w:val="402" w:hRule="exact"/>
        </w:trPr>
        <w:tc>
          <w:tcPr>
            <w:tcW w:w="25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616"/>
              <w:jc w:val="right"/>
              <w:rPr>
                <w:rFonts w:ascii="宋体" w:hAnsi="宋体" w:cs="宋体" w:eastAsia="宋体" w:hint="default"/>
                <w:sz w:val="21"/>
                <w:szCs w:val="21"/>
              </w:rPr>
            </w:pPr>
            <w:r>
              <w:rPr>
                <w:rFonts w:ascii="宋体" w:hAnsi="宋体" w:cs="宋体" w:eastAsia="宋体" w:hint="default"/>
                <w:spacing w:val="-1"/>
                <w:sz w:val="21"/>
                <w:szCs w:val="21"/>
              </w:rPr>
              <w:t>2.</w:t>
            </w:r>
            <w:r>
              <w:rPr>
                <w:rFonts w:ascii="宋体" w:hAnsi="宋体" w:cs="宋体" w:eastAsia="宋体" w:hint="default"/>
                <w:spacing w:val="-1"/>
                <w:sz w:val="21"/>
                <w:szCs w:val="21"/>
              </w:rPr>
              <w:t>期初账面价值</w:t>
            </w:r>
          </w:p>
        </w:tc>
        <w:tc>
          <w:tcPr>
            <w:tcW w:w="171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51,625,014.46</w:t>
            </w:r>
          </w:p>
        </w:tc>
        <w:tc>
          <w:tcPr>
            <w:tcW w:w="568"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120,000.37</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1,267,702.97</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53,012,717.80</w:t>
            </w:r>
          </w:p>
        </w:tc>
      </w:tr>
    </w:tbl>
    <w:p>
      <w:pPr>
        <w:spacing w:line="240" w:lineRule="auto" w:before="10"/>
        <w:rPr>
          <w:rFonts w:ascii="宋体" w:hAnsi="宋体" w:cs="宋体" w:eastAsia="宋体" w:hint="default"/>
          <w:sz w:val="4"/>
          <w:szCs w:val="4"/>
        </w:rPr>
      </w:pPr>
    </w:p>
    <w:p>
      <w:pPr>
        <w:pStyle w:val="BodyText"/>
        <w:spacing w:line="240" w:lineRule="auto" w:before="26"/>
        <w:ind w:left="674" w:right="1153"/>
        <w:jc w:val="left"/>
      </w:pPr>
      <w:r>
        <w:rPr/>
        <w:t>本期末通过公司内部研发形成的无形资产占无形资产余额的比例</w:t>
      </w:r>
      <w:r>
        <w:rPr>
          <w:rFonts w:ascii="宋体" w:hAnsi="宋体" w:cs="宋体" w:eastAsia="宋体" w:hint="default"/>
        </w:rPr>
        <w:t>0.00%</w:t>
      </w:r>
      <w:r>
        <w:rPr/>
        <w:t>。</w:t>
      </w:r>
    </w:p>
    <w:p>
      <w:pPr>
        <w:pStyle w:val="Heading2"/>
        <w:spacing w:line="240" w:lineRule="auto" w:before="146"/>
        <w:ind w:left="676" w:right="1153"/>
        <w:jc w:val="left"/>
        <w:rPr>
          <w:b w:val="0"/>
          <w:bCs w:val="0"/>
        </w:rPr>
      </w:pPr>
      <w:bookmarkStart w:name="（2）未办妥产权证书的土地使用权情况" w:id="322"/>
      <w:bookmarkEnd w:id="322"/>
      <w:r>
        <w:rPr>
          <w:b w:val="0"/>
          <w:bCs w:val="0"/>
        </w:rPr>
      </w:r>
      <w:r>
        <w:rPr/>
        <w:t>（</w:t>
      </w:r>
      <w:r>
        <w:rPr>
          <w:rFonts w:ascii="宋体" w:hAnsi="宋体" w:cs="宋体" w:eastAsia="宋体" w:hint="default"/>
        </w:rPr>
        <w:t>2</w:t>
      </w:r>
      <w:r>
        <w:rPr/>
        <w:t>）未办妥产权证书的土地使用权情况</w:t>
      </w:r>
      <w:r>
        <w:rPr>
          <w:b w:val="0"/>
          <w:bCs w:val="0"/>
        </w:rPr>
      </w:r>
    </w:p>
    <w:p>
      <w:pPr>
        <w:spacing w:line="240" w:lineRule="auto" w:before="1"/>
        <w:rPr>
          <w:rFonts w:ascii="宋体" w:hAnsi="宋体" w:cs="宋体" w:eastAsia="宋体" w:hint="default"/>
          <w:b/>
          <w:bCs/>
          <w:sz w:val="23"/>
          <w:szCs w:val="23"/>
        </w:rPr>
      </w:pPr>
    </w:p>
    <w:p>
      <w:pPr>
        <w:pStyle w:val="BodyText"/>
        <w:spacing w:line="350" w:lineRule="auto" w:before="0"/>
        <w:ind w:left="673" w:right="9073"/>
        <w:jc w:val="left"/>
      </w:pPr>
      <w:r>
        <w:rPr/>
        <w:t>无 其他说明：</w:t>
      </w:r>
    </w:p>
    <w:p>
      <w:pPr>
        <w:pStyle w:val="BodyText"/>
        <w:spacing w:line="240" w:lineRule="auto"/>
        <w:ind w:left="673" w:right="1153"/>
        <w:jc w:val="left"/>
      </w:pPr>
      <w:r>
        <w:rPr/>
        <w:t>①本年摊销额为</w:t>
      </w:r>
      <w:r>
        <w:rPr>
          <w:rFonts w:ascii="宋体" w:hAnsi="宋体" w:cs="宋体" w:eastAsia="宋体" w:hint="default"/>
        </w:rPr>
        <w:t>2,464,713.22</w:t>
      </w:r>
      <w:r>
        <w:rPr>
          <w:rFonts w:ascii="宋体" w:hAnsi="宋体" w:cs="宋体" w:eastAsia="宋体" w:hint="default"/>
          <w:spacing w:val="-1"/>
        </w:rPr>
        <w:t> </w:t>
      </w:r>
      <w:r>
        <w:rPr/>
        <w:t>元；期末无形资产不存在抵押情况。</w:t>
      </w:r>
    </w:p>
    <w:p>
      <w:pPr>
        <w:pStyle w:val="BodyText"/>
        <w:spacing w:line="240" w:lineRule="auto" w:before="145"/>
        <w:ind w:left="673" w:right="1153"/>
        <w:jc w:val="left"/>
      </w:pPr>
      <w:r>
        <w:rPr/>
        <w:t>②期末无形资产可收回金额高于账面价值，不需计提减值准备。</w:t>
      </w:r>
    </w:p>
    <w:p>
      <w:pPr>
        <w:pStyle w:val="Heading2"/>
        <w:spacing w:line="470" w:lineRule="auto" w:before="145"/>
        <w:ind w:left="676" w:right="4285"/>
        <w:jc w:val="left"/>
        <w:rPr>
          <w:b w:val="0"/>
          <w:bCs w:val="0"/>
        </w:rPr>
      </w:pPr>
      <w:bookmarkStart w:name="（3)期末无未办妥产权证书的土地使用权情况" w:id="323"/>
      <w:bookmarkEnd w:id="323"/>
      <w:r>
        <w:rPr>
          <w:b w:val="0"/>
          <w:bCs w:val="0"/>
        </w:rPr>
      </w:r>
      <w:r>
        <w:rPr>
          <w:w w:val="95"/>
        </w:rPr>
        <w:t>（</w:t>
      </w:r>
      <w:r>
        <w:rPr>
          <w:rFonts w:ascii="宋体" w:hAnsi="宋体" w:cs="宋体" w:eastAsia="宋体" w:hint="default"/>
          <w:w w:val="95"/>
        </w:rPr>
        <w:t>3)</w:t>
      </w:r>
      <w:r>
        <w:rPr>
          <w:w w:val="95"/>
        </w:rPr>
        <w:t>期末无未办妥产权证书的土地使用权情况</w:t>
      </w:r>
      <w:r>
        <w:rPr>
          <w:spacing w:val="109"/>
          <w:w w:val="95"/>
        </w:rPr>
        <w:t> </w:t>
      </w:r>
      <w:bookmarkStart w:name="26、开发支出" w:id="324"/>
      <w:bookmarkEnd w:id="324"/>
      <w:r>
        <w:rPr>
          <w:spacing w:val="109"/>
          <w:w w:val="95"/>
        </w:rPr>
      </w:r>
      <w:r>
        <w:rPr>
          <w:rFonts w:ascii="宋体" w:hAnsi="宋体" w:cs="宋体" w:eastAsia="宋体" w:hint="default"/>
        </w:rPr>
        <w:t>26</w:t>
      </w:r>
      <w:r>
        <w:rPr/>
        <w:t>、开发支出</w:t>
      </w:r>
      <w:r>
        <w:rPr>
          <w:b w:val="0"/>
          <w:bCs w:val="0"/>
        </w:rPr>
      </w:r>
    </w:p>
    <w:p>
      <w:pPr>
        <w:spacing w:line="350" w:lineRule="auto" w:before="71"/>
        <w:ind w:left="676" w:right="9305" w:hanging="3"/>
        <w:jc w:val="left"/>
        <w:rPr>
          <w:rFonts w:ascii="宋体" w:hAnsi="宋体" w:cs="宋体" w:eastAsia="宋体" w:hint="default"/>
          <w:sz w:val="24"/>
          <w:szCs w:val="24"/>
        </w:rPr>
      </w:pPr>
      <w:r>
        <w:rPr>
          <w:rFonts w:ascii="宋体" w:hAnsi="宋体" w:cs="宋体" w:eastAsia="宋体" w:hint="default"/>
          <w:sz w:val="24"/>
          <w:szCs w:val="24"/>
        </w:rPr>
        <w:t>无 </w:t>
      </w:r>
      <w:bookmarkStart w:name="27、商誉" w:id="325"/>
      <w:bookmarkEnd w:id="325"/>
      <w:r>
        <w:rPr>
          <w:rFonts w:ascii="宋体" w:hAnsi="宋体" w:cs="宋体" w:eastAsia="宋体" w:hint="default"/>
          <w:sz w:val="24"/>
          <w:szCs w:val="24"/>
        </w:rPr>
      </w:r>
      <w:r>
        <w:rPr>
          <w:rFonts w:ascii="宋体" w:hAnsi="宋体" w:cs="宋体" w:eastAsia="宋体" w:hint="default"/>
          <w:b/>
          <w:bCs/>
          <w:sz w:val="24"/>
          <w:szCs w:val="24"/>
        </w:rPr>
        <w:t>27</w:t>
      </w:r>
      <w:r>
        <w:rPr>
          <w:rFonts w:ascii="宋体" w:hAnsi="宋体" w:cs="宋体" w:eastAsia="宋体" w:hint="default"/>
          <w:b/>
          <w:bCs/>
          <w:sz w:val="24"/>
          <w:szCs w:val="24"/>
        </w:rPr>
        <w:t>、商誉</w:t>
      </w:r>
      <w:r>
        <w:rPr>
          <w:rFonts w:ascii="宋体" w:hAnsi="宋体" w:cs="宋体" w:eastAsia="宋体" w:hint="default"/>
          <w:sz w:val="24"/>
          <w:szCs w:val="24"/>
        </w:rPr>
      </w:r>
    </w:p>
    <w:p>
      <w:pPr>
        <w:pStyle w:val="Heading2"/>
        <w:spacing w:line="240" w:lineRule="auto" w:before="192"/>
        <w:ind w:left="676" w:right="1153"/>
        <w:jc w:val="left"/>
        <w:rPr>
          <w:b w:val="0"/>
          <w:bCs w:val="0"/>
        </w:rPr>
      </w:pPr>
      <w:bookmarkStart w:name="（1）商誉账面原值" w:id="326"/>
      <w:bookmarkEnd w:id="326"/>
      <w:r>
        <w:rPr>
          <w:b w:val="0"/>
          <w:bCs w:val="0"/>
        </w:rPr>
      </w:r>
      <w:r>
        <w:rPr/>
        <w:t>（</w:t>
      </w:r>
      <w:r>
        <w:rPr>
          <w:rFonts w:ascii="宋体" w:hAnsi="宋体" w:cs="宋体" w:eastAsia="宋体" w:hint="default"/>
        </w:rPr>
        <w:t>1</w:t>
      </w:r>
      <w:r>
        <w:rPr/>
        <w:t>）商誉账面原值</w:t>
      </w:r>
      <w:r>
        <w:rPr>
          <w:b w:val="0"/>
          <w:bCs w:val="0"/>
        </w:rPr>
      </w:r>
    </w:p>
    <w:p>
      <w:pPr>
        <w:spacing w:line="240" w:lineRule="auto" w:before="8"/>
        <w:rPr>
          <w:rFonts w:ascii="宋体" w:hAnsi="宋体" w:cs="宋体" w:eastAsia="宋体" w:hint="default"/>
          <w:b/>
          <w:bCs/>
          <w:sz w:val="12"/>
          <w:szCs w:val="12"/>
        </w:rPr>
      </w:pPr>
    </w:p>
    <w:p>
      <w:pPr>
        <w:spacing w:before="35"/>
        <w:ind w:left="0" w:right="1129" w:firstLine="0"/>
        <w:jc w:val="right"/>
        <w:rPr>
          <w:rFonts w:ascii="宋体" w:hAnsi="宋体" w:cs="宋体" w:eastAsia="宋体" w:hint="default"/>
          <w:sz w:val="21"/>
          <w:szCs w:val="21"/>
        </w:rPr>
      </w:pPr>
      <w:r>
        <w:rPr>
          <w:rFonts w:ascii="宋体" w:hAnsi="宋体" w:cs="宋体" w:eastAsia="宋体" w:hint="default"/>
          <w:sz w:val="21"/>
          <w:szCs w:val="21"/>
        </w:rPr>
        <w:t>单位： 元</w:t>
      </w:r>
    </w:p>
    <w:p>
      <w:pPr>
        <w:spacing w:line="240" w:lineRule="auto" w:before="13"/>
        <w:rPr>
          <w:rFonts w:ascii="宋体" w:hAnsi="宋体" w:cs="宋体" w:eastAsia="宋体" w:hint="default"/>
          <w:sz w:val="6"/>
          <w:szCs w:val="6"/>
        </w:rPr>
      </w:pPr>
    </w:p>
    <w:tbl>
      <w:tblPr>
        <w:tblW w:w="0" w:type="auto"/>
        <w:jc w:val="left"/>
        <w:tblInd w:w="117" w:type="dxa"/>
        <w:tblLayout w:type="fixed"/>
        <w:tblCellMar>
          <w:top w:w="0" w:type="dxa"/>
          <w:left w:w="0" w:type="dxa"/>
          <w:bottom w:w="0" w:type="dxa"/>
          <w:right w:w="0" w:type="dxa"/>
        </w:tblCellMar>
        <w:tblLook w:val="01E0"/>
      </w:tblPr>
      <w:tblGrid>
        <w:gridCol w:w="3545"/>
        <w:gridCol w:w="1842"/>
        <w:gridCol w:w="1844"/>
        <w:gridCol w:w="992"/>
        <w:gridCol w:w="1548"/>
      </w:tblGrid>
      <w:tr>
        <w:trPr>
          <w:trHeight w:val="402" w:hRule="exact"/>
        </w:trPr>
        <w:tc>
          <w:tcPr>
            <w:tcW w:w="35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92" w:right="0"/>
              <w:jc w:val="left"/>
              <w:rPr>
                <w:rFonts w:ascii="宋体" w:hAnsi="宋体" w:cs="宋体" w:eastAsia="宋体" w:hint="default"/>
                <w:sz w:val="21"/>
                <w:szCs w:val="21"/>
              </w:rPr>
            </w:pPr>
            <w:r>
              <w:rPr>
                <w:rFonts w:ascii="宋体" w:hAnsi="宋体" w:cs="宋体" w:eastAsia="宋体" w:hint="default"/>
                <w:sz w:val="21"/>
                <w:szCs w:val="21"/>
              </w:rPr>
              <w:t>被投资单位名称或形成商誉的事项</w:t>
            </w:r>
          </w:p>
        </w:tc>
        <w:tc>
          <w:tcPr>
            <w:tcW w:w="18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95"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95"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70"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5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353" w:right="0"/>
              <w:jc w:val="left"/>
              <w:rPr>
                <w:rFonts w:ascii="宋体" w:hAnsi="宋体" w:cs="宋体" w:eastAsia="宋体" w:hint="default"/>
                <w:sz w:val="21"/>
                <w:szCs w:val="21"/>
              </w:rPr>
            </w:pPr>
            <w:r>
              <w:rPr>
                <w:rFonts w:ascii="宋体" w:hAnsi="宋体" w:cs="宋体" w:eastAsia="宋体" w:hint="default"/>
                <w:sz w:val="21"/>
                <w:szCs w:val="21"/>
              </w:rPr>
              <w:t>期末余额</w:t>
            </w:r>
          </w:p>
        </w:tc>
      </w:tr>
    </w:tbl>
    <w:p>
      <w:pPr>
        <w:spacing w:after="0" w:line="240" w:lineRule="auto"/>
        <w:jc w:val="left"/>
        <w:rPr>
          <w:rFonts w:ascii="宋体" w:hAnsi="宋体" w:cs="宋体" w:eastAsia="宋体" w:hint="default"/>
          <w:sz w:val="21"/>
          <w:szCs w:val="21"/>
        </w:rPr>
        <w:sectPr>
          <w:pgSz w:w="11910" w:h="16840"/>
          <w:pgMar w:header="747" w:footer="979" w:top="1060" w:bottom="1160" w:left="940" w:right="0"/>
        </w:sectPr>
      </w:pPr>
    </w:p>
    <w:p>
      <w:pPr>
        <w:spacing w:line="240" w:lineRule="auto" w:before="6"/>
        <w:rPr>
          <w:rFonts w:ascii="宋体" w:hAnsi="宋体" w:cs="宋体" w:eastAsia="宋体" w:hint="default"/>
          <w:sz w:val="28"/>
          <w:szCs w:val="28"/>
        </w:rPr>
      </w:pPr>
    </w:p>
    <w:tbl>
      <w:tblPr>
        <w:tblW w:w="0" w:type="auto"/>
        <w:jc w:val="left"/>
        <w:tblInd w:w="117" w:type="dxa"/>
        <w:tblLayout w:type="fixed"/>
        <w:tblCellMar>
          <w:top w:w="0" w:type="dxa"/>
          <w:left w:w="0" w:type="dxa"/>
          <w:bottom w:w="0" w:type="dxa"/>
          <w:right w:w="0" w:type="dxa"/>
        </w:tblCellMar>
        <w:tblLook w:val="01E0"/>
      </w:tblPr>
      <w:tblGrid>
        <w:gridCol w:w="3545"/>
        <w:gridCol w:w="1842"/>
        <w:gridCol w:w="1844"/>
        <w:gridCol w:w="992"/>
        <w:gridCol w:w="1560"/>
      </w:tblGrid>
      <w:tr>
        <w:trPr>
          <w:trHeight w:val="402" w:hRule="exact"/>
        </w:trPr>
        <w:tc>
          <w:tcPr>
            <w:tcW w:w="35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北京国铁路阳技术有限公司</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107,863,014.60</w:t>
            </w:r>
          </w:p>
        </w:tc>
        <w:tc>
          <w:tcPr>
            <w:tcW w:w="1844"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34" w:right="0"/>
              <w:jc w:val="center"/>
              <w:rPr>
                <w:rFonts w:ascii="宋体" w:hAnsi="宋体" w:cs="宋体" w:eastAsia="宋体" w:hint="default"/>
                <w:sz w:val="21"/>
                <w:szCs w:val="21"/>
              </w:rPr>
            </w:pPr>
            <w:r>
              <w:rPr>
                <w:rFonts w:ascii="宋体"/>
                <w:sz w:val="21"/>
              </w:rPr>
              <w:t>107,863,014.60</w:t>
            </w:r>
          </w:p>
        </w:tc>
      </w:tr>
      <w:tr>
        <w:trPr>
          <w:trHeight w:val="402" w:hRule="exact"/>
        </w:trPr>
        <w:tc>
          <w:tcPr>
            <w:tcW w:w="35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成都西南交大驱动技术有限责任公司</w:t>
            </w:r>
          </w:p>
        </w:tc>
        <w:tc>
          <w:tcPr>
            <w:tcW w:w="1842"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34,141,326.36</w:t>
            </w:r>
          </w:p>
        </w:tc>
        <w:tc>
          <w:tcPr>
            <w:tcW w:w="992"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38" w:right="0"/>
              <w:jc w:val="center"/>
              <w:rPr>
                <w:rFonts w:ascii="宋体" w:hAnsi="宋体" w:cs="宋体" w:eastAsia="宋体" w:hint="default"/>
                <w:sz w:val="21"/>
                <w:szCs w:val="21"/>
              </w:rPr>
            </w:pPr>
            <w:r>
              <w:rPr>
                <w:rFonts w:ascii="宋体"/>
                <w:sz w:val="21"/>
              </w:rPr>
              <w:t>34,141,326.36</w:t>
            </w:r>
          </w:p>
        </w:tc>
      </w:tr>
      <w:tr>
        <w:trPr>
          <w:trHeight w:val="402" w:hRule="exact"/>
        </w:trPr>
        <w:tc>
          <w:tcPr>
            <w:tcW w:w="35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107,863,014.60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34,141,326.36</w:t>
            </w:r>
          </w:p>
        </w:tc>
        <w:tc>
          <w:tcPr>
            <w:tcW w:w="992"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34" w:right="0"/>
              <w:jc w:val="center"/>
              <w:rPr>
                <w:rFonts w:ascii="宋体" w:hAnsi="宋体" w:cs="宋体" w:eastAsia="宋体" w:hint="default"/>
                <w:sz w:val="21"/>
                <w:szCs w:val="21"/>
              </w:rPr>
            </w:pPr>
            <w:r>
              <w:rPr>
                <w:rFonts w:ascii="宋体"/>
                <w:sz w:val="21"/>
              </w:rPr>
              <w:t>142,004,340.96</w:t>
            </w:r>
          </w:p>
        </w:tc>
      </w:tr>
    </w:tbl>
    <w:p>
      <w:pPr>
        <w:spacing w:line="240" w:lineRule="auto" w:before="3"/>
        <w:rPr>
          <w:rFonts w:ascii="宋体" w:hAnsi="宋体" w:cs="宋体" w:eastAsia="宋体" w:hint="default"/>
          <w:sz w:val="19"/>
          <w:szCs w:val="19"/>
        </w:rPr>
      </w:pPr>
    </w:p>
    <w:p>
      <w:pPr>
        <w:spacing w:before="35"/>
        <w:ind w:left="194" w:right="1153" w:firstLine="0"/>
        <w:jc w:val="left"/>
        <w:rPr>
          <w:rFonts w:ascii="宋体" w:hAnsi="宋体" w:cs="宋体" w:eastAsia="宋体" w:hint="default"/>
          <w:sz w:val="21"/>
          <w:szCs w:val="21"/>
        </w:rPr>
      </w:pPr>
      <w:bookmarkStart w:name="（2）商誉减值准备" w:id="327"/>
      <w:bookmarkEnd w:id="327"/>
      <w:r>
        <w:rPr/>
      </w:r>
      <w:r>
        <w:rPr>
          <w:rFonts w:ascii="宋体" w:hAnsi="宋体" w:cs="宋体" w:eastAsia="宋体" w:hint="default"/>
          <w:b/>
          <w:bCs/>
          <w:sz w:val="21"/>
          <w:szCs w:val="21"/>
        </w:rPr>
        <w:t>（</w:t>
      </w:r>
      <w:r>
        <w:rPr>
          <w:rFonts w:ascii="宋体" w:hAnsi="宋体" w:cs="宋体" w:eastAsia="宋体" w:hint="default"/>
          <w:b/>
          <w:bCs/>
          <w:sz w:val="21"/>
          <w:szCs w:val="21"/>
        </w:rPr>
        <w:t>2</w:t>
      </w:r>
      <w:r>
        <w:rPr>
          <w:rFonts w:ascii="宋体" w:hAnsi="宋体" w:cs="宋体" w:eastAsia="宋体" w:hint="default"/>
          <w:b/>
          <w:bCs/>
          <w:sz w:val="21"/>
          <w:szCs w:val="21"/>
        </w:rPr>
        <w:t>）商誉减值准备</w:t>
      </w:r>
      <w:r>
        <w:rPr>
          <w:rFonts w:ascii="宋体" w:hAnsi="宋体" w:cs="宋体" w:eastAsia="宋体" w:hint="default"/>
          <w:sz w:val="21"/>
          <w:szCs w:val="21"/>
        </w:rPr>
      </w:r>
    </w:p>
    <w:p>
      <w:pPr>
        <w:spacing w:line="240" w:lineRule="auto" w:before="2"/>
        <w:rPr>
          <w:rFonts w:ascii="宋体" w:hAnsi="宋体" w:cs="宋体" w:eastAsia="宋体" w:hint="default"/>
          <w:b/>
          <w:bCs/>
          <w:sz w:val="23"/>
          <w:szCs w:val="23"/>
        </w:rPr>
      </w:pPr>
    </w:p>
    <w:p>
      <w:pPr>
        <w:spacing w:before="35"/>
        <w:ind w:left="0" w:right="1129" w:firstLine="0"/>
        <w:jc w:val="right"/>
        <w:rPr>
          <w:rFonts w:ascii="宋体" w:hAnsi="宋体" w:cs="宋体" w:eastAsia="宋体" w:hint="default"/>
          <w:sz w:val="21"/>
          <w:szCs w:val="21"/>
        </w:rPr>
      </w:pPr>
      <w:r>
        <w:rPr>
          <w:rFonts w:ascii="宋体" w:hAnsi="宋体" w:cs="宋体" w:eastAsia="宋体" w:hint="default"/>
          <w:sz w:val="21"/>
          <w:szCs w:val="21"/>
        </w:rPr>
        <w:t>单位： 元</w:t>
      </w:r>
    </w:p>
    <w:p>
      <w:pPr>
        <w:spacing w:line="240" w:lineRule="auto" w:before="0"/>
        <w:rPr>
          <w:rFonts w:ascii="宋体" w:hAnsi="宋体" w:cs="宋体" w:eastAsia="宋体" w:hint="default"/>
          <w:sz w:val="7"/>
          <w:szCs w:val="7"/>
        </w:rPr>
      </w:pPr>
    </w:p>
    <w:tbl>
      <w:tblPr>
        <w:tblW w:w="0" w:type="auto"/>
        <w:jc w:val="left"/>
        <w:tblInd w:w="189" w:type="dxa"/>
        <w:tblLayout w:type="fixed"/>
        <w:tblCellMar>
          <w:top w:w="0" w:type="dxa"/>
          <w:left w:w="0" w:type="dxa"/>
          <w:bottom w:w="0" w:type="dxa"/>
          <w:right w:w="0" w:type="dxa"/>
        </w:tblCellMar>
        <w:tblLook w:val="01E0"/>
      </w:tblPr>
      <w:tblGrid>
        <w:gridCol w:w="3533"/>
        <w:gridCol w:w="1572"/>
        <w:gridCol w:w="1700"/>
        <w:gridCol w:w="1134"/>
        <w:gridCol w:w="1631"/>
      </w:tblGrid>
      <w:tr>
        <w:trPr>
          <w:trHeight w:val="402" w:hRule="exact"/>
        </w:trPr>
        <w:tc>
          <w:tcPr>
            <w:tcW w:w="3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92" w:right="0"/>
              <w:jc w:val="left"/>
              <w:rPr>
                <w:rFonts w:ascii="宋体" w:hAnsi="宋体" w:cs="宋体" w:eastAsia="宋体" w:hint="default"/>
                <w:sz w:val="21"/>
                <w:szCs w:val="21"/>
              </w:rPr>
            </w:pPr>
            <w:r>
              <w:rPr>
                <w:rFonts w:ascii="宋体" w:hAnsi="宋体" w:cs="宋体" w:eastAsia="宋体" w:hint="default"/>
                <w:sz w:val="21"/>
                <w:szCs w:val="21"/>
              </w:rPr>
              <w:t>被投资单位名称或形成商誉的事项</w:t>
            </w:r>
          </w:p>
        </w:tc>
        <w:tc>
          <w:tcPr>
            <w:tcW w:w="15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366"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7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24"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41"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6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389"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402" w:hRule="exact"/>
        </w:trPr>
        <w:tc>
          <w:tcPr>
            <w:tcW w:w="3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北京国铁路阳技术有限公司</w:t>
            </w:r>
          </w:p>
        </w:tc>
        <w:tc>
          <w:tcPr>
            <w:tcW w:w="157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34,317,890.81</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37,619,858.22</w:t>
            </w:r>
          </w:p>
        </w:tc>
        <w:tc>
          <w:tcPr>
            <w:tcW w:w="1134" w:type="dxa"/>
            <w:tcBorders>
              <w:top w:val="single" w:sz="4" w:space="0" w:color="000000"/>
              <w:left w:val="single" w:sz="4" w:space="0" w:color="000000"/>
              <w:bottom w:val="single" w:sz="4" w:space="0" w:color="000000"/>
              <w:right w:val="single" w:sz="4" w:space="0" w:color="000000"/>
            </w:tcBorders>
          </w:tcPr>
          <w:p>
            <w:pPr/>
          </w:p>
        </w:tc>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71,937,749.03</w:t>
            </w:r>
          </w:p>
        </w:tc>
      </w:tr>
      <w:tr>
        <w:trPr>
          <w:trHeight w:val="402" w:hRule="exact"/>
        </w:trPr>
        <w:tc>
          <w:tcPr>
            <w:tcW w:w="3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0"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57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34,317,890.81</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37,619,858.22</w:t>
            </w:r>
          </w:p>
        </w:tc>
        <w:tc>
          <w:tcPr>
            <w:tcW w:w="1134" w:type="dxa"/>
            <w:tcBorders>
              <w:top w:val="single" w:sz="4" w:space="0" w:color="000000"/>
              <w:left w:val="single" w:sz="4" w:space="0" w:color="000000"/>
              <w:bottom w:val="single" w:sz="4" w:space="0" w:color="000000"/>
              <w:right w:val="single" w:sz="4" w:space="0" w:color="000000"/>
            </w:tcBorders>
          </w:tcPr>
          <w:p>
            <w:pPr/>
          </w:p>
        </w:tc>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71,937,749.03</w:t>
            </w:r>
          </w:p>
        </w:tc>
      </w:tr>
    </w:tbl>
    <w:p>
      <w:pPr>
        <w:spacing w:line="240" w:lineRule="auto" w:before="10"/>
        <w:rPr>
          <w:rFonts w:ascii="宋体" w:hAnsi="宋体" w:cs="宋体" w:eastAsia="宋体" w:hint="default"/>
          <w:sz w:val="4"/>
          <w:szCs w:val="4"/>
        </w:rPr>
      </w:pPr>
    </w:p>
    <w:p>
      <w:pPr>
        <w:pStyle w:val="BodyText"/>
        <w:spacing w:line="350" w:lineRule="auto" w:before="26"/>
        <w:ind w:left="673" w:right="1153"/>
        <w:jc w:val="left"/>
      </w:pPr>
      <w:r>
        <w:rPr/>
        <w:t>说明商誉减值测试过程、参数及商誉减值损失的确认方法： 北京国铁路阳技术有限公司（以下简称“国铁路阳”）商誉为公司于</w:t>
      </w:r>
      <w:r>
        <w:rPr>
          <w:rFonts w:ascii="宋体" w:hAnsi="宋体" w:cs="宋体" w:eastAsia="宋体" w:hint="default"/>
        </w:rPr>
        <w:t>2011</w:t>
      </w:r>
      <w:r>
        <w:rPr/>
        <w:t>年非同一控制</w:t>
      </w:r>
    </w:p>
    <w:p>
      <w:pPr>
        <w:pStyle w:val="BodyText"/>
        <w:spacing w:line="350" w:lineRule="auto"/>
        <w:ind w:left="193" w:right="1127"/>
        <w:jc w:val="left"/>
      </w:pPr>
      <w:r>
        <w:rPr>
          <w:spacing w:val="-5"/>
        </w:rPr>
        <w:t>下企业合并国铁路阳形成的商誉。在合并日，公司将购买股权支付的合并成本</w:t>
      </w:r>
      <w:r>
        <w:rPr>
          <w:rFonts w:ascii="宋体" w:hAnsi="宋体" w:cs="宋体" w:eastAsia="宋体" w:hint="default"/>
          <w:spacing w:val="-5"/>
        </w:rPr>
        <w:t>205,748,400.00</w:t>
      </w:r>
      <w:r>
        <w:rPr>
          <w:rFonts w:ascii="宋体" w:hAnsi="宋体" w:cs="宋体" w:eastAsia="宋体" w:hint="default"/>
          <w:spacing w:val="-81"/>
        </w:rPr>
        <w:t> </w:t>
      </w:r>
      <w:r>
        <w:rPr/>
        <w:t>元与应享有国铁路阳可辨认净资产公允价值份额</w:t>
      </w:r>
      <w:r>
        <w:rPr>
          <w:rFonts w:ascii="宋体" w:hAnsi="宋体" w:cs="宋体" w:eastAsia="宋体" w:hint="default"/>
        </w:rPr>
        <w:t>97,885,400.00</w:t>
      </w:r>
      <w:r>
        <w:rPr/>
        <w:t>元之间的差额 </w:t>
      </w:r>
      <w:r>
        <w:rPr>
          <w:rFonts w:ascii="宋体" w:hAnsi="宋体" w:cs="宋体" w:eastAsia="宋体" w:hint="default"/>
        </w:rPr>
        <w:t>107,863,000.00</w:t>
      </w:r>
      <w:r>
        <w:rPr/>
        <w:t>元确认为商誉；中联资产评估集团有限公司运用“收益法”对国铁路阳截止</w:t>
      </w:r>
    </w:p>
    <w:p>
      <w:pPr>
        <w:pStyle w:val="BodyText"/>
        <w:spacing w:line="350" w:lineRule="auto"/>
        <w:ind w:left="193" w:right="1115"/>
        <w:jc w:val="left"/>
      </w:pPr>
      <w:r>
        <w:rPr>
          <w:rFonts w:ascii="宋体" w:hAnsi="宋体" w:cs="宋体" w:eastAsia="宋体" w:hint="default"/>
        </w:rPr>
        <w:t>2017</w:t>
      </w:r>
      <w:r>
        <w:rPr/>
        <w:t>年</w:t>
      </w:r>
      <w:r>
        <w:rPr>
          <w:rFonts w:ascii="宋体" w:hAnsi="宋体" w:cs="宋体" w:eastAsia="宋体" w:hint="default"/>
        </w:rPr>
        <w:t>12</w:t>
      </w:r>
      <w:r>
        <w:rPr/>
        <w:t>月</w:t>
      </w:r>
      <w:r>
        <w:rPr>
          <w:rFonts w:ascii="宋体" w:hAnsi="宋体" w:cs="宋体" w:eastAsia="宋体" w:hint="default"/>
        </w:rPr>
        <w:t>31</w:t>
      </w:r>
      <w:r>
        <w:rPr/>
        <w:t>日的全部权益进行评估，将国铁路阳作为整个资产组预计未来现金流量的现值 </w:t>
      </w:r>
      <w:r>
        <w:rPr>
          <w:spacing w:val="-2"/>
        </w:rPr>
        <w:t>进行估计</w:t>
      </w:r>
      <w:r>
        <w:rPr>
          <w:rFonts w:ascii="宋体" w:hAnsi="宋体" w:cs="宋体" w:eastAsia="宋体" w:hint="default"/>
          <w:spacing w:val="-2"/>
        </w:rPr>
        <w:t>,</w:t>
      </w:r>
      <w:r>
        <w:rPr>
          <w:spacing w:val="-2"/>
        </w:rPr>
        <w:t>首先根据公司以往获利能力及营运资金情况估计公司资产的未来获利能力、净现金</w:t>
      </w:r>
      <w:r>
        <w:rPr/>
        <w:t> 流量；其次，按照收益额与折现率口径一致的原则，考虑到本次评估收益额口径为企业自由 净现金流量，采用适宜的折现率测算未来现金流量的现值，确认评估基准日</w:t>
      </w:r>
      <w:r>
        <w:rPr>
          <w:rFonts w:ascii="宋体" w:hAnsi="宋体" w:cs="宋体" w:eastAsia="宋体" w:hint="default"/>
        </w:rPr>
        <w:t>2017</w:t>
      </w:r>
      <w:r>
        <w:rPr/>
        <w:t>年</w:t>
      </w:r>
      <w:r>
        <w:rPr>
          <w:rFonts w:ascii="宋体" w:hAnsi="宋体" w:cs="宋体" w:eastAsia="宋体" w:hint="default"/>
        </w:rPr>
        <w:t>12</w:t>
      </w:r>
      <w:r>
        <w:rPr/>
        <w:t>月</w:t>
      </w:r>
      <w:r>
        <w:rPr>
          <w:rFonts w:ascii="宋体" w:hAnsi="宋体" w:cs="宋体" w:eastAsia="宋体" w:hint="default"/>
        </w:rPr>
        <w:t>31</w:t>
      </w:r>
      <w:r>
        <w:rPr/>
        <w:t>日 </w:t>
      </w:r>
      <w:r>
        <w:rPr>
          <w:spacing w:val="-2"/>
        </w:rPr>
        <w:t>国铁路阳资产组组合未来现金流量的现值为</w:t>
      </w:r>
      <w:r>
        <w:rPr>
          <w:rFonts w:ascii="宋体" w:hAnsi="宋体" w:cs="宋体" w:eastAsia="宋体" w:hint="default"/>
          <w:spacing w:val="-2"/>
        </w:rPr>
        <w:t>257,449,100.00</w:t>
      </w:r>
      <w:r>
        <w:rPr>
          <w:spacing w:val="-2"/>
        </w:rPr>
        <w:t>元，并于</w:t>
      </w:r>
      <w:r>
        <w:rPr>
          <w:rFonts w:ascii="宋体" w:hAnsi="宋体" w:cs="宋体" w:eastAsia="宋体" w:hint="default"/>
          <w:spacing w:val="-2"/>
        </w:rPr>
        <w:t>2018</w:t>
      </w:r>
      <w:r>
        <w:rPr>
          <w:spacing w:val="-2"/>
        </w:rPr>
        <w:t>年</w:t>
      </w:r>
      <w:r>
        <w:rPr>
          <w:rFonts w:ascii="宋体" w:hAnsi="宋体" w:cs="宋体" w:eastAsia="宋体" w:hint="default"/>
          <w:spacing w:val="-2"/>
        </w:rPr>
        <w:t>4</w:t>
      </w:r>
      <w:r>
        <w:rPr>
          <w:spacing w:val="-2"/>
        </w:rPr>
        <w:t>月</w:t>
      </w:r>
      <w:r>
        <w:rPr>
          <w:rFonts w:ascii="宋体" w:hAnsi="宋体" w:cs="宋体" w:eastAsia="宋体" w:hint="default"/>
          <w:spacing w:val="-2"/>
        </w:rPr>
        <w:t>20</w:t>
      </w:r>
      <w:r>
        <w:rPr>
          <w:spacing w:val="-2"/>
        </w:rPr>
        <w:t>日出具编号</w:t>
      </w:r>
      <w:r>
        <w:rPr>
          <w:spacing w:val="-100"/>
        </w:rPr>
        <w:t> </w:t>
      </w:r>
      <w:r>
        <w:rPr>
          <w:spacing w:val="-2"/>
        </w:rPr>
        <w:t>为中联评咨字【</w:t>
      </w:r>
      <w:r>
        <w:rPr>
          <w:rFonts w:ascii="宋体" w:hAnsi="宋体" w:cs="宋体" w:eastAsia="宋体" w:hint="default"/>
          <w:spacing w:val="-2"/>
        </w:rPr>
        <w:t>2018</w:t>
      </w:r>
      <w:r>
        <w:rPr>
          <w:spacing w:val="-2"/>
        </w:rPr>
        <w:t>】第</w:t>
      </w:r>
      <w:r>
        <w:rPr>
          <w:rFonts w:ascii="宋体" w:hAnsi="宋体" w:cs="宋体" w:eastAsia="宋体" w:hint="default"/>
          <w:spacing w:val="-2"/>
        </w:rPr>
        <w:t>603</w:t>
      </w:r>
      <w:r>
        <w:rPr>
          <w:spacing w:val="-2"/>
        </w:rPr>
        <w:t>号评估报告；由此确定该资产组</w:t>
      </w:r>
      <w:r>
        <w:rPr>
          <w:rFonts w:ascii="宋体" w:hAnsi="宋体" w:cs="宋体" w:eastAsia="宋体" w:hint="default"/>
          <w:spacing w:val="-2"/>
        </w:rPr>
        <w:t>2017</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日的可收回金额为</w:t>
      </w:r>
      <w:r>
        <w:rPr>
          <w:spacing w:val="-108"/>
        </w:rPr>
        <w:t> </w:t>
      </w:r>
      <w:r>
        <w:rPr>
          <w:rFonts w:ascii="宋体" w:hAnsi="宋体" w:cs="宋体" w:eastAsia="宋体" w:hint="default"/>
        </w:rPr>
        <w:t>257,449,100.00</w:t>
      </w:r>
      <w:r>
        <w:rPr/>
        <w:t>元，该资产组</w:t>
      </w:r>
      <w:r>
        <w:rPr>
          <w:rFonts w:ascii="宋体" w:hAnsi="宋体" w:cs="宋体" w:eastAsia="宋体" w:hint="default"/>
        </w:rPr>
        <w:t>2017</w:t>
      </w:r>
      <w:r>
        <w:rPr/>
        <w:t>年</w:t>
      </w:r>
      <w:r>
        <w:rPr>
          <w:rFonts w:ascii="宋体" w:hAnsi="宋体" w:cs="宋体" w:eastAsia="宋体" w:hint="default"/>
        </w:rPr>
        <w:t>12</w:t>
      </w:r>
      <w:r>
        <w:rPr/>
        <w:t>月</w:t>
      </w:r>
      <w:r>
        <w:rPr>
          <w:rFonts w:ascii="宋体" w:hAnsi="宋体" w:cs="宋体" w:eastAsia="宋体" w:hint="default"/>
        </w:rPr>
        <w:t>31</w:t>
      </w:r>
      <w:r>
        <w:rPr/>
        <w:t>日的账面价值为</w:t>
      </w:r>
      <w:r>
        <w:rPr>
          <w:rFonts w:ascii="宋体" w:hAnsi="宋体" w:cs="宋体" w:eastAsia="宋体" w:hint="default"/>
        </w:rPr>
        <w:t>329,386,849.03</w:t>
      </w:r>
      <w:r>
        <w:rPr/>
        <w:t>元，对高于可收 回金额的差额部分</w:t>
      </w:r>
      <w:r>
        <w:rPr>
          <w:rFonts w:ascii="宋体" w:hAnsi="宋体" w:cs="宋体" w:eastAsia="宋体" w:hint="default"/>
        </w:rPr>
        <w:t>71,937,749.03</w:t>
      </w:r>
      <w:r>
        <w:rPr/>
        <w:t>元确认商誉减值，扣除以前年度已经计提的商誉减值 </w:t>
      </w:r>
      <w:r>
        <w:rPr>
          <w:rFonts w:ascii="宋体" w:hAnsi="宋体" w:cs="宋体" w:eastAsia="宋体" w:hint="default"/>
        </w:rPr>
        <w:t>34,317,890.81</w:t>
      </w:r>
      <w:r>
        <w:rPr/>
        <w:t>元，本期计提商誉减值</w:t>
      </w:r>
      <w:r>
        <w:rPr>
          <w:rFonts w:ascii="宋体" w:hAnsi="宋体" w:cs="宋体" w:eastAsia="宋体" w:hint="default"/>
        </w:rPr>
        <w:t>37,619,858.22</w:t>
      </w:r>
      <w:r>
        <w:rPr/>
        <w:t>元。</w:t>
      </w:r>
    </w:p>
    <w:p>
      <w:pPr>
        <w:pStyle w:val="BodyText"/>
        <w:spacing w:line="350" w:lineRule="auto"/>
        <w:ind w:left="673" w:right="1153"/>
        <w:jc w:val="left"/>
      </w:pPr>
      <w:r>
        <w:rPr/>
        <w:t>其他说明 成都西南交大驱动技术有限责任公司（以下简称“交大驱动”）商誉为公司于本年度非</w:t>
      </w:r>
    </w:p>
    <w:p>
      <w:pPr>
        <w:pStyle w:val="BodyText"/>
        <w:spacing w:line="352" w:lineRule="auto" w:before="35"/>
        <w:ind w:left="193" w:right="1153"/>
        <w:jc w:val="left"/>
      </w:pPr>
      <w:r>
        <w:rPr/>
        <w:t>同一控制下企业合并收购交大驱动形成的商誉。在合并日，公司将购买股权支付的合并成本 </w:t>
      </w:r>
      <w:r>
        <w:rPr>
          <w:rFonts w:ascii="宋体" w:hAnsi="宋体" w:cs="宋体" w:eastAsia="宋体" w:hint="default"/>
        </w:rPr>
        <w:t>54,266,600.00</w:t>
      </w:r>
      <w:r>
        <w:rPr/>
        <w:t>元与应享有交大驱动可辨认净资产公允价值份额</w:t>
      </w:r>
      <w:r>
        <w:rPr>
          <w:rFonts w:ascii="宋体" w:hAnsi="宋体" w:cs="宋体" w:eastAsia="宋体" w:hint="default"/>
        </w:rPr>
        <w:t>20,125,273.64</w:t>
      </w:r>
      <w:r>
        <w:rPr/>
        <w:t>元之间的差额</w:t>
      </w:r>
    </w:p>
    <w:p>
      <w:pPr>
        <w:pStyle w:val="BodyText"/>
        <w:spacing w:line="350" w:lineRule="auto" w:before="32"/>
        <w:ind w:left="193" w:right="1273"/>
        <w:jc w:val="left"/>
      </w:pPr>
      <w:r>
        <w:rPr>
          <w:rFonts w:ascii="宋体" w:hAnsi="宋体" w:cs="宋体" w:eastAsia="宋体" w:hint="default"/>
        </w:rPr>
        <w:t>34,141,326.36</w:t>
      </w:r>
      <w:r>
        <w:rPr/>
        <w:t>元确认为商誉。期末公司对该商誉按预计的现金流量测算预计的现金流量现 值，经测试，未发现减值迹象，无需对上述商誉余额计提减值准备。</w:t>
      </w:r>
    </w:p>
    <w:p>
      <w:pPr>
        <w:pStyle w:val="Heading2"/>
        <w:spacing w:line="240" w:lineRule="auto" w:before="36"/>
        <w:ind w:left="676" w:right="1153"/>
        <w:jc w:val="left"/>
        <w:rPr>
          <w:b w:val="0"/>
          <w:bCs w:val="0"/>
        </w:rPr>
      </w:pPr>
      <w:bookmarkStart w:name="28、长期待摊费用" w:id="328"/>
      <w:bookmarkEnd w:id="328"/>
      <w:r>
        <w:rPr>
          <w:b w:val="0"/>
          <w:bCs w:val="0"/>
        </w:rPr>
      </w:r>
      <w:r>
        <w:rPr>
          <w:rFonts w:ascii="宋体" w:hAnsi="宋体" w:cs="宋体" w:eastAsia="宋体" w:hint="default"/>
        </w:rPr>
        <w:t>28</w:t>
      </w:r>
      <w:r>
        <w:rPr/>
        <w:t>、长期待摊费用</w:t>
      </w:r>
      <w:r>
        <w:rPr>
          <w:b w:val="0"/>
          <w:bCs w:val="0"/>
        </w:rPr>
      </w:r>
    </w:p>
    <w:p>
      <w:pPr>
        <w:spacing w:before="199"/>
        <w:ind w:left="0" w:right="1129" w:firstLine="0"/>
        <w:jc w:val="right"/>
        <w:rPr>
          <w:rFonts w:ascii="宋体" w:hAnsi="宋体" w:cs="宋体" w:eastAsia="宋体" w:hint="default"/>
          <w:sz w:val="21"/>
          <w:szCs w:val="21"/>
        </w:rPr>
      </w:pPr>
      <w:r>
        <w:rPr>
          <w:rFonts w:ascii="宋体" w:hAnsi="宋体" w:cs="宋体" w:eastAsia="宋体" w:hint="default"/>
          <w:sz w:val="21"/>
          <w:szCs w:val="21"/>
        </w:rPr>
        <w:t>单位： 元</w:t>
      </w:r>
    </w:p>
    <w:p>
      <w:pPr>
        <w:spacing w:after="0"/>
        <w:jc w:val="right"/>
        <w:rPr>
          <w:rFonts w:ascii="宋体" w:hAnsi="宋体" w:cs="宋体" w:eastAsia="宋体" w:hint="default"/>
          <w:sz w:val="21"/>
          <w:szCs w:val="21"/>
        </w:rPr>
        <w:sectPr>
          <w:pgSz w:w="11910" w:h="16840"/>
          <w:pgMar w:header="747" w:footer="979" w:top="1060" w:bottom="1160" w:left="940" w:right="0"/>
        </w:sectPr>
      </w:pPr>
    </w:p>
    <w:p>
      <w:pPr>
        <w:spacing w:line="240" w:lineRule="auto" w:before="6"/>
        <w:rPr>
          <w:rFonts w:ascii="宋体" w:hAnsi="宋体" w:cs="宋体" w:eastAsia="宋体" w:hint="default"/>
          <w:sz w:val="28"/>
          <w:szCs w:val="28"/>
        </w:rPr>
      </w:pPr>
    </w:p>
    <w:tbl>
      <w:tblPr>
        <w:tblW w:w="0" w:type="auto"/>
        <w:jc w:val="left"/>
        <w:tblInd w:w="382" w:type="dxa"/>
        <w:tblLayout w:type="fixed"/>
        <w:tblCellMar>
          <w:top w:w="0" w:type="dxa"/>
          <w:left w:w="0" w:type="dxa"/>
          <w:bottom w:w="0" w:type="dxa"/>
          <w:right w:w="0" w:type="dxa"/>
        </w:tblCellMar>
        <w:tblLook w:val="01E0"/>
      </w:tblPr>
      <w:tblGrid>
        <w:gridCol w:w="3272"/>
        <w:gridCol w:w="650"/>
        <w:gridCol w:w="1594"/>
        <w:gridCol w:w="1738"/>
        <w:gridCol w:w="850"/>
        <w:gridCol w:w="1560"/>
      </w:tblGrid>
      <w:tr>
        <w:trPr>
          <w:trHeight w:val="161" w:hRule="exact"/>
        </w:trPr>
        <w:tc>
          <w:tcPr>
            <w:tcW w:w="3272" w:type="dxa"/>
            <w:tcBorders>
              <w:top w:val="single" w:sz="4" w:space="0" w:color="000000"/>
              <w:left w:val="single" w:sz="4" w:space="0" w:color="000000"/>
              <w:bottom w:val="nil" w:sz="6" w:space="0" w:color="auto"/>
              <w:right w:val="single" w:sz="4" w:space="0" w:color="000000"/>
            </w:tcBorders>
            <w:shd w:val="clear" w:color="auto" w:fill="D2D2D2"/>
          </w:tcPr>
          <w:p>
            <w:pPr/>
          </w:p>
        </w:tc>
        <w:tc>
          <w:tcPr>
            <w:tcW w:w="650"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26"/>
              <w:ind w:left="114" w:right="105"/>
              <w:jc w:val="left"/>
              <w:rPr>
                <w:rFonts w:ascii="宋体" w:hAnsi="宋体" w:cs="宋体" w:eastAsia="宋体" w:hint="default"/>
                <w:sz w:val="21"/>
                <w:szCs w:val="21"/>
              </w:rPr>
            </w:pPr>
            <w:r>
              <w:rPr>
                <w:rFonts w:ascii="宋体" w:hAnsi="宋体" w:cs="宋体" w:eastAsia="宋体" w:hint="default"/>
                <w:sz w:val="21"/>
                <w:szCs w:val="21"/>
              </w:rPr>
              <w:t>期初 余额</w:t>
            </w: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738" w:type="dxa"/>
            <w:tcBorders>
              <w:top w:val="single" w:sz="4" w:space="0" w:color="000000"/>
              <w:left w:val="single" w:sz="4" w:space="0" w:color="000000"/>
              <w:bottom w:val="nil" w:sz="6" w:space="0" w:color="auto"/>
              <w:right w:val="single" w:sz="4" w:space="0" w:color="000000"/>
            </w:tcBorders>
            <w:shd w:val="clear" w:color="auto" w:fill="D2D2D2"/>
          </w:tcPr>
          <w:p>
            <w:pPr/>
          </w:p>
        </w:tc>
        <w:tc>
          <w:tcPr>
            <w:tcW w:w="850"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26"/>
              <w:ind w:left="104" w:right="103"/>
              <w:jc w:val="left"/>
              <w:rPr>
                <w:rFonts w:ascii="宋体" w:hAnsi="宋体" w:cs="宋体" w:eastAsia="宋体" w:hint="default"/>
                <w:sz w:val="21"/>
                <w:szCs w:val="21"/>
              </w:rPr>
            </w:pPr>
            <w:r>
              <w:rPr>
                <w:rFonts w:ascii="宋体" w:hAnsi="宋体" w:cs="宋体" w:eastAsia="宋体" w:hint="default"/>
                <w:sz w:val="21"/>
                <w:szCs w:val="21"/>
              </w:rPr>
              <w:t>其他减 少金额</w:t>
            </w:r>
          </w:p>
        </w:tc>
        <w:tc>
          <w:tcPr>
            <w:tcW w:w="1560"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327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650" w:type="dxa"/>
            <w:vMerge/>
            <w:tcBorders>
              <w:left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6"/>
              <w:ind w:left="162" w:right="0"/>
              <w:jc w:val="left"/>
              <w:rPr>
                <w:rFonts w:ascii="宋体" w:hAnsi="宋体" w:cs="宋体" w:eastAsia="宋体" w:hint="default"/>
                <w:sz w:val="21"/>
                <w:szCs w:val="21"/>
              </w:rPr>
            </w:pPr>
            <w:r>
              <w:rPr>
                <w:rFonts w:ascii="宋体" w:hAnsi="宋体" w:cs="宋体" w:eastAsia="宋体" w:hint="default"/>
                <w:sz w:val="21"/>
                <w:szCs w:val="21"/>
              </w:rPr>
              <w:t>本期增加金额</w:t>
            </w:r>
          </w:p>
        </w:tc>
        <w:tc>
          <w:tcPr>
            <w:tcW w:w="173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6"/>
              <w:ind w:left="232" w:right="0"/>
              <w:jc w:val="left"/>
              <w:rPr>
                <w:rFonts w:ascii="宋体" w:hAnsi="宋体" w:cs="宋体" w:eastAsia="宋体" w:hint="default"/>
                <w:sz w:val="21"/>
                <w:szCs w:val="21"/>
              </w:rPr>
            </w:pPr>
            <w:r>
              <w:rPr>
                <w:rFonts w:ascii="宋体" w:hAnsi="宋体" w:cs="宋体" w:eastAsia="宋体" w:hint="default"/>
                <w:sz w:val="21"/>
                <w:szCs w:val="21"/>
              </w:rPr>
              <w:t>本期摊销金额</w:t>
            </w:r>
          </w:p>
        </w:tc>
        <w:tc>
          <w:tcPr>
            <w:tcW w:w="850" w:type="dxa"/>
            <w:vMerge/>
            <w:tcBorders>
              <w:left w:val="single" w:sz="4" w:space="0" w:color="000000"/>
              <w:right w:val="single" w:sz="4" w:space="0" w:color="000000"/>
            </w:tcBorders>
            <w:shd w:val="clear" w:color="auto" w:fill="D2D2D2"/>
          </w:tcPr>
          <w:p>
            <w:pPr/>
          </w:p>
        </w:tc>
        <w:tc>
          <w:tcPr>
            <w:tcW w:w="156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6"/>
              <w:ind w:left="353"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161" w:hRule="exact"/>
        </w:trPr>
        <w:tc>
          <w:tcPr>
            <w:tcW w:w="3272" w:type="dxa"/>
            <w:tcBorders>
              <w:top w:val="nil" w:sz="6" w:space="0" w:color="auto"/>
              <w:left w:val="single" w:sz="4" w:space="0" w:color="000000"/>
              <w:bottom w:val="single" w:sz="4" w:space="0" w:color="000000"/>
              <w:right w:val="single" w:sz="4" w:space="0" w:color="000000"/>
            </w:tcBorders>
            <w:shd w:val="clear" w:color="auto" w:fill="D2D2D2"/>
          </w:tcPr>
          <w:p>
            <w:pPr/>
          </w:p>
        </w:tc>
        <w:tc>
          <w:tcPr>
            <w:tcW w:w="650"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738" w:type="dxa"/>
            <w:tcBorders>
              <w:top w:val="nil" w:sz="6" w:space="0" w:color="auto"/>
              <w:left w:val="single" w:sz="4" w:space="0" w:color="000000"/>
              <w:bottom w:val="single" w:sz="4" w:space="0" w:color="000000"/>
              <w:right w:val="single" w:sz="4" w:space="0" w:color="000000"/>
            </w:tcBorders>
            <w:shd w:val="clear" w:color="auto" w:fill="D2D2D2"/>
          </w:tcPr>
          <w:p>
            <w:pPr/>
          </w:p>
        </w:tc>
        <w:tc>
          <w:tcPr>
            <w:tcW w:w="850" w:type="dxa"/>
            <w:vMerge/>
            <w:tcBorders>
              <w:left w:val="single" w:sz="4" w:space="0" w:color="000000"/>
              <w:bottom w:val="single" w:sz="4" w:space="0" w:color="000000"/>
              <w:right w:val="single" w:sz="4" w:space="0" w:color="000000"/>
            </w:tcBorders>
            <w:shd w:val="clear" w:color="auto" w:fill="D2D2D2"/>
          </w:tcPr>
          <w:p>
            <w:pPr/>
          </w:p>
        </w:tc>
        <w:tc>
          <w:tcPr>
            <w:tcW w:w="1560"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714" w:hRule="exact"/>
        </w:trPr>
        <w:tc>
          <w:tcPr>
            <w:tcW w:w="3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11" w:right="98"/>
              <w:jc w:val="left"/>
              <w:rPr>
                <w:rFonts w:ascii="宋体" w:hAnsi="宋体" w:cs="宋体" w:eastAsia="宋体" w:hint="default"/>
                <w:sz w:val="21"/>
                <w:szCs w:val="21"/>
              </w:rPr>
            </w:pPr>
            <w:r>
              <w:rPr>
                <w:rFonts w:ascii="宋体" w:hAnsi="宋体" w:cs="宋体" w:eastAsia="宋体" w:hint="default"/>
                <w:sz w:val="21"/>
                <w:szCs w:val="21"/>
              </w:rPr>
              <w:t>上海申通地铁资产经营管理有限公 司</w:t>
            </w:r>
            <w:r>
              <w:rPr>
                <w:rFonts w:ascii="宋体" w:hAnsi="宋体" w:cs="宋体" w:eastAsia="宋体" w:hint="default"/>
                <w:spacing w:val="-55"/>
                <w:sz w:val="21"/>
                <w:szCs w:val="21"/>
              </w:rPr>
              <w:t> </w:t>
            </w:r>
            <w:r>
              <w:rPr>
                <w:rFonts w:ascii="宋体" w:hAnsi="宋体" w:cs="宋体" w:eastAsia="宋体" w:hint="default"/>
                <w:sz w:val="21"/>
                <w:szCs w:val="21"/>
              </w:rPr>
              <w:t>16</w:t>
            </w:r>
            <w:r>
              <w:rPr>
                <w:rFonts w:ascii="宋体" w:hAnsi="宋体" w:cs="宋体" w:eastAsia="宋体" w:hint="default"/>
                <w:spacing w:val="-54"/>
                <w:sz w:val="21"/>
                <w:szCs w:val="21"/>
              </w:rPr>
              <w:t> </w:t>
            </w:r>
            <w:r>
              <w:rPr>
                <w:rFonts w:ascii="宋体" w:hAnsi="宋体" w:cs="宋体" w:eastAsia="宋体" w:hint="default"/>
                <w:sz w:val="21"/>
                <w:szCs w:val="21"/>
              </w:rPr>
              <w:t>号线经营权费</w:t>
            </w:r>
          </w:p>
        </w:tc>
        <w:tc>
          <w:tcPr>
            <w:tcW w:w="650" w:type="dxa"/>
            <w:tcBorders>
              <w:top w:val="single" w:sz="4" w:space="0" w:color="000000"/>
              <w:left w:val="single" w:sz="13"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0"/>
              <w:jc w:val="right"/>
              <w:rPr>
                <w:rFonts w:ascii="宋体" w:hAnsi="宋体" w:cs="宋体" w:eastAsia="宋体" w:hint="default"/>
                <w:sz w:val="21"/>
                <w:szCs w:val="21"/>
              </w:rPr>
            </w:pPr>
            <w:r>
              <w:rPr>
                <w:rFonts w:ascii="宋体"/>
                <w:sz w:val="21"/>
              </w:rPr>
              <w:t>10,424,528.31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1"/>
              <w:jc w:val="right"/>
              <w:rPr>
                <w:rFonts w:ascii="宋体" w:hAnsi="宋体" w:cs="宋体" w:eastAsia="宋体" w:hint="default"/>
                <w:sz w:val="21"/>
                <w:szCs w:val="21"/>
              </w:rPr>
            </w:pPr>
            <w:r>
              <w:rPr>
                <w:rFonts w:ascii="宋体"/>
                <w:sz w:val="21"/>
              </w:rPr>
              <w:t>4,905,660.38</w:t>
            </w:r>
          </w:p>
        </w:tc>
        <w:tc>
          <w:tcPr>
            <w:tcW w:w="85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0"/>
              <w:jc w:val="right"/>
              <w:rPr>
                <w:rFonts w:ascii="宋体" w:hAnsi="宋体" w:cs="宋体" w:eastAsia="宋体" w:hint="default"/>
                <w:sz w:val="21"/>
                <w:szCs w:val="21"/>
              </w:rPr>
            </w:pPr>
            <w:r>
              <w:rPr>
                <w:rFonts w:ascii="宋体"/>
                <w:sz w:val="21"/>
              </w:rPr>
              <w:t>5,518,867.93</w:t>
            </w:r>
          </w:p>
        </w:tc>
      </w:tr>
      <w:tr>
        <w:trPr>
          <w:trHeight w:val="714" w:hRule="exact"/>
        </w:trPr>
        <w:tc>
          <w:tcPr>
            <w:tcW w:w="3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11" w:right="98"/>
              <w:jc w:val="left"/>
              <w:rPr>
                <w:rFonts w:ascii="宋体" w:hAnsi="宋体" w:cs="宋体" w:eastAsia="宋体" w:hint="default"/>
                <w:sz w:val="21"/>
                <w:szCs w:val="21"/>
              </w:rPr>
            </w:pPr>
            <w:r>
              <w:rPr>
                <w:rFonts w:ascii="宋体" w:hAnsi="宋体" w:cs="宋体" w:eastAsia="宋体" w:hint="default"/>
                <w:sz w:val="21"/>
                <w:szCs w:val="21"/>
              </w:rPr>
              <w:t>上海申通德高地铁广告有限公司上 海地铁</w:t>
            </w:r>
            <w:r>
              <w:rPr>
                <w:rFonts w:ascii="宋体" w:hAnsi="宋体" w:cs="宋体" w:eastAsia="宋体" w:hint="default"/>
                <w:spacing w:val="-53"/>
                <w:sz w:val="21"/>
                <w:szCs w:val="21"/>
              </w:rPr>
              <w:t> </w:t>
            </w:r>
            <w:r>
              <w:rPr>
                <w:rFonts w:ascii="宋体" w:hAnsi="宋体" w:cs="宋体" w:eastAsia="宋体" w:hint="default"/>
                <w:sz w:val="21"/>
                <w:szCs w:val="21"/>
              </w:rPr>
              <w:t>5</w:t>
            </w:r>
            <w:r>
              <w:rPr>
                <w:rFonts w:ascii="宋体" w:hAnsi="宋体" w:cs="宋体" w:eastAsia="宋体" w:hint="default"/>
                <w:spacing w:val="-53"/>
                <w:sz w:val="21"/>
                <w:szCs w:val="21"/>
              </w:rPr>
              <w:t> </w:t>
            </w:r>
            <w:r>
              <w:rPr>
                <w:rFonts w:ascii="宋体" w:hAnsi="宋体" w:cs="宋体" w:eastAsia="宋体" w:hint="default"/>
                <w:sz w:val="21"/>
                <w:szCs w:val="21"/>
              </w:rPr>
              <w:t>号线广告经营权费用</w:t>
            </w:r>
          </w:p>
        </w:tc>
        <w:tc>
          <w:tcPr>
            <w:tcW w:w="650" w:type="dxa"/>
            <w:tcBorders>
              <w:top w:val="single" w:sz="4" w:space="0" w:color="000000"/>
              <w:left w:val="single" w:sz="13"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9"/>
              <w:jc w:val="right"/>
              <w:rPr>
                <w:rFonts w:ascii="宋体" w:hAnsi="宋体" w:cs="宋体" w:eastAsia="宋体" w:hint="default"/>
                <w:sz w:val="21"/>
                <w:szCs w:val="21"/>
              </w:rPr>
            </w:pPr>
            <w:r>
              <w:rPr>
                <w:rFonts w:ascii="宋体"/>
                <w:sz w:val="21"/>
              </w:rPr>
              <w:t>4,330,188.68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1"/>
              <w:jc w:val="right"/>
              <w:rPr>
                <w:rFonts w:ascii="宋体" w:hAnsi="宋体" w:cs="宋体" w:eastAsia="宋体" w:hint="default"/>
                <w:sz w:val="21"/>
                <w:szCs w:val="21"/>
              </w:rPr>
            </w:pPr>
            <w:r>
              <w:rPr>
                <w:rFonts w:ascii="宋体"/>
                <w:sz w:val="21"/>
              </w:rPr>
              <w:t>3,783,613.34</w:t>
            </w:r>
          </w:p>
        </w:tc>
        <w:tc>
          <w:tcPr>
            <w:tcW w:w="85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3"/>
              <w:jc w:val="right"/>
              <w:rPr>
                <w:rFonts w:ascii="宋体" w:hAnsi="宋体" w:cs="宋体" w:eastAsia="宋体" w:hint="default"/>
                <w:sz w:val="21"/>
                <w:szCs w:val="21"/>
              </w:rPr>
            </w:pPr>
            <w:r>
              <w:rPr>
                <w:rFonts w:ascii="宋体"/>
                <w:sz w:val="21"/>
              </w:rPr>
              <w:t>546,575.34</w:t>
            </w:r>
          </w:p>
        </w:tc>
      </w:tr>
      <w:tr>
        <w:trPr>
          <w:trHeight w:val="402" w:hRule="exact"/>
        </w:trPr>
        <w:tc>
          <w:tcPr>
            <w:tcW w:w="3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经营租赁房屋装修费</w:t>
            </w:r>
          </w:p>
        </w:tc>
        <w:tc>
          <w:tcPr>
            <w:tcW w:w="650" w:type="dxa"/>
            <w:tcBorders>
              <w:top w:val="single" w:sz="4" w:space="0" w:color="000000"/>
              <w:left w:val="single" w:sz="13"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108,914.06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108,914.06</w:t>
            </w:r>
          </w:p>
        </w:tc>
        <w:tc>
          <w:tcPr>
            <w:tcW w:w="85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650" w:type="dxa"/>
            <w:tcBorders>
              <w:top w:val="single" w:sz="4" w:space="0" w:color="000000"/>
              <w:left w:val="single" w:sz="13"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14,863,631.05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8,798,187.78</w:t>
            </w:r>
          </w:p>
        </w:tc>
        <w:tc>
          <w:tcPr>
            <w:tcW w:w="85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6,065,443.27</w:t>
            </w:r>
          </w:p>
        </w:tc>
      </w:tr>
    </w:tbl>
    <w:p>
      <w:pPr>
        <w:spacing w:line="240" w:lineRule="auto" w:before="10"/>
        <w:rPr>
          <w:rFonts w:ascii="宋体" w:hAnsi="宋体" w:cs="宋体" w:eastAsia="宋体" w:hint="default"/>
          <w:sz w:val="4"/>
          <w:szCs w:val="4"/>
        </w:rPr>
      </w:pPr>
    </w:p>
    <w:p>
      <w:pPr>
        <w:spacing w:line="352" w:lineRule="auto" w:before="26"/>
        <w:ind w:left="876" w:right="5755" w:hanging="3"/>
        <w:jc w:val="left"/>
        <w:rPr>
          <w:rFonts w:ascii="宋体" w:hAnsi="宋体" w:cs="宋体" w:eastAsia="宋体" w:hint="default"/>
          <w:sz w:val="24"/>
          <w:szCs w:val="24"/>
        </w:rPr>
      </w:pPr>
      <w:r>
        <w:rPr>
          <w:rFonts w:ascii="宋体" w:hAnsi="宋体" w:cs="宋体" w:eastAsia="宋体" w:hint="default"/>
          <w:sz w:val="24"/>
          <w:szCs w:val="24"/>
        </w:rPr>
        <w:t>其他说明：无 </w:t>
      </w:r>
      <w:bookmarkStart w:name="29、递延所得税资产/递延所得税负债" w:id="329"/>
      <w:bookmarkEnd w:id="329"/>
      <w:r>
        <w:rPr>
          <w:rFonts w:ascii="宋体" w:hAnsi="宋体" w:cs="宋体" w:eastAsia="宋体" w:hint="default"/>
          <w:sz w:val="24"/>
          <w:szCs w:val="24"/>
        </w:rPr>
      </w:r>
      <w:r>
        <w:rPr>
          <w:rFonts w:ascii="宋体" w:hAnsi="宋体" w:cs="宋体" w:eastAsia="宋体" w:hint="default"/>
          <w:b/>
          <w:bCs/>
          <w:w w:val="95"/>
          <w:sz w:val="24"/>
          <w:szCs w:val="24"/>
        </w:rPr>
        <w:t>29</w:t>
      </w:r>
      <w:r>
        <w:rPr>
          <w:rFonts w:ascii="宋体" w:hAnsi="宋体" w:cs="宋体" w:eastAsia="宋体" w:hint="default"/>
          <w:b/>
          <w:bCs/>
          <w:w w:val="95"/>
          <w:sz w:val="24"/>
          <w:szCs w:val="24"/>
        </w:rPr>
        <w:t>、递延所得税资产</w:t>
      </w:r>
      <w:r>
        <w:rPr>
          <w:rFonts w:ascii="宋体" w:hAnsi="宋体" w:cs="宋体" w:eastAsia="宋体" w:hint="default"/>
          <w:b/>
          <w:bCs/>
          <w:w w:val="95"/>
          <w:sz w:val="24"/>
          <w:szCs w:val="24"/>
        </w:rPr>
        <w:t>/</w:t>
      </w:r>
      <w:r>
        <w:rPr>
          <w:rFonts w:ascii="宋体" w:hAnsi="宋体" w:cs="宋体" w:eastAsia="宋体" w:hint="default"/>
          <w:b/>
          <w:bCs/>
          <w:w w:val="95"/>
          <w:sz w:val="24"/>
          <w:szCs w:val="24"/>
        </w:rPr>
        <w:t>递延所得税负债</w:t>
      </w:r>
      <w:r>
        <w:rPr>
          <w:rFonts w:ascii="宋体" w:hAnsi="宋体" w:cs="宋体" w:eastAsia="宋体" w:hint="default"/>
          <w:sz w:val="24"/>
          <w:szCs w:val="24"/>
        </w:rPr>
      </w:r>
    </w:p>
    <w:p>
      <w:pPr>
        <w:pStyle w:val="Heading2"/>
        <w:spacing w:line="240" w:lineRule="auto" w:before="188"/>
        <w:ind w:left="876" w:right="1117"/>
        <w:jc w:val="left"/>
        <w:rPr>
          <w:b w:val="0"/>
          <w:bCs w:val="0"/>
        </w:rPr>
      </w:pPr>
      <w:bookmarkStart w:name="（1）未经抵销的递延所得税资产" w:id="330"/>
      <w:bookmarkEnd w:id="330"/>
      <w:r>
        <w:rPr>
          <w:b w:val="0"/>
          <w:bCs w:val="0"/>
        </w:rPr>
      </w:r>
      <w:r>
        <w:rPr/>
        <w:t>（</w:t>
      </w:r>
      <w:r>
        <w:rPr>
          <w:rFonts w:ascii="宋体" w:hAnsi="宋体" w:cs="宋体" w:eastAsia="宋体" w:hint="default"/>
        </w:rPr>
        <w:t>1</w:t>
      </w:r>
      <w:r>
        <w:rPr/>
        <w:t>）未经抵销的递延所得税资产</w:t>
      </w:r>
      <w:r>
        <w:rPr>
          <w:b w:val="0"/>
          <w:bCs w:val="0"/>
        </w:rPr>
      </w:r>
    </w:p>
    <w:p>
      <w:pPr>
        <w:spacing w:line="240" w:lineRule="auto" w:before="8"/>
        <w:rPr>
          <w:rFonts w:ascii="宋体" w:hAnsi="宋体" w:cs="宋体" w:eastAsia="宋体" w:hint="default"/>
          <w:b/>
          <w:bCs/>
          <w:sz w:val="12"/>
          <w:szCs w:val="12"/>
        </w:rPr>
      </w:pPr>
    </w:p>
    <w:p>
      <w:pPr>
        <w:spacing w:before="35"/>
        <w:ind w:left="0" w:right="1129" w:firstLine="0"/>
        <w:jc w:val="right"/>
        <w:rPr>
          <w:rFonts w:ascii="宋体" w:hAnsi="宋体" w:cs="宋体" w:eastAsia="宋体" w:hint="default"/>
          <w:sz w:val="21"/>
          <w:szCs w:val="21"/>
        </w:rPr>
      </w:pPr>
      <w:r>
        <w:rPr>
          <w:rFonts w:ascii="宋体" w:hAnsi="宋体" w:cs="宋体" w:eastAsia="宋体" w:hint="default"/>
          <w:sz w:val="21"/>
          <w:szCs w:val="21"/>
        </w:rPr>
        <w:t>单位： 元</w:t>
      </w:r>
    </w:p>
    <w:p>
      <w:pPr>
        <w:spacing w:line="240" w:lineRule="auto" w:before="0"/>
        <w:rPr>
          <w:rFonts w:ascii="宋体" w:hAnsi="宋体" w:cs="宋体" w:eastAsia="宋体" w:hint="default"/>
          <w:sz w:val="7"/>
          <w:szCs w:val="7"/>
        </w:rPr>
      </w:pPr>
    </w:p>
    <w:tbl>
      <w:tblPr>
        <w:tblW w:w="0" w:type="auto"/>
        <w:jc w:val="left"/>
        <w:tblInd w:w="116" w:type="dxa"/>
        <w:tblLayout w:type="fixed"/>
        <w:tblCellMar>
          <w:top w:w="0" w:type="dxa"/>
          <w:left w:w="0" w:type="dxa"/>
          <w:bottom w:w="0" w:type="dxa"/>
          <w:right w:w="0" w:type="dxa"/>
        </w:tblCellMar>
        <w:tblLook w:val="01E0"/>
      </w:tblPr>
      <w:tblGrid>
        <w:gridCol w:w="2173"/>
        <w:gridCol w:w="1928"/>
        <w:gridCol w:w="1914"/>
        <w:gridCol w:w="1914"/>
        <w:gridCol w:w="1914"/>
      </w:tblGrid>
      <w:tr>
        <w:trPr>
          <w:trHeight w:val="205" w:hRule="exact"/>
        </w:trPr>
        <w:tc>
          <w:tcPr>
            <w:tcW w:w="2173" w:type="dxa"/>
            <w:tcBorders>
              <w:top w:val="single" w:sz="4" w:space="0" w:color="000000"/>
              <w:left w:val="single" w:sz="4" w:space="0" w:color="000000"/>
              <w:bottom w:val="nil" w:sz="6" w:space="0" w:color="auto"/>
              <w:right w:val="single" w:sz="4" w:space="0" w:color="000000"/>
            </w:tcBorders>
            <w:shd w:val="clear" w:color="auto" w:fill="D2D2D2"/>
          </w:tcPr>
          <w:p>
            <w:pPr/>
          </w:p>
        </w:tc>
        <w:tc>
          <w:tcPr>
            <w:tcW w:w="384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6"/>
              <w:ind w:left="11"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82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192" w:hRule="exact"/>
        </w:trPr>
        <w:tc>
          <w:tcPr>
            <w:tcW w:w="217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842" w:type="dxa"/>
            <w:gridSpan w:val="2"/>
            <w:vMerge/>
            <w:tcBorders>
              <w:left w:val="single" w:sz="4" w:space="0" w:color="000000"/>
              <w:bottom w:val="single" w:sz="4" w:space="0" w:color="000000"/>
              <w:right w:val="single" w:sz="4" w:space="0" w:color="000000"/>
            </w:tcBorders>
            <w:shd w:val="clear" w:color="auto" w:fill="D2D2D2"/>
          </w:tcPr>
          <w:p>
            <w:pPr/>
          </w:p>
        </w:tc>
        <w:tc>
          <w:tcPr>
            <w:tcW w:w="3828"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2173" w:type="dxa"/>
            <w:vMerge/>
            <w:tcBorders>
              <w:left w:val="single" w:sz="4" w:space="0" w:color="000000"/>
              <w:bottom w:val="nil" w:sz="6" w:space="0" w:color="auto"/>
              <w:right w:val="single" w:sz="4" w:space="0" w:color="000000"/>
            </w:tcBorders>
            <w:shd w:val="clear" w:color="auto" w:fill="D2D2D2"/>
          </w:tcPr>
          <w:p>
            <w:pPr/>
          </w:p>
        </w:tc>
        <w:tc>
          <w:tcPr>
            <w:tcW w:w="192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0"/>
              <w:ind w:left="125" w:right="0"/>
              <w:jc w:val="left"/>
              <w:rPr>
                <w:rFonts w:ascii="宋体" w:hAnsi="宋体" w:cs="宋体" w:eastAsia="宋体" w:hint="default"/>
                <w:sz w:val="21"/>
                <w:szCs w:val="21"/>
              </w:rPr>
            </w:pPr>
            <w:r>
              <w:rPr>
                <w:rFonts w:ascii="宋体" w:hAnsi="宋体" w:cs="宋体" w:eastAsia="宋体" w:hint="default"/>
                <w:sz w:val="21"/>
                <w:szCs w:val="21"/>
              </w:rPr>
              <w:t>可抵扣暂时性差异</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0"/>
              <w:ind w:left="216"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0"/>
              <w:ind w:left="111" w:right="0"/>
              <w:jc w:val="left"/>
              <w:rPr>
                <w:rFonts w:ascii="宋体" w:hAnsi="宋体" w:cs="宋体" w:eastAsia="宋体" w:hint="default"/>
                <w:sz w:val="21"/>
                <w:szCs w:val="21"/>
              </w:rPr>
            </w:pPr>
            <w:r>
              <w:rPr>
                <w:rFonts w:ascii="宋体" w:hAnsi="宋体" w:cs="宋体" w:eastAsia="宋体" w:hint="default"/>
                <w:sz w:val="21"/>
                <w:szCs w:val="21"/>
              </w:rPr>
              <w:t>可抵扣暂时性差异</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0"/>
              <w:ind w:left="216"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r>
      <w:tr>
        <w:trPr>
          <w:trHeight w:val="206" w:hRule="exact"/>
        </w:trPr>
        <w:tc>
          <w:tcPr>
            <w:tcW w:w="217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28"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2" w:right="0"/>
              <w:jc w:val="left"/>
              <w:rPr>
                <w:rFonts w:ascii="宋体" w:hAnsi="宋体" w:cs="宋体" w:eastAsia="宋体" w:hint="default"/>
                <w:sz w:val="21"/>
                <w:szCs w:val="21"/>
              </w:rPr>
            </w:pPr>
            <w:r>
              <w:rPr>
                <w:rFonts w:ascii="宋体" w:hAnsi="宋体" w:cs="宋体" w:eastAsia="宋体" w:hint="default"/>
                <w:sz w:val="21"/>
                <w:szCs w:val="21"/>
              </w:rPr>
              <w:t>内部交易未实现利润</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39,127,886.67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5,869,183.00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24,320,360.05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3,648,054.01</w:t>
            </w:r>
          </w:p>
        </w:tc>
      </w:tr>
      <w:tr>
        <w:trPr>
          <w:trHeight w:val="402" w:hRule="exact"/>
        </w:trPr>
        <w:tc>
          <w:tcPr>
            <w:tcW w:w="2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2"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108,380,420.67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16,257,063.10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pacing w:val="-1"/>
                <w:sz w:val="21"/>
              </w:rPr>
              <w:t>95,206,456.66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14,280,968.50</w:t>
            </w:r>
          </w:p>
        </w:tc>
      </w:tr>
      <w:tr>
        <w:trPr>
          <w:trHeight w:val="402" w:hRule="exact"/>
        </w:trPr>
        <w:tc>
          <w:tcPr>
            <w:tcW w:w="2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2" w:right="0"/>
              <w:jc w:val="left"/>
              <w:rPr>
                <w:rFonts w:ascii="宋体" w:hAnsi="宋体" w:cs="宋体" w:eastAsia="宋体" w:hint="default"/>
                <w:sz w:val="21"/>
                <w:szCs w:val="21"/>
              </w:rPr>
            </w:pPr>
            <w:r>
              <w:rPr>
                <w:rFonts w:ascii="宋体" w:hAnsi="宋体" w:cs="宋体" w:eastAsia="宋体" w:hint="default"/>
                <w:sz w:val="21"/>
                <w:szCs w:val="21"/>
              </w:rPr>
              <w:t>应收账款坏账准备</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107,181,135.44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16,148,645.27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93,088,964.05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13,938,154.08</w:t>
            </w:r>
          </w:p>
        </w:tc>
      </w:tr>
      <w:tr>
        <w:trPr>
          <w:trHeight w:val="402" w:hRule="exact"/>
        </w:trPr>
        <w:tc>
          <w:tcPr>
            <w:tcW w:w="2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2" w:right="0"/>
              <w:jc w:val="left"/>
              <w:rPr>
                <w:rFonts w:ascii="宋体" w:hAnsi="宋体" w:cs="宋体" w:eastAsia="宋体" w:hint="default"/>
                <w:sz w:val="21"/>
                <w:szCs w:val="21"/>
              </w:rPr>
            </w:pPr>
            <w:r>
              <w:rPr>
                <w:rFonts w:ascii="宋体" w:hAnsi="宋体" w:cs="宋体" w:eastAsia="宋体" w:hint="default"/>
                <w:sz w:val="21"/>
                <w:szCs w:val="21"/>
              </w:rPr>
              <w:t>其他应收款坏账准备</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1,428,540.77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3"/>
              <w:jc w:val="right"/>
              <w:rPr>
                <w:rFonts w:ascii="宋体" w:hAnsi="宋体" w:cs="宋体" w:eastAsia="宋体" w:hint="default"/>
                <w:sz w:val="21"/>
                <w:szCs w:val="21"/>
              </w:rPr>
            </w:pPr>
            <w:r>
              <w:rPr>
                <w:rFonts w:ascii="宋体"/>
                <w:sz w:val="21"/>
              </w:rPr>
              <w:t>234,200.67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1,198,189.43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3"/>
              <w:jc w:val="right"/>
              <w:rPr>
                <w:rFonts w:ascii="宋体" w:hAnsi="宋体" w:cs="宋体" w:eastAsia="宋体" w:hint="default"/>
                <w:sz w:val="21"/>
                <w:szCs w:val="21"/>
              </w:rPr>
            </w:pPr>
            <w:r>
              <w:rPr>
                <w:rFonts w:ascii="宋体"/>
                <w:sz w:val="21"/>
              </w:rPr>
              <w:t>179,475.94</w:t>
            </w:r>
          </w:p>
        </w:tc>
      </w:tr>
      <w:tr>
        <w:trPr>
          <w:trHeight w:val="402" w:hRule="exact"/>
        </w:trPr>
        <w:tc>
          <w:tcPr>
            <w:tcW w:w="2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2"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31,495,455.26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4,724,318.29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14,230,190.45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2,134,528.57</w:t>
            </w:r>
          </w:p>
        </w:tc>
      </w:tr>
      <w:tr>
        <w:trPr>
          <w:trHeight w:val="402" w:hRule="exact"/>
        </w:trPr>
        <w:tc>
          <w:tcPr>
            <w:tcW w:w="2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287,613,438.81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43,233,410.33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pacing w:val="-1"/>
                <w:sz w:val="21"/>
              </w:rPr>
              <w:t>228,044,160.64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34,181,181.10</w:t>
            </w:r>
          </w:p>
        </w:tc>
      </w:tr>
    </w:tbl>
    <w:p>
      <w:pPr>
        <w:spacing w:line="240" w:lineRule="auto" w:before="2"/>
        <w:rPr>
          <w:rFonts w:ascii="宋体" w:hAnsi="宋体" w:cs="宋体" w:eastAsia="宋体" w:hint="default"/>
          <w:sz w:val="19"/>
          <w:szCs w:val="19"/>
        </w:rPr>
      </w:pPr>
    </w:p>
    <w:p>
      <w:pPr>
        <w:spacing w:before="35"/>
        <w:ind w:left="394" w:right="1117" w:firstLine="0"/>
        <w:jc w:val="left"/>
        <w:rPr>
          <w:rFonts w:ascii="宋体" w:hAnsi="宋体" w:cs="宋体" w:eastAsia="宋体" w:hint="default"/>
          <w:sz w:val="21"/>
          <w:szCs w:val="21"/>
        </w:rPr>
      </w:pPr>
      <w:bookmarkStart w:name="（2）未经抵销的递延所得税负债" w:id="331"/>
      <w:bookmarkEnd w:id="331"/>
      <w:r>
        <w:rPr/>
      </w:r>
      <w:r>
        <w:rPr>
          <w:rFonts w:ascii="宋体" w:hAnsi="宋体" w:cs="宋体" w:eastAsia="宋体" w:hint="default"/>
          <w:b/>
          <w:bCs/>
          <w:sz w:val="21"/>
          <w:szCs w:val="21"/>
        </w:rPr>
        <w:t>（</w:t>
      </w:r>
      <w:r>
        <w:rPr>
          <w:rFonts w:ascii="宋体" w:hAnsi="宋体" w:cs="宋体" w:eastAsia="宋体" w:hint="default"/>
          <w:b/>
          <w:bCs/>
          <w:sz w:val="21"/>
          <w:szCs w:val="21"/>
        </w:rPr>
        <w:t>2</w:t>
      </w:r>
      <w:r>
        <w:rPr>
          <w:rFonts w:ascii="宋体" w:hAnsi="宋体" w:cs="宋体" w:eastAsia="宋体" w:hint="default"/>
          <w:b/>
          <w:bCs/>
          <w:sz w:val="21"/>
          <w:szCs w:val="21"/>
        </w:rPr>
        <w:t>）未经抵销的递延所得税负债</w:t>
      </w:r>
      <w:r>
        <w:rPr>
          <w:rFonts w:ascii="宋体" w:hAnsi="宋体" w:cs="宋体" w:eastAsia="宋体" w:hint="default"/>
          <w:sz w:val="21"/>
          <w:szCs w:val="21"/>
        </w:rPr>
      </w:r>
    </w:p>
    <w:p>
      <w:pPr>
        <w:spacing w:line="240" w:lineRule="auto" w:before="2"/>
        <w:rPr>
          <w:rFonts w:ascii="宋体" w:hAnsi="宋体" w:cs="宋体" w:eastAsia="宋体" w:hint="default"/>
          <w:b/>
          <w:bCs/>
          <w:sz w:val="23"/>
          <w:szCs w:val="23"/>
        </w:rPr>
      </w:pPr>
    </w:p>
    <w:p>
      <w:pPr>
        <w:spacing w:before="35"/>
        <w:ind w:left="0" w:right="1129" w:firstLine="0"/>
        <w:jc w:val="right"/>
        <w:rPr>
          <w:rFonts w:ascii="宋体" w:hAnsi="宋体" w:cs="宋体" w:eastAsia="宋体" w:hint="default"/>
          <w:sz w:val="21"/>
          <w:szCs w:val="21"/>
        </w:rPr>
      </w:pPr>
      <w:r>
        <w:rPr>
          <w:rFonts w:ascii="宋体" w:hAnsi="宋体" w:cs="宋体" w:eastAsia="宋体" w:hint="default"/>
          <w:sz w:val="21"/>
          <w:szCs w:val="21"/>
        </w:rPr>
        <w:t>单位： 元</w:t>
      </w:r>
    </w:p>
    <w:p>
      <w:pPr>
        <w:spacing w:line="240" w:lineRule="auto" w:before="12"/>
        <w:rPr>
          <w:rFonts w:ascii="宋体" w:hAnsi="宋体" w:cs="宋体" w:eastAsia="宋体" w:hint="default"/>
          <w:sz w:val="6"/>
          <w:szCs w:val="6"/>
        </w:rPr>
      </w:pPr>
    </w:p>
    <w:tbl>
      <w:tblPr>
        <w:tblW w:w="0" w:type="auto"/>
        <w:jc w:val="left"/>
        <w:tblInd w:w="400" w:type="dxa"/>
        <w:tblLayout w:type="fixed"/>
        <w:tblCellMar>
          <w:top w:w="0" w:type="dxa"/>
          <w:left w:w="0" w:type="dxa"/>
          <w:bottom w:w="0" w:type="dxa"/>
          <w:right w:w="0" w:type="dxa"/>
        </w:tblCellMar>
        <w:tblLook w:val="01E0"/>
      </w:tblPr>
      <w:tblGrid>
        <w:gridCol w:w="1679"/>
        <w:gridCol w:w="2139"/>
        <w:gridCol w:w="1914"/>
        <w:gridCol w:w="1914"/>
        <w:gridCol w:w="1914"/>
      </w:tblGrid>
      <w:tr>
        <w:trPr>
          <w:trHeight w:val="206" w:hRule="exact"/>
        </w:trPr>
        <w:tc>
          <w:tcPr>
            <w:tcW w:w="1679" w:type="dxa"/>
            <w:tcBorders>
              <w:top w:val="single" w:sz="4" w:space="0" w:color="000000"/>
              <w:left w:val="single" w:sz="4" w:space="0" w:color="000000"/>
              <w:bottom w:val="nil" w:sz="6" w:space="0" w:color="auto"/>
              <w:right w:val="single" w:sz="4" w:space="0" w:color="000000"/>
            </w:tcBorders>
            <w:shd w:val="clear" w:color="auto" w:fill="D2D2D2"/>
          </w:tcPr>
          <w:p>
            <w:pPr/>
          </w:p>
        </w:tc>
        <w:tc>
          <w:tcPr>
            <w:tcW w:w="4053"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7"/>
              <w:ind w:left="10"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82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7"/>
              <w:ind w:right="1"/>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196" w:hRule="exact"/>
        </w:trPr>
        <w:tc>
          <w:tcPr>
            <w:tcW w:w="167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4053" w:type="dxa"/>
            <w:gridSpan w:val="2"/>
            <w:vMerge/>
            <w:tcBorders>
              <w:left w:val="single" w:sz="4" w:space="0" w:color="000000"/>
              <w:bottom w:val="single" w:sz="4" w:space="0" w:color="000000"/>
              <w:right w:val="single" w:sz="4" w:space="0" w:color="000000"/>
            </w:tcBorders>
            <w:shd w:val="clear" w:color="auto" w:fill="D2D2D2"/>
          </w:tcPr>
          <w:p>
            <w:pPr/>
          </w:p>
        </w:tc>
        <w:tc>
          <w:tcPr>
            <w:tcW w:w="3828" w:type="dxa"/>
            <w:gridSpan w:val="2"/>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679" w:type="dxa"/>
            <w:vMerge/>
            <w:tcBorders>
              <w:left w:val="single" w:sz="4" w:space="0" w:color="000000"/>
              <w:bottom w:val="nil" w:sz="6" w:space="0" w:color="auto"/>
              <w:right w:val="single" w:sz="4" w:space="0" w:color="000000"/>
            </w:tcBorders>
            <w:shd w:val="clear" w:color="auto" w:fill="D2D2D2"/>
          </w:tcPr>
          <w:p>
            <w:pPr/>
          </w:p>
        </w:tc>
        <w:tc>
          <w:tcPr>
            <w:tcW w:w="213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6"/>
              <w:ind w:left="230" w:right="0"/>
              <w:jc w:val="left"/>
              <w:rPr>
                <w:rFonts w:ascii="宋体" w:hAnsi="宋体" w:cs="宋体" w:eastAsia="宋体" w:hint="default"/>
                <w:sz w:val="21"/>
                <w:szCs w:val="21"/>
              </w:rPr>
            </w:pPr>
            <w:r>
              <w:rPr>
                <w:rFonts w:ascii="宋体" w:hAnsi="宋体" w:cs="宋体" w:eastAsia="宋体" w:hint="default"/>
                <w:sz w:val="21"/>
                <w:szCs w:val="21"/>
              </w:rPr>
              <w:t>应纳税暂时性差异</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6"/>
              <w:ind w:left="216"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6"/>
              <w:ind w:left="111" w:right="0"/>
              <w:jc w:val="left"/>
              <w:rPr>
                <w:rFonts w:ascii="宋体" w:hAnsi="宋体" w:cs="宋体" w:eastAsia="宋体" w:hint="default"/>
                <w:sz w:val="21"/>
                <w:szCs w:val="21"/>
              </w:rPr>
            </w:pPr>
            <w:r>
              <w:rPr>
                <w:rFonts w:ascii="宋体" w:hAnsi="宋体" w:cs="宋体" w:eastAsia="宋体" w:hint="default"/>
                <w:sz w:val="21"/>
                <w:szCs w:val="21"/>
              </w:rPr>
              <w:t>应纳税暂时性差异</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6"/>
              <w:ind w:left="216"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r>
      <w:tr>
        <w:trPr>
          <w:trHeight w:val="205" w:hRule="exact"/>
        </w:trPr>
        <w:tc>
          <w:tcPr>
            <w:tcW w:w="1679" w:type="dxa"/>
            <w:tcBorders>
              <w:top w:val="nil" w:sz="6" w:space="0" w:color="auto"/>
              <w:left w:val="single" w:sz="4" w:space="0" w:color="000000"/>
              <w:bottom w:val="single" w:sz="4" w:space="0" w:color="000000"/>
              <w:right w:val="single" w:sz="4" w:space="0" w:color="000000"/>
            </w:tcBorders>
            <w:shd w:val="clear" w:color="auto" w:fill="D2D2D2"/>
          </w:tcPr>
          <w:p>
            <w:pPr/>
          </w:p>
        </w:tc>
        <w:tc>
          <w:tcPr>
            <w:tcW w:w="2139"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11"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213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7"/>
              <w:ind w:right="20"/>
              <w:jc w:val="right"/>
              <w:rPr>
                <w:rFonts w:ascii="宋体" w:hAnsi="宋体" w:cs="宋体" w:eastAsia="宋体" w:hint="default"/>
                <w:sz w:val="21"/>
                <w:szCs w:val="21"/>
              </w:rPr>
            </w:pPr>
            <w:r>
              <w:rPr>
                <w:rFonts w:ascii="宋体"/>
                <w:sz w:val="21"/>
              </w:rPr>
              <w:t>89,851,224.07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1"/>
              <w:jc w:val="right"/>
              <w:rPr>
                <w:rFonts w:ascii="宋体" w:hAnsi="宋体" w:cs="宋体" w:eastAsia="宋体" w:hint="default"/>
                <w:sz w:val="21"/>
                <w:szCs w:val="21"/>
              </w:rPr>
            </w:pPr>
            <w:r>
              <w:rPr>
                <w:rFonts w:ascii="宋体"/>
                <w:sz w:val="21"/>
              </w:rPr>
              <w:t>13,477,683.61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1"/>
              <w:jc w:val="right"/>
              <w:rPr>
                <w:rFonts w:ascii="宋体" w:hAnsi="宋体" w:cs="宋体" w:eastAsia="宋体" w:hint="default"/>
                <w:sz w:val="21"/>
                <w:szCs w:val="21"/>
              </w:rPr>
            </w:pPr>
            <w:r>
              <w:rPr>
                <w:rFonts w:ascii="宋体"/>
                <w:sz w:val="21"/>
              </w:rPr>
              <w:t>68,487,695.41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1"/>
              <w:jc w:val="right"/>
              <w:rPr>
                <w:rFonts w:ascii="宋体" w:hAnsi="宋体" w:cs="宋体" w:eastAsia="宋体" w:hint="default"/>
                <w:sz w:val="21"/>
                <w:szCs w:val="21"/>
              </w:rPr>
            </w:pPr>
            <w:r>
              <w:rPr>
                <w:rFonts w:ascii="宋体"/>
                <w:sz w:val="21"/>
              </w:rPr>
              <w:t>10,273,154.31</w:t>
            </w:r>
          </w:p>
        </w:tc>
      </w:tr>
      <w:tr>
        <w:trPr>
          <w:trHeight w:val="403" w:hRule="exact"/>
        </w:trPr>
        <w:tc>
          <w:tcPr>
            <w:tcW w:w="1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11"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13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7"/>
              <w:ind w:right="20"/>
              <w:jc w:val="right"/>
              <w:rPr>
                <w:rFonts w:ascii="宋体" w:hAnsi="宋体" w:cs="宋体" w:eastAsia="宋体" w:hint="default"/>
                <w:sz w:val="21"/>
                <w:szCs w:val="21"/>
              </w:rPr>
            </w:pPr>
            <w:r>
              <w:rPr>
                <w:rFonts w:ascii="宋体"/>
                <w:sz w:val="21"/>
              </w:rPr>
              <w:t>89,851,224.07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1"/>
              <w:jc w:val="right"/>
              <w:rPr>
                <w:rFonts w:ascii="宋体" w:hAnsi="宋体" w:cs="宋体" w:eastAsia="宋体" w:hint="default"/>
                <w:sz w:val="21"/>
                <w:szCs w:val="21"/>
              </w:rPr>
            </w:pPr>
            <w:r>
              <w:rPr>
                <w:rFonts w:ascii="宋体"/>
                <w:sz w:val="21"/>
              </w:rPr>
              <w:t>13,477,683.61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1"/>
              <w:jc w:val="right"/>
              <w:rPr>
                <w:rFonts w:ascii="宋体" w:hAnsi="宋体" w:cs="宋体" w:eastAsia="宋体" w:hint="default"/>
                <w:sz w:val="21"/>
                <w:szCs w:val="21"/>
              </w:rPr>
            </w:pPr>
            <w:r>
              <w:rPr>
                <w:rFonts w:ascii="宋体"/>
                <w:sz w:val="21"/>
              </w:rPr>
              <w:t>68,487,695.41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1"/>
              <w:jc w:val="right"/>
              <w:rPr>
                <w:rFonts w:ascii="宋体" w:hAnsi="宋体" w:cs="宋体" w:eastAsia="宋体" w:hint="default"/>
                <w:sz w:val="21"/>
                <w:szCs w:val="21"/>
              </w:rPr>
            </w:pPr>
            <w:r>
              <w:rPr>
                <w:rFonts w:ascii="宋体"/>
                <w:sz w:val="21"/>
              </w:rPr>
              <w:t>10,273,154.31</w:t>
            </w:r>
          </w:p>
        </w:tc>
      </w:tr>
    </w:tbl>
    <w:p>
      <w:pPr>
        <w:spacing w:line="240" w:lineRule="auto" w:before="2"/>
        <w:rPr>
          <w:rFonts w:ascii="宋体" w:hAnsi="宋体" w:cs="宋体" w:eastAsia="宋体" w:hint="default"/>
          <w:sz w:val="19"/>
          <w:szCs w:val="19"/>
        </w:rPr>
      </w:pPr>
    </w:p>
    <w:p>
      <w:pPr>
        <w:spacing w:before="35"/>
        <w:ind w:left="394" w:right="1117" w:firstLine="0"/>
        <w:jc w:val="left"/>
        <w:rPr>
          <w:rFonts w:ascii="宋体" w:hAnsi="宋体" w:cs="宋体" w:eastAsia="宋体" w:hint="default"/>
          <w:sz w:val="21"/>
          <w:szCs w:val="21"/>
        </w:rPr>
      </w:pPr>
      <w:bookmarkStart w:name="（3）以抵销后净额列示的递延所得税资产或负债" w:id="332"/>
      <w:bookmarkEnd w:id="332"/>
      <w:r>
        <w:rPr/>
      </w:r>
      <w:r>
        <w:rPr>
          <w:rFonts w:ascii="宋体" w:hAnsi="宋体" w:cs="宋体" w:eastAsia="宋体" w:hint="default"/>
          <w:b/>
          <w:bCs/>
          <w:sz w:val="21"/>
          <w:szCs w:val="21"/>
        </w:rPr>
        <w:t>（</w:t>
      </w:r>
      <w:r>
        <w:rPr>
          <w:rFonts w:ascii="宋体" w:hAnsi="宋体" w:cs="宋体" w:eastAsia="宋体" w:hint="default"/>
          <w:b/>
          <w:bCs/>
          <w:sz w:val="21"/>
          <w:szCs w:val="21"/>
        </w:rPr>
        <w:t>3</w:t>
      </w:r>
      <w:r>
        <w:rPr>
          <w:rFonts w:ascii="宋体" w:hAnsi="宋体" w:cs="宋体" w:eastAsia="宋体" w:hint="default"/>
          <w:b/>
          <w:bCs/>
          <w:sz w:val="21"/>
          <w:szCs w:val="21"/>
        </w:rPr>
        <w:t>）以抵销后净额列示的递延所得税资产或负债</w:t>
      </w:r>
      <w:r>
        <w:rPr>
          <w:rFonts w:ascii="宋体" w:hAnsi="宋体" w:cs="宋体" w:eastAsia="宋体" w:hint="default"/>
          <w:sz w:val="21"/>
          <w:szCs w:val="21"/>
        </w:rPr>
      </w:r>
    </w:p>
    <w:p>
      <w:pPr>
        <w:spacing w:line="240" w:lineRule="auto" w:before="2"/>
        <w:rPr>
          <w:rFonts w:ascii="宋体" w:hAnsi="宋体" w:cs="宋体" w:eastAsia="宋体" w:hint="default"/>
          <w:b/>
          <w:bCs/>
          <w:sz w:val="23"/>
          <w:szCs w:val="23"/>
        </w:rPr>
      </w:pPr>
    </w:p>
    <w:p>
      <w:pPr>
        <w:spacing w:before="35"/>
        <w:ind w:left="0" w:right="1129" w:firstLine="0"/>
        <w:jc w:val="right"/>
        <w:rPr>
          <w:rFonts w:ascii="宋体" w:hAnsi="宋体" w:cs="宋体" w:eastAsia="宋体" w:hint="default"/>
          <w:sz w:val="21"/>
          <w:szCs w:val="21"/>
        </w:rPr>
      </w:pPr>
      <w:r>
        <w:rPr>
          <w:rFonts w:ascii="宋体" w:hAnsi="宋体" w:cs="宋体" w:eastAsia="宋体" w:hint="default"/>
          <w:sz w:val="21"/>
          <w:szCs w:val="21"/>
        </w:rPr>
        <w:t>单位： 元</w:t>
      </w:r>
    </w:p>
    <w:p>
      <w:pPr>
        <w:spacing w:line="240" w:lineRule="auto" w:before="12"/>
        <w:rPr>
          <w:rFonts w:ascii="宋体" w:hAnsi="宋体" w:cs="宋体" w:eastAsia="宋体" w:hint="default"/>
          <w:sz w:val="6"/>
          <w:szCs w:val="6"/>
        </w:rPr>
      </w:pPr>
    </w:p>
    <w:tbl>
      <w:tblPr>
        <w:tblW w:w="0" w:type="auto"/>
        <w:jc w:val="left"/>
        <w:tblInd w:w="400" w:type="dxa"/>
        <w:tblLayout w:type="fixed"/>
        <w:tblCellMar>
          <w:top w:w="0" w:type="dxa"/>
          <w:left w:w="0" w:type="dxa"/>
          <w:bottom w:w="0" w:type="dxa"/>
          <w:right w:w="0" w:type="dxa"/>
        </w:tblCellMar>
        <w:tblLook w:val="01E0"/>
      </w:tblPr>
      <w:tblGrid>
        <w:gridCol w:w="1679"/>
        <w:gridCol w:w="1997"/>
        <w:gridCol w:w="2056"/>
        <w:gridCol w:w="1914"/>
        <w:gridCol w:w="1984"/>
      </w:tblGrid>
      <w:tr>
        <w:trPr>
          <w:trHeight w:val="161" w:hRule="exact"/>
        </w:trPr>
        <w:tc>
          <w:tcPr>
            <w:tcW w:w="1679" w:type="dxa"/>
            <w:tcBorders>
              <w:top w:val="single" w:sz="4" w:space="0" w:color="000000"/>
              <w:left w:val="single" w:sz="4" w:space="0" w:color="000000"/>
              <w:bottom w:val="nil" w:sz="6" w:space="0" w:color="auto"/>
              <w:right w:val="single" w:sz="4" w:space="0" w:color="000000"/>
            </w:tcBorders>
            <w:shd w:val="clear" w:color="auto" w:fill="D2D2D2"/>
          </w:tcPr>
          <w:p>
            <w:pPr/>
          </w:p>
        </w:tc>
        <w:tc>
          <w:tcPr>
            <w:tcW w:w="1997"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26"/>
              <w:ind w:left="263" w:right="41" w:hanging="210"/>
              <w:jc w:val="left"/>
              <w:rPr>
                <w:rFonts w:ascii="宋体" w:hAnsi="宋体" w:cs="宋体" w:eastAsia="宋体" w:hint="default"/>
                <w:sz w:val="21"/>
                <w:szCs w:val="21"/>
              </w:rPr>
            </w:pPr>
            <w:r>
              <w:rPr>
                <w:rFonts w:ascii="宋体" w:hAnsi="宋体" w:cs="宋体" w:eastAsia="宋体" w:hint="default"/>
                <w:sz w:val="21"/>
                <w:szCs w:val="21"/>
              </w:rPr>
              <w:t>递延所得税资产和负 债期末互抵金额</w:t>
            </w:r>
          </w:p>
        </w:tc>
        <w:tc>
          <w:tcPr>
            <w:tcW w:w="2056"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26"/>
              <w:ind w:left="182" w:right="77" w:hanging="105"/>
              <w:jc w:val="left"/>
              <w:rPr>
                <w:rFonts w:ascii="宋体" w:hAnsi="宋体" w:cs="宋体" w:eastAsia="宋体" w:hint="default"/>
                <w:sz w:val="21"/>
                <w:szCs w:val="21"/>
              </w:rPr>
            </w:pPr>
            <w:r>
              <w:rPr>
                <w:rFonts w:ascii="宋体" w:hAnsi="宋体" w:cs="宋体" w:eastAsia="宋体" w:hint="default"/>
                <w:sz w:val="21"/>
                <w:szCs w:val="21"/>
              </w:rPr>
              <w:t>抵销后递延所得税资 产或负债期末余额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26"/>
              <w:ind w:left="111" w:right="111"/>
              <w:jc w:val="left"/>
              <w:rPr>
                <w:rFonts w:ascii="宋体" w:hAnsi="宋体" w:cs="宋体" w:eastAsia="宋体" w:hint="default"/>
                <w:sz w:val="21"/>
                <w:szCs w:val="21"/>
              </w:rPr>
            </w:pPr>
            <w:r>
              <w:rPr>
                <w:rFonts w:ascii="宋体" w:hAnsi="宋体" w:cs="宋体" w:eastAsia="宋体" w:hint="default"/>
                <w:sz w:val="21"/>
                <w:szCs w:val="21"/>
              </w:rPr>
              <w:t>递延所得税资产和 负债期初互抵金额</w:t>
            </w:r>
          </w:p>
        </w:tc>
        <w:tc>
          <w:tcPr>
            <w:tcW w:w="1984"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26"/>
              <w:ind w:left="146" w:right="41" w:hanging="106"/>
              <w:jc w:val="left"/>
              <w:rPr>
                <w:rFonts w:ascii="宋体" w:hAnsi="宋体" w:cs="宋体" w:eastAsia="宋体" w:hint="default"/>
                <w:sz w:val="21"/>
                <w:szCs w:val="21"/>
              </w:rPr>
            </w:pPr>
            <w:r>
              <w:rPr>
                <w:rFonts w:ascii="宋体" w:hAnsi="宋体" w:cs="宋体" w:eastAsia="宋体" w:hint="default"/>
                <w:sz w:val="21"/>
                <w:szCs w:val="21"/>
              </w:rPr>
              <w:t>抵销后递延所得税资 产或负债期初余额</w:t>
            </w:r>
          </w:p>
        </w:tc>
      </w:tr>
      <w:tr>
        <w:trPr>
          <w:trHeight w:val="393" w:hRule="exact"/>
        </w:trPr>
        <w:tc>
          <w:tcPr>
            <w:tcW w:w="167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1997" w:type="dxa"/>
            <w:vMerge/>
            <w:tcBorders>
              <w:left w:val="single" w:sz="4" w:space="0" w:color="000000"/>
              <w:right w:val="single" w:sz="4" w:space="0" w:color="000000"/>
            </w:tcBorders>
            <w:shd w:val="clear" w:color="auto" w:fill="D2D2D2"/>
          </w:tcPr>
          <w:p>
            <w:pPr/>
          </w:p>
        </w:tc>
        <w:tc>
          <w:tcPr>
            <w:tcW w:w="2056"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c>
          <w:tcPr>
            <w:tcW w:w="1984" w:type="dxa"/>
            <w:vMerge/>
            <w:tcBorders>
              <w:left w:val="single" w:sz="4" w:space="0" w:color="000000"/>
              <w:right w:val="single" w:sz="4" w:space="0" w:color="000000"/>
            </w:tcBorders>
            <w:shd w:val="clear" w:color="auto" w:fill="D2D2D2"/>
          </w:tcPr>
          <w:p>
            <w:pPr/>
          </w:p>
        </w:tc>
      </w:tr>
      <w:tr>
        <w:trPr>
          <w:trHeight w:val="161" w:hRule="exact"/>
        </w:trPr>
        <w:tc>
          <w:tcPr>
            <w:tcW w:w="1679" w:type="dxa"/>
            <w:tcBorders>
              <w:top w:val="nil" w:sz="6" w:space="0" w:color="auto"/>
              <w:left w:val="single" w:sz="4" w:space="0" w:color="000000"/>
              <w:bottom w:val="single" w:sz="4" w:space="0" w:color="000000"/>
              <w:right w:val="single" w:sz="4" w:space="0" w:color="000000"/>
            </w:tcBorders>
            <w:shd w:val="clear" w:color="auto" w:fill="D2D2D2"/>
          </w:tcPr>
          <w:p>
            <w:pPr/>
          </w:p>
        </w:tc>
        <w:tc>
          <w:tcPr>
            <w:tcW w:w="1997" w:type="dxa"/>
            <w:vMerge/>
            <w:tcBorders>
              <w:left w:val="single" w:sz="4" w:space="0" w:color="000000"/>
              <w:bottom w:val="single" w:sz="4" w:space="0" w:color="000000"/>
              <w:right w:val="single" w:sz="4" w:space="0" w:color="000000"/>
            </w:tcBorders>
            <w:shd w:val="clear" w:color="auto" w:fill="D2D2D2"/>
          </w:tcPr>
          <w:p>
            <w:pPr/>
          </w:p>
        </w:tc>
        <w:tc>
          <w:tcPr>
            <w:tcW w:w="2056"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8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1997" w:type="dxa"/>
            <w:tcBorders>
              <w:top w:val="single" w:sz="4" w:space="0" w:color="000000"/>
              <w:left w:val="single" w:sz="13" w:space="0" w:color="D2D2D2"/>
              <w:bottom w:val="single" w:sz="4" w:space="0" w:color="000000"/>
              <w:right w:val="single" w:sz="4" w:space="0" w:color="000000"/>
            </w:tcBorders>
          </w:tcPr>
          <w:p>
            <w:pPr/>
          </w:p>
        </w:tc>
        <w:tc>
          <w:tcPr>
            <w:tcW w:w="2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43,233,410.33</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34,181,181.10</w:t>
            </w:r>
          </w:p>
        </w:tc>
      </w:tr>
      <w:tr>
        <w:trPr>
          <w:trHeight w:val="402" w:hRule="exact"/>
        </w:trPr>
        <w:tc>
          <w:tcPr>
            <w:tcW w:w="1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1997" w:type="dxa"/>
            <w:tcBorders>
              <w:top w:val="single" w:sz="4" w:space="0" w:color="000000"/>
              <w:left w:val="single" w:sz="13" w:space="0" w:color="D2D2D2"/>
              <w:bottom w:val="single" w:sz="4" w:space="0" w:color="000000"/>
              <w:right w:val="single" w:sz="4" w:space="0" w:color="000000"/>
            </w:tcBorders>
          </w:tcPr>
          <w:p>
            <w:pPr/>
          </w:p>
        </w:tc>
        <w:tc>
          <w:tcPr>
            <w:tcW w:w="2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13,477,683.61</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10,273,154.31</w:t>
            </w:r>
          </w:p>
        </w:tc>
      </w:tr>
    </w:tbl>
    <w:p>
      <w:pPr>
        <w:spacing w:after="0" w:line="240" w:lineRule="auto"/>
        <w:jc w:val="right"/>
        <w:rPr>
          <w:rFonts w:ascii="宋体" w:hAnsi="宋体" w:cs="宋体" w:eastAsia="宋体" w:hint="default"/>
          <w:sz w:val="21"/>
          <w:szCs w:val="21"/>
        </w:rPr>
        <w:sectPr>
          <w:pgSz w:w="11910" w:h="16840"/>
          <w:pgMar w:header="747" w:footer="979" w:top="1060" w:bottom="1160" w:left="740" w:right="0"/>
        </w:sectPr>
      </w:pPr>
    </w:p>
    <w:p>
      <w:pPr>
        <w:spacing w:line="240" w:lineRule="auto" w:before="10"/>
        <w:rPr>
          <w:rFonts w:ascii="宋体" w:hAnsi="宋体" w:cs="宋体" w:eastAsia="宋体" w:hint="default"/>
          <w:sz w:val="24"/>
          <w:szCs w:val="24"/>
        </w:rPr>
      </w:pPr>
    </w:p>
    <w:p>
      <w:pPr>
        <w:spacing w:before="35"/>
        <w:ind w:left="153" w:right="996" w:firstLine="0"/>
        <w:jc w:val="left"/>
        <w:rPr>
          <w:rFonts w:ascii="宋体" w:hAnsi="宋体" w:cs="宋体" w:eastAsia="宋体" w:hint="default"/>
          <w:sz w:val="21"/>
          <w:szCs w:val="21"/>
        </w:rPr>
      </w:pPr>
      <w:bookmarkStart w:name="（4）未确认递延所得税资产明细" w:id="333"/>
      <w:bookmarkEnd w:id="333"/>
      <w:r>
        <w:rPr/>
      </w:r>
      <w:r>
        <w:rPr>
          <w:rFonts w:ascii="宋体" w:hAnsi="宋体" w:cs="宋体" w:eastAsia="宋体" w:hint="default"/>
          <w:b/>
          <w:bCs/>
          <w:sz w:val="21"/>
          <w:szCs w:val="21"/>
        </w:rPr>
        <w:t>（</w:t>
      </w:r>
      <w:r>
        <w:rPr>
          <w:rFonts w:ascii="宋体" w:hAnsi="宋体" w:cs="宋体" w:eastAsia="宋体" w:hint="default"/>
          <w:b/>
          <w:bCs/>
          <w:sz w:val="21"/>
          <w:szCs w:val="21"/>
        </w:rPr>
        <w:t>4</w:t>
      </w:r>
      <w:r>
        <w:rPr>
          <w:rFonts w:ascii="宋体" w:hAnsi="宋体" w:cs="宋体" w:eastAsia="宋体" w:hint="default"/>
          <w:b/>
          <w:bCs/>
          <w:sz w:val="21"/>
          <w:szCs w:val="21"/>
        </w:rPr>
        <w:t>）未确认递延所得税资产明细</w:t>
      </w:r>
      <w:r>
        <w:rPr>
          <w:rFonts w:ascii="宋体" w:hAnsi="宋体" w:cs="宋体" w:eastAsia="宋体" w:hint="default"/>
          <w:sz w:val="21"/>
          <w:szCs w:val="21"/>
        </w:rPr>
      </w:r>
    </w:p>
    <w:p>
      <w:pPr>
        <w:spacing w:line="240" w:lineRule="auto" w:before="2"/>
        <w:rPr>
          <w:rFonts w:ascii="宋体" w:hAnsi="宋体" w:cs="宋体" w:eastAsia="宋体" w:hint="default"/>
          <w:b/>
          <w:bCs/>
          <w:sz w:val="23"/>
          <w:szCs w:val="23"/>
        </w:rPr>
      </w:pPr>
    </w:p>
    <w:p>
      <w:pPr>
        <w:spacing w:before="35"/>
        <w:ind w:left="0" w:right="1129" w:firstLine="0"/>
        <w:jc w:val="right"/>
        <w:rPr>
          <w:rFonts w:ascii="宋体" w:hAnsi="宋体" w:cs="宋体" w:eastAsia="宋体" w:hint="default"/>
          <w:sz w:val="21"/>
          <w:szCs w:val="21"/>
        </w:rPr>
      </w:pPr>
      <w:r>
        <w:rPr>
          <w:rFonts w:ascii="宋体" w:hAnsi="宋体" w:cs="宋体" w:eastAsia="宋体" w:hint="default"/>
          <w:sz w:val="21"/>
          <w:szCs w:val="21"/>
        </w:rPr>
        <w:t>单位： 元</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1"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11"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11" w:right="0"/>
              <w:jc w:val="left"/>
              <w:rPr>
                <w:rFonts w:ascii="宋体" w:hAnsi="宋体" w:cs="宋体" w:eastAsia="宋体" w:hint="default"/>
                <w:sz w:val="21"/>
                <w:szCs w:val="21"/>
              </w:rPr>
            </w:pPr>
            <w:r>
              <w:rPr>
                <w:rFonts w:ascii="宋体" w:hAnsi="宋体" w:cs="宋体" w:eastAsia="宋体" w:hint="default"/>
                <w:sz w:val="21"/>
                <w:szCs w:val="21"/>
              </w:rPr>
              <w:t>可抵扣亏损</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7"/>
              <w:ind w:right="21"/>
              <w:jc w:val="right"/>
              <w:rPr>
                <w:rFonts w:ascii="宋体" w:hAnsi="宋体" w:cs="宋体" w:eastAsia="宋体" w:hint="default"/>
                <w:sz w:val="21"/>
                <w:szCs w:val="21"/>
              </w:rPr>
            </w:pPr>
            <w:r>
              <w:rPr>
                <w:rFonts w:ascii="宋体"/>
                <w:sz w:val="21"/>
              </w:rPr>
              <w:t>14,682,166.17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9"/>
              <w:jc w:val="right"/>
              <w:rPr>
                <w:rFonts w:ascii="宋体" w:hAnsi="宋体" w:cs="宋体" w:eastAsia="宋体" w:hint="default"/>
                <w:sz w:val="21"/>
                <w:szCs w:val="21"/>
              </w:rPr>
            </w:pPr>
            <w:r>
              <w:rPr>
                <w:rFonts w:ascii="宋体"/>
                <w:sz w:val="21"/>
              </w:rPr>
              <w:t>7,980,089.77</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7"/>
              <w:ind w:right="20"/>
              <w:jc w:val="right"/>
              <w:rPr>
                <w:rFonts w:ascii="宋体" w:hAnsi="宋体" w:cs="宋体" w:eastAsia="宋体" w:hint="default"/>
                <w:sz w:val="21"/>
                <w:szCs w:val="21"/>
              </w:rPr>
            </w:pPr>
            <w:r>
              <w:rPr>
                <w:rFonts w:ascii="宋体"/>
                <w:sz w:val="21"/>
              </w:rPr>
              <w:t>256,941,560.37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0"/>
              <w:jc w:val="right"/>
              <w:rPr>
                <w:rFonts w:ascii="宋体" w:hAnsi="宋体" w:cs="宋体" w:eastAsia="宋体" w:hint="default"/>
                <w:sz w:val="21"/>
                <w:szCs w:val="21"/>
              </w:rPr>
            </w:pPr>
            <w:r>
              <w:rPr>
                <w:rFonts w:ascii="宋体"/>
                <w:sz w:val="21"/>
              </w:rPr>
              <w:t>34,317,890.81</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11"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7"/>
              <w:ind w:right="20"/>
              <w:jc w:val="right"/>
              <w:rPr>
                <w:rFonts w:ascii="宋体" w:hAnsi="宋体" w:cs="宋体" w:eastAsia="宋体" w:hint="default"/>
                <w:sz w:val="21"/>
                <w:szCs w:val="21"/>
              </w:rPr>
            </w:pPr>
            <w:r>
              <w:rPr>
                <w:rFonts w:ascii="宋体"/>
                <w:sz w:val="21"/>
              </w:rPr>
              <w:t>271,623,726.54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0"/>
              <w:jc w:val="right"/>
              <w:rPr>
                <w:rFonts w:ascii="宋体" w:hAnsi="宋体" w:cs="宋体" w:eastAsia="宋体" w:hint="default"/>
                <w:sz w:val="21"/>
                <w:szCs w:val="21"/>
              </w:rPr>
            </w:pPr>
            <w:r>
              <w:rPr>
                <w:rFonts w:ascii="宋体"/>
                <w:spacing w:val="-1"/>
                <w:sz w:val="21"/>
              </w:rPr>
              <w:t>42,297,980.58</w:t>
            </w:r>
          </w:p>
        </w:tc>
      </w:tr>
    </w:tbl>
    <w:p>
      <w:pPr>
        <w:spacing w:line="240" w:lineRule="auto" w:before="2"/>
        <w:rPr>
          <w:rFonts w:ascii="宋体" w:hAnsi="宋体" w:cs="宋体" w:eastAsia="宋体" w:hint="default"/>
          <w:sz w:val="19"/>
          <w:szCs w:val="19"/>
        </w:rPr>
      </w:pPr>
    </w:p>
    <w:p>
      <w:pPr>
        <w:spacing w:before="35"/>
        <w:ind w:left="154" w:right="996" w:firstLine="0"/>
        <w:jc w:val="left"/>
        <w:rPr>
          <w:rFonts w:ascii="宋体" w:hAnsi="宋体" w:cs="宋体" w:eastAsia="宋体" w:hint="default"/>
          <w:sz w:val="21"/>
          <w:szCs w:val="21"/>
        </w:rPr>
      </w:pPr>
      <w:bookmarkStart w:name="（5）未确认递延所得税资产的可抵扣亏损将于以下年度到期" w:id="334"/>
      <w:bookmarkEnd w:id="334"/>
      <w:r>
        <w:rPr/>
      </w:r>
      <w:r>
        <w:rPr>
          <w:rFonts w:ascii="宋体" w:hAnsi="宋体" w:cs="宋体" w:eastAsia="宋体" w:hint="default"/>
          <w:b/>
          <w:bCs/>
          <w:sz w:val="21"/>
          <w:szCs w:val="21"/>
        </w:rPr>
        <w:t>（</w:t>
      </w:r>
      <w:r>
        <w:rPr>
          <w:rFonts w:ascii="宋体" w:hAnsi="宋体" w:cs="宋体" w:eastAsia="宋体" w:hint="default"/>
          <w:b/>
          <w:bCs/>
          <w:sz w:val="21"/>
          <w:szCs w:val="21"/>
        </w:rPr>
        <w:t>5</w:t>
      </w:r>
      <w:r>
        <w:rPr>
          <w:rFonts w:ascii="宋体" w:hAnsi="宋体" w:cs="宋体" w:eastAsia="宋体" w:hint="default"/>
          <w:b/>
          <w:bCs/>
          <w:sz w:val="21"/>
          <w:szCs w:val="21"/>
        </w:rPr>
        <w:t>）未确认递延所得税资产的可抵扣亏损将于以下年度到期</w:t>
      </w:r>
      <w:r>
        <w:rPr>
          <w:rFonts w:ascii="宋体" w:hAnsi="宋体" w:cs="宋体" w:eastAsia="宋体" w:hint="default"/>
          <w:sz w:val="21"/>
          <w:szCs w:val="21"/>
        </w:rPr>
      </w:r>
    </w:p>
    <w:p>
      <w:pPr>
        <w:spacing w:line="240" w:lineRule="auto" w:before="2"/>
        <w:rPr>
          <w:rFonts w:ascii="宋体" w:hAnsi="宋体" w:cs="宋体" w:eastAsia="宋体" w:hint="default"/>
          <w:b/>
          <w:bCs/>
          <w:sz w:val="23"/>
          <w:szCs w:val="23"/>
        </w:rPr>
      </w:pPr>
    </w:p>
    <w:p>
      <w:pPr>
        <w:spacing w:before="35"/>
        <w:ind w:left="0" w:right="1129" w:firstLine="0"/>
        <w:jc w:val="right"/>
        <w:rPr>
          <w:rFonts w:ascii="宋体" w:hAnsi="宋体" w:cs="宋体" w:eastAsia="宋体" w:hint="default"/>
          <w:sz w:val="21"/>
          <w:szCs w:val="21"/>
        </w:rPr>
      </w:pPr>
      <w:r>
        <w:rPr>
          <w:rFonts w:ascii="宋体" w:hAnsi="宋体" w:cs="宋体" w:eastAsia="宋体" w:hint="default"/>
          <w:sz w:val="21"/>
          <w:szCs w:val="21"/>
        </w:rPr>
        <w:t>单位： 元</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年份</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771" w:right="0"/>
              <w:jc w:val="left"/>
              <w:rPr>
                <w:rFonts w:ascii="宋体" w:hAnsi="宋体" w:cs="宋体" w:eastAsia="宋体" w:hint="default"/>
                <w:sz w:val="21"/>
                <w:szCs w:val="21"/>
              </w:rPr>
            </w:pPr>
            <w:r>
              <w:rPr>
                <w:rFonts w:ascii="宋体" w:hAnsi="宋体" w:cs="宋体" w:eastAsia="宋体" w:hint="default"/>
                <w:sz w:val="21"/>
                <w:szCs w:val="21"/>
              </w:rPr>
              <w:t>期末金额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770" w:right="0"/>
              <w:jc w:val="left"/>
              <w:rPr>
                <w:rFonts w:ascii="宋体" w:hAnsi="宋体" w:cs="宋体" w:eastAsia="宋体" w:hint="default"/>
                <w:sz w:val="21"/>
                <w:szCs w:val="21"/>
              </w:rPr>
            </w:pPr>
            <w:r>
              <w:rPr>
                <w:rFonts w:ascii="宋体" w:hAnsi="宋体" w:cs="宋体" w:eastAsia="宋体" w:hint="default"/>
                <w:sz w:val="21"/>
                <w:szCs w:val="21"/>
              </w:rPr>
              <w:t>期初金额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备注</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1"/>
                <w:sz w:val="21"/>
                <w:szCs w:val="21"/>
              </w:rPr>
              <w:t> </w:t>
            </w:r>
            <w:r>
              <w:rPr>
                <w:rFonts w:ascii="宋体" w:hAnsi="宋体" w:cs="宋体" w:eastAsia="宋体" w:hint="default"/>
                <w:sz w:val="21"/>
                <w:szCs w:val="21"/>
              </w:rPr>
              <w:t>年</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124,848.42</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2020</w:t>
            </w:r>
            <w:r>
              <w:rPr>
                <w:rFonts w:ascii="宋体" w:hAnsi="宋体" w:cs="宋体" w:eastAsia="宋体" w:hint="default"/>
                <w:spacing w:val="-51"/>
                <w:sz w:val="21"/>
                <w:szCs w:val="21"/>
              </w:rPr>
              <w:t> </w:t>
            </w:r>
            <w:r>
              <w:rPr>
                <w:rFonts w:ascii="宋体" w:hAnsi="宋体" w:cs="宋体" w:eastAsia="宋体" w:hint="default"/>
                <w:sz w:val="21"/>
                <w:szCs w:val="21"/>
              </w:rPr>
              <w:t>年</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1,372,651.51</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2021</w:t>
            </w:r>
            <w:r>
              <w:rPr>
                <w:rFonts w:ascii="宋体" w:hAnsi="宋体" w:cs="宋体" w:eastAsia="宋体" w:hint="default"/>
                <w:spacing w:val="-51"/>
                <w:sz w:val="21"/>
                <w:szCs w:val="21"/>
              </w:rPr>
              <w:t> </w:t>
            </w:r>
            <w:r>
              <w:rPr>
                <w:rFonts w:ascii="宋体" w:hAnsi="宋体" w:cs="宋体" w:eastAsia="宋体" w:hint="default"/>
                <w:sz w:val="21"/>
                <w:szCs w:val="21"/>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7,388,457.88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6,482,589.84</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2022</w:t>
            </w:r>
            <w:r>
              <w:rPr>
                <w:rFonts w:ascii="宋体" w:hAnsi="宋体" w:cs="宋体" w:eastAsia="宋体" w:hint="default"/>
                <w:spacing w:val="-51"/>
                <w:sz w:val="21"/>
                <w:szCs w:val="21"/>
              </w:rPr>
              <w:t> </w:t>
            </w:r>
            <w:r>
              <w:rPr>
                <w:rFonts w:ascii="宋体" w:hAnsi="宋体" w:cs="宋体" w:eastAsia="宋体" w:hint="default"/>
                <w:sz w:val="21"/>
                <w:szCs w:val="21"/>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7,293,708.29</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14,682,166.17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7,980,089.77</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 w:right="0"/>
              <w:jc w:val="center"/>
              <w:rPr>
                <w:rFonts w:ascii="宋体" w:hAnsi="宋体" w:cs="宋体" w:eastAsia="宋体" w:hint="default"/>
                <w:sz w:val="21"/>
                <w:szCs w:val="21"/>
              </w:rPr>
            </w:pPr>
            <w:r>
              <w:rPr>
                <w:rFonts w:ascii="宋体"/>
                <w:sz w:val="21"/>
              </w:rPr>
              <w:t>--</w:t>
            </w:r>
          </w:p>
        </w:tc>
      </w:tr>
    </w:tbl>
    <w:p>
      <w:pPr>
        <w:spacing w:line="240" w:lineRule="auto" w:before="10"/>
        <w:rPr>
          <w:rFonts w:ascii="宋体" w:hAnsi="宋体" w:cs="宋体" w:eastAsia="宋体" w:hint="default"/>
          <w:sz w:val="4"/>
          <w:szCs w:val="4"/>
        </w:rPr>
      </w:pPr>
    </w:p>
    <w:p>
      <w:pPr>
        <w:spacing w:line="352" w:lineRule="auto" w:before="26"/>
        <w:ind w:left="636" w:right="8101" w:hanging="3"/>
        <w:jc w:val="left"/>
        <w:rPr>
          <w:rFonts w:ascii="宋体" w:hAnsi="宋体" w:cs="宋体" w:eastAsia="宋体" w:hint="default"/>
          <w:sz w:val="24"/>
          <w:szCs w:val="24"/>
        </w:rPr>
      </w:pPr>
      <w:r>
        <w:rPr>
          <w:rFonts w:ascii="宋体" w:hAnsi="宋体" w:cs="宋体" w:eastAsia="宋体" w:hint="default"/>
          <w:sz w:val="24"/>
          <w:szCs w:val="24"/>
        </w:rPr>
        <w:t>其他说明：无 </w:t>
      </w:r>
      <w:bookmarkStart w:name="30、其他非流动资产" w:id="335"/>
      <w:bookmarkEnd w:id="335"/>
      <w:r>
        <w:rPr>
          <w:rFonts w:ascii="宋体" w:hAnsi="宋体" w:cs="宋体" w:eastAsia="宋体" w:hint="default"/>
          <w:sz w:val="24"/>
          <w:szCs w:val="24"/>
        </w:rPr>
      </w:r>
      <w:r>
        <w:rPr>
          <w:rFonts w:ascii="宋体" w:hAnsi="宋体" w:cs="宋体" w:eastAsia="宋体" w:hint="default"/>
          <w:b/>
          <w:bCs/>
          <w:sz w:val="24"/>
          <w:szCs w:val="24"/>
        </w:rPr>
        <w:t>30</w:t>
      </w:r>
      <w:r>
        <w:rPr>
          <w:rFonts w:ascii="宋体" w:hAnsi="宋体" w:cs="宋体" w:eastAsia="宋体" w:hint="default"/>
          <w:b/>
          <w:bCs/>
          <w:sz w:val="24"/>
          <w:szCs w:val="24"/>
        </w:rPr>
        <w:t>、其他非流动资产</w:t>
      </w:r>
      <w:r>
        <w:rPr>
          <w:rFonts w:ascii="宋体" w:hAnsi="宋体" w:cs="宋体" w:eastAsia="宋体" w:hint="default"/>
          <w:sz w:val="24"/>
          <w:szCs w:val="24"/>
        </w:rPr>
      </w:r>
    </w:p>
    <w:p>
      <w:pPr>
        <w:spacing w:before="87"/>
        <w:ind w:left="0" w:right="1129" w:firstLine="0"/>
        <w:jc w:val="right"/>
        <w:rPr>
          <w:rFonts w:ascii="宋体" w:hAnsi="宋体" w:cs="宋体" w:eastAsia="宋体" w:hint="default"/>
          <w:sz w:val="21"/>
          <w:szCs w:val="21"/>
        </w:rPr>
      </w:pPr>
      <w:r>
        <w:rPr>
          <w:rFonts w:ascii="宋体" w:hAnsi="宋体" w:cs="宋体" w:eastAsia="宋体" w:hint="default"/>
          <w:sz w:val="21"/>
          <w:szCs w:val="21"/>
        </w:rPr>
        <w:t>单位： 元</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预付工程及设备款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1"/>
              <w:jc w:val="right"/>
              <w:rPr>
                <w:rFonts w:ascii="宋体" w:hAnsi="宋体" w:cs="宋体" w:eastAsia="宋体" w:hint="default"/>
                <w:sz w:val="21"/>
                <w:szCs w:val="21"/>
              </w:rPr>
            </w:pPr>
            <w:r>
              <w:rPr>
                <w:rFonts w:ascii="宋体"/>
                <w:sz w:val="21"/>
              </w:rPr>
              <w:t>306,130.99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0"/>
              <w:jc w:val="right"/>
              <w:rPr>
                <w:rFonts w:ascii="宋体" w:hAnsi="宋体" w:cs="宋体" w:eastAsia="宋体" w:hint="default"/>
                <w:sz w:val="21"/>
                <w:szCs w:val="21"/>
              </w:rPr>
            </w:pPr>
            <w:r>
              <w:rPr>
                <w:rFonts w:ascii="宋体"/>
                <w:sz w:val="21"/>
              </w:rPr>
              <w:t>767,919.99</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3"/>
              <w:jc w:val="right"/>
              <w:rPr>
                <w:rFonts w:ascii="宋体" w:hAnsi="宋体" w:cs="宋体" w:eastAsia="宋体" w:hint="default"/>
                <w:sz w:val="21"/>
                <w:szCs w:val="21"/>
              </w:rPr>
            </w:pPr>
            <w:r>
              <w:rPr>
                <w:rFonts w:ascii="宋体"/>
                <w:sz w:val="21"/>
              </w:rPr>
              <w:t>306,130.99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0"/>
              <w:jc w:val="right"/>
              <w:rPr>
                <w:rFonts w:ascii="宋体" w:hAnsi="宋体" w:cs="宋体" w:eastAsia="宋体" w:hint="default"/>
                <w:sz w:val="21"/>
                <w:szCs w:val="21"/>
              </w:rPr>
            </w:pPr>
            <w:r>
              <w:rPr>
                <w:rFonts w:ascii="宋体"/>
                <w:sz w:val="21"/>
              </w:rPr>
              <w:t>767,919.99</w:t>
            </w:r>
          </w:p>
        </w:tc>
      </w:tr>
    </w:tbl>
    <w:p>
      <w:pPr>
        <w:spacing w:line="240" w:lineRule="auto" w:before="10"/>
        <w:rPr>
          <w:rFonts w:ascii="宋体" w:hAnsi="宋体" w:cs="宋体" w:eastAsia="宋体" w:hint="default"/>
          <w:sz w:val="4"/>
          <w:szCs w:val="4"/>
        </w:rPr>
      </w:pPr>
    </w:p>
    <w:p>
      <w:pPr>
        <w:spacing w:line="350" w:lineRule="auto" w:before="26"/>
        <w:ind w:left="636" w:right="8823" w:hanging="3"/>
        <w:jc w:val="left"/>
        <w:rPr>
          <w:rFonts w:ascii="宋体" w:hAnsi="宋体" w:cs="宋体" w:eastAsia="宋体" w:hint="default"/>
          <w:sz w:val="24"/>
          <w:szCs w:val="24"/>
        </w:rPr>
      </w:pPr>
      <w:r>
        <w:rPr>
          <w:rFonts w:ascii="宋体" w:hAnsi="宋体" w:cs="宋体" w:eastAsia="宋体" w:hint="default"/>
          <w:sz w:val="24"/>
          <w:szCs w:val="24"/>
        </w:rPr>
        <w:t>其他说明：无 </w:t>
      </w:r>
      <w:bookmarkStart w:name="31、短期借款" w:id="336"/>
      <w:bookmarkEnd w:id="336"/>
      <w:r>
        <w:rPr>
          <w:rFonts w:ascii="宋体" w:hAnsi="宋体" w:cs="宋体" w:eastAsia="宋体" w:hint="default"/>
          <w:sz w:val="24"/>
          <w:szCs w:val="24"/>
        </w:rPr>
      </w:r>
      <w:r>
        <w:rPr>
          <w:rFonts w:ascii="宋体" w:hAnsi="宋体" w:cs="宋体" w:eastAsia="宋体" w:hint="default"/>
          <w:b/>
          <w:bCs/>
          <w:sz w:val="24"/>
          <w:szCs w:val="24"/>
        </w:rPr>
        <w:t>31</w:t>
      </w:r>
      <w:r>
        <w:rPr>
          <w:rFonts w:ascii="宋体" w:hAnsi="宋体" w:cs="宋体" w:eastAsia="宋体" w:hint="default"/>
          <w:b/>
          <w:bCs/>
          <w:sz w:val="24"/>
          <w:szCs w:val="24"/>
        </w:rPr>
        <w:t>、短期借款</w:t>
      </w:r>
      <w:r>
        <w:rPr>
          <w:rFonts w:ascii="宋体" w:hAnsi="宋体" w:cs="宋体" w:eastAsia="宋体" w:hint="default"/>
          <w:sz w:val="24"/>
          <w:szCs w:val="24"/>
        </w:rPr>
      </w:r>
    </w:p>
    <w:p>
      <w:pPr>
        <w:pStyle w:val="Heading2"/>
        <w:spacing w:line="240" w:lineRule="auto" w:before="191"/>
        <w:ind w:right="996"/>
        <w:jc w:val="left"/>
        <w:rPr>
          <w:b w:val="0"/>
          <w:bCs w:val="0"/>
        </w:rPr>
      </w:pPr>
      <w:bookmarkStart w:name="（1）短期借款分类" w:id="337"/>
      <w:bookmarkEnd w:id="337"/>
      <w:r>
        <w:rPr>
          <w:b w:val="0"/>
          <w:bCs w:val="0"/>
        </w:rPr>
      </w:r>
      <w:r>
        <w:rPr/>
        <w:t>（</w:t>
      </w:r>
      <w:r>
        <w:rPr>
          <w:rFonts w:ascii="宋体" w:hAnsi="宋体" w:cs="宋体" w:eastAsia="宋体" w:hint="default"/>
        </w:rPr>
        <w:t>1</w:t>
      </w:r>
      <w:r>
        <w:rPr/>
        <w:t>）短期借款分类</w:t>
      </w:r>
      <w:r>
        <w:rPr>
          <w:b w:val="0"/>
          <w:bCs w:val="0"/>
        </w:rPr>
      </w:r>
    </w:p>
    <w:p>
      <w:pPr>
        <w:spacing w:line="240" w:lineRule="auto" w:before="9"/>
        <w:rPr>
          <w:rFonts w:ascii="宋体" w:hAnsi="宋体" w:cs="宋体" w:eastAsia="宋体" w:hint="default"/>
          <w:b/>
          <w:bCs/>
          <w:sz w:val="12"/>
          <w:szCs w:val="12"/>
        </w:rPr>
      </w:pPr>
    </w:p>
    <w:p>
      <w:pPr>
        <w:spacing w:before="35"/>
        <w:ind w:left="0" w:right="1129" w:firstLine="0"/>
        <w:jc w:val="right"/>
        <w:rPr>
          <w:rFonts w:ascii="宋体" w:hAnsi="宋体" w:cs="宋体" w:eastAsia="宋体" w:hint="default"/>
          <w:sz w:val="21"/>
          <w:szCs w:val="21"/>
        </w:rPr>
      </w:pPr>
      <w:r>
        <w:rPr>
          <w:rFonts w:ascii="宋体" w:hAnsi="宋体" w:cs="宋体" w:eastAsia="宋体" w:hint="default"/>
          <w:sz w:val="21"/>
          <w:szCs w:val="21"/>
        </w:rPr>
        <w:t>单位： 元</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信用借款</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99,563,440.79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9"/>
              <w:jc w:val="right"/>
              <w:rPr>
                <w:rFonts w:ascii="宋体" w:hAnsi="宋体" w:cs="宋体" w:eastAsia="宋体" w:hint="default"/>
                <w:sz w:val="21"/>
                <w:szCs w:val="21"/>
              </w:rPr>
            </w:pPr>
            <w:r>
              <w:rPr>
                <w:rFonts w:ascii="宋体"/>
                <w:sz w:val="21"/>
              </w:rPr>
              <w:t>142,413,508.96</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99,563,440.79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9"/>
              <w:jc w:val="right"/>
              <w:rPr>
                <w:rFonts w:ascii="宋体" w:hAnsi="宋体" w:cs="宋体" w:eastAsia="宋体" w:hint="default"/>
                <w:sz w:val="21"/>
                <w:szCs w:val="21"/>
              </w:rPr>
            </w:pPr>
            <w:r>
              <w:rPr>
                <w:rFonts w:ascii="宋体"/>
                <w:sz w:val="21"/>
              </w:rPr>
              <w:t>142,413,508.96</w:t>
            </w:r>
          </w:p>
        </w:tc>
      </w:tr>
    </w:tbl>
    <w:p>
      <w:pPr>
        <w:spacing w:line="240" w:lineRule="auto" w:before="10"/>
        <w:rPr>
          <w:rFonts w:ascii="宋体" w:hAnsi="宋体" w:cs="宋体" w:eastAsia="宋体" w:hint="default"/>
          <w:sz w:val="4"/>
          <w:szCs w:val="4"/>
        </w:rPr>
      </w:pPr>
    </w:p>
    <w:p>
      <w:pPr>
        <w:pStyle w:val="BodyText"/>
        <w:spacing w:line="352" w:lineRule="auto" w:before="26"/>
        <w:ind w:left="634" w:right="6672"/>
        <w:jc w:val="left"/>
      </w:pPr>
      <w:r>
        <w:rPr/>
        <w:t>短期借款分类的说明： 期末无已逾期未偿还的短期借款。</w:t>
      </w:r>
    </w:p>
    <w:p>
      <w:pPr>
        <w:spacing w:after="0" w:line="352"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Heading2"/>
        <w:spacing w:line="240" w:lineRule="auto" w:before="199"/>
        <w:ind w:right="996"/>
        <w:jc w:val="left"/>
        <w:rPr>
          <w:b w:val="0"/>
          <w:bCs w:val="0"/>
        </w:rPr>
      </w:pPr>
      <w:bookmarkStart w:name="（2）已逾期未偿还的短期借款情况" w:id="338"/>
      <w:bookmarkEnd w:id="338"/>
      <w:r>
        <w:rPr>
          <w:b w:val="0"/>
          <w:bCs w:val="0"/>
        </w:rPr>
      </w:r>
      <w:r>
        <w:rPr/>
        <w:t>（</w:t>
      </w:r>
      <w:r>
        <w:rPr>
          <w:rFonts w:ascii="宋体" w:hAnsi="宋体" w:cs="宋体" w:eastAsia="宋体" w:hint="default"/>
        </w:rPr>
        <w:t>2</w:t>
      </w:r>
      <w:r>
        <w:rPr/>
        <w:t>）已逾期未偿还的短期借款情况</w:t>
      </w:r>
      <w:r>
        <w:rPr>
          <w:b w:val="0"/>
          <w:bCs w:val="0"/>
        </w:rPr>
      </w:r>
    </w:p>
    <w:p>
      <w:pPr>
        <w:spacing w:line="240" w:lineRule="auto" w:before="1"/>
        <w:rPr>
          <w:rFonts w:ascii="宋体" w:hAnsi="宋体" w:cs="宋体" w:eastAsia="宋体" w:hint="default"/>
          <w:b/>
          <w:bCs/>
          <w:sz w:val="23"/>
          <w:szCs w:val="23"/>
        </w:rPr>
      </w:pPr>
    </w:p>
    <w:p>
      <w:pPr>
        <w:pStyle w:val="BodyText"/>
        <w:spacing w:line="352" w:lineRule="auto" w:before="0"/>
        <w:ind w:left="154" w:right="1152" w:firstLine="480"/>
        <w:jc w:val="left"/>
      </w:pPr>
      <w:r>
        <w:rPr/>
        <w:t>本期末已逾期未偿还的短期借款总额为</w:t>
      </w:r>
      <w:r>
        <w:rPr>
          <w:rFonts w:ascii="宋体" w:hAnsi="宋体" w:cs="宋体" w:eastAsia="宋体" w:hint="default"/>
        </w:rPr>
        <w:t>0.00</w:t>
      </w:r>
      <w:r>
        <w:rPr/>
        <w:t>元，其中重要的已逾期未偿还的短期借款情 况如下：</w:t>
      </w:r>
    </w:p>
    <w:p>
      <w:pPr>
        <w:pStyle w:val="BodyText"/>
        <w:spacing w:line="350" w:lineRule="auto" w:before="32"/>
        <w:ind w:left="634" w:right="8832"/>
        <w:jc w:val="left"/>
      </w:pPr>
      <w:r>
        <w:rPr/>
        <w:t>无 其他说明：无</w:t>
      </w:r>
    </w:p>
    <w:p>
      <w:pPr>
        <w:pStyle w:val="Heading2"/>
        <w:spacing w:line="240" w:lineRule="auto" w:before="36"/>
        <w:ind w:right="996"/>
        <w:jc w:val="left"/>
        <w:rPr>
          <w:b w:val="0"/>
          <w:bCs w:val="0"/>
        </w:rPr>
      </w:pPr>
      <w:bookmarkStart w:name="32、以公允价值计量且其变动计入当期损益的金融负债" w:id="339"/>
      <w:bookmarkEnd w:id="339"/>
      <w:r>
        <w:rPr>
          <w:b w:val="0"/>
          <w:bCs w:val="0"/>
        </w:rPr>
      </w:r>
      <w:r>
        <w:rPr>
          <w:rFonts w:ascii="宋体" w:hAnsi="宋体" w:cs="宋体" w:eastAsia="宋体" w:hint="default"/>
        </w:rPr>
        <w:t>32</w:t>
      </w:r>
      <w:r>
        <w:rPr/>
        <w:t>、以公允价值计量且其变动计入当期损益的金融负债</w:t>
      </w:r>
      <w:r>
        <w:rPr>
          <w:b w:val="0"/>
          <w:bCs w:val="0"/>
        </w:rPr>
      </w:r>
    </w:p>
    <w:p>
      <w:pPr>
        <w:spacing w:line="240" w:lineRule="auto" w:before="1"/>
        <w:rPr>
          <w:rFonts w:ascii="宋体" w:hAnsi="宋体" w:cs="宋体" w:eastAsia="宋体" w:hint="default"/>
          <w:b/>
          <w:bCs/>
          <w:sz w:val="23"/>
          <w:szCs w:val="23"/>
        </w:rPr>
      </w:pPr>
    </w:p>
    <w:p>
      <w:pPr>
        <w:pStyle w:val="BodyText"/>
        <w:spacing w:line="350" w:lineRule="auto" w:before="0"/>
        <w:ind w:left="634" w:right="8832"/>
        <w:jc w:val="left"/>
      </w:pPr>
      <w:r>
        <w:rPr/>
        <w:t>无 其他说明：无</w:t>
      </w:r>
    </w:p>
    <w:p>
      <w:pPr>
        <w:pStyle w:val="Heading2"/>
        <w:spacing w:line="240" w:lineRule="auto" w:before="36"/>
        <w:ind w:right="996"/>
        <w:jc w:val="left"/>
        <w:rPr>
          <w:b w:val="0"/>
          <w:bCs w:val="0"/>
        </w:rPr>
      </w:pPr>
      <w:bookmarkStart w:name="33、衍生金融负债" w:id="340"/>
      <w:bookmarkEnd w:id="340"/>
      <w:r>
        <w:rPr>
          <w:b w:val="0"/>
          <w:bCs w:val="0"/>
        </w:rPr>
      </w:r>
      <w:r>
        <w:rPr>
          <w:rFonts w:ascii="宋体" w:hAnsi="宋体" w:cs="宋体" w:eastAsia="宋体" w:hint="default"/>
        </w:rPr>
        <w:t>33</w:t>
      </w:r>
      <w:r>
        <w:rPr/>
        <w:t>、衍生金融负债</w:t>
      </w:r>
      <w:r>
        <w:rPr>
          <w:b w:val="0"/>
          <w:bCs w:val="0"/>
        </w:rPr>
      </w:r>
    </w:p>
    <w:p>
      <w:pPr>
        <w:spacing w:line="240" w:lineRule="auto" w:before="1"/>
        <w:rPr>
          <w:rFonts w:ascii="宋体" w:hAnsi="宋体" w:cs="宋体" w:eastAsia="宋体" w:hint="default"/>
          <w:b/>
          <w:bCs/>
          <w:sz w:val="23"/>
          <w:szCs w:val="23"/>
        </w:rPr>
      </w:pPr>
    </w:p>
    <w:p>
      <w:pPr>
        <w:spacing w:line="350" w:lineRule="auto" w:before="0"/>
        <w:ind w:left="636" w:right="8233" w:hanging="3"/>
        <w:jc w:val="left"/>
        <w:rPr>
          <w:rFonts w:ascii="宋体" w:hAnsi="宋体" w:cs="宋体" w:eastAsia="宋体" w:hint="default"/>
          <w:sz w:val="24"/>
          <w:szCs w:val="24"/>
        </w:rPr>
      </w:pPr>
      <w:r>
        <w:rPr>
          <w:rFonts w:ascii="宋体" w:hAnsi="宋体" w:cs="宋体" w:eastAsia="宋体" w:hint="default"/>
          <w:sz w:val="24"/>
          <w:szCs w:val="24"/>
        </w:rPr>
        <w:t>□ 适用 √ 不适用 </w:t>
      </w:r>
      <w:bookmarkStart w:name="34、应付票据" w:id="341"/>
      <w:bookmarkEnd w:id="341"/>
      <w:r>
        <w:rPr>
          <w:rFonts w:ascii="宋体" w:hAnsi="宋体" w:cs="宋体" w:eastAsia="宋体" w:hint="default"/>
          <w:sz w:val="24"/>
          <w:szCs w:val="24"/>
        </w:rPr>
      </w:r>
      <w:r>
        <w:rPr>
          <w:rFonts w:ascii="宋体" w:hAnsi="宋体" w:cs="宋体" w:eastAsia="宋体" w:hint="default"/>
          <w:b/>
          <w:bCs/>
          <w:sz w:val="24"/>
          <w:szCs w:val="24"/>
        </w:rPr>
        <w:t>34</w:t>
      </w:r>
      <w:r>
        <w:rPr>
          <w:rFonts w:ascii="宋体" w:hAnsi="宋体" w:cs="宋体" w:eastAsia="宋体" w:hint="default"/>
          <w:b/>
          <w:bCs/>
          <w:sz w:val="24"/>
          <w:szCs w:val="24"/>
        </w:rPr>
        <w:t>、应付票据</w:t>
      </w:r>
      <w:r>
        <w:rPr>
          <w:rFonts w:ascii="宋体" w:hAnsi="宋体" w:cs="宋体" w:eastAsia="宋体" w:hint="default"/>
          <w:sz w:val="24"/>
          <w:szCs w:val="24"/>
        </w:rPr>
      </w:r>
    </w:p>
    <w:p>
      <w:pPr>
        <w:spacing w:before="90"/>
        <w:ind w:left="0" w:right="1129" w:firstLine="0"/>
        <w:jc w:val="right"/>
        <w:rPr>
          <w:rFonts w:ascii="宋体" w:hAnsi="宋体" w:cs="宋体" w:eastAsia="宋体" w:hint="default"/>
          <w:sz w:val="21"/>
          <w:szCs w:val="21"/>
        </w:rPr>
      </w:pPr>
      <w:r>
        <w:rPr>
          <w:rFonts w:ascii="宋体" w:hAnsi="宋体" w:cs="宋体" w:eastAsia="宋体" w:hint="default"/>
          <w:sz w:val="21"/>
          <w:szCs w:val="21"/>
        </w:rPr>
        <w:t>单位： 元</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 w:right="1"/>
              <w:jc w:val="center"/>
              <w:rPr>
                <w:rFonts w:ascii="宋体" w:hAnsi="宋体" w:cs="宋体" w:eastAsia="宋体" w:hint="default"/>
                <w:sz w:val="21"/>
                <w:szCs w:val="21"/>
              </w:rPr>
            </w:pPr>
            <w:r>
              <w:rPr>
                <w:rFonts w:ascii="宋体" w:hAnsi="宋体" w:cs="宋体" w:eastAsia="宋体" w:hint="default"/>
                <w:sz w:val="21"/>
                <w:szCs w:val="21"/>
              </w:rPr>
              <w:t>种类</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银行承兑汇票</w:t>
            </w:r>
          </w:p>
        </w:tc>
        <w:tc>
          <w:tcPr>
            <w:tcW w:w="3206" w:type="dxa"/>
            <w:tcBorders>
              <w:top w:val="single" w:sz="4" w:space="0" w:color="000000"/>
              <w:left w:val="single" w:sz="13" w:space="0" w:color="D2D2D2"/>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933,692.00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206" w:type="dxa"/>
            <w:tcBorders>
              <w:top w:val="single" w:sz="4" w:space="0" w:color="000000"/>
              <w:left w:val="single" w:sz="13" w:space="0" w:color="D2D2D2"/>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933,692.00</w:t>
            </w:r>
          </w:p>
        </w:tc>
      </w:tr>
    </w:tbl>
    <w:p>
      <w:pPr>
        <w:spacing w:line="240" w:lineRule="auto" w:before="10"/>
        <w:rPr>
          <w:rFonts w:ascii="宋体" w:hAnsi="宋体" w:cs="宋体" w:eastAsia="宋体" w:hint="default"/>
          <w:sz w:val="4"/>
          <w:szCs w:val="4"/>
        </w:rPr>
      </w:pPr>
    </w:p>
    <w:p>
      <w:pPr>
        <w:spacing w:line="352" w:lineRule="auto" w:before="26"/>
        <w:ind w:left="636" w:right="5233" w:hanging="3"/>
        <w:jc w:val="left"/>
        <w:rPr>
          <w:rFonts w:ascii="宋体" w:hAnsi="宋体" w:cs="宋体" w:eastAsia="宋体" w:hint="default"/>
          <w:sz w:val="24"/>
          <w:szCs w:val="24"/>
        </w:rPr>
      </w:pPr>
      <w:r>
        <w:rPr>
          <w:rFonts w:ascii="宋体" w:hAnsi="宋体" w:cs="宋体" w:eastAsia="宋体" w:hint="default"/>
          <w:sz w:val="24"/>
          <w:szCs w:val="24"/>
        </w:rPr>
        <w:t>本期末已到期未支付的应付票据总额为</w:t>
      </w:r>
      <w:r>
        <w:rPr>
          <w:rFonts w:ascii="宋体" w:hAnsi="宋体" w:cs="宋体" w:eastAsia="宋体" w:hint="default"/>
          <w:sz w:val="24"/>
          <w:szCs w:val="24"/>
        </w:rPr>
        <w:t>0.00</w:t>
      </w:r>
      <w:r>
        <w:rPr>
          <w:rFonts w:ascii="宋体" w:hAnsi="宋体" w:cs="宋体" w:eastAsia="宋体" w:hint="default"/>
          <w:sz w:val="24"/>
          <w:szCs w:val="24"/>
        </w:rPr>
        <w:t>元。 </w:t>
      </w:r>
      <w:bookmarkStart w:name="35、应付账款" w:id="342"/>
      <w:bookmarkEnd w:id="342"/>
      <w:r>
        <w:rPr>
          <w:rFonts w:ascii="宋体" w:hAnsi="宋体" w:cs="宋体" w:eastAsia="宋体" w:hint="default"/>
          <w:sz w:val="24"/>
          <w:szCs w:val="24"/>
        </w:rPr>
      </w:r>
      <w:r>
        <w:rPr>
          <w:rFonts w:ascii="宋体" w:hAnsi="宋体" w:cs="宋体" w:eastAsia="宋体" w:hint="default"/>
          <w:b/>
          <w:bCs/>
          <w:sz w:val="24"/>
          <w:szCs w:val="24"/>
        </w:rPr>
        <w:t>35</w:t>
      </w:r>
      <w:r>
        <w:rPr>
          <w:rFonts w:ascii="宋体" w:hAnsi="宋体" w:cs="宋体" w:eastAsia="宋体" w:hint="default"/>
          <w:b/>
          <w:bCs/>
          <w:sz w:val="24"/>
          <w:szCs w:val="24"/>
        </w:rPr>
        <w:t>、应付账款</w:t>
      </w:r>
      <w:r>
        <w:rPr>
          <w:rFonts w:ascii="宋体" w:hAnsi="宋体" w:cs="宋体" w:eastAsia="宋体" w:hint="default"/>
          <w:sz w:val="24"/>
          <w:szCs w:val="24"/>
        </w:rPr>
      </w:r>
    </w:p>
    <w:p>
      <w:pPr>
        <w:pStyle w:val="Heading2"/>
        <w:spacing w:line="240" w:lineRule="auto" w:before="188"/>
        <w:ind w:right="996"/>
        <w:jc w:val="left"/>
        <w:rPr>
          <w:b w:val="0"/>
          <w:bCs w:val="0"/>
        </w:rPr>
      </w:pPr>
      <w:bookmarkStart w:name="（1）应付账款列示" w:id="343"/>
      <w:bookmarkEnd w:id="343"/>
      <w:r>
        <w:rPr>
          <w:b w:val="0"/>
          <w:bCs w:val="0"/>
        </w:rPr>
      </w:r>
      <w:r>
        <w:rPr/>
        <w:t>（</w:t>
      </w:r>
      <w:r>
        <w:rPr>
          <w:rFonts w:ascii="宋体" w:hAnsi="宋体" w:cs="宋体" w:eastAsia="宋体" w:hint="default"/>
        </w:rPr>
        <w:t>1</w:t>
      </w:r>
      <w:r>
        <w:rPr/>
        <w:t>）应付账款列示</w:t>
      </w:r>
      <w:r>
        <w:rPr>
          <w:b w:val="0"/>
          <w:bCs w:val="0"/>
        </w:rPr>
      </w:r>
    </w:p>
    <w:p>
      <w:pPr>
        <w:spacing w:line="240" w:lineRule="auto" w:before="8"/>
        <w:rPr>
          <w:rFonts w:ascii="宋体" w:hAnsi="宋体" w:cs="宋体" w:eastAsia="宋体" w:hint="default"/>
          <w:b/>
          <w:bCs/>
          <w:sz w:val="12"/>
          <w:szCs w:val="12"/>
        </w:rPr>
      </w:pPr>
    </w:p>
    <w:p>
      <w:pPr>
        <w:spacing w:before="35"/>
        <w:ind w:left="0" w:right="1129" w:firstLine="0"/>
        <w:jc w:val="right"/>
        <w:rPr>
          <w:rFonts w:ascii="宋体" w:hAnsi="宋体" w:cs="宋体" w:eastAsia="宋体" w:hint="default"/>
          <w:sz w:val="21"/>
          <w:szCs w:val="21"/>
        </w:rPr>
      </w:pPr>
      <w:r>
        <w:rPr>
          <w:rFonts w:ascii="宋体" w:hAnsi="宋体" w:cs="宋体" w:eastAsia="宋体" w:hint="default"/>
          <w:sz w:val="21"/>
          <w:szCs w:val="21"/>
        </w:rPr>
        <w:t>单位： 元</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应付材料款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200,463,255.86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9"/>
              <w:jc w:val="right"/>
              <w:rPr>
                <w:rFonts w:ascii="宋体" w:hAnsi="宋体" w:cs="宋体" w:eastAsia="宋体" w:hint="default"/>
                <w:sz w:val="21"/>
                <w:szCs w:val="21"/>
              </w:rPr>
            </w:pPr>
            <w:r>
              <w:rPr>
                <w:rFonts w:ascii="宋体"/>
                <w:sz w:val="21"/>
              </w:rPr>
              <w:t>184,583,401.36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应付工程款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6,684,386.17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12,679,646.50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应付设备款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3"/>
              <w:jc w:val="right"/>
              <w:rPr>
                <w:rFonts w:ascii="宋体" w:hAnsi="宋体" w:cs="宋体" w:eastAsia="宋体" w:hint="default"/>
                <w:sz w:val="21"/>
                <w:szCs w:val="21"/>
              </w:rPr>
            </w:pPr>
            <w:r>
              <w:rPr>
                <w:rFonts w:ascii="宋体"/>
                <w:sz w:val="21"/>
              </w:rPr>
              <w:t>747,695.00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31,158.98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技术服务费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3"/>
              <w:jc w:val="right"/>
              <w:rPr>
                <w:rFonts w:ascii="宋体" w:hAnsi="宋体" w:cs="宋体" w:eastAsia="宋体" w:hint="default"/>
                <w:sz w:val="21"/>
                <w:szCs w:val="21"/>
              </w:rPr>
            </w:pPr>
            <w:r>
              <w:rPr>
                <w:rFonts w:ascii="宋体"/>
                <w:sz w:val="21"/>
              </w:rPr>
              <w:t>600,000.00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9"/>
              <w:jc w:val="right"/>
              <w:rPr>
                <w:rFonts w:ascii="宋体" w:hAnsi="宋体" w:cs="宋体" w:eastAsia="宋体" w:hint="default"/>
                <w:sz w:val="21"/>
                <w:szCs w:val="21"/>
              </w:rPr>
            </w:pPr>
            <w:r>
              <w:rPr>
                <w:rFonts w:ascii="宋体"/>
                <w:sz w:val="21"/>
              </w:rPr>
              <w:t>1,268,312.00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应付广告经营权费</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9"/>
              <w:jc w:val="right"/>
              <w:rPr>
                <w:rFonts w:ascii="宋体" w:hAnsi="宋体" w:cs="宋体" w:eastAsia="宋体" w:hint="default"/>
                <w:sz w:val="21"/>
                <w:szCs w:val="21"/>
              </w:rPr>
            </w:pPr>
            <w:r>
              <w:rPr>
                <w:rFonts w:ascii="宋体"/>
                <w:sz w:val="21"/>
              </w:rPr>
              <w:t>4,963,602.39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3"/>
              <w:jc w:val="right"/>
              <w:rPr>
                <w:rFonts w:ascii="宋体" w:hAnsi="宋体" w:cs="宋体" w:eastAsia="宋体" w:hint="default"/>
                <w:sz w:val="21"/>
                <w:szCs w:val="21"/>
              </w:rPr>
            </w:pPr>
            <w:r>
              <w:rPr>
                <w:rFonts w:ascii="宋体"/>
                <w:sz w:val="21"/>
              </w:rPr>
              <w:t>9,460.00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860,207.60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208,504,797.03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9"/>
              <w:jc w:val="right"/>
              <w:rPr>
                <w:rFonts w:ascii="宋体" w:hAnsi="宋体" w:cs="宋体" w:eastAsia="宋体" w:hint="default"/>
                <w:sz w:val="21"/>
                <w:szCs w:val="21"/>
              </w:rPr>
            </w:pPr>
            <w:r>
              <w:rPr>
                <w:rFonts w:ascii="宋体"/>
                <w:sz w:val="21"/>
              </w:rPr>
              <w:t>204,386,328.83</w:t>
            </w:r>
          </w:p>
        </w:tc>
      </w:tr>
    </w:tbl>
    <w:p>
      <w:pPr>
        <w:spacing w:line="240" w:lineRule="auto" w:before="10"/>
        <w:rPr>
          <w:rFonts w:ascii="宋体" w:hAnsi="宋体" w:cs="宋体" w:eastAsia="宋体" w:hint="default"/>
          <w:sz w:val="4"/>
          <w:szCs w:val="4"/>
        </w:rPr>
      </w:pPr>
    </w:p>
    <w:p>
      <w:pPr>
        <w:pStyle w:val="Heading2"/>
        <w:spacing w:line="240" w:lineRule="auto"/>
        <w:ind w:right="996"/>
        <w:jc w:val="left"/>
        <w:rPr>
          <w:b w:val="0"/>
          <w:bCs w:val="0"/>
        </w:rPr>
      </w:pPr>
      <w:bookmarkStart w:name="（2）账龄超过1年的重要应付账款" w:id="344"/>
      <w:bookmarkEnd w:id="344"/>
      <w:r>
        <w:rPr>
          <w:b w:val="0"/>
          <w:bCs w:val="0"/>
        </w:rPr>
      </w:r>
      <w:r>
        <w:rPr/>
        <w:t>（</w:t>
      </w:r>
      <w:r>
        <w:rPr>
          <w:rFonts w:ascii="宋体" w:hAnsi="宋体" w:cs="宋体" w:eastAsia="宋体" w:hint="default"/>
        </w:rPr>
        <w:t>2</w:t>
      </w:r>
      <w:r>
        <w:rPr/>
        <w:t>）账龄超过</w:t>
      </w:r>
      <w:r>
        <w:rPr>
          <w:spacing w:val="-66"/>
        </w:rPr>
        <w:t> </w:t>
      </w:r>
      <w:r>
        <w:rPr>
          <w:rFonts w:ascii="宋体" w:hAnsi="宋体" w:cs="宋体" w:eastAsia="宋体" w:hint="default"/>
        </w:rPr>
        <w:t>1</w:t>
      </w:r>
      <w:r>
        <w:rPr>
          <w:rFonts w:ascii="宋体" w:hAnsi="宋体" w:cs="宋体" w:eastAsia="宋体" w:hint="default"/>
          <w:spacing w:val="-67"/>
        </w:rPr>
        <w:t> </w:t>
      </w:r>
      <w:r>
        <w:rPr/>
        <w:t>年的重要应付账款</w:t>
      </w:r>
      <w:r>
        <w:rPr>
          <w:b w:val="0"/>
          <w:bCs w:val="0"/>
        </w:rPr>
      </w:r>
    </w:p>
    <w:p>
      <w:pPr>
        <w:spacing w:line="240" w:lineRule="auto" w:before="8"/>
        <w:rPr>
          <w:rFonts w:ascii="宋体" w:hAnsi="宋体" w:cs="宋体" w:eastAsia="宋体" w:hint="default"/>
          <w:b/>
          <w:bCs/>
          <w:sz w:val="12"/>
          <w:szCs w:val="12"/>
        </w:rPr>
      </w:pPr>
    </w:p>
    <w:p>
      <w:pPr>
        <w:spacing w:before="35"/>
        <w:ind w:left="0" w:right="1129" w:firstLine="0"/>
        <w:jc w:val="right"/>
        <w:rPr>
          <w:rFonts w:ascii="宋体" w:hAnsi="宋体" w:cs="宋体" w:eastAsia="宋体" w:hint="default"/>
          <w:sz w:val="21"/>
          <w:szCs w:val="21"/>
        </w:rPr>
      </w:pPr>
      <w:r>
        <w:rPr>
          <w:rFonts w:ascii="宋体" w:hAnsi="宋体" w:cs="宋体" w:eastAsia="宋体" w:hint="default"/>
          <w:sz w:val="21"/>
          <w:szCs w:val="21"/>
        </w:rPr>
        <w:t>单位： 元</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545"/>
        <w:gridCol w:w="3120"/>
        <w:gridCol w:w="2894"/>
      </w:tblGrid>
      <w:tr>
        <w:trPr>
          <w:trHeight w:val="402" w:hRule="exact"/>
        </w:trPr>
        <w:tc>
          <w:tcPr>
            <w:tcW w:w="35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31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8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503" w:right="0"/>
              <w:jc w:val="left"/>
              <w:rPr>
                <w:rFonts w:ascii="宋体" w:hAnsi="宋体" w:cs="宋体" w:eastAsia="宋体" w:hint="default"/>
                <w:sz w:val="21"/>
                <w:szCs w:val="21"/>
              </w:rPr>
            </w:pPr>
            <w:r>
              <w:rPr>
                <w:rFonts w:ascii="宋体" w:hAnsi="宋体" w:cs="宋体" w:eastAsia="宋体" w:hint="default"/>
                <w:sz w:val="21"/>
                <w:szCs w:val="21"/>
              </w:rPr>
              <w:t>未偿还或结转的原因</w:t>
            </w:r>
          </w:p>
        </w:tc>
      </w:tr>
    </w:tbl>
    <w:p>
      <w:pPr>
        <w:spacing w:after="0" w:line="240" w:lineRule="auto"/>
        <w:jc w:val="left"/>
        <w:rPr>
          <w:rFonts w:ascii="宋体" w:hAnsi="宋体" w:cs="宋体" w:eastAsia="宋体" w:hint="default"/>
          <w:sz w:val="21"/>
          <w:szCs w:val="21"/>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544"/>
        <w:gridCol w:w="3120"/>
        <w:gridCol w:w="2906"/>
      </w:tblGrid>
      <w:tr>
        <w:trPr>
          <w:trHeight w:val="402" w:hRule="exact"/>
        </w:trPr>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郑州华容电气科技有限公司</w:t>
            </w:r>
          </w:p>
        </w:tc>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3,791,672.00</w:t>
            </w:r>
          </w:p>
        </w:tc>
        <w:tc>
          <w:tcPr>
            <w:tcW w:w="2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hAnsi="宋体" w:cs="宋体" w:eastAsia="宋体" w:hint="default"/>
                <w:sz w:val="21"/>
                <w:szCs w:val="21"/>
              </w:rPr>
              <w:t>未到结算期</w:t>
            </w:r>
          </w:p>
        </w:tc>
      </w:tr>
      <w:tr>
        <w:trPr>
          <w:trHeight w:val="402" w:hRule="exact"/>
        </w:trPr>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沈阳至丰铁路新技术开发有限公司</w:t>
            </w:r>
          </w:p>
        </w:tc>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3,524,200.00</w:t>
            </w:r>
          </w:p>
        </w:tc>
        <w:tc>
          <w:tcPr>
            <w:tcW w:w="2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hAnsi="宋体" w:cs="宋体" w:eastAsia="宋体" w:hint="default"/>
                <w:sz w:val="21"/>
                <w:szCs w:val="21"/>
              </w:rPr>
              <w:t>未到结算期</w:t>
            </w:r>
          </w:p>
        </w:tc>
      </w:tr>
      <w:tr>
        <w:trPr>
          <w:trHeight w:val="402" w:hRule="exact"/>
        </w:trPr>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饶阳冀胜铁路电务有限公司</w:t>
            </w:r>
          </w:p>
        </w:tc>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3,293,745.50</w:t>
            </w:r>
          </w:p>
        </w:tc>
        <w:tc>
          <w:tcPr>
            <w:tcW w:w="2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hAnsi="宋体" w:cs="宋体" w:eastAsia="宋体" w:hint="default"/>
                <w:sz w:val="21"/>
                <w:szCs w:val="21"/>
              </w:rPr>
              <w:t>未到结算期</w:t>
            </w:r>
          </w:p>
        </w:tc>
      </w:tr>
      <w:tr>
        <w:trPr>
          <w:trHeight w:val="402" w:hRule="exact"/>
        </w:trPr>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河南思维信息技术有限公司</w:t>
            </w:r>
          </w:p>
        </w:tc>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3,606,440.00</w:t>
            </w:r>
          </w:p>
        </w:tc>
        <w:tc>
          <w:tcPr>
            <w:tcW w:w="2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hAnsi="宋体" w:cs="宋体" w:eastAsia="宋体" w:hint="default"/>
                <w:sz w:val="21"/>
                <w:szCs w:val="21"/>
              </w:rPr>
              <w:t>未到结算期</w:t>
            </w:r>
          </w:p>
        </w:tc>
      </w:tr>
      <w:tr>
        <w:trPr>
          <w:trHeight w:val="402" w:hRule="exact"/>
        </w:trPr>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河北冀胜铁路器材有限公司</w:t>
            </w:r>
          </w:p>
        </w:tc>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2,887,853.00</w:t>
            </w:r>
          </w:p>
        </w:tc>
        <w:tc>
          <w:tcPr>
            <w:tcW w:w="2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hAnsi="宋体" w:cs="宋体" w:eastAsia="宋体" w:hint="default"/>
                <w:sz w:val="21"/>
                <w:szCs w:val="21"/>
              </w:rPr>
              <w:t>未到结算期</w:t>
            </w:r>
          </w:p>
        </w:tc>
      </w:tr>
      <w:tr>
        <w:trPr>
          <w:trHeight w:val="402" w:hRule="exact"/>
        </w:trPr>
        <w:tc>
          <w:tcPr>
            <w:tcW w:w="35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12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17,103,910.50</w:t>
            </w:r>
          </w:p>
        </w:tc>
        <w:tc>
          <w:tcPr>
            <w:tcW w:w="29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 w:right="0"/>
              <w:jc w:val="center"/>
              <w:rPr>
                <w:rFonts w:ascii="宋体" w:hAnsi="宋体" w:cs="宋体" w:eastAsia="宋体" w:hint="default"/>
                <w:sz w:val="21"/>
                <w:szCs w:val="21"/>
              </w:rPr>
            </w:pPr>
            <w:r>
              <w:rPr>
                <w:rFonts w:ascii="宋体"/>
                <w:sz w:val="21"/>
              </w:rPr>
              <w:t>--</w:t>
            </w:r>
          </w:p>
        </w:tc>
      </w:tr>
    </w:tbl>
    <w:p>
      <w:pPr>
        <w:spacing w:line="240" w:lineRule="auto" w:before="10"/>
        <w:rPr>
          <w:rFonts w:ascii="宋体" w:hAnsi="宋体" w:cs="宋体" w:eastAsia="宋体" w:hint="default"/>
          <w:sz w:val="4"/>
          <w:szCs w:val="4"/>
        </w:rPr>
      </w:pPr>
    </w:p>
    <w:p>
      <w:pPr>
        <w:pStyle w:val="BodyText"/>
        <w:spacing w:line="352" w:lineRule="auto" w:before="26"/>
        <w:ind w:left="633" w:right="995"/>
        <w:jc w:val="left"/>
        <w:rPr>
          <w:rFonts w:ascii="宋体" w:hAnsi="宋体" w:cs="宋体" w:eastAsia="宋体" w:hint="default"/>
        </w:rPr>
      </w:pPr>
      <w:r>
        <w:rPr/>
        <w:t>其他说明： </w:t>
      </w:r>
      <w:r>
        <w:rPr>
          <w:spacing w:val="-2"/>
        </w:rPr>
        <w:t>期末余额中无应付持本公司</w:t>
      </w:r>
      <w:r>
        <w:rPr>
          <w:rFonts w:ascii="宋体" w:hAnsi="宋体" w:cs="宋体" w:eastAsia="宋体" w:hint="default"/>
          <w:spacing w:val="-2"/>
        </w:rPr>
        <w:t>5%</w:t>
      </w:r>
      <w:r>
        <w:rPr>
          <w:spacing w:val="-2"/>
        </w:rPr>
        <w:t>以上（含</w:t>
      </w:r>
      <w:r>
        <w:rPr>
          <w:rFonts w:ascii="宋体" w:hAnsi="宋体" w:cs="宋体" w:eastAsia="宋体" w:hint="default"/>
          <w:spacing w:val="-2"/>
        </w:rPr>
        <w:t>5%</w:t>
      </w:r>
      <w:r>
        <w:rPr>
          <w:spacing w:val="-2"/>
        </w:rPr>
        <w:t>）表决权股份的股东单位及其他关联单位款项。</w:t>
      </w:r>
      <w:r>
        <w:rPr/>
        <w:t> </w:t>
      </w:r>
      <w:bookmarkStart w:name="36、预收款项" w:id="345"/>
      <w:bookmarkEnd w:id="345"/>
      <w:r>
        <w:rPr/>
      </w:r>
      <w:r>
        <w:rPr>
          <w:rFonts w:ascii="宋体" w:hAnsi="宋体" w:cs="宋体" w:eastAsia="宋体" w:hint="default"/>
          <w:b/>
          <w:bCs/>
        </w:rPr>
        <w:t>36</w:t>
      </w:r>
      <w:r>
        <w:rPr>
          <w:rFonts w:ascii="宋体" w:hAnsi="宋体" w:cs="宋体" w:eastAsia="宋体" w:hint="default"/>
          <w:b/>
          <w:bCs/>
        </w:rPr>
        <w:t>、预收款项</w:t>
      </w:r>
      <w:r>
        <w:rPr>
          <w:rFonts w:ascii="宋体" w:hAnsi="宋体" w:cs="宋体" w:eastAsia="宋体" w:hint="default"/>
        </w:rPr>
      </w:r>
    </w:p>
    <w:p>
      <w:pPr>
        <w:pStyle w:val="Heading2"/>
        <w:spacing w:line="240" w:lineRule="auto" w:before="188"/>
        <w:ind w:right="996"/>
        <w:jc w:val="left"/>
        <w:rPr>
          <w:b w:val="0"/>
          <w:bCs w:val="0"/>
        </w:rPr>
      </w:pPr>
      <w:bookmarkStart w:name="（1）预收款项列示" w:id="346"/>
      <w:bookmarkEnd w:id="346"/>
      <w:r>
        <w:rPr>
          <w:b w:val="0"/>
          <w:bCs w:val="0"/>
        </w:rPr>
      </w:r>
      <w:r>
        <w:rPr/>
        <w:t>（</w:t>
      </w:r>
      <w:r>
        <w:rPr>
          <w:rFonts w:ascii="宋体" w:hAnsi="宋体" w:cs="宋体" w:eastAsia="宋体" w:hint="default"/>
        </w:rPr>
        <w:t>1</w:t>
      </w:r>
      <w:r>
        <w:rPr/>
        <w:t>）预收款项列示</w:t>
      </w:r>
      <w:r>
        <w:rPr>
          <w:b w:val="0"/>
          <w:bCs w:val="0"/>
        </w:rPr>
      </w:r>
    </w:p>
    <w:p>
      <w:pPr>
        <w:spacing w:before="201"/>
        <w:ind w:left="0" w:right="1129" w:firstLine="0"/>
        <w:jc w:val="right"/>
        <w:rPr>
          <w:rFonts w:ascii="宋体" w:hAnsi="宋体" w:cs="宋体" w:eastAsia="宋体" w:hint="default"/>
          <w:sz w:val="21"/>
          <w:szCs w:val="21"/>
        </w:rPr>
      </w:pPr>
      <w:r>
        <w:rPr>
          <w:rFonts w:ascii="宋体" w:hAnsi="宋体" w:cs="宋体" w:eastAsia="宋体" w:hint="default"/>
          <w:sz w:val="21"/>
          <w:szCs w:val="21"/>
        </w:rPr>
        <w:t>单位： 元</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3544"/>
        <w:gridCol w:w="3120"/>
        <w:gridCol w:w="2906"/>
      </w:tblGrid>
      <w:tr>
        <w:trPr>
          <w:trHeight w:val="402" w:hRule="exact"/>
        </w:trPr>
        <w:tc>
          <w:tcPr>
            <w:tcW w:w="35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1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9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402" w:hRule="exact"/>
        </w:trPr>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预收货款</w:t>
            </w:r>
          </w:p>
        </w:tc>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53,676,402.52</w:t>
            </w:r>
          </w:p>
        </w:tc>
        <w:tc>
          <w:tcPr>
            <w:tcW w:w="2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22,523,223.73</w:t>
            </w:r>
          </w:p>
        </w:tc>
      </w:tr>
      <w:tr>
        <w:trPr>
          <w:trHeight w:val="402" w:hRule="exact"/>
        </w:trPr>
        <w:tc>
          <w:tcPr>
            <w:tcW w:w="35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12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53,676,402.52</w:t>
            </w:r>
          </w:p>
        </w:tc>
        <w:tc>
          <w:tcPr>
            <w:tcW w:w="2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22,523,223.73</w:t>
            </w:r>
          </w:p>
        </w:tc>
      </w:tr>
    </w:tbl>
    <w:p>
      <w:pPr>
        <w:spacing w:line="240" w:lineRule="auto" w:before="10"/>
        <w:rPr>
          <w:rFonts w:ascii="宋体" w:hAnsi="宋体" w:cs="宋体" w:eastAsia="宋体" w:hint="default"/>
          <w:sz w:val="4"/>
          <w:szCs w:val="4"/>
        </w:rPr>
      </w:pPr>
    </w:p>
    <w:p>
      <w:pPr>
        <w:pStyle w:val="Heading2"/>
        <w:spacing w:line="240" w:lineRule="auto"/>
        <w:ind w:right="996"/>
        <w:jc w:val="left"/>
        <w:rPr>
          <w:b w:val="0"/>
          <w:bCs w:val="0"/>
        </w:rPr>
      </w:pPr>
      <w:bookmarkStart w:name="（2）账龄超过1年的重要预收款项" w:id="347"/>
      <w:bookmarkEnd w:id="347"/>
      <w:r>
        <w:rPr>
          <w:b w:val="0"/>
          <w:bCs w:val="0"/>
        </w:rPr>
      </w:r>
      <w:r>
        <w:rPr/>
        <w:t>（</w:t>
      </w:r>
      <w:r>
        <w:rPr>
          <w:rFonts w:ascii="宋体" w:hAnsi="宋体" w:cs="宋体" w:eastAsia="宋体" w:hint="default"/>
        </w:rPr>
        <w:t>2</w:t>
      </w:r>
      <w:r>
        <w:rPr/>
        <w:t>）账龄超过</w:t>
      </w:r>
      <w:r>
        <w:rPr>
          <w:spacing w:val="-66"/>
        </w:rPr>
        <w:t> </w:t>
      </w:r>
      <w:r>
        <w:rPr>
          <w:rFonts w:ascii="宋体" w:hAnsi="宋体" w:cs="宋体" w:eastAsia="宋体" w:hint="default"/>
        </w:rPr>
        <w:t>1</w:t>
      </w:r>
      <w:r>
        <w:rPr>
          <w:rFonts w:ascii="宋体" w:hAnsi="宋体" w:cs="宋体" w:eastAsia="宋体" w:hint="default"/>
          <w:spacing w:val="-67"/>
        </w:rPr>
        <w:t> </w:t>
      </w:r>
      <w:r>
        <w:rPr/>
        <w:t>年的重要预收款项</w:t>
      </w:r>
      <w:r>
        <w:rPr>
          <w:b w:val="0"/>
          <w:bCs w:val="0"/>
        </w:rPr>
      </w:r>
    </w:p>
    <w:p>
      <w:pPr>
        <w:spacing w:line="240" w:lineRule="auto" w:before="9"/>
        <w:rPr>
          <w:rFonts w:ascii="宋体" w:hAnsi="宋体" w:cs="宋体" w:eastAsia="宋体" w:hint="default"/>
          <w:b/>
          <w:bCs/>
          <w:sz w:val="12"/>
          <w:szCs w:val="12"/>
        </w:rPr>
      </w:pPr>
    </w:p>
    <w:p>
      <w:pPr>
        <w:spacing w:before="35"/>
        <w:ind w:left="0" w:right="1129" w:firstLine="0"/>
        <w:jc w:val="right"/>
        <w:rPr>
          <w:rFonts w:ascii="宋体" w:hAnsi="宋体" w:cs="宋体" w:eastAsia="宋体" w:hint="default"/>
          <w:sz w:val="21"/>
          <w:szCs w:val="21"/>
        </w:rPr>
      </w:pPr>
      <w:r>
        <w:rPr>
          <w:rFonts w:ascii="宋体" w:hAnsi="宋体" w:cs="宋体" w:eastAsia="宋体" w:hint="default"/>
          <w:sz w:val="21"/>
          <w:szCs w:val="21"/>
        </w:rPr>
        <w:t>单位： 元</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3544"/>
        <w:gridCol w:w="3120"/>
        <w:gridCol w:w="2906"/>
      </w:tblGrid>
      <w:tr>
        <w:trPr>
          <w:trHeight w:val="402" w:hRule="exact"/>
        </w:trPr>
        <w:tc>
          <w:tcPr>
            <w:tcW w:w="35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1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9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503" w:right="0"/>
              <w:jc w:val="left"/>
              <w:rPr>
                <w:rFonts w:ascii="宋体" w:hAnsi="宋体" w:cs="宋体" w:eastAsia="宋体" w:hint="default"/>
                <w:sz w:val="21"/>
                <w:szCs w:val="21"/>
              </w:rPr>
            </w:pPr>
            <w:r>
              <w:rPr>
                <w:rFonts w:ascii="宋体" w:hAnsi="宋体" w:cs="宋体" w:eastAsia="宋体" w:hint="default"/>
                <w:sz w:val="21"/>
                <w:szCs w:val="21"/>
              </w:rPr>
              <w:t>未偿还或结转的原因</w:t>
            </w:r>
          </w:p>
        </w:tc>
      </w:tr>
      <w:tr>
        <w:trPr>
          <w:trHeight w:val="402" w:hRule="exact"/>
        </w:trPr>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中铁建中非建设有限公司</w:t>
            </w:r>
          </w:p>
        </w:tc>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5,950,047.44</w:t>
            </w:r>
          </w:p>
        </w:tc>
        <w:tc>
          <w:tcPr>
            <w:tcW w:w="2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hAnsi="宋体" w:cs="宋体" w:eastAsia="宋体" w:hint="default"/>
                <w:sz w:val="21"/>
                <w:szCs w:val="21"/>
              </w:rPr>
              <w:t>项目未完工</w:t>
            </w:r>
          </w:p>
        </w:tc>
      </w:tr>
      <w:tr>
        <w:trPr>
          <w:trHeight w:val="402" w:hRule="exact"/>
        </w:trPr>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湖北江汉铁路有限责任公司</w:t>
            </w:r>
          </w:p>
        </w:tc>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2,071,455.90</w:t>
            </w:r>
          </w:p>
        </w:tc>
        <w:tc>
          <w:tcPr>
            <w:tcW w:w="2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hAnsi="宋体" w:cs="宋体" w:eastAsia="宋体" w:hint="default"/>
                <w:sz w:val="21"/>
                <w:szCs w:val="21"/>
              </w:rPr>
              <w:t>项目未完工</w:t>
            </w:r>
          </w:p>
        </w:tc>
      </w:tr>
      <w:tr>
        <w:trPr>
          <w:trHeight w:val="402" w:hRule="exact"/>
        </w:trPr>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中国铁路总公司</w:t>
            </w:r>
          </w:p>
        </w:tc>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1,398,000.00</w:t>
            </w:r>
          </w:p>
        </w:tc>
        <w:tc>
          <w:tcPr>
            <w:tcW w:w="2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hAnsi="宋体" w:cs="宋体" w:eastAsia="宋体" w:hint="default"/>
                <w:sz w:val="21"/>
                <w:szCs w:val="21"/>
              </w:rPr>
              <w:t>项目未完工</w:t>
            </w:r>
          </w:p>
        </w:tc>
      </w:tr>
      <w:tr>
        <w:trPr>
          <w:trHeight w:val="402" w:hRule="exact"/>
        </w:trPr>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北京交控科技股份有限公司</w:t>
            </w:r>
          </w:p>
        </w:tc>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1,065,600.00</w:t>
            </w:r>
          </w:p>
        </w:tc>
        <w:tc>
          <w:tcPr>
            <w:tcW w:w="2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hAnsi="宋体" w:cs="宋体" w:eastAsia="宋体" w:hint="default"/>
                <w:sz w:val="21"/>
                <w:szCs w:val="21"/>
              </w:rPr>
              <w:t>项目未完工</w:t>
            </w:r>
          </w:p>
        </w:tc>
      </w:tr>
      <w:tr>
        <w:trPr>
          <w:trHeight w:val="402" w:hRule="exact"/>
        </w:trPr>
        <w:tc>
          <w:tcPr>
            <w:tcW w:w="35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12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10,485,103.34</w:t>
            </w:r>
          </w:p>
        </w:tc>
        <w:tc>
          <w:tcPr>
            <w:tcW w:w="29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 w:right="0"/>
              <w:jc w:val="center"/>
              <w:rPr>
                <w:rFonts w:ascii="宋体" w:hAnsi="宋体" w:cs="宋体" w:eastAsia="宋体" w:hint="default"/>
                <w:sz w:val="21"/>
                <w:szCs w:val="21"/>
              </w:rPr>
            </w:pPr>
            <w:r>
              <w:rPr>
                <w:rFonts w:ascii="宋体"/>
                <w:sz w:val="21"/>
              </w:rPr>
              <w:t>--</w:t>
            </w:r>
          </w:p>
        </w:tc>
      </w:tr>
    </w:tbl>
    <w:p>
      <w:pPr>
        <w:spacing w:line="240" w:lineRule="auto" w:before="10"/>
        <w:rPr>
          <w:rFonts w:ascii="宋体" w:hAnsi="宋体" w:cs="宋体" w:eastAsia="宋体" w:hint="default"/>
          <w:sz w:val="4"/>
          <w:szCs w:val="4"/>
        </w:rPr>
      </w:pPr>
    </w:p>
    <w:p>
      <w:pPr>
        <w:pStyle w:val="Heading2"/>
        <w:spacing w:line="240" w:lineRule="auto"/>
        <w:ind w:right="996"/>
        <w:jc w:val="left"/>
        <w:rPr>
          <w:b w:val="0"/>
          <w:bCs w:val="0"/>
        </w:rPr>
      </w:pPr>
      <w:bookmarkStart w:name="（3）期末建造合同形成的已结算未完工项目情况" w:id="348"/>
      <w:bookmarkEnd w:id="348"/>
      <w:r>
        <w:rPr>
          <w:b w:val="0"/>
          <w:bCs w:val="0"/>
        </w:rPr>
      </w:r>
      <w:r>
        <w:rPr/>
        <w:t>（</w:t>
      </w:r>
      <w:r>
        <w:rPr>
          <w:rFonts w:ascii="宋体" w:hAnsi="宋体" w:cs="宋体" w:eastAsia="宋体" w:hint="default"/>
        </w:rPr>
        <w:t>3</w:t>
      </w:r>
      <w:r>
        <w:rPr/>
        <w:t>）期末建造合同形成的已结算未完工项目情况</w:t>
      </w:r>
      <w:r>
        <w:rPr>
          <w:b w:val="0"/>
          <w:bCs w:val="0"/>
        </w:rPr>
      </w:r>
    </w:p>
    <w:p>
      <w:pPr>
        <w:spacing w:line="240" w:lineRule="auto" w:before="2"/>
        <w:rPr>
          <w:rFonts w:ascii="宋体" w:hAnsi="宋体" w:cs="宋体" w:eastAsia="宋体" w:hint="default"/>
          <w:b/>
          <w:bCs/>
          <w:sz w:val="23"/>
          <w:szCs w:val="23"/>
        </w:rPr>
      </w:pPr>
    </w:p>
    <w:p>
      <w:pPr>
        <w:pStyle w:val="BodyText"/>
        <w:spacing w:line="350" w:lineRule="auto" w:before="0"/>
        <w:ind w:left="633" w:right="9073"/>
        <w:jc w:val="left"/>
      </w:pPr>
      <w:r>
        <w:rPr/>
        <w:t>无 其他说明：</w:t>
      </w:r>
    </w:p>
    <w:p>
      <w:pPr>
        <w:pStyle w:val="BodyText"/>
        <w:spacing w:line="240" w:lineRule="auto" w:before="35"/>
        <w:ind w:left="633" w:right="996"/>
        <w:jc w:val="left"/>
      </w:pPr>
      <w:r>
        <w:rPr/>
        <w:t>①期末余额中无预收持本公司</w:t>
      </w:r>
      <w:r>
        <w:rPr>
          <w:rFonts w:ascii="宋体" w:hAnsi="宋体" w:cs="宋体" w:eastAsia="宋体" w:hint="default"/>
        </w:rPr>
        <w:t>5</w:t>
      </w:r>
      <w:r>
        <w:rPr/>
        <w:t>％以上（含</w:t>
      </w:r>
      <w:r>
        <w:rPr>
          <w:rFonts w:ascii="宋体" w:hAnsi="宋体" w:cs="宋体" w:eastAsia="宋体" w:hint="default"/>
        </w:rPr>
        <w:t>5</w:t>
      </w:r>
      <w:r>
        <w:rPr/>
        <w:t>％）表决权股份的股东单位款项。</w:t>
      </w:r>
    </w:p>
    <w:p>
      <w:pPr>
        <w:spacing w:line="350" w:lineRule="auto" w:before="146"/>
        <w:ind w:left="636" w:right="6193" w:hanging="3"/>
        <w:jc w:val="left"/>
        <w:rPr>
          <w:rFonts w:ascii="宋体" w:hAnsi="宋体" w:cs="宋体" w:eastAsia="宋体" w:hint="default"/>
          <w:sz w:val="24"/>
          <w:szCs w:val="24"/>
        </w:rPr>
      </w:pPr>
      <w:r>
        <w:rPr>
          <w:rFonts w:ascii="宋体" w:hAnsi="宋体" w:cs="宋体" w:eastAsia="宋体" w:hint="default"/>
          <w:sz w:val="24"/>
          <w:szCs w:val="24"/>
        </w:rPr>
        <w:t>②期末余额中无预收其他关联方款项。 </w:t>
      </w:r>
      <w:bookmarkStart w:name="37、应付职工薪酬" w:id="349"/>
      <w:bookmarkEnd w:id="349"/>
      <w:r>
        <w:rPr>
          <w:rFonts w:ascii="宋体" w:hAnsi="宋体" w:cs="宋体" w:eastAsia="宋体" w:hint="default"/>
          <w:sz w:val="24"/>
          <w:szCs w:val="24"/>
        </w:rPr>
      </w:r>
      <w:r>
        <w:rPr>
          <w:rFonts w:ascii="宋体" w:hAnsi="宋体" w:cs="宋体" w:eastAsia="宋体" w:hint="default"/>
          <w:b/>
          <w:bCs/>
          <w:sz w:val="24"/>
          <w:szCs w:val="24"/>
        </w:rPr>
        <w:t>37</w:t>
      </w:r>
      <w:r>
        <w:rPr>
          <w:rFonts w:ascii="宋体" w:hAnsi="宋体" w:cs="宋体" w:eastAsia="宋体" w:hint="default"/>
          <w:b/>
          <w:bCs/>
          <w:sz w:val="24"/>
          <w:szCs w:val="24"/>
        </w:rPr>
        <w:t>、应付职工薪酬</w:t>
      </w:r>
      <w:r>
        <w:rPr>
          <w:rFonts w:ascii="宋体" w:hAnsi="宋体" w:cs="宋体" w:eastAsia="宋体" w:hint="default"/>
          <w:sz w:val="24"/>
          <w:szCs w:val="24"/>
        </w:rPr>
      </w:r>
    </w:p>
    <w:p>
      <w:pPr>
        <w:pStyle w:val="Heading2"/>
        <w:spacing w:line="240" w:lineRule="auto" w:before="191"/>
        <w:ind w:right="996"/>
        <w:jc w:val="left"/>
        <w:rPr>
          <w:b w:val="0"/>
          <w:bCs w:val="0"/>
        </w:rPr>
      </w:pPr>
      <w:bookmarkStart w:name="（1）应付职工薪酬列示" w:id="350"/>
      <w:bookmarkEnd w:id="350"/>
      <w:r>
        <w:rPr>
          <w:b w:val="0"/>
          <w:bCs w:val="0"/>
        </w:rPr>
      </w:r>
      <w:r>
        <w:rPr/>
        <w:t>（</w:t>
      </w:r>
      <w:r>
        <w:rPr>
          <w:rFonts w:ascii="宋体" w:hAnsi="宋体" w:cs="宋体" w:eastAsia="宋体" w:hint="default"/>
        </w:rPr>
        <w:t>1</w:t>
      </w:r>
      <w:r>
        <w:rPr/>
        <w:t>）应付职工薪酬列示</w:t>
      </w:r>
      <w:r>
        <w:rPr>
          <w:b w:val="0"/>
          <w:bCs w:val="0"/>
        </w:rPr>
      </w:r>
    </w:p>
    <w:p>
      <w:pPr>
        <w:spacing w:line="240" w:lineRule="auto" w:before="9"/>
        <w:rPr>
          <w:rFonts w:ascii="宋体" w:hAnsi="宋体" w:cs="宋体" w:eastAsia="宋体" w:hint="default"/>
          <w:b/>
          <w:bCs/>
          <w:sz w:val="12"/>
          <w:szCs w:val="12"/>
        </w:rPr>
      </w:pPr>
    </w:p>
    <w:p>
      <w:pPr>
        <w:spacing w:before="35"/>
        <w:ind w:left="0" w:right="1129" w:firstLine="0"/>
        <w:jc w:val="right"/>
        <w:rPr>
          <w:rFonts w:ascii="宋体" w:hAnsi="宋体" w:cs="宋体" w:eastAsia="宋体" w:hint="default"/>
          <w:sz w:val="21"/>
          <w:szCs w:val="21"/>
        </w:rPr>
      </w:pPr>
      <w:r>
        <w:rPr>
          <w:rFonts w:ascii="宋体" w:hAnsi="宋体" w:cs="宋体" w:eastAsia="宋体" w:hint="default"/>
          <w:sz w:val="21"/>
          <w:szCs w:val="21"/>
        </w:rPr>
        <w:t>单位： 元</w:t>
      </w:r>
    </w:p>
    <w:p>
      <w:pPr>
        <w:spacing w:after="0"/>
        <w:jc w:val="right"/>
        <w:rPr>
          <w:rFonts w:ascii="宋体" w:hAnsi="宋体" w:cs="宋体" w:eastAsia="宋体" w:hint="default"/>
          <w:sz w:val="21"/>
          <w:szCs w:val="21"/>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545"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531"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531"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531"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一、短期薪酬</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9,039,699.34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74,918,947.27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74,620,114.71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9,338,531.90</w:t>
            </w: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11" w:right="80"/>
              <w:jc w:val="left"/>
              <w:rPr>
                <w:rFonts w:ascii="宋体" w:hAnsi="宋体" w:cs="宋体" w:eastAsia="宋体" w:hint="default"/>
                <w:sz w:val="21"/>
                <w:szCs w:val="21"/>
              </w:rPr>
            </w:pPr>
            <w:r>
              <w:rPr>
                <w:rFonts w:ascii="宋体" w:hAnsi="宋体" w:cs="宋体" w:eastAsia="宋体" w:hint="default"/>
                <w:sz w:val="21"/>
                <w:szCs w:val="21"/>
              </w:rPr>
              <w:t>二、离职后福利</w:t>
            </w:r>
            <w:r>
              <w:rPr>
                <w:rFonts w:ascii="宋体" w:hAnsi="宋体" w:cs="宋体" w:eastAsia="宋体" w:hint="default"/>
                <w:sz w:val="21"/>
                <w:szCs w:val="21"/>
              </w:rPr>
              <w:t>-</w:t>
            </w:r>
            <w:r>
              <w:rPr>
                <w:rFonts w:ascii="宋体" w:hAnsi="宋体" w:cs="宋体" w:eastAsia="宋体" w:hint="default"/>
                <w:sz w:val="21"/>
                <w:szCs w:val="21"/>
              </w:rPr>
              <w:t>设 定提存计划</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0"/>
              <w:jc w:val="right"/>
              <w:rPr>
                <w:rFonts w:ascii="宋体" w:hAnsi="宋体" w:cs="宋体" w:eastAsia="宋体" w:hint="default"/>
                <w:sz w:val="21"/>
                <w:szCs w:val="21"/>
              </w:rPr>
            </w:pPr>
            <w:r>
              <w:rPr>
                <w:rFonts w:ascii="宋体"/>
                <w:sz w:val="21"/>
              </w:rPr>
              <w:t>29,949.40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0"/>
              <w:jc w:val="right"/>
              <w:rPr>
                <w:rFonts w:ascii="宋体" w:hAnsi="宋体" w:cs="宋体" w:eastAsia="宋体" w:hint="default"/>
                <w:sz w:val="21"/>
                <w:szCs w:val="21"/>
              </w:rPr>
            </w:pPr>
            <w:r>
              <w:rPr>
                <w:rFonts w:ascii="宋体"/>
                <w:sz w:val="21"/>
              </w:rPr>
              <w:t>6,254,317.95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1"/>
              <w:jc w:val="right"/>
              <w:rPr>
                <w:rFonts w:ascii="宋体" w:hAnsi="宋体" w:cs="宋体" w:eastAsia="宋体" w:hint="default"/>
                <w:sz w:val="21"/>
                <w:szCs w:val="21"/>
              </w:rPr>
            </w:pPr>
            <w:r>
              <w:rPr>
                <w:rFonts w:ascii="宋体"/>
                <w:sz w:val="21"/>
              </w:rPr>
              <w:t>6,250,357.31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1"/>
              <w:jc w:val="right"/>
              <w:rPr>
                <w:rFonts w:ascii="宋体" w:hAnsi="宋体" w:cs="宋体" w:eastAsia="宋体" w:hint="default"/>
                <w:sz w:val="21"/>
                <w:szCs w:val="21"/>
              </w:rPr>
            </w:pPr>
            <w:r>
              <w:rPr>
                <w:rFonts w:ascii="宋体"/>
                <w:sz w:val="21"/>
              </w:rPr>
              <w:t>33,910.04</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9,069,648.74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2"/>
              <w:jc w:val="right"/>
              <w:rPr>
                <w:rFonts w:ascii="宋体" w:hAnsi="宋体" w:cs="宋体" w:eastAsia="宋体" w:hint="default"/>
                <w:sz w:val="21"/>
                <w:szCs w:val="21"/>
              </w:rPr>
            </w:pPr>
            <w:r>
              <w:rPr>
                <w:rFonts w:ascii="宋体"/>
                <w:spacing w:val="-1"/>
                <w:sz w:val="21"/>
              </w:rPr>
              <w:t>81,173,265.22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80,870,472.02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9,372,441.94</w:t>
            </w:r>
          </w:p>
        </w:tc>
      </w:tr>
    </w:tbl>
    <w:p>
      <w:pPr>
        <w:spacing w:line="240" w:lineRule="auto" w:before="10"/>
        <w:rPr>
          <w:rFonts w:ascii="宋体" w:hAnsi="宋体" w:cs="宋体" w:eastAsia="宋体" w:hint="default"/>
          <w:sz w:val="4"/>
          <w:szCs w:val="4"/>
        </w:rPr>
      </w:pPr>
    </w:p>
    <w:p>
      <w:pPr>
        <w:pStyle w:val="Heading2"/>
        <w:spacing w:line="240" w:lineRule="auto"/>
        <w:ind w:right="996"/>
        <w:jc w:val="left"/>
        <w:rPr>
          <w:b w:val="0"/>
          <w:bCs w:val="0"/>
        </w:rPr>
      </w:pPr>
      <w:bookmarkStart w:name="（2）短期薪酬列示" w:id="351"/>
      <w:bookmarkEnd w:id="351"/>
      <w:r>
        <w:rPr>
          <w:b w:val="0"/>
          <w:bCs w:val="0"/>
        </w:rPr>
      </w:r>
      <w:r>
        <w:rPr/>
        <w:t>（</w:t>
      </w:r>
      <w:r>
        <w:rPr>
          <w:rFonts w:ascii="宋体" w:hAnsi="宋体" w:cs="宋体" w:eastAsia="宋体" w:hint="default"/>
        </w:rPr>
        <w:t>2</w:t>
      </w:r>
      <w:r>
        <w:rPr/>
        <w:t>）短期薪酬列示</w:t>
      </w:r>
      <w:r>
        <w:rPr>
          <w:b w:val="0"/>
          <w:bCs w:val="0"/>
        </w:rPr>
      </w:r>
    </w:p>
    <w:p>
      <w:pPr>
        <w:spacing w:line="240" w:lineRule="auto" w:before="9"/>
        <w:rPr>
          <w:rFonts w:ascii="宋体" w:hAnsi="宋体" w:cs="宋体" w:eastAsia="宋体" w:hint="default"/>
          <w:b/>
          <w:bCs/>
          <w:sz w:val="12"/>
          <w:szCs w:val="12"/>
        </w:rPr>
      </w:pPr>
    </w:p>
    <w:p>
      <w:pPr>
        <w:spacing w:before="35"/>
        <w:ind w:left="0" w:right="1129" w:firstLine="0"/>
        <w:jc w:val="right"/>
        <w:rPr>
          <w:rFonts w:ascii="宋体" w:hAnsi="宋体" w:cs="宋体" w:eastAsia="宋体" w:hint="default"/>
          <w:sz w:val="21"/>
          <w:szCs w:val="21"/>
        </w:rPr>
      </w:pPr>
      <w:r>
        <w:rPr>
          <w:rFonts w:ascii="宋体" w:hAnsi="宋体" w:cs="宋体" w:eastAsia="宋体" w:hint="default"/>
          <w:sz w:val="21"/>
          <w:szCs w:val="21"/>
        </w:rPr>
        <w:t>单位： 元</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545"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531"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531"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531"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11" w:right="81"/>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、工资、奖金、津 贴和补贴</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1"/>
              <w:jc w:val="right"/>
              <w:rPr>
                <w:rFonts w:ascii="宋体" w:hAnsi="宋体" w:cs="宋体" w:eastAsia="宋体" w:hint="default"/>
                <w:sz w:val="21"/>
                <w:szCs w:val="21"/>
              </w:rPr>
            </w:pPr>
            <w:r>
              <w:rPr>
                <w:rFonts w:ascii="宋体"/>
                <w:sz w:val="21"/>
              </w:rPr>
              <w:t>6,361,853.67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1"/>
              <w:jc w:val="right"/>
              <w:rPr>
                <w:rFonts w:ascii="宋体" w:hAnsi="宋体" w:cs="宋体" w:eastAsia="宋体" w:hint="default"/>
                <w:sz w:val="21"/>
                <w:szCs w:val="21"/>
              </w:rPr>
            </w:pPr>
            <w:r>
              <w:rPr>
                <w:rFonts w:ascii="宋体"/>
                <w:sz w:val="21"/>
              </w:rPr>
              <w:t>64,047,319.71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1"/>
              <w:jc w:val="right"/>
              <w:rPr>
                <w:rFonts w:ascii="宋体" w:hAnsi="宋体" w:cs="宋体" w:eastAsia="宋体" w:hint="default"/>
                <w:sz w:val="21"/>
                <w:szCs w:val="21"/>
              </w:rPr>
            </w:pPr>
            <w:r>
              <w:rPr>
                <w:rFonts w:ascii="宋体"/>
                <w:sz w:val="21"/>
              </w:rPr>
              <w:t>63,513,031.05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0"/>
              <w:jc w:val="right"/>
              <w:rPr>
                <w:rFonts w:ascii="宋体" w:hAnsi="宋体" w:cs="宋体" w:eastAsia="宋体" w:hint="default"/>
                <w:sz w:val="21"/>
                <w:szCs w:val="21"/>
              </w:rPr>
            </w:pPr>
            <w:r>
              <w:rPr>
                <w:rFonts w:ascii="宋体"/>
                <w:sz w:val="21"/>
              </w:rPr>
              <w:t>6,896,142.33</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、职工福利费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4,337,359.63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4,337,359.63</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、社会保险费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292,909.59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3,466,773.32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3,462,587.48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3"/>
              <w:jc w:val="right"/>
              <w:rPr>
                <w:rFonts w:ascii="宋体" w:hAnsi="宋体" w:cs="宋体" w:eastAsia="宋体" w:hint="default"/>
                <w:sz w:val="21"/>
                <w:szCs w:val="21"/>
              </w:rPr>
            </w:pPr>
            <w:r>
              <w:rPr>
                <w:rFonts w:ascii="宋体"/>
                <w:sz w:val="21"/>
              </w:rPr>
              <w:t>297,095.43</w:t>
            </w: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pacing w:val="-5"/>
                <w:sz w:val="21"/>
                <w:szCs w:val="21"/>
              </w:rPr>
              <w:t>其中：医疗保险</w:t>
            </w:r>
          </w:p>
          <w:p>
            <w:pPr>
              <w:pStyle w:val="TableParagraph"/>
              <w:spacing w:line="240" w:lineRule="auto" w:before="38"/>
              <w:ind w:left="11" w:right="0"/>
              <w:jc w:val="left"/>
              <w:rPr>
                <w:rFonts w:ascii="宋体" w:hAnsi="宋体" w:cs="宋体" w:eastAsia="宋体" w:hint="default"/>
                <w:sz w:val="21"/>
                <w:szCs w:val="21"/>
              </w:rPr>
            </w:pPr>
            <w:r>
              <w:rPr>
                <w:rFonts w:ascii="宋体" w:hAnsi="宋体" w:cs="宋体" w:eastAsia="宋体" w:hint="default"/>
                <w:sz w:val="21"/>
                <w:szCs w:val="21"/>
              </w:rPr>
              <w:t>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1"/>
              <w:jc w:val="right"/>
              <w:rPr>
                <w:rFonts w:ascii="宋体" w:hAnsi="宋体" w:cs="宋体" w:eastAsia="宋体" w:hint="default"/>
                <w:sz w:val="21"/>
                <w:szCs w:val="21"/>
              </w:rPr>
            </w:pPr>
            <w:r>
              <w:rPr>
                <w:rFonts w:ascii="宋体"/>
                <w:spacing w:val="-1"/>
                <w:sz w:val="21"/>
              </w:rPr>
              <w:t>21,685.20</w:t>
            </w:r>
            <w:r>
              <w:rPr>
                <w:rFonts w:ascii="宋体"/>
                <w:sz w:val="21"/>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0"/>
              <w:jc w:val="right"/>
              <w:rPr>
                <w:rFonts w:ascii="宋体" w:hAnsi="宋体" w:cs="宋体" w:eastAsia="宋体" w:hint="default"/>
                <w:sz w:val="21"/>
                <w:szCs w:val="21"/>
              </w:rPr>
            </w:pPr>
            <w:r>
              <w:rPr>
                <w:rFonts w:ascii="宋体"/>
                <w:sz w:val="21"/>
              </w:rPr>
              <w:t>2,905,029.43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1"/>
              <w:jc w:val="right"/>
              <w:rPr>
                <w:rFonts w:ascii="宋体" w:hAnsi="宋体" w:cs="宋体" w:eastAsia="宋体" w:hint="default"/>
                <w:sz w:val="21"/>
                <w:szCs w:val="21"/>
              </w:rPr>
            </w:pPr>
            <w:r>
              <w:rPr>
                <w:rFonts w:ascii="宋体"/>
                <w:sz w:val="21"/>
              </w:rPr>
              <w:t>2,901,745.03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1"/>
              <w:jc w:val="right"/>
              <w:rPr>
                <w:rFonts w:ascii="宋体" w:hAnsi="宋体" w:cs="宋体" w:eastAsia="宋体" w:hint="default"/>
                <w:sz w:val="21"/>
                <w:szCs w:val="21"/>
              </w:rPr>
            </w:pPr>
            <w:r>
              <w:rPr>
                <w:rFonts w:ascii="宋体"/>
                <w:sz w:val="21"/>
              </w:rPr>
              <w:t>24,969.60</w:t>
            </w: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061" w:right="0"/>
              <w:jc w:val="left"/>
              <w:rPr>
                <w:rFonts w:ascii="宋体" w:hAnsi="宋体" w:cs="宋体" w:eastAsia="宋体" w:hint="default"/>
                <w:sz w:val="21"/>
                <w:szCs w:val="21"/>
              </w:rPr>
            </w:pPr>
            <w:r>
              <w:rPr>
                <w:rFonts w:ascii="宋体" w:hAnsi="宋体" w:cs="宋体" w:eastAsia="宋体" w:hint="default"/>
                <w:sz w:val="21"/>
                <w:szCs w:val="21"/>
              </w:rPr>
              <w:t>工伤保</w:t>
            </w:r>
          </w:p>
          <w:p>
            <w:pPr>
              <w:pStyle w:val="TableParagraph"/>
              <w:spacing w:line="240" w:lineRule="auto" w:before="38"/>
              <w:ind w:left="11" w:right="0"/>
              <w:jc w:val="left"/>
              <w:rPr>
                <w:rFonts w:ascii="宋体" w:hAnsi="宋体" w:cs="宋体" w:eastAsia="宋体" w:hint="default"/>
                <w:sz w:val="21"/>
                <w:szCs w:val="21"/>
              </w:rPr>
            </w:pPr>
            <w:r>
              <w:rPr>
                <w:rFonts w:ascii="宋体" w:hAnsi="宋体" w:cs="宋体" w:eastAsia="宋体" w:hint="default"/>
                <w:sz w:val="21"/>
                <w:szCs w:val="21"/>
              </w:rPr>
              <w:t>险费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3"/>
              <w:jc w:val="right"/>
              <w:rPr>
                <w:rFonts w:ascii="宋体" w:hAnsi="宋体" w:cs="宋体" w:eastAsia="宋体" w:hint="default"/>
                <w:sz w:val="21"/>
                <w:szCs w:val="21"/>
              </w:rPr>
            </w:pPr>
            <w:r>
              <w:rPr>
                <w:rFonts w:ascii="宋体"/>
                <w:sz w:val="21"/>
              </w:rPr>
              <w:t>281,168.81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2"/>
              <w:jc w:val="right"/>
              <w:rPr>
                <w:rFonts w:ascii="宋体" w:hAnsi="宋体" w:cs="宋体" w:eastAsia="宋体" w:hint="default"/>
                <w:sz w:val="21"/>
                <w:szCs w:val="21"/>
              </w:rPr>
            </w:pPr>
            <w:r>
              <w:rPr>
                <w:rFonts w:ascii="宋体"/>
                <w:sz w:val="21"/>
              </w:rPr>
              <w:t>280,206.81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3"/>
              <w:jc w:val="right"/>
              <w:rPr>
                <w:rFonts w:ascii="宋体" w:hAnsi="宋体" w:cs="宋体" w:eastAsia="宋体" w:hint="default"/>
                <w:sz w:val="21"/>
                <w:szCs w:val="21"/>
              </w:rPr>
            </w:pPr>
            <w:r>
              <w:rPr>
                <w:rFonts w:ascii="宋体"/>
                <w:sz w:val="21"/>
              </w:rPr>
              <w:t>962.00</w:t>
            </w: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061" w:right="0"/>
              <w:jc w:val="left"/>
              <w:rPr>
                <w:rFonts w:ascii="宋体" w:hAnsi="宋体" w:cs="宋体" w:eastAsia="宋体" w:hint="default"/>
                <w:sz w:val="21"/>
                <w:szCs w:val="21"/>
              </w:rPr>
            </w:pPr>
            <w:r>
              <w:rPr>
                <w:rFonts w:ascii="宋体" w:hAnsi="宋体" w:cs="宋体" w:eastAsia="宋体" w:hint="default"/>
                <w:sz w:val="21"/>
                <w:szCs w:val="21"/>
              </w:rPr>
              <w:t>生育保</w:t>
            </w:r>
          </w:p>
          <w:p>
            <w:pPr>
              <w:pStyle w:val="TableParagraph"/>
              <w:spacing w:line="240" w:lineRule="auto" w:before="38"/>
              <w:ind w:left="11" w:right="0"/>
              <w:jc w:val="left"/>
              <w:rPr>
                <w:rFonts w:ascii="宋体" w:hAnsi="宋体" w:cs="宋体" w:eastAsia="宋体" w:hint="default"/>
                <w:sz w:val="21"/>
                <w:szCs w:val="21"/>
              </w:rPr>
            </w:pPr>
            <w:r>
              <w:rPr>
                <w:rFonts w:ascii="宋体" w:hAnsi="宋体" w:cs="宋体" w:eastAsia="宋体" w:hint="default"/>
                <w:sz w:val="21"/>
                <w:szCs w:val="21"/>
              </w:rPr>
              <w:t>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1"/>
              <w:jc w:val="right"/>
              <w:rPr>
                <w:rFonts w:ascii="宋体" w:hAnsi="宋体" w:cs="宋体" w:eastAsia="宋体" w:hint="default"/>
                <w:sz w:val="21"/>
                <w:szCs w:val="21"/>
              </w:rPr>
            </w:pPr>
            <w:r>
              <w:rPr>
                <w:rFonts w:ascii="宋体"/>
                <w:sz w:val="21"/>
              </w:rPr>
              <w:t>1,735.02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3"/>
              <w:jc w:val="right"/>
              <w:rPr>
                <w:rFonts w:ascii="宋体" w:hAnsi="宋体" w:cs="宋体" w:eastAsia="宋体" w:hint="default"/>
                <w:sz w:val="21"/>
                <w:szCs w:val="21"/>
              </w:rPr>
            </w:pPr>
            <w:r>
              <w:rPr>
                <w:rFonts w:ascii="宋体"/>
                <w:sz w:val="21"/>
              </w:rPr>
              <w:t>280,575.08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2"/>
              <w:jc w:val="right"/>
              <w:rPr>
                <w:rFonts w:ascii="宋体" w:hAnsi="宋体" w:cs="宋体" w:eastAsia="宋体" w:hint="default"/>
                <w:sz w:val="21"/>
                <w:szCs w:val="21"/>
              </w:rPr>
            </w:pPr>
            <w:r>
              <w:rPr>
                <w:rFonts w:ascii="宋体"/>
                <w:sz w:val="21"/>
              </w:rPr>
              <w:t>280,312.64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3"/>
              <w:jc w:val="right"/>
              <w:rPr>
                <w:rFonts w:ascii="宋体" w:hAnsi="宋体" w:cs="宋体" w:eastAsia="宋体" w:hint="default"/>
                <w:sz w:val="21"/>
                <w:szCs w:val="21"/>
              </w:rPr>
            </w:pPr>
            <w:r>
              <w:rPr>
                <w:rFonts w:ascii="宋体"/>
                <w:sz w:val="21"/>
              </w:rPr>
              <w:t>1,997.46</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补充医疗保险</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269,489.37</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3"/>
              <w:jc w:val="right"/>
              <w:rPr>
                <w:rFonts w:ascii="宋体" w:hAnsi="宋体" w:cs="宋体" w:eastAsia="宋体" w:hint="default"/>
                <w:sz w:val="21"/>
                <w:szCs w:val="21"/>
              </w:rPr>
            </w:pPr>
            <w:r>
              <w:rPr>
                <w:rFonts w:ascii="宋体"/>
                <w:sz w:val="21"/>
              </w:rPr>
              <w:t>323.00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3"/>
              <w:jc w:val="right"/>
              <w:rPr>
                <w:rFonts w:ascii="宋体" w:hAnsi="宋体" w:cs="宋体" w:eastAsia="宋体" w:hint="default"/>
                <w:sz w:val="21"/>
                <w:szCs w:val="21"/>
              </w:rPr>
            </w:pPr>
            <w:r>
              <w:rPr>
                <w:rFonts w:ascii="宋体"/>
                <w:sz w:val="21"/>
              </w:rPr>
              <w:t>269,166.37</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、住房公积金</w:t>
            </w:r>
          </w:p>
        </w:tc>
        <w:tc>
          <w:tcPr>
            <w:tcW w:w="1928"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2,812,507.10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2,812,507.10</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11" w:right="81"/>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z w:val="21"/>
                <w:szCs w:val="21"/>
              </w:rPr>
              <w:t>、工会经费和职工 教育经费</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1"/>
              <w:jc w:val="right"/>
              <w:rPr>
                <w:rFonts w:ascii="宋体" w:hAnsi="宋体" w:cs="宋体" w:eastAsia="宋体" w:hint="default"/>
                <w:sz w:val="21"/>
                <w:szCs w:val="21"/>
              </w:rPr>
            </w:pPr>
            <w:r>
              <w:rPr>
                <w:rFonts w:ascii="宋体"/>
                <w:sz w:val="21"/>
              </w:rPr>
              <w:t>2,384,936.08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3"/>
              <w:jc w:val="right"/>
              <w:rPr>
                <w:rFonts w:ascii="宋体" w:hAnsi="宋体" w:cs="宋体" w:eastAsia="宋体" w:hint="default"/>
                <w:sz w:val="21"/>
                <w:szCs w:val="21"/>
              </w:rPr>
            </w:pPr>
            <w:r>
              <w:rPr>
                <w:rFonts w:ascii="宋体"/>
                <w:sz w:val="21"/>
              </w:rPr>
              <w:t>254,987.51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1"/>
              <w:jc w:val="right"/>
              <w:rPr>
                <w:rFonts w:ascii="宋体" w:hAnsi="宋体" w:cs="宋体" w:eastAsia="宋体" w:hint="default"/>
                <w:sz w:val="21"/>
                <w:szCs w:val="21"/>
              </w:rPr>
            </w:pPr>
            <w:r>
              <w:rPr>
                <w:rFonts w:ascii="宋体"/>
                <w:sz w:val="21"/>
              </w:rPr>
              <w:t>494,629.45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0"/>
              <w:jc w:val="right"/>
              <w:rPr>
                <w:rFonts w:ascii="宋体" w:hAnsi="宋体" w:cs="宋体" w:eastAsia="宋体" w:hint="default"/>
                <w:sz w:val="21"/>
                <w:szCs w:val="21"/>
              </w:rPr>
            </w:pPr>
            <w:r>
              <w:rPr>
                <w:rFonts w:ascii="宋体"/>
                <w:sz w:val="21"/>
              </w:rPr>
              <w:t>2,145,294.14</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9,039,699.34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74,918,947.27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74,620,114.71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9,338,531.90</w:t>
            </w:r>
          </w:p>
        </w:tc>
      </w:tr>
    </w:tbl>
    <w:p>
      <w:pPr>
        <w:spacing w:line="240" w:lineRule="auto" w:before="10"/>
        <w:rPr>
          <w:rFonts w:ascii="宋体" w:hAnsi="宋体" w:cs="宋体" w:eastAsia="宋体" w:hint="default"/>
          <w:sz w:val="4"/>
          <w:szCs w:val="4"/>
        </w:rPr>
      </w:pPr>
    </w:p>
    <w:p>
      <w:pPr>
        <w:pStyle w:val="Heading2"/>
        <w:spacing w:line="240" w:lineRule="auto"/>
        <w:ind w:right="996"/>
        <w:jc w:val="left"/>
        <w:rPr>
          <w:b w:val="0"/>
          <w:bCs w:val="0"/>
        </w:rPr>
      </w:pPr>
      <w:bookmarkStart w:name="（3）设定提存计划列示" w:id="352"/>
      <w:bookmarkEnd w:id="352"/>
      <w:r>
        <w:rPr>
          <w:b w:val="0"/>
          <w:bCs w:val="0"/>
        </w:rPr>
      </w:r>
      <w:r>
        <w:rPr/>
        <w:t>（</w:t>
      </w:r>
      <w:r>
        <w:rPr>
          <w:rFonts w:ascii="宋体" w:hAnsi="宋体" w:cs="宋体" w:eastAsia="宋体" w:hint="default"/>
        </w:rPr>
        <w:t>3</w:t>
      </w:r>
      <w:r>
        <w:rPr/>
        <w:t>）设定提存计划列示</w:t>
      </w:r>
      <w:r>
        <w:rPr>
          <w:b w:val="0"/>
          <w:bCs w:val="0"/>
        </w:rPr>
      </w:r>
    </w:p>
    <w:p>
      <w:pPr>
        <w:spacing w:line="240" w:lineRule="auto" w:before="9"/>
        <w:rPr>
          <w:rFonts w:ascii="宋体" w:hAnsi="宋体" w:cs="宋体" w:eastAsia="宋体" w:hint="default"/>
          <w:b/>
          <w:bCs/>
          <w:sz w:val="12"/>
          <w:szCs w:val="12"/>
        </w:rPr>
      </w:pPr>
    </w:p>
    <w:p>
      <w:pPr>
        <w:spacing w:before="35"/>
        <w:ind w:left="0" w:right="1129" w:firstLine="0"/>
        <w:jc w:val="right"/>
        <w:rPr>
          <w:rFonts w:ascii="宋体" w:hAnsi="宋体" w:cs="宋体" w:eastAsia="宋体" w:hint="default"/>
          <w:sz w:val="21"/>
          <w:szCs w:val="21"/>
        </w:rPr>
      </w:pPr>
      <w:r>
        <w:rPr>
          <w:rFonts w:ascii="宋体" w:hAnsi="宋体" w:cs="宋体" w:eastAsia="宋体" w:hint="default"/>
          <w:sz w:val="21"/>
          <w:szCs w:val="21"/>
        </w:rPr>
        <w:t>单位： 元</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545"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531"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531"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531"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、基本养老保险</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28,739.40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5,978,330.10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5,974,529.72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32,539.78</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、失业保险费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1,210.00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3"/>
              <w:jc w:val="right"/>
              <w:rPr>
                <w:rFonts w:ascii="宋体" w:hAnsi="宋体" w:cs="宋体" w:eastAsia="宋体" w:hint="default"/>
                <w:sz w:val="21"/>
                <w:szCs w:val="21"/>
              </w:rPr>
            </w:pPr>
            <w:r>
              <w:rPr>
                <w:rFonts w:ascii="宋体"/>
                <w:sz w:val="21"/>
              </w:rPr>
              <w:t>275,987.85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2"/>
              <w:jc w:val="right"/>
              <w:rPr>
                <w:rFonts w:ascii="宋体" w:hAnsi="宋体" w:cs="宋体" w:eastAsia="宋体" w:hint="default"/>
                <w:sz w:val="21"/>
                <w:szCs w:val="21"/>
              </w:rPr>
            </w:pPr>
            <w:r>
              <w:rPr>
                <w:rFonts w:ascii="宋体"/>
                <w:sz w:val="21"/>
              </w:rPr>
              <w:t>275,827.59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3"/>
              <w:jc w:val="right"/>
              <w:rPr>
                <w:rFonts w:ascii="宋体" w:hAnsi="宋体" w:cs="宋体" w:eastAsia="宋体" w:hint="default"/>
                <w:sz w:val="21"/>
                <w:szCs w:val="21"/>
              </w:rPr>
            </w:pPr>
            <w:r>
              <w:rPr>
                <w:rFonts w:ascii="宋体"/>
                <w:sz w:val="21"/>
              </w:rPr>
              <w:t>1,370.26</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29,949.40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6,254,317.95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3"/>
              <w:jc w:val="right"/>
              <w:rPr>
                <w:rFonts w:ascii="宋体" w:hAnsi="宋体" w:cs="宋体" w:eastAsia="宋体" w:hint="default"/>
                <w:sz w:val="21"/>
                <w:szCs w:val="21"/>
              </w:rPr>
            </w:pPr>
            <w:r>
              <w:rPr>
                <w:rFonts w:ascii="宋体"/>
                <w:spacing w:val="-1"/>
                <w:sz w:val="21"/>
              </w:rPr>
              <w:t>6,250,357.31</w:t>
            </w:r>
            <w:r>
              <w:rPr>
                <w:rFonts w:ascii="宋体"/>
                <w:sz w:val="21"/>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33,910.04</w:t>
            </w:r>
          </w:p>
        </w:tc>
      </w:tr>
    </w:tbl>
    <w:p>
      <w:pPr>
        <w:spacing w:line="240" w:lineRule="auto" w:before="10"/>
        <w:rPr>
          <w:rFonts w:ascii="宋体" w:hAnsi="宋体" w:cs="宋体" w:eastAsia="宋体" w:hint="default"/>
          <w:sz w:val="4"/>
          <w:szCs w:val="4"/>
        </w:rPr>
      </w:pPr>
    </w:p>
    <w:p>
      <w:pPr>
        <w:spacing w:line="352" w:lineRule="auto" w:before="26"/>
        <w:ind w:left="636" w:right="8823" w:hanging="3"/>
        <w:jc w:val="left"/>
        <w:rPr>
          <w:rFonts w:ascii="宋体" w:hAnsi="宋体" w:cs="宋体" w:eastAsia="宋体" w:hint="default"/>
          <w:sz w:val="24"/>
          <w:szCs w:val="24"/>
        </w:rPr>
      </w:pPr>
      <w:r>
        <w:rPr>
          <w:rFonts w:ascii="宋体" w:hAnsi="宋体" w:cs="宋体" w:eastAsia="宋体" w:hint="default"/>
          <w:sz w:val="24"/>
          <w:szCs w:val="24"/>
        </w:rPr>
        <w:t>其他说明：无 </w:t>
      </w:r>
      <w:bookmarkStart w:name="38、应交税费" w:id="353"/>
      <w:bookmarkEnd w:id="353"/>
      <w:r>
        <w:rPr>
          <w:rFonts w:ascii="宋体" w:hAnsi="宋体" w:cs="宋体" w:eastAsia="宋体" w:hint="default"/>
          <w:sz w:val="24"/>
          <w:szCs w:val="24"/>
        </w:rPr>
      </w:r>
      <w:r>
        <w:rPr>
          <w:rFonts w:ascii="宋体" w:hAnsi="宋体" w:cs="宋体" w:eastAsia="宋体" w:hint="default"/>
          <w:b/>
          <w:bCs/>
          <w:sz w:val="24"/>
          <w:szCs w:val="24"/>
        </w:rPr>
        <w:t>38</w:t>
      </w:r>
      <w:r>
        <w:rPr>
          <w:rFonts w:ascii="宋体" w:hAnsi="宋体" w:cs="宋体" w:eastAsia="宋体" w:hint="default"/>
          <w:b/>
          <w:bCs/>
          <w:sz w:val="24"/>
          <w:szCs w:val="24"/>
        </w:rPr>
        <w:t>、应交税费</w:t>
      </w:r>
      <w:r>
        <w:rPr>
          <w:rFonts w:ascii="宋体" w:hAnsi="宋体" w:cs="宋体" w:eastAsia="宋体" w:hint="default"/>
          <w:sz w:val="24"/>
          <w:szCs w:val="24"/>
        </w:rPr>
      </w:r>
    </w:p>
    <w:p>
      <w:pPr>
        <w:spacing w:before="87"/>
        <w:ind w:left="0" w:right="1129" w:firstLine="0"/>
        <w:jc w:val="right"/>
        <w:rPr>
          <w:rFonts w:ascii="宋体" w:hAnsi="宋体" w:cs="宋体" w:eastAsia="宋体" w:hint="default"/>
          <w:sz w:val="21"/>
          <w:szCs w:val="21"/>
        </w:rPr>
      </w:pPr>
      <w:r>
        <w:rPr>
          <w:rFonts w:ascii="宋体" w:hAnsi="宋体" w:cs="宋体" w:eastAsia="宋体" w:hint="default"/>
          <w:sz w:val="21"/>
          <w:szCs w:val="21"/>
        </w:rPr>
        <w:t>单位： 元</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1"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11"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11" w:right="0"/>
              <w:jc w:val="left"/>
              <w:rPr>
                <w:rFonts w:ascii="宋体" w:hAnsi="宋体" w:cs="宋体" w:eastAsia="宋体" w:hint="default"/>
                <w:sz w:val="21"/>
                <w:szCs w:val="21"/>
              </w:rPr>
            </w:pPr>
            <w:r>
              <w:rPr>
                <w:rFonts w:ascii="宋体" w:hAnsi="宋体" w:cs="宋体" w:eastAsia="宋体" w:hint="default"/>
                <w:sz w:val="21"/>
                <w:szCs w:val="21"/>
              </w:rPr>
              <w:t>增值税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7"/>
              <w:ind w:left="1795" w:right="0"/>
              <w:jc w:val="left"/>
              <w:rPr>
                <w:rFonts w:ascii="宋体" w:hAnsi="宋体" w:cs="宋体" w:eastAsia="宋体" w:hint="default"/>
                <w:sz w:val="21"/>
                <w:szCs w:val="21"/>
              </w:rPr>
            </w:pPr>
            <w:r>
              <w:rPr>
                <w:rFonts w:ascii="宋体"/>
                <w:sz w:val="21"/>
              </w:rPr>
              <w:t>16,065,860.46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792" w:right="0"/>
              <w:jc w:val="left"/>
              <w:rPr>
                <w:rFonts w:ascii="宋体" w:hAnsi="宋体" w:cs="宋体" w:eastAsia="宋体" w:hint="default"/>
                <w:sz w:val="21"/>
                <w:szCs w:val="21"/>
              </w:rPr>
            </w:pPr>
            <w:r>
              <w:rPr>
                <w:rFonts w:ascii="宋体"/>
                <w:sz w:val="21"/>
              </w:rPr>
              <w:t>14,555,161.33</w:t>
            </w:r>
          </w:p>
        </w:tc>
      </w:tr>
    </w:tbl>
    <w:p>
      <w:pPr>
        <w:spacing w:after="0" w:line="240" w:lineRule="auto"/>
        <w:jc w:val="left"/>
        <w:rPr>
          <w:rFonts w:ascii="宋体" w:hAnsi="宋体" w:cs="宋体" w:eastAsia="宋体" w:hint="default"/>
          <w:sz w:val="21"/>
          <w:szCs w:val="21"/>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企业所得税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12,871,449.73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9"/>
              <w:jc w:val="right"/>
              <w:rPr>
                <w:rFonts w:ascii="宋体" w:hAnsi="宋体" w:cs="宋体" w:eastAsia="宋体" w:hint="default"/>
                <w:sz w:val="21"/>
                <w:szCs w:val="21"/>
              </w:rPr>
            </w:pPr>
            <w:r>
              <w:rPr>
                <w:rFonts w:ascii="宋体"/>
                <w:sz w:val="21"/>
              </w:rPr>
              <w:t>7,150,454.94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个人所得税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3"/>
              <w:jc w:val="right"/>
              <w:rPr>
                <w:rFonts w:ascii="宋体" w:hAnsi="宋体" w:cs="宋体" w:eastAsia="宋体" w:hint="default"/>
                <w:sz w:val="21"/>
                <w:szCs w:val="21"/>
              </w:rPr>
            </w:pPr>
            <w:r>
              <w:rPr>
                <w:rFonts w:ascii="宋体"/>
                <w:sz w:val="21"/>
              </w:rPr>
              <w:t>449,394.36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299,367.95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1,124,623.81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9"/>
              <w:jc w:val="right"/>
              <w:rPr>
                <w:rFonts w:ascii="宋体" w:hAnsi="宋体" w:cs="宋体" w:eastAsia="宋体" w:hint="default"/>
                <w:sz w:val="21"/>
                <w:szCs w:val="21"/>
              </w:rPr>
            </w:pPr>
            <w:r>
              <w:rPr>
                <w:rFonts w:ascii="宋体"/>
                <w:sz w:val="21"/>
              </w:rPr>
              <w:t>1,019,073.23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3"/>
              <w:jc w:val="right"/>
              <w:rPr>
                <w:rFonts w:ascii="宋体" w:hAnsi="宋体" w:cs="宋体" w:eastAsia="宋体" w:hint="default"/>
                <w:sz w:val="21"/>
                <w:szCs w:val="21"/>
              </w:rPr>
            </w:pPr>
            <w:r>
              <w:rPr>
                <w:rFonts w:ascii="宋体"/>
                <w:sz w:val="21"/>
              </w:rPr>
              <w:t>549,837.15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727,909.46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地方教育费附加</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3"/>
              <w:jc w:val="right"/>
              <w:rPr>
                <w:rFonts w:ascii="宋体" w:hAnsi="宋体" w:cs="宋体" w:eastAsia="宋体" w:hint="default"/>
                <w:sz w:val="21"/>
                <w:szCs w:val="21"/>
              </w:rPr>
            </w:pPr>
            <w:r>
              <w:rPr>
                <w:rFonts w:ascii="宋体"/>
                <w:sz w:val="21"/>
              </w:rPr>
              <w:t>253,465.61</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房产税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74,017.79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74,017.79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土地使用税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3"/>
              <w:jc w:val="right"/>
              <w:rPr>
                <w:rFonts w:ascii="宋体" w:hAnsi="宋体" w:cs="宋体" w:eastAsia="宋体" w:hint="default"/>
                <w:sz w:val="21"/>
                <w:szCs w:val="21"/>
              </w:rPr>
            </w:pPr>
            <w:r>
              <w:rPr>
                <w:rFonts w:ascii="宋体"/>
                <w:sz w:val="21"/>
              </w:rPr>
              <w:t>124,639.77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124,639.77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印花税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3"/>
              <w:jc w:val="right"/>
              <w:rPr>
                <w:rFonts w:ascii="宋体" w:hAnsi="宋体" w:cs="宋体" w:eastAsia="宋体" w:hint="default"/>
                <w:sz w:val="21"/>
                <w:szCs w:val="21"/>
              </w:rPr>
            </w:pPr>
            <w:r>
              <w:rPr>
                <w:rFonts w:ascii="宋体"/>
                <w:sz w:val="21"/>
              </w:rPr>
              <w:t>6,012.98</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防洪工程维护费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3"/>
              <w:jc w:val="right"/>
              <w:rPr>
                <w:rFonts w:ascii="宋体" w:hAnsi="宋体" w:cs="宋体" w:eastAsia="宋体" w:hint="default"/>
                <w:sz w:val="21"/>
                <w:szCs w:val="21"/>
              </w:rPr>
            </w:pPr>
            <w:r>
              <w:rPr>
                <w:rFonts w:ascii="宋体"/>
                <w:sz w:val="21"/>
              </w:rPr>
              <w:t>6,323.98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303.51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31,525,625.64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23,950,927.98</w:t>
            </w:r>
          </w:p>
        </w:tc>
      </w:tr>
    </w:tbl>
    <w:p>
      <w:pPr>
        <w:spacing w:line="240" w:lineRule="auto" w:before="10"/>
        <w:rPr>
          <w:rFonts w:ascii="宋体" w:hAnsi="宋体" w:cs="宋体" w:eastAsia="宋体" w:hint="default"/>
          <w:sz w:val="4"/>
          <w:szCs w:val="4"/>
        </w:rPr>
      </w:pPr>
    </w:p>
    <w:p>
      <w:pPr>
        <w:spacing w:line="352" w:lineRule="auto" w:before="26"/>
        <w:ind w:left="636" w:right="8823" w:hanging="3"/>
        <w:jc w:val="left"/>
        <w:rPr>
          <w:rFonts w:ascii="宋体" w:hAnsi="宋体" w:cs="宋体" w:eastAsia="宋体" w:hint="default"/>
          <w:sz w:val="24"/>
          <w:szCs w:val="24"/>
        </w:rPr>
      </w:pPr>
      <w:r>
        <w:rPr>
          <w:rFonts w:ascii="宋体" w:hAnsi="宋体" w:cs="宋体" w:eastAsia="宋体" w:hint="default"/>
          <w:sz w:val="24"/>
          <w:szCs w:val="24"/>
        </w:rPr>
        <w:t>其他说明：无 </w:t>
      </w:r>
      <w:bookmarkStart w:name="39、应付利息" w:id="354"/>
      <w:bookmarkEnd w:id="354"/>
      <w:r>
        <w:rPr>
          <w:rFonts w:ascii="宋体" w:hAnsi="宋体" w:cs="宋体" w:eastAsia="宋体" w:hint="default"/>
          <w:sz w:val="24"/>
          <w:szCs w:val="24"/>
        </w:rPr>
      </w:r>
      <w:r>
        <w:rPr>
          <w:rFonts w:ascii="宋体" w:hAnsi="宋体" w:cs="宋体" w:eastAsia="宋体" w:hint="default"/>
          <w:b/>
          <w:bCs/>
          <w:sz w:val="24"/>
          <w:szCs w:val="24"/>
        </w:rPr>
        <w:t>39</w:t>
      </w:r>
      <w:r>
        <w:rPr>
          <w:rFonts w:ascii="宋体" w:hAnsi="宋体" w:cs="宋体" w:eastAsia="宋体" w:hint="default"/>
          <w:b/>
          <w:bCs/>
          <w:sz w:val="24"/>
          <w:szCs w:val="24"/>
        </w:rPr>
        <w:t>、应付利息</w:t>
      </w:r>
      <w:r>
        <w:rPr>
          <w:rFonts w:ascii="宋体" w:hAnsi="宋体" w:cs="宋体" w:eastAsia="宋体" w:hint="default"/>
          <w:sz w:val="24"/>
          <w:szCs w:val="24"/>
        </w:rPr>
      </w:r>
    </w:p>
    <w:p>
      <w:pPr>
        <w:spacing w:before="87"/>
        <w:ind w:left="0" w:right="1129" w:firstLine="0"/>
        <w:jc w:val="right"/>
        <w:rPr>
          <w:rFonts w:ascii="宋体" w:hAnsi="宋体" w:cs="宋体" w:eastAsia="宋体" w:hint="default"/>
          <w:sz w:val="21"/>
          <w:szCs w:val="21"/>
        </w:rPr>
      </w:pPr>
      <w:r>
        <w:rPr>
          <w:rFonts w:ascii="宋体" w:hAnsi="宋体" w:cs="宋体" w:eastAsia="宋体" w:hint="default"/>
          <w:sz w:val="21"/>
          <w:szCs w:val="21"/>
        </w:rPr>
        <w:t>单位： 元</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1"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11"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11" w:right="0"/>
              <w:jc w:val="left"/>
              <w:rPr>
                <w:rFonts w:ascii="宋体" w:hAnsi="宋体" w:cs="宋体" w:eastAsia="宋体" w:hint="default"/>
                <w:sz w:val="21"/>
                <w:szCs w:val="21"/>
              </w:rPr>
            </w:pPr>
            <w:r>
              <w:rPr>
                <w:rFonts w:ascii="宋体" w:hAnsi="宋体" w:cs="宋体" w:eastAsia="宋体" w:hint="default"/>
                <w:sz w:val="21"/>
                <w:szCs w:val="21"/>
              </w:rPr>
              <w:t>企业债券利息</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7"/>
              <w:ind w:right="21"/>
              <w:jc w:val="right"/>
              <w:rPr>
                <w:rFonts w:ascii="宋体" w:hAnsi="宋体" w:cs="宋体" w:eastAsia="宋体" w:hint="default"/>
                <w:sz w:val="21"/>
                <w:szCs w:val="21"/>
              </w:rPr>
            </w:pPr>
            <w:r>
              <w:rPr>
                <w:rFonts w:ascii="宋体"/>
                <w:sz w:val="21"/>
              </w:rPr>
              <w:t>15,889,500.00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0"/>
              <w:jc w:val="right"/>
              <w:rPr>
                <w:rFonts w:ascii="宋体" w:hAnsi="宋体" w:cs="宋体" w:eastAsia="宋体" w:hint="default"/>
                <w:sz w:val="21"/>
                <w:szCs w:val="21"/>
              </w:rPr>
            </w:pPr>
            <w:r>
              <w:rPr>
                <w:rFonts w:ascii="宋体"/>
                <w:sz w:val="21"/>
              </w:rPr>
              <w:t>18,562,500.00</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11"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7"/>
              <w:ind w:right="21"/>
              <w:jc w:val="right"/>
              <w:rPr>
                <w:rFonts w:ascii="宋体" w:hAnsi="宋体" w:cs="宋体" w:eastAsia="宋体" w:hint="default"/>
                <w:sz w:val="21"/>
                <w:szCs w:val="21"/>
              </w:rPr>
            </w:pPr>
            <w:r>
              <w:rPr>
                <w:rFonts w:ascii="宋体"/>
                <w:sz w:val="21"/>
              </w:rPr>
              <w:t>15,889,500.00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0"/>
              <w:jc w:val="right"/>
              <w:rPr>
                <w:rFonts w:ascii="宋体" w:hAnsi="宋体" w:cs="宋体" w:eastAsia="宋体" w:hint="default"/>
                <w:sz w:val="21"/>
                <w:szCs w:val="21"/>
              </w:rPr>
            </w:pPr>
            <w:r>
              <w:rPr>
                <w:rFonts w:ascii="宋体"/>
                <w:sz w:val="21"/>
              </w:rPr>
              <w:t>18,562,500.00</w:t>
            </w:r>
          </w:p>
        </w:tc>
      </w:tr>
    </w:tbl>
    <w:p>
      <w:pPr>
        <w:spacing w:after="0" w:line="240" w:lineRule="auto"/>
        <w:jc w:val="right"/>
        <w:rPr>
          <w:rFonts w:ascii="宋体" w:hAnsi="宋体" w:cs="宋体" w:eastAsia="宋体" w:hint="default"/>
          <w:sz w:val="21"/>
          <w:szCs w:val="21"/>
        </w:rPr>
        <w:sectPr>
          <w:pgSz w:w="11910" w:h="16840"/>
          <w:pgMar w:header="747" w:footer="979" w:top="1060" w:bottom="1160" w:left="980" w:right="0"/>
        </w:sectPr>
      </w:pPr>
    </w:p>
    <w:p>
      <w:pPr>
        <w:spacing w:before="51"/>
        <w:ind w:left="154" w:right="-20" w:firstLine="0"/>
        <w:jc w:val="left"/>
        <w:rPr>
          <w:rFonts w:ascii="宋体" w:hAnsi="宋体" w:cs="宋体" w:eastAsia="宋体" w:hint="default"/>
          <w:sz w:val="18"/>
          <w:szCs w:val="18"/>
        </w:rPr>
      </w:pPr>
      <w:r>
        <w:rPr>
          <w:rFonts w:ascii="宋体" w:hAnsi="宋体" w:cs="宋体" w:eastAsia="宋体" w:hint="default"/>
          <w:sz w:val="18"/>
          <w:szCs w:val="18"/>
        </w:rPr>
        <w:t>重要的已逾期未支付的利息情况：</w:t>
      </w:r>
    </w:p>
    <w:p>
      <w:pPr>
        <w:spacing w:line="240" w:lineRule="auto" w:before="12"/>
        <w:rPr>
          <w:rFonts w:ascii="宋体" w:hAnsi="宋体" w:cs="宋体" w:eastAsia="宋体" w:hint="default"/>
          <w:sz w:val="28"/>
          <w:szCs w:val="28"/>
        </w:rPr>
      </w:pPr>
      <w:r>
        <w:rPr/>
        <w:br w:type="column"/>
      </w:r>
      <w:r>
        <w:rPr>
          <w:rFonts w:ascii="宋体"/>
          <w:sz w:val="28"/>
        </w:rPr>
      </w:r>
    </w:p>
    <w:p>
      <w:pPr>
        <w:spacing w:before="0"/>
        <w:ind w:left="153" w:right="0" w:firstLine="0"/>
        <w:jc w:val="left"/>
        <w:rPr>
          <w:rFonts w:ascii="宋体" w:hAnsi="宋体" w:cs="宋体" w:eastAsia="宋体" w:hint="default"/>
          <w:sz w:val="21"/>
          <w:szCs w:val="21"/>
        </w:rPr>
      </w:pPr>
      <w:r>
        <w:rPr>
          <w:rFonts w:ascii="宋体" w:hAnsi="宋体" w:cs="宋体" w:eastAsia="宋体" w:hint="default"/>
          <w:sz w:val="21"/>
          <w:szCs w:val="21"/>
        </w:rPr>
        <w:t>单位： 元</w:t>
      </w:r>
    </w:p>
    <w:p>
      <w:pPr>
        <w:spacing w:after="0"/>
        <w:jc w:val="left"/>
        <w:rPr>
          <w:rFonts w:ascii="宋体" w:hAnsi="宋体" w:cs="宋体" w:eastAsia="宋体" w:hint="default"/>
          <w:sz w:val="21"/>
          <w:szCs w:val="21"/>
        </w:rPr>
        <w:sectPr>
          <w:type w:val="continuous"/>
          <w:pgSz w:w="11910" w:h="16840"/>
          <w:pgMar w:top="1060" w:bottom="1160" w:left="980" w:right="0"/>
          <w:cols w:num="2" w:equalWidth="0">
            <w:col w:w="2855" w:space="5841"/>
            <w:col w:w="2234"/>
          </w:cols>
        </w:sectPr>
      </w:pP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借款单位</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逾期金额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逾期原因</w:t>
            </w:r>
          </w:p>
        </w:tc>
      </w:tr>
    </w:tbl>
    <w:p>
      <w:pPr>
        <w:spacing w:line="240" w:lineRule="auto" w:before="10"/>
        <w:rPr>
          <w:rFonts w:ascii="宋体" w:hAnsi="宋体" w:cs="宋体" w:eastAsia="宋体" w:hint="default"/>
          <w:sz w:val="4"/>
          <w:szCs w:val="4"/>
        </w:rPr>
      </w:pPr>
    </w:p>
    <w:p>
      <w:pPr>
        <w:pStyle w:val="BodyText"/>
        <w:spacing w:line="350" w:lineRule="auto" w:before="26"/>
        <w:ind w:left="633" w:right="8593"/>
        <w:jc w:val="left"/>
      </w:pPr>
      <w:r>
        <w:rPr/>
        <w:t>其他说明： 应付利息说明：</w:t>
      </w:r>
    </w:p>
    <w:p>
      <w:pPr>
        <w:pStyle w:val="BodyText"/>
        <w:spacing w:line="350" w:lineRule="auto"/>
        <w:ind w:right="1117" w:firstLine="480"/>
        <w:jc w:val="left"/>
      </w:pPr>
      <w:r>
        <w:rPr>
          <w:spacing w:val="-2"/>
        </w:rPr>
        <w:t>应付利息期末余额为发行债券利息，债券利息每年</w:t>
      </w:r>
      <w:r>
        <w:rPr>
          <w:rFonts w:ascii="宋体" w:hAnsi="宋体" w:cs="宋体" w:eastAsia="宋体" w:hint="default"/>
          <w:spacing w:val="-2"/>
        </w:rPr>
        <w:t>3</w:t>
      </w:r>
      <w:r>
        <w:rPr>
          <w:spacing w:val="-2"/>
        </w:rPr>
        <w:t>月</w:t>
      </w:r>
      <w:r>
        <w:rPr>
          <w:rFonts w:ascii="宋体" w:hAnsi="宋体" w:cs="宋体" w:eastAsia="宋体" w:hint="default"/>
          <w:spacing w:val="-2"/>
        </w:rPr>
        <w:t>4</w:t>
      </w:r>
      <w:r>
        <w:rPr>
          <w:spacing w:val="-2"/>
        </w:rPr>
        <w:t>日支付，首次支付日期为</w:t>
      </w:r>
      <w:r>
        <w:rPr>
          <w:rFonts w:ascii="宋体" w:hAnsi="宋体" w:cs="宋体" w:eastAsia="宋体" w:hint="default"/>
          <w:spacing w:val="-2"/>
        </w:rPr>
        <w:t>2016</w:t>
      </w:r>
      <w:r>
        <w:rPr>
          <w:spacing w:val="-2"/>
        </w:rPr>
        <w:t>年</w:t>
      </w:r>
      <w:r>
        <w:rPr>
          <w:rFonts w:ascii="宋体" w:hAnsi="宋体" w:cs="宋体" w:eastAsia="宋体" w:hint="default"/>
          <w:spacing w:val="-2"/>
        </w:rPr>
        <w:t>3</w:t>
      </w:r>
      <w:r>
        <w:rPr>
          <w:rFonts w:ascii="宋体" w:hAnsi="宋体" w:cs="宋体" w:eastAsia="宋体" w:hint="default"/>
        </w:rPr>
        <w:t> </w:t>
      </w:r>
      <w:r>
        <w:rPr/>
        <w:t>月</w:t>
      </w:r>
      <w:r>
        <w:rPr>
          <w:rFonts w:ascii="宋体" w:hAnsi="宋体" w:cs="宋体" w:eastAsia="宋体" w:hint="default"/>
        </w:rPr>
        <w:t>4</w:t>
      </w:r>
      <w:r>
        <w:rPr/>
        <w:t>日，本年度为</w:t>
      </w:r>
      <w:r>
        <w:rPr>
          <w:rFonts w:ascii="宋体" w:hAnsi="宋体" w:cs="宋体" w:eastAsia="宋体" w:hint="default"/>
        </w:rPr>
        <w:t>2017</w:t>
      </w:r>
      <w:r>
        <w:rPr/>
        <w:t>年</w:t>
      </w:r>
      <w:r>
        <w:rPr>
          <w:rFonts w:ascii="宋体" w:hAnsi="宋体" w:cs="宋体" w:eastAsia="宋体" w:hint="default"/>
        </w:rPr>
        <w:t>3</w:t>
      </w:r>
      <w:r>
        <w:rPr/>
        <w:t>月</w:t>
      </w:r>
      <w:r>
        <w:rPr>
          <w:rFonts w:ascii="宋体" w:hAnsi="宋体" w:cs="宋体" w:eastAsia="宋体" w:hint="default"/>
        </w:rPr>
        <w:t>4</w:t>
      </w:r>
      <w:r>
        <w:rPr/>
        <w:t>日付息，不存在已逾期未支付的利息情况。</w:t>
      </w:r>
    </w:p>
    <w:p>
      <w:pPr>
        <w:pStyle w:val="Heading2"/>
        <w:spacing w:line="240" w:lineRule="auto" w:before="35"/>
        <w:ind w:right="996"/>
        <w:jc w:val="left"/>
        <w:rPr>
          <w:b w:val="0"/>
          <w:bCs w:val="0"/>
        </w:rPr>
      </w:pPr>
      <w:bookmarkStart w:name="40、应付股利" w:id="355"/>
      <w:bookmarkEnd w:id="355"/>
      <w:r>
        <w:rPr>
          <w:b w:val="0"/>
          <w:bCs w:val="0"/>
        </w:rPr>
      </w:r>
      <w:r>
        <w:rPr>
          <w:rFonts w:ascii="宋体" w:hAnsi="宋体" w:cs="宋体" w:eastAsia="宋体" w:hint="default"/>
        </w:rPr>
        <w:t>40</w:t>
      </w:r>
      <w:r>
        <w:rPr/>
        <w:t>、应付股利</w:t>
      </w:r>
      <w:r>
        <w:rPr>
          <w:b w:val="0"/>
          <w:bCs w:val="0"/>
        </w:rPr>
      </w:r>
    </w:p>
    <w:p>
      <w:pPr>
        <w:spacing w:line="240" w:lineRule="auto" w:before="2"/>
        <w:rPr>
          <w:rFonts w:ascii="宋体" w:hAnsi="宋体" w:cs="宋体" w:eastAsia="宋体" w:hint="default"/>
          <w:b/>
          <w:bCs/>
          <w:sz w:val="23"/>
          <w:szCs w:val="23"/>
        </w:rPr>
      </w:pPr>
    </w:p>
    <w:p>
      <w:pPr>
        <w:pStyle w:val="BodyText"/>
        <w:spacing w:line="350" w:lineRule="auto" w:before="0"/>
        <w:ind w:left="633" w:right="2473"/>
        <w:jc w:val="left"/>
      </w:pPr>
      <w:r>
        <w:rPr/>
        <w:t>无 其他说明，包括重要的超过</w:t>
      </w:r>
      <w:r>
        <w:rPr>
          <w:rFonts w:ascii="宋体" w:hAnsi="宋体" w:cs="宋体" w:eastAsia="宋体" w:hint="default"/>
        </w:rPr>
        <w:t>1</w:t>
      </w:r>
      <w:r>
        <w:rPr/>
        <w:t>年未支付的应付股利，应披露未支付原因：无</w:t>
      </w:r>
    </w:p>
    <w:p>
      <w:pPr>
        <w:spacing w:line="240" w:lineRule="auto" w:before="7"/>
        <w:rPr>
          <w:rFonts w:ascii="宋体" w:hAnsi="宋体" w:cs="宋体" w:eastAsia="宋体" w:hint="default"/>
          <w:sz w:val="26"/>
          <w:szCs w:val="26"/>
        </w:rPr>
      </w:pPr>
    </w:p>
    <w:p>
      <w:pPr>
        <w:pStyle w:val="Heading2"/>
        <w:spacing w:line="240" w:lineRule="auto" w:before="0"/>
        <w:ind w:right="996"/>
        <w:jc w:val="left"/>
        <w:rPr>
          <w:b w:val="0"/>
          <w:bCs w:val="0"/>
        </w:rPr>
      </w:pPr>
      <w:bookmarkStart w:name="41、其他应付款" w:id="356"/>
      <w:bookmarkEnd w:id="356"/>
      <w:r>
        <w:rPr>
          <w:b w:val="0"/>
          <w:bCs w:val="0"/>
        </w:rPr>
      </w:r>
      <w:r>
        <w:rPr>
          <w:rFonts w:ascii="宋体" w:hAnsi="宋体" w:cs="宋体" w:eastAsia="宋体" w:hint="default"/>
        </w:rPr>
        <w:t>41</w:t>
      </w:r>
      <w:r>
        <w:rPr/>
        <w:t>、其他应付款</w:t>
      </w:r>
      <w:r>
        <w:rPr>
          <w:b w:val="0"/>
          <w:bCs w:val="0"/>
        </w:rPr>
      </w:r>
    </w:p>
    <w:p>
      <w:pPr>
        <w:spacing w:line="240" w:lineRule="auto" w:before="2"/>
        <w:rPr>
          <w:rFonts w:ascii="宋体" w:hAnsi="宋体" w:cs="宋体" w:eastAsia="宋体" w:hint="default"/>
          <w:b/>
          <w:bCs/>
          <w:sz w:val="23"/>
          <w:szCs w:val="23"/>
        </w:rPr>
      </w:pPr>
    </w:p>
    <w:p>
      <w:pPr>
        <w:pStyle w:val="Heading2"/>
        <w:spacing w:line="240" w:lineRule="auto" w:before="0"/>
        <w:ind w:right="996"/>
        <w:jc w:val="left"/>
        <w:rPr>
          <w:b w:val="0"/>
          <w:bCs w:val="0"/>
        </w:rPr>
      </w:pPr>
      <w:bookmarkStart w:name="（1）按款项性质列示其他应付款" w:id="357"/>
      <w:bookmarkEnd w:id="357"/>
      <w:r>
        <w:rPr>
          <w:b w:val="0"/>
          <w:bCs w:val="0"/>
        </w:rPr>
      </w:r>
      <w:r>
        <w:rPr/>
        <w:t>（</w:t>
      </w:r>
      <w:r>
        <w:rPr>
          <w:rFonts w:ascii="宋体" w:hAnsi="宋体" w:cs="宋体" w:eastAsia="宋体" w:hint="default"/>
        </w:rPr>
        <w:t>1</w:t>
      </w:r>
      <w:r>
        <w:rPr/>
        <w:t>）按款项性质列示其他应付款</w:t>
      </w:r>
      <w:r>
        <w:rPr>
          <w:b w:val="0"/>
          <w:bCs w:val="0"/>
        </w:rPr>
      </w:r>
    </w:p>
    <w:p>
      <w:pPr>
        <w:spacing w:before="200"/>
        <w:ind w:left="0" w:right="1129" w:firstLine="0"/>
        <w:jc w:val="right"/>
        <w:rPr>
          <w:rFonts w:ascii="宋体" w:hAnsi="宋体" w:cs="宋体" w:eastAsia="宋体" w:hint="default"/>
          <w:sz w:val="21"/>
          <w:szCs w:val="21"/>
        </w:rPr>
      </w:pPr>
      <w:r>
        <w:rPr>
          <w:rFonts w:ascii="宋体" w:hAnsi="宋体" w:cs="宋体" w:eastAsia="宋体" w:hint="default"/>
          <w:sz w:val="21"/>
          <w:szCs w:val="21"/>
        </w:rPr>
        <w:t>单位： 元</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咨询服务费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901" w:right="0"/>
              <w:jc w:val="left"/>
              <w:rPr>
                <w:rFonts w:ascii="宋体" w:hAnsi="宋体" w:cs="宋体" w:eastAsia="宋体" w:hint="default"/>
                <w:sz w:val="21"/>
                <w:szCs w:val="21"/>
              </w:rPr>
            </w:pPr>
            <w:r>
              <w:rPr>
                <w:rFonts w:ascii="宋体"/>
                <w:sz w:val="21"/>
              </w:rPr>
              <w:t>3,946,138.54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897" w:right="0"/>
              <w:jc w:val="left"/>
              <w:rPr>
                <w:rFonts w:ascii="宋体" w:hAnsi="宋体" w:cs="宋体" w:eastAsia="宋体" w:hint="default"/>
                <w:sz w:val="21"/>
                <w:szCs w:val="21"/>
              </w:rPr>
            </w:pPr>
            <w:r>
              <w:rPr>
                <w:rFonts w:ascii="宋体"/>
                <w:sz w:val="21"/>
              </w:rPr>
              <w:t>1,103,339.79</w:t>
            </w:r>
          </w:p>
        </w:tc>
      </w:tr>
    </w:tbl>
    <w:p>
      <w:pPr>
        <w:spacing w:after="0" w:line="240" w:lineRule="auto"/>
        <w:jc w:val="left"/>
        <w:rPr>
          <w:rFonts w:ascii="宋体" w:hAnsi="宋体" w:cs="宋体" w:eastAsia="宋体" w:hint="default"/>
          <w:sz w:val="21"/>
          <w:szCs w:val="21"/>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代收款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3"/>
              <w:jc w:val="right"/>
              <w:rPr>
                <w:rFonts w:ascii="宋体" w:hAnsi="宋体" w:cs="宋体" w:eastAsia="宋体" w:hint="default"/>
                <w:sz w:val="21"/>
                <w:szCs w:val="21"/>
              </w:rPr>
            </w:pPr>
            <w:r>
              <w:rPr>
                <w:rFonts w:ascii="宋体"/>
                <w:sz w:val="21"/>
              </w:rPr>
              <w:t>107,487.73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105,242.41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代垫款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1,437,904.20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pacing w:val="-1"/>
                <w:sz w:val="21"/>
              </w:rPr>
              <w:t>1,415,756.62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保证金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23,500.00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3"/>
              <w:jc w:val="right"/>
              <w:rPr>
                <w:rFonts w:ascii="宋体" w:hAnsi="宋体" w:cs="宋体" w:eastAsia="宋体" w:hint="default"/>
                <w:sz w:val="21"/>
                <w:szCs w:val="21"/>
              </w:rPr>
            </w:pPr>
            <w:r>
              <w:rPr>
                <w:rFonts w:ascii="宋体"/>
                <w:sz w:val="21"/>
              </w:rPr>
              <w:t>366,670.54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422,563.28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招投标费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3"/>
              <w:jc w:val="right"/>
              <w:rPr>
                <w:rFonts w:ascii="宋体" w:hAnsi="宋体" w:cs="宋体" w:eastAsia="宋体" w:hint="default"/>
                <w:sz w:val="21"/>
                <w:szCs w:val="21"/>
              </w:rPr>
            </w:pPr>
            <w:r>
              <w:rPr>
                <w:rFonts w:ascii="宋体"/>
                <w:sz w:val="21"/>
              </w:rPr>
              <w:t>631,952.82</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6,513,653.83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9"/>
              <w:jc w:val="right"/>
              <w:rPr>
                <w:rFonts w:ascii="宋体" w:hAnsi="宋体" w:cs="宋体" w:eastAsia="宋体" w:hint="default"/>
                <w:sz w:val="21"/>
                <w:szCs w:val="21"/>
              </w:rPr>
            </w:pPr>
            <w:r>
              <w:rPr>
                <w:rFonts w:ascii="宋体"/>
                <w:sz w:val="21"/>
              </w:rPr>
              <w:t>3,046,902.10</w:t>
            </w:r>
          </w:p>
        </w:tc>
      </w:tr>
    </w:tbl>
    <w:p>
      <w:pPr>
        <w:spacing w:line="240" w:lineRule="auto" w:before="10"/>
        <w:rPr>
          <w:rFonts w:ascii="宋体" w:hAnsi="宋体" w:cs="宋体" w:eastAsia="宋体" w:hint="default"/>
          <w:sz w:val="4"/>
          <w:szCs w:val="4"/>
        </w:rPr>
      </w:pPr>
    </w:p>
    <w:p>
      <w:pPr>
        <w:pStyle w:val="Heading2"/>
        <w:spacing w:line="240" w:lineRule="auto"/>
        <w:ind w:right="996"/>
        <w:jc w:val="left"/>
        <w:rPr>
          <w:b w:val="0"/>
          <w:bCs w:val="0"/>
        </w:rPr>
      </w:pPr>
      <w:bookmarkStart w:name="（2）账龄超过1年的重要其他应付款" w:id="358"/>
      <w:bookmarkEnd w:id="358"/>
      <w:r>
        <w:rPr>
          <w:b w:val="0"/>
          <w:bCs w:val="0"/>
        </w:rPr>
      </w:r>
      <w:r>
        <w:rPr/>
        <w:t>（</w:t>
      </w:r>
      <w:r>
        <w:rPr>
          <w:rFonts w:ascii="宋体" w:hAnsi="宋体" w:cs="宋体" w:eastAsia="宋体" w:hint="default"/>
        </w:rPr>
        <w:t>2</w:t>
      </w:r>
      <w:r>
        <w:rPr/>
        <w:t>）账龄超过</w:t>
      </w:r>
      <w:r>
        <w:rPr>
          <w:spacing w:val="-67"/>
        </w:rPr>
        <w:t> </w:t>
      </w:r>
      <w:r>
        <w:rPr>
          <w:rFonts w:ascii="宋体" w:hAnsi="宋体" w:cs="宋体" w:eastAsia="宋体" w:hint="default"/>
        </w:rPr>
        <w:t>1</w:t>
      </w:r>
      <w:r>
        <w:rPr>
          <w:rFonts w:ascii="宋体" w:hAnsi="宋体" w:cs="宋体" w:eastAsia="宋体" w:hint="default"/>
          <w:spacing w:val="-67"/>
        </w:rPr>
        <w:t> </w:t>
      </w:r>
      <w:r>
        <w:rPr/>
        <w:t>年的重要其他应付款</w:t>
      </w:r>
      <w:r>
        <w:rPr>
          <w:b w:val="0"/>
          <w:bCs w:val="0"/>
        </w:rPr>
      </w:r>
    </w:p>
    <w:p>
      <w:pPr>
        <w:spacing w:line="240" w:lineRule="auto" w:before="2"/>
        <w:rPr>
          <w:rFonts w:ascii="宋体" w:hAnsi="宋体" w:cs="宋体" w:eastAsia="宋体" w:hint="default"/>
          <w:b/>
          <w:bCs/>
          <w:sz w:val="23"/>
          <w:szCs w:val="23"/>
        </w:rPr>
      </w:pPr>
    </w:p>
    <w:p>
      <w:pPr>
        <w:pStyle w:val="BodyText"/>
        <w:spacing w:line="350" w:lineRule="auto" w:before="0"/>
        <w:ind w:left="633" w:right="9073"/>
        <w:jc w:val="left"/>
      </w:pPr>
      <w:r>
        <w:rPr/>
        <w:t>无 其他说明：</w:t>
      </w:r>
    </w:p>
    <w:p>
      <w:pPr>
        <w:pStyle w:val="BodyText"/>
        <w:spacing w:line="352" w:lineRule="auto" w:before="35"/>
        <w:ind w:right="1129" w:firstLine="480"/>
        <w:jc w:val="left"/>
      </w:pPr>
      <w:r>
        <w:rPr>
          <w:spacing w:val="-2"/>
        </w:rPr>
        <w:t>①其他应付款期末余额较期初余额增加</w:t>
      </w:r>
      <w:r>
        <w:rPr>
          <w:rFonts w:ascii="宋体" w:hAnsi="宋体" w:cs="宋体" w:eastAsia="宋体" w:hint="default"/>
          <w:spacing w:val="-2"/>
        </w:rPr>
        <w:t>3,466,751.73</w:t>
      </w:r>
      <w:r>
        <w:rPr>
          <w:spacing w:val="-2"/>
        </w:rPr>
        <w:t>元，增长</w:t>
      </w:r>
      <w:r>
        <w:rPr>
          <w:rFonts w:ascii="宋体" w:hAnsi="宋体" w:cs="宋体" w:eastAsia="宋体" w:hint="default"/>
          <w:spacing w:val="-2"/>
        </w:rPr>
        <w:t>113.78%</w:t>
      </w:r>
      <w:r>
        <w:rPr>
          <w:spacing w:val="-2"/>
        </w:rPr>
        <w:t>，主要系咨询服务</w:t>
      </w:r>
      <w:r>
        <w:rPr/>
        <w:t> 费期末余额增加引起，其款项已于</w:t>
      </w:r>
      <w:r>
        <w:rPr>
          <w:rFonts w:ascii="宋体" w:hAnsi="宋体" w:cs="宋体" w:eastAsia="宋体" w:hint="default"/>
        </w:rPr>
        <w:t>2018</w:t>
      </w:r>
      <w:r>
        <w:rPr/>
        <w:t>年</w:t>
      </w:r>
      <w:r>
        <w:rPr>
          <w:rFonts w:ascii="宋体" w:hAnsi="宋体" w:cs="宋体" w:eastAsia="宋体" w:hint="default"/>
        </w:rPr>
        <w:t>1</w:t>
      </w:r>
      <w:r>
        <w:rPr/>
        <w:t>月份支付。</w:t>
      </w:r>
    </w:p>
    <w:p>
      <w:pPr>
        <w:pStyle w:val="BodyText"/>
        <w:spacing w:line="240" w:lineRule="auto" w:before="32"/>
        <w:ind w:left="633" w:right="996"/>
        <w:jc w:val="left"/>
      </w:pPr>
      <w:r>
        <w:rPr/>
        <w:t>②期末余额中无欠持本公司</w:t>
      </w:r>
      <w:r>
        <w:rPr>
          <w:rFonts w:ascii="宋体" w:hAnsi="宋体" w:cs="宋体" w:eastAsia="宋体" w:hint="default"/>
        </w:rPr>
        <w:t>5</w:t>
      </w:r>
      <w:r>
        <w:rPr/>
        <w:t>％以上（含</w:t>
      </w:r>
      <w:r>
        <w:rPr>
          <w:rFonts w:ascii="宋体" w:hAnsi="宋体" w:cs="宋体" w:eastAsia="宋体" w:hint="default"/>
        </w:rPr>
        <w:t>5</w:t>
      </w:r>
      <w:r>
        <w:rPr/>
        <w:t>％）表决权股份的股东单位款项。</w:t>
      </w:r>
    </w:p>
    <w:p>
      <w:pPr>
        <w:spacing w:line="352" w:lineRule="auto" w:before="145"/>
        <w:ind w:left="636" w:right="6913" w:hanging="3"/>
        <w:jc w:val="left"/>
        <w:rPr>
          <w:rFonts w:ascii="宋体" w:hAnsi="宋体" w:cs="宋体" w:eastAsia="宋体" w:hint="default"/>
          <w:sz w:val="24"/>
          <w:szCs w:val="24"/>
        </w:rPr>
      </w:pPr>
      <w:r>
        <w:rPr>
          <w:rFonts w:ascii="宋体" w:hAnsi="宋体" w:cs="宋体" w:eastAsia="宋体" w:hint="default"/>
          <w:sz w:val="24"/>
          <w:szCs w:val="24"/>
        </w:rPr>
        <w:t>③期末余额中无欠关联方款项。 </w:t>
      </w:r>
      <w:bookmarkStart w:name="42、持有待售的负债" w:id="359"/>
      <w:bookmarkEnd w:id="359"/>
      <w:r>
        <w:rPr>
          <w:rFonts w:ascii="宋体" w:hAnsi="宋体" w:cs="宋体" w:eastAsia="宋体" w:hint="default"/>
          <w:sz w:val="24"/>
          <w:szCs w:val="24"/>
        </w:rPr>
      </w:r>
      <w:r>
        <w:rPr>
          <w:rFonts w:ascii="宋体" w:hAnsi="宋体" w:cs="宋体" w:eastAsia="宋体" w:hint="default"/>
          <w:b/>
          <w:bCs/>
          <w:sz w:val="24"/>
          <w:szCs w:val="24"/>
        </w:rPr>
        <w:t>42</w:t>
      </w:r>
      <w:r>
        <w:rPr>
          <w:rFonts w:ascii="宋体" w:hAnsi="宋体" w:cs="宋体" w:eastAsia="宋体" w:hint="default"/>
          <w:b/>
          <w:bCs/>
          <w:sz w:val="24"/>
          <w:szCs w:val="24"/>
        </w:rPr>
        <w:t>、持有待售的负债</w:t>
      </w:r>
      <w:r>
        <w:rPr>
          <w:rFonts w:ascii="宋体" w:hAnsi="宋体" w:cs="宋体" w:eastAsia="宋体" w:hint="default"/>
          <w:sz w:val="24"/>
          <w:szCs w:val="24"/>
        </w:rPr>
      </w:r>
    </w:p>
    <w:p>
      <w:pPr>
        <w:pStyle w:val="BodyText"/>
        <w:spacing w:line="350" w:lineRule="auto" w:before="188"/>
        <w:ind w:left="633" w:right="8833"/>
        <w:jc w:val="left"/>
      </w:pPr>
      <w:r>
        <w:rPr/>
        <w:t>无 其他说明：无</w:t>
      </w:r>
    </w:p>
    <w:p>
      <w:pPr>
        <w:pStyle w:val="Heading2"/>
        <w:spacing w:line="240" w:lineRule="auto" w:before="36"/>
        <w:ind w:right="996"/>
        <w:jc w:val="left"/>
        <w:rPr>
          <w:b w:val="0"/>
          <w:bCs w:val="0"/>
        </w:rPr>
      </w:pPr>
      <w:bookmarkStart w:name="43、一年内到期的非流动负债" w:id="360"/>
      <w:bookmarkEnd w:id="360"/>
      <w:r>
        <w:rPr>
          <w:b w:val="0"/>
          <w:bCs w:val="0"/>
        </w:rPr>
      </w:r>
      <w:r>
        <w:rPr>
          <w:rFonts w:ascii="宋体" w:hAnsi="宋体" w:cs="宋体" w:eastAsia="宋体" w:hint="default"/>
        </w:rPr>
        <w:t>43</w:t>
      </w:r>
      <w:r>
        <w:rPr/>
        <w:t>、一年内到期的非流动负债</w:t>
      </w:r>
      <w:r>
        <w:rPr>
          <w:b w:val="0"/>
          <w:bCs w:val="0"/>
        </w:rPr>
      </w:r>
    </w:p>
    <w:p>
      <w:pPr>
        <w:spacing w:before="199"/>
        <w:ind w:left="0" w:right="1129" w:firstLine="0"/>
        <w:jc w:val="right"/>
        <w:rPr>
          <w:rFonts w:ascii="宋体" w:hAnsi="宋体" w:cs="宋体" w:eastAsia="宋体" w:hint="default"/>
          <w:sz w:val="21"/>
          <w:szCs w:val="21"/>
        </w:rPr>
      </w:pPr>
      <w:r>
        <w:rPr>
          <w:rFonts w:ascii="宋体" w:hAnsi="宋体" w:cs="宋体" w:eastAsia="宋体" w:hint="default"/>
          <w:sz w:val="21"/>
          <w:szCs w:val="21"/>
        </w:rPr>
        <w:t>单位： 元</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1"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11"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11" w:right="0"/>
              <w:jc w:val="left"/>
              <w:rPr>
                <w:rFonts w:ascii="宋体" w:hAnsi="宋体" w:cs="宋体" w:eastAsia="宋体" w:hint="default"/>
                <w:sz w:val="21"/>
                <w:szCs w:val="21"/>
              </w:rPr>
            </w:pPr>
            <w:r>
              <w:rPr>
                <w:rFonts w:ascii="宋体" w:hAnsi="宋体" w:cs="宋体" w:eastAsia="宋体" w:hint="default"/>
                <w:sz w:val="21"/>
                <w:szCs w:val="21"/>
              </w:rPr>
              <w:t>一年内到期的长期借款</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7"/>
              <w:ind w:right="21"/>
              <w:jc w:val="right"/>
              <w:rPr>
                <w:rFonts w:ascii="宋体" w:hAnsi="宋体" w:cs="宋体" w:eastAsia="宋体" w:hint="default"/>
                <w:sz w:val="21"/>
                <w:szCs w:val="21"/>
              </w:rPr>
            </w:pPr>
            <w:r>
              <w:rPr>
                <w:rFonts w:ascii="宋体"/>
                <w:sz w:val="21"/>
              </w:rPr>
              <w:t>50,000,000.00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11" w:right="0"/>
              <w:jc w:val="left"/>
              <w:rPr>
                <w:rFonts w:ascii="宋体" w:hAnsi="宋体" w:cs="宋体" w:eastAsia="宋体" w:hint="default"/>
                <w:sz w:val="21"/>
                <w:szCs w:val="21"/>
              </w:rPr>
            </w:pPr>
            <w:r>
              <w:rPr>
                <w:rFonts w:ascii="宋体" w:hAnsi="宋体" w:cs="宋体" w:eastAsia="宋体" w:hint="default"/>
                <w:sz w:val="21"/>
                <w:szCs w:val="21"/>
              </w:rPr>
              <w:t>一年内到期的应付债券</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7"/>
              <w:ind w:right="20"/>
              <w:jc w:val="right"/>
              <w:rPr>
                <w:rFonts w:ascii="宋体" w:hAnsi="宋体" w:cs="宋体" w:eastAsia="宋体" w:hint="default"/>
                <w:sz w:val="21"/>
                <w:szCs w:val="21"/>
              </w:rPr>
            </w:pPr>
            <w:r>
              <w:rPr>
                <w:rFonts w:ascii="宋体"/>
                <w:sz w:val="21"/>
              </w:rPr>
              <w:t>213,859,109.30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11"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7"/>
              <w:ind w:right="20"/>
              <w:jc w:val="right"/>
              <w:rPr>
                <w:rFonts w:ascii="宋体" w:hAnsi="宋体" w:cs="宋体" w:eastAsia="宋体" w:hint="default"/>
                <w:sz w:val="21"/>
                <w:szCs w:val="21"/>
              </w:rPr>
            </w:pPr>
            <w:r>
              <w:rPr>
                <w:rFonts w:ascii="宋体"/>
                <w:sz w:val="21"/>
              </w:rPr>
              <w:t>263,859,109.30</w:t>
            </w:r>
          </w:p>
        </w:tc>
        <w:tc>
          <w:tcPr>
            <w:tcW w:w="318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0"/>
        <w:rPr>
          <w:rFonts w:ascii="宋体" w:hAnsi="宋体" w:cs="宋体" w:eastAsia="宋体" w:hint="default"/>
          <w:sz w:val="4"/>
          <w:szCs w:val="4"/>
        </w:rPr>
      </w:pPr>
    </w:p>
    <w:p>
      <w:pPr>
        <w:spacing w:line="350" w:lineRule="auto" w:before="26"/>
        <w:ind w:left="633" w:right="8344" w:firstLine="0"/>
        <w:jc w:val="left"/>
        <w:rPr>
          <w:rFonts w:ascii="宋体" w:hAnsi="宋体" w:cs="宋体" w:eastAsia="宋体" w:hint="default"/>
          <w:sz w:val="24"/>
          <w:szCs w:val="24"/>
        </w:rPr>
      </w:pPr>
      <w:r>
        <w:rPr>
          <w:rFonts w:ascii="宋体" w:hAnsi="宋体" w:cs="宋体" w:eastAsia="宋体" w:hint="default"/>
          <w:sz w:val="24"/>
          <w:szCs w:val="24"/>
        </w:rPr>
        <w:t>其他说明：无 </w:t>
      </w:r>
      <w:bookmarkStart w:name="44、其他流动负债" w:id="361"/>
      <w:bookmarkEnd w:id="361"/>
      <w:r>
        <w:rPr>
          <w:rFonts w:ascii="宋体" w:hAnsi="宋体" w:cs="宋体" w:eastAsia="宋体" w:hint="default"/>
          <w:sz w:val="24"/>
          <w:szCs w:val="24"/>
        </w:rPr>
      </w:r>
      <w:r>
        <w:rPr>
          <w:rFonts w:ascii="宋体" w:hAnsi="宋体" w:cs="宋体" w:eastAsia="宋体" w:hint="default"/>
          <w:b/>
          <w:bCs/>
          <w:sz w:val="24"/>
          <w:szCs w:val="24"/>
        </w:rPr>
        <w:t>44</w:t>
      </w:r>
      <w:r>
        <w:rPr>
          <w:rFonts w:ascii="宋体" w:hAnsi="宋体" w:cs="宋体" w:eastAsia="宋体" w:hint="default"/>
          <w:b/>
          <w:bCs/>
          <w:sz w:val="24"/>
          <w:szCs w:val="24"/>
        </w:rPr>
        <w:t>、其他流动负债</w:t>
      </w:r>
      <w:r>
        <w:rPr>
          <w:rFonts w:ascii="宋体" w:hAnsi="宋体" w:cs="宋体" w:eastAsia="宋体" w:hint="default"/>
          <w:sz w:val="24"/>
          <w:szCs w:val="24"/>
        </w:rPr>
      </w:r>
    </w:p>
    <w:p>
      <w:pPr>
        <w:spacing w:line="352" w:lineRule="auto" w:before="191"/>
        <w:ind w:left="633" w:right="8826" w:firstLine="0"/>
        <w:jc w:val="left"/>
        <w:rPr>
          <w:rFonts w:ascii="宋体" w:hAnsi="宋体" w:cs="宋体" w:eastAsia="宋体" w:hint="default"/>
          <w:sz w:val="24"/>
          <w:szCs w:val="24"/>
        </w:rPr>
      </w:pPr>
      <w:r>
        <w:rPr>
          <w:rFonts w:ascii="宋体" w:hAnsi="宋体" w:cs="宋体" w:eastAsia="宋体" w:hint="default"/>
          <w:sz w:val="24"/>
          <w:szCs w:val="24"/>
        </w:rPr>
        <w:t>无 其他说明：无 </w:t>
      </w:r>
      <w:bookmarkStart w:name="45、长期借款" w:id="362"/>
      <w:bookmarkEnd w:id="362"/>
      <w:r>
        <w:rPr>
          <w:rFonts w:ascii="宋体" w:hAnsi="宋体" w:cs="宋体" w:eastAsia="宋体" w:hint="default"/>
          <w:sz w:val="24"/>
          <w:szCs w:val="24"/>
        </w:rPr>
      </w:r>
      <w:r>
        <w:rPr>
          <w:rFonts w:ascii="宋体" w:hAnsi="宋体" w:cs="宋体" w:eastAsia="宋体" w:hint="default"/>
          <w:b/>
          <w:bCs/>
          <w:sz w:val="24"/>
          <w:szCs w:val="24"/>
        </w:rPr>
        <w:t>45</w:t>
      </w:r>
      <w:r>
        <w:rPr>
          <w:rFonts w:ascii="宋体" w:hAnsi="宋体" w:cs="宋体" w:eastAsia="宋体" w:hint="default"/>
          <w:b/>
          <w:bCs/>
          <w:sz w:val="24"/>
          <w:szCs w:val="24"/>
        </w:rPr>
        <w:t>、长期借款</w:t>
      </w:r>
      <w:r>
        <w:rPr>
          <w:rFonts w:ascii="宋体" w:hAnsi="宋体" w:cs="宋体" w:eastAsia="宋体" w:hint="default"/>
          <w:sz w:val="24"/>
          <w:szCs w:val="24"/>
        </w:rPr>
      </w:r>
    </w:p>
    <w:p>
      <w:pPr>
        <w:pStyle w:val="Heading2"/>
        <w:spacing w:line="240" w:lineRule="auto" w:before="189"/>
        <w:ind w:right="996"/>
        <w:jc w:val="left"/>
        <w:rPr>
          <w:b w:val="0"/>
          <w:bCs w:val="0"/>
        </w:rPr>
      </w:pPr>
      <w:bookmarkStart w:name="（1）长期借款分类" w:id="363"/>
      <w:bookmarkEnd w:id="363"/>
      <w:r>
        <w:rPr>
          <w:b w:val="0"/>
          <w:bCs w:val="0"/>
        </w:rPr>
      </w:r>
      <w:r>
        <w:rPr/>
        <w:t>（</w:t>
      </w:r>
      <w:r>
        <w:rPr>
          <w:rFonts w:ascii="宋体" w:hAnsi="宋体" w:cs="宋体" w:eastAsia="宋体" w:hint="default"/>
        </w:rPr>
        <w:t>1</w:t>
      </w:r>
      <w:r>
        <w:rPr/>
        <w:t>）长期借款分类</w:t>
      </w:r>
      <w:r>
        <w:rPr>
          <w:b w:val="0"/>
          <w:bCs w:val="0"/>
        </w:rPr>
      </w:r>
    </w:p>
    <w:p>
      <w:pPr>
        <w:spacing w:line="240" w:lineRule="auto" w:before="9"/>
        <w:rPr>
          <w:rFonts w:ascii="宋体" w:hAnsi="宋体" w:cs="宋体" w:eastAsia="宋体" w:hint="default"/>
          <w:b/>
          <w:bCs/>
          <w:sz w:val="12"/>
          <w:szCs w:val="12"/>
        </w:rPr>
      </w:pPr>
    </w:p>
    <w:p>
      <w:pPr>
        <w:spacing w:before="35"/>
        <w:ind w:left="0" w:right="1129" w:firstLine="0"/>
        <w:jc w:val="right"/>
        <w:rPr>
          <w:rFonts w:ascii="宋体" w:hAnsi="宋体" w:cs="宋体" w:eastAsia="宋体" w:hint="default"/>
          <w:sz w:val="21"/>
          <w:szCs w:val="21"/>
        </w:rPr>
      </w:pPr>
      <w:r>
        <w:rPr>
          <w:rFonts w:ascii="宋体" w:hAnsi="宋体" w:cs="宋体" w:eastAsia="宋体" w:hint="default"/>
          <w:sz w:val="21"/>
          <w:szCs w:val="21"/>
        </w:rPr>
        <w:t>单位： 元</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0" w:right="0"/>
              <w:jc w:val="center"/>
              <w:rPr>
                <w:rFonts w:ascii="宋体" w:hAnsi="宋体" w:cs="宋体" w:eastAsia="宋体" w:hint="default"/>
                <w:sz w:val="21"/>
                <w:szCs w:val="21"/>
              </w:rPr>
            </w:pPr>
            <w:r>
              <w:rPr>
                <w:rFonts w:ascii="宋体" w:hAnsi="宋体" w:cs="宋体" w:eastAsia="宋体" w:hint="default"/>
                <w:sz w:val="21"/>
                <w:szCs w:val="21"/>
              </w:rPr>
              <w:t>期初余额</w:t>
            </w:r>
          </w:p>
        </w:tc>
      </w:tr>
    </w:tbl>
    <w:p>
      <w:pPr>
        <w:spacing w:after="0" w:line="240" w:lineRule="auto"/>
        <w:jc w:val="center"/>
        <w:rPr>
          <w:rFonts w:ascii="宋体" w:hAnsi="宋体" w:cs="宋体" w:eastAsia="宋体" w:hint="default"/>
          <w:sz w:val="21"/>
          <w:szCs w:val="21"/>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38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质押借款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27,000,000.00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信用借款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pacing w:val="-1"/>
                <w:sz w:val="21"/>
              </w:rPr>
              <w:t>100,000,000.00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127,000,000.00</w:t>
            </w:r>
          </w:p>
        </w:tc>
        <w:tc>
          <w:tcPr>
            <w:tcW w:w="318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0"/>
        <w:rPr>
          <w:rFonts w:ascii="宋体" w:hAnsi="宋体" w:cs="宋体" w:eastAsia="宋体" w:hint="default"/>
          <w:sz w:val="4"/>
          <w:szCs w:val="4"/>
        </w:rPr>
      </w:pPr>
    </w:p>
    <w:p>
      <w:pPr>
        <w:pStyle w:val="BodyText"/>
        <w:spacing w:line="352" w:lineRule="auto" w:before="26"/>
        <w:ind w:left="874" w:right="7392"/>
        <w:jc w:val="left"/>
      </w:pPr>
      <w:r>
        <w:rPr/>
        <w:t>长期借款分类的说明：无 其他说明，包括利率区间：</w:t>
      </w:r>
    </w:p>
    <w:p>
      <w:pPr>
        <w:spacing w:before="169"/>
        <w:ind w:left="394" w:right="1117" w:firstLine="0"/>
        <w:jc w:val="left"/>
        <w:rPr>
          <w:rFonts w:ascii="宋体" w:hAnsi="宋体" w:cs="宋体" w:eastAsia="宋体" w:hint="default"/>
          <w:sz w:val="21"/>
          <w:szCs w:val="21"/>
        </w:rPr>
      </w:pPr>
      <w:r>
        <w:rPr>
          <w:rFonts w:ascii="宋体" w:hAnsi="宋体" w:cs="宋体" w:eastAsia="宋体" w:hint="default"/>
          <w:b/>
          <w:bCs/>
          <w:sz w:val="21"/>
          <w:szCs w:val="21"/>
        </w:rPr>
        <w:t>期末长期借款明细如下：</w:t>
      </w:r>
      <w:r>
        <w:rPr>
          <w:rFonts w:ascii="宋体" w:hAnsi="宋体" w:cs="宋体" w:eastAsia="宋体" w:hint="default"/>
          <w:sz w:val="21"/>
          <w:szCs w:val="21"/>
        </w:rPr>
      </w:r>
    </w:p>
    <w:p>
      <w:pPr>
        <w:spacing w:line="240" w:lineRule="auto" w:before="13"/>
        <w:rPr>
          <w:rFonts w:ascii="宋体" w:hAnsi="宋体" w:cs="宋体" w:eastAsia="宋体" w:hint="default"/>
          <w:b/>
          <w:bCs/>
          <w:sz w:val="3"/>
          <w:szCs w:val="3"/>
        </w:rPr>
      </w:pPr>
    </w:p>
    <w:tbl>
      <w:tblPr>
        <w:tblW w:w="0" w:type="auto"/>
        <w:jc w:val="left"/>
        <w:tblInd w:w="104" w:type="dxa"/>
        <w:tblLayout w:type="fixed"/>
        <w:tblCellMar>
          <w:top w:w="0" w:type="dxa"/>
          <w:left w:w="0" w:type="dxa"/>
          <w:bottom w:w="0" w:type="dxa"/>
          <w:right w:w="0" w:type="dxa"/>
        </w:tblCellMar>
        <w:tblLook w:val="01E0"/>
      </w:tblPr>
      <w:tblGrid>
        <w:gridCol w:w="1136"/>
        <w:gridCol w:w="1134"/>
        <w:gridCol w:w="1151"/>
        <w:gridCol w:w="600"/>
        <w:gridCol w:w="801"/>
        <w:gridCol w:w="1614"/>
        <w:gridCol w:w="1505"/>
        <w:gridCol w:w="1702"/>
        <w:gridCol w:w="566"/>
      </w:tblGrid>
      <w:tr>
        <w:trPr>
          <w:trHeight w:val="654" w:hRule="exact"/>
        </w:trPr>
        <w:tc>
          <w:tcPr>
            <w:tcW w:w="113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7"/>
              <w:ind w:right="0"/>
              <w:jc w:val="left"/>
              <w:rPr>
                <w:rFonts w:ascii="宋体" w:hAnsi="宋体" w:cs="宋体" w:eastAsia="宋体" w:hint="default"/>
                <w:b/>
                <w:bCs/>
                <w:sz w:val="16"/>
                <w:szCs w:val="16"/>
              </w:rPr>
            </w:pPr>
          </w:p>
          <w:p>
            <w:pPr>
              <w:pStyle w:val="TableParagraph"/>
              <w:spacing w:line="240" w:lineRule="auto"/>
              <w:ind w:left="142" w:right="0"/>
              <w:jc w:val="left"/>
              <w:rPr>
                <w:rFonts w:ascii="宋体" w:hAnsi="宋体" w:cs="宋体" w:eastAsia="宋体" w:hint="default"/>
                <w:sz w:val="21"/>
                <w:szCs w:val="21"/>
              </w:rPr>
            </w:pPr>
            <w:r>
              <w:rPr>
                <w:rFonts w:ascii="宋体" w:hAnsi="宋体" w:cs="宋体" w:eastAsia="宋体" w:hint="default"/>
                <w:sz w:val="21"/>
                <w:szCs w:val="21"/>
              </w:rPr>
              <w:t>贷款单位</w:t>
            </w:r>
          </w:p>
        </w:tc>
        <w:tc>
          <w:tcPr>
            <w:tcW w:w="113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7"/>
              <w:ind w:right="0"/>
              <w:jc w:val="left"/>
              <w:rPr>
                <w:rFonts w:ascii="宋体" w:hAnsi="宋体" w:cs="宋体" w:eastAsia="宋体" w:hint="default"/>
                <w:b/>
                <w:bCs/>
                <w:sz w:val="16"/>
                <w:szCs w:val="16"/>
              </w:rPr>
            </w:pPr>
          </w:p>
          <w:p>
            <w:pPr>
              <w:pStyle w:val="TableParagraph"/>
              <w:spacing w:line="240" w:lineRule="auto"/>
              <w:ind w:left="37" w:right="0"/>
              <w:jc w:val="left"/>
              <w:rPr>
                <w:rFonts w:ascii="宋体" w:hAnsi="宋体" w:cs="宋体" w:eastAsia="宋体" w:hint="default"/>
                <w:sz w:val="21"/>
                <w:szCs w:val="21"/>
              </w:rPr>
            </w:pPr>
            <w:r>
              <w:rPr>
                <w:rFonts w:ascii="宋体" w:hAnsi="宋体" w:cs="宋体" w:eastAsia="宋体" w:hint="default"/>
                <w:sz w:val="21"/>
                <w:szCs w:val="21"/>
              </w:rPr>
              <w:t>借款起始日</w:t>
            </w:r>
          </w:p>
        </w:tc>
        <w:tc>
          <w:tcPr>
            <w:tcW w:w="115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7"/>
              <w:ind w:right="0"/>
              <w:jc w:val="left"/>
              <w:rPr>
                <w:rFonts w:ascii="宋体" w:hAnsi="宋体" w:cs="宋体" w:eastAsia="宋体" w:hint="default"/>
                <w:b/>
                <w:bCs/>
                <w:sz w:val="16"/>
                <w:szCs w:val="16"/>
              </w:rPr>
            </w:pPr>
          </w:p>
          <w:p>
            <w:pPr>
              <w:pStyle w:val="TableParagraph"/>
              <w:spacing w:line="240" w:lineRule="auto"/>
              <w:ind w:left="44" w:right="0"/>
              <w:jc w:val="left"/>
              <w:rPr>
                <w:rFonts w:ascii="宋体" w:hAnsi="宋体" w:cs="宋体" w:eastAsia="宋体" w:hint="default"/>
                <w:sz w:val="21"/>
                <w:szCs w:val="21"/>
              </w:rPr>
            </w:pPr>
            <w:r>
              <w:rPr>
                <w:rFonts w:ascii="宋体" w:hAnsi="宋体" w:cs="宋体" w:eastAsia="宋体" w:hint="default"/>
                <w:sz w:val="21"/>
                <w:szCs w:val="21"/>
              </w:rPr>
              <w:t>借款终止日</w:t>
            </w:r>
          </w:p>
        </w:tc>
        <w:tc>
          <w:tcPr>
            <w:tcW w:w="60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7"/>
              <w:ind w:right="0"/>
              <w:jc w:val="left"/>
              <w:rPr>
                <w:rFonts w:ascii="宋体" w:hAnsi="宋体" w:cs="宋体" w:eastAsia="宋体" w:hint="default"/>
                <w:b/>
                <w:bCs/>
                <w:sz w:val="16"/>
                <w:szCs w:val="16"/>
              </w:rPr>
            </w:pPr>
          </w:p>
          <w:p>
            <w:pPr>
              <w:pStyle w:val="TableParagraph"/>
              <w:spacing w:line="240" w:lineRule="auto"/>
              <w:ind w:left="83" w:right="0"/>
              <w:jc w:val="left"/>
              <w:rPr>
                <w:rFonts w:ascii="宋体" w:hAnsi="宋体" w:cs="宋体" w:eastAsia="宋体" w:hint="default"/>
                <w:sz w:val="21"/>
                <w:szCs w:val="21"/>
              </w:rPr>
            </w:pPr>
            <w:r>
              <w:rPr>
                <w:rFonts w:ascii="宋体" w:hAnsi="宋体" w:cs="宋体" w:eastAsia="宋体" w:hint="default"/>
                <w:sz w:val="21"/>
                <w:szCs w:val="21"/>
              </w:rPr>
              <w:t>币种</w:t>
            </w:r>
          </w:p>
        </w:tc>
        <w:tc>
          <w:tcPr>
            <w:tcW w:w="80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7"/>
              <w:ind w:right="0"/>
              <w:jc w:val="left"/>
              <w:rPr>
                <w:rFonts w:ascii="宋体" w:hAnsi="宋体" w:cs="宋体" w:eastAsia="宋体" w:hint="default"/>
                <w:b/>
                <w:bCs/>
                <w:sz w:val="16"/>
                <w:szCs w:val="16"/>
              </w:rPr>
            </w:pPr>
          </w:p>
          <w:p>
            <w:pPr>
              <w:pStyle w:val="TableParagraph"/>
              <w:spacing w:line="240" w:lineRule="auto"/>
              <w:ind w:left="27" w:right="0"/>
              <w:jc w:val="left"/>
              <w:rPr>
                <w:rFonts w:ascii="宋体" w:hAnsi="宋体" w:cs="宋体" w:eastAsia="宋体" w:hint="default"/>
                <w:sz w:val="21"/>
                <w:szCs w:val="21"/>
              </w:rPr>
            </w:pPr>
            <w:r>
              <w:rPr>
                <w:rFonts w:ascii="宋体" w:hAnsi="宋体" w:cs="宋体" w:eastAsia="宋体" w:hint="default"/>
                <w:sz w:val="21"/>
                <w:szCs w:val="21"/>
              </w:rPr>
              <w:t>利率</w:t>
            </w:r>
            <w:r>
              <w:rPr>
                <w:rFonts w:ascii="宋体" w:hAnsi="宋体" w:cs="宋体" w:eastAsia="宋体" w:hint="default"/>
                <w:sz w:val="21"/>
                <w:szCs w:val="21"/>
              </w:rPr>
              <w:t>(%)</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1"/>
              <w:jc w:val="center"/>
              <w:rPr>
                <w:rFonts w:ascii="宋体" w:hAnsi="宋体" w:cs="宋体" w:eastAsia="宋体" w:hint="default"/>
                <w:sz w:val="21"/>
                <w:szCs w:val="21"/>
              </w:rPr>
            </w:pPr>
            <w:r>
              <w:rPr>
                <w:rFonts w:ascii="宋体" w:hAnsi="宋体" w:cs="宋体" w:eastAsia="宋体" w:hint="default"/>
                <w:sz w:val="21"/>
                <w:szCs w:val="21"/>
              </w:rPr>
              <w:t>期末借款本金</w:t>
            </w:r>
          </w:p>
        </w:tc>
        <w:tc>
          <w:tcPr>
            <w:tcW w:w="1505"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24"/>
                <w:szCs w:val="24"/>
              </w:rPr>
            </w:pPr>
          </w:p>
          <w:p>
            <w:pPr>
              <w:pStyle w:val="TableParagraph"/>
              <w:spacing w:line="273" w:lineRule="auto"/>
              <w:ind w:left="431" w:right="11" w:hanging="420"/>
              <w:jc w:val="left"/>
              <w:rPr>
                <w:rFonts w:ascii="宋体" w:hAnsi="宋体" w:cs="宋体" w:eastAsia="宋体" w:hint="default"/>
                <w:sz w:val="21"/>
                <w:szCs w:val="21"/>
              </w:rPr>
            </w:pPr>
            <w:r>
              <w:rPr>
                <w:rFonts w:ascii="宋体" w:hAnsi="宋体" w:cs="宋体" w:eastAsia="宋体" w:hint="default"/>
                <w:sz w:val="21"/>
                <w:szCs w:val="21"/>
              </w:rPr>
              <w:t>一年内到期重分 类调整</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68" w:right="66"/>
              <w:jc w:val="left"/>
              <w:rPr>
                <w:rFonts w:ascii="宋体" w:hAnsi="宋体" w:cs="宋体" w:eastAsia="宋体" w:hint="default"/>
                <w:sz w:val="21"/>
                <w:szCs w:val="21"/>
              </w:rPr>
            </w:pPr>
            <w:r>
              <w:rPr>
                <w:rFonts w:ascii="宋体" w:hAnsi="宋体" w:cs="宋体" w:eastAsia="宋体" w:hint="default"/>
                <w:sz w:val="21"/>
                <w:szCs w:val="21"/>
              </w:rPr>
              <w:t>期初 余额</w:t>
            </w:r>
          </w:p>
        </w:tc>
      </w:tr>
      <w:tr>
        <w:trPr>
          <w:trHeight w:val="654" w:hRule="exact"/>
        </w:trPr>
        <w:tc>
          <w:tcPr>
            <w:tcW w:w="1136" w:type="dxa"/>
            <w:vMerge/>
            <w:tcBorders>
              <w:left w:val="single" w:sz="4" w:space="0" w:color="000000"/>
              <w:bottom w:val="single" w:sz="4" w:space="0" w:color="000000"/>
              <w:right w:val="single" w:sz="4" w:space="0" w:color="000000"/>
            </w:tcBorders>
          </w:tcPr>
          <w:p>
            <w:pPr/>
          </w:p>
        </w:tc>
        <w:tc>
          <w:tcPr>
            <w:tcW w:w="1134" w:type="dxa"/>
            <w:vMerge/>
            <w:tcBorders>
              <w:left w:val="single" w:sz="4" w:space="0" w:color="000000"/>
              <w:bottom w:val="single" w:sz="4" w:space="0" w:color="000000"/>
              <w:right w:val="single" w:sz="4" w:space="0" w:color="000000"/>
            </w:tcBorders>
          </w:tcPr>
          <w:p>
            <w:pPr/>
          </w:p>
        </w:tc>
        <w:tc>
          <w:tcPr>
            <w:tcW w:w="1151" w:type="dxa"/>
            <w:vMerge/>
            <w:tcBorders>
              <w:left w:val="single" w:sz="4" w:space="0" w:color="000000"/>
              <w:bottom w:val="single" w:sz="4" w:space="0" w:color="000000"/>
              <w:right w:val="single" w:sz="4" w:space="0" w:color="000000"/>
            </w:tcBorders>
          </w:tcPr>
          <w:p>
            <w:pPr/>
          </w:p>
        </w:tc>
        <w:tc>
          <w:tcPr>
            <w:tcW w:w="600" w:type="dxa"/>
            <w:vMerge/>
            <w:tcBorders>
              <w:left w:val="single" w:sz="4" w:space="0" w:color="000000"/>
              <w:bottom w:val="single" w:sz="4" w:space="0" w:color="000000"/>
              <w:right w:val="single" w:sz="4" w:space="0" w:color="000000"/>
            </w:tcBorders>
          </w:tcPr>
          <w:p>
            <w:pPr/>
          </w:p>
        </w:tc>
        <w:tc>
          <w:tcPr>
            <w:tcW w:w="801" w:type="dxa"/>
            <w:vMerge/>
            <w:tcBorders>
              <w:left w:val="single" w:sz="4" w:space="0" w:color="000000"/>
              <w:bottom w:val="single" w:sz="4" w:space="0" w:color="000000"/>
              <w:right w:val="single" w:sz="4" w:space="0" w:color="000000"/>
            </w:tcBorders>
          </w:tcPr>
          <w:p>
            <w:pP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1"/>
              <w:jc w:val="center"/>
              <w:rPr>
                <w:rFonts w:ascii="宋体" w:hAnsi="宋体" w:cs="宋体" w:eastAsia="宋体" w:hint="default"/>
                <w:sz w:val="21"/>
                <w:szCs w:val="21"/>
              </w:rPr>
            </w:pPr>
            <w:r>
              <w:rPr>
                <w:rFonts w:ascii="宋体" w:hAnsi="宋体" w:cs="宋体" w:eastAsia="宋体" w:hint="default"/>
                <w:sz w:val="21"/>
                <w:szCs w:val="21"/>
              </w:rPr>
              <w:t>本币金额</w:t>
            </w:r>
          </w:p>
        </w:tc>
        <w:tc>
          <w:tcPr>
            <w:tcW w:w="1505" w:type="dxa"/>
            <w:vMerge/>
            <w:tcBorders>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0"/>
              <w:jc w:val="center"/>
              <w:rPr>
                <w:rFonts w:ascii="宋体" w:hAnsi="宋体" w:cs="宋体" w:eastAsia="宋体" w:hint="default"/>
                <w:sz w:val="21"/>
                <w:szCs w:val="21"/>
              </w:rPr>
            </w:pPr>
            <w:r>
              <w:rPr>
                <w:rFonts w:ascii="宋体" w:hAnsi="宋体" w:cs="宋体" w:eastAsia="宋体" w:hint="default"/>
                <w:sz w:val="21"/>
                <w:szCs w:val="21"/>
              </w:rPr>
              <w:t>本币金额</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68" w:right="66"/>
              <w:jc w:val="left"/>
              <w:rPr>
                <w:rFonts w:ascii="宋体" w:hAnsi="宋体" w:cs="宋体" w:eastAsia="宋体" w:hint="default"/>
                <w:sz w:val="21"/>
                <w:szCs w:val="21"/>
              </w:rPr>
            </w:pPr>
            <w:r>
              <w:rPr>
                <w:rFonts w:ascii="宋体" w:hAnsi="宋体" w:cs="宋体" w:eastAsia="宋体" w:hint="default"/>
                <w:sz w:val="21"/>
                <w:szCs w:val="21"/>
              </w:rPr>
              <w:t>本币 金额</w:t>
            </w:r>
          </w:p>
        </w:tc>
      </w:tr>
      <w:tr>
        <w:trPr>
          <w:trHeight w:val="654"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0"/>
              <w:jc w:val="center"/>
              <w:rPr>
                <w:rFonts w:ascii="宋体" w:hAnsi="宋体" w:cs="宋体" w:eastAsia="宋体" w:hint="default"/>
                <w:sz w:val="21"/>
                <w:szCs w:val="21"/>
              </w:rPr>
            </w:pPr>
            <w:r>
              <w:rPr>
                <w:rFonts w:ascii="宋体" w:hAnsi="宋体" w:cs="宋体" w:eastAsia="宋体" w:hint="default"/>
                <w:sz w:val="21"/>
                <w:szCs w:val="21"/>
              </w:rPr>
              <w:t>民生银行</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87"/>
              <w:jc w:val="right"/>
              <w:rPr>
                <w:rFonts w:ascii="宋体" w:hAnsi="宋体" w:cs="宋体" w:eastAsia="宋体" w:hint="default"/>
                <w:sz w:val="21"/>
                <w:szCs w:val="21"/>
              </w:rPr>
            </w:pPr>
            <w:r>
              <w:rPr>
                <w:rFonts w:ascii="宋体"/>
                <w:sz w:val="21"/>
              </w:rPr>
              <w:t>2017/4/21</w:t>
            </w:r>
          </w:p>
        </w:tc>
        <w:tc>
          <w:tcPr>
            <w:tcW w:w="1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1"/>
              <w:jc w:val="center"/>
              <w:rPr>
                <w:rFonts w:ascii="宋体" w:hAnsi="宋体" w:cs="宋体" w:eastAsia="宋体" w:hint="default"/>
                <w:sz w:val="21"/>
                <w:szCs w:val="21"/>
              </w:rPr>
            </w:pPr>
            <w:r>
              <w:rPr>
                <w:rFonts w:ascii="宋体"/>
                <w:sz w:val="21"/>
              </w:rPr>
              <w:t>2020/4/17</w:t>
            </w:r>
          </w:p>
        </w:tc>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89" w:right="84" w:hanging="106"/>
              <w:jc w:val="left"/>
              <w:rPr>
                <w:rFonts w:ascii="宋体" w:hAnsi="宋体" w:cs="宋体" w:eastAsia="宋体" w:hint="default"/>
                <w:sz w:val="21"/>
                <w:szCs w:val="21"/>
              </w:rPr>
            </w:pPr>
            <w:r>
              <w:rPr>
                <w:rFonts w:ascii="宋体" w:hAnsi="宋体" w:cs="宋体" w:eastAsia="宋体" w:hint="default"/>
                <w:sz w:val="21"/>
                <w:szCs w:val="21"/>
              </w:rPr>
              <w:t>人民 币</w:t>
            </w:r>
          </w:p>
        </w:tc>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0"/>
              <w:jc w:val="center"/>
              <w:rPr>
                <w:rFonts w:ascii="宋体" w:hAnsi="宋体" w:cs="宋体" w:eastAsia="宋体" w:hint="default"/>
                <w:sz w:val="21"/>
                <w:szCs w:val="21"/>
              </w:rPr>
            </w:pPr>
            <w:r>
              <w:rPr>
                <w:rFonts w:ascii="宋体"/>
                <w:sz w:val="21"/>
              </w:rPr>
              <w:t>4.997%</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1"/>
              <w:jc w:val="center"/>
              <w:rPr>
                <w:rFonts w:ascii="宋体" w:hAnsi="宋体" w:cs="宋体" w:eastAsia="宋体" w:hint="default"/>
                <w:sz w:val="21"/>
                <w:szCs w:val="21"/>
              </w:rPr>
            </w:pPr>
            <w:r>
              <w:rPr>
                <w:rFonts w:ascii="宋体"/>
                <w:sz w:val="21"/>
              </w:rPr>
              <w:t>27,000,000.00</w:t>
            </w:r>
          </w:p>
        </w:tc>
        <w:tc>
          <w:tcPr>
            <w:tcW w:w="1505"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0"/>
              <w:jc w:val="center"/>
              <w:rPr>
                <w:rFonts w:ascii="宋体" w:hAnsi="宋体" w:cs="宋体" w:eastAsia="宋体" w:hint="default"/>
                <w:sz w:val="21"/>
                <w:szCs w:val="21"/>
              </w:rPr>
            </w:pPr>
            <w:r>
              <w:rPr>
                <w:rFonts w:ascii="宋体"/>
                <w:sz w:val="21"/>
              </w:rPr>
              <w:t>27,000,000.00</w:t>
            </w:r>
          </w:p>
        </w:tc>
        <w:tc>
          <w:tcPr>
            <w:tcW w:w="566" w:type="dxa"/>
            <w:tcBorders>
              <w:top w:val="single" w:sz="4" w:space="0" w:color="000000"/>
              <w:left w:val="single" w:sz="4" w:space="0" w:color="000000"/>
              <w:bottom w:val="single" w:sz="4" w:space="0" w:color="000000"/>
              <w:right w:val="single" w:sz="4" w:space="0" w:color="000000"/>
            </w:tcBorders>
          </w:tcPr>
          <w:p>
            <w:pPr/>
          </w:p>
        </w:tc>
      </w:tr>
      <w:tr>
        <w:trPr>
          <w:trHeight w:val="654"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0"/>
              <w:jc w:val="center"/>
              <w:rPr>
                <w:rFonts w:ascii="宋体" w:hAnsi="宋体" w:cs="宋体" w:eastAsia="宋体" w:hint="default"/>
                <w:sz w:val="21"/>
                <w:szCs w:val="21"/>
              </w:rPr>
            </w:pPr>
            <w:r>
              <w:rPr>
                <w:rFonts w:ascii="宋体" w:hAnsi="宋体" w:cs="宋体" w:eastAsia="宋体" w:hint="default"/>
                <w:sz w:val="21"/>
                <w:szCs w:val="21"/>
              </w:rPr>
              <w:t>招商银行</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35"/>
              <w:jc w:val="right"/>
              <w:rPr>
                <w:rFonts w:ascii="宋体" w:hAnsi="宋体" w:cs="宋体" w:eastAsia="宋体" w:hint="default"/>
                <w:sz w:val="21"/>
                <w:szCs w:val="21"/>
              </w:rPr>
            </w:pPr>
            <w:r>
              <w:rPr>
                <w:rFonts w:ascii="宋体"/>
                <w:sz w:val="21"/>
              </w:rPr>
              <w:t>2017/12/22</w:t>
            </w:r>
          </w:p>
        </w:tc>
        <w:tc>
          <w:tcPr>
            <w:tcW w:w="1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0"/>
              <w:jc w:val="center"/>
              <w:rPr>
                <w:rFonts w:ascii="宋体" w:hAnsi="宋体" w:cs="宋体" w:eastAsia="宋体" w:hint="default"/>
                <w:sz w:val="21"/>
                <w:szCs w:val="21"/>
              </w:rPr>
            </w:pPr>
            <w:r>
              <w:rPr>
                <w:rFonts w:ascii="宋体"/>
                <w:sz w:val="21"/>
              </w:rPr>
              <w:t>2020/12/19</w:t>
            </w:r>
          </w:p>
        </w:tc>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89" w:right="84" w:hanging="106"/>
              <w:jc w:val="left"/>
              <w:rPr>
                <w:rFonts w:ascii="宋体" w:hAnsi="宋体" w:cs="宋体" w:eastAsia="宋体" w:hint="default"/>
                <w:sz w:val="21"/>
                <w:szCs w:val="21"/>
              </w:rPr>
            </w:pPr>
            <w:r>
              <w:rPr>
                <w:rFonts w:ascii="宋体" w:hAnsi="宋体" w:cs="宋体" w:eastAsia="宋体" w:hint="default"/>
                <w:sz w:val="21"/>
                <w:szCs w:val="21"/>
              </w:rPr>
              <w:t>人民 币</w:t>
            </w:r>
          </w:p>
        </w:tc>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0"/>
              <w:jc w:val="center"/>
              <w:rPr>
                <w:rFonts w:ascii="宋体" w:hAnsi="宋体" w:cs="宋体" w:eastAsia="宋体" w:hint="default"/>
                <w:sz w:val="21"/>
                <w:szCs w:val="21"/>
              </w:rPr>
            </w:pPr>
            <w:r>
              <w:rPr>
                <w:rFonts w:ascii="宋体"/>
                <w:sz w:val="21"/>
              </w:rPr>
              <w:t>5.500%</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0"/>
              <w:jc w:val="center"/>
              <w:rPr>
                <w:rFonts w:ascii="宋体" w:hAnsi="宋体" w:cs="宋体" w:eastAsia="宋体" w:hint="default"/>
                <w:sz w:val="21"/>
                <w:szCs w:val="21"/>
              </w:rPr>
            </w:pPr>
            <w:r>
              <w:rPr>
                <w:rFonts w:ascii="宋体"/>
                <w:sz w:val="21"/>
              </w:rPr>
              <w:t>150,000,000.00</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0"/>
              <w:jc w:val="center"/>
              <w:rPr>
                <w:rFonts w:ascii="宋体" w:hAnsi="宋体" w:cs="宋体" w:eastAsia="宋体" w:hint="default"/>
                <w:sz w:val="21"/>
                <w:szCs w:val="21"/>
              </w:rPr>
            </w:pPr>
            <w:r>
              <w:rPr>
                <w:rFonts w:ascii="宋体"/>
                <w:sz w:val="21"/>
              </w:rPr>
              <w:t>50,000,000.00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1"/>
              <w:jc w:val="center"/>
              <w:rPr>
                <w:rFonts w:ascii="宋体" w:hAnsi="宋体" w:cs="宋体" w:eastAsia="宋体" w:hint="default"/>
                <w:sz w:val="21"/>
                <w:szCs w:val="21"/>
              </w:rPr>
            </w:pPr>
            <w:r>
              <w:rPr>
                <w:rFonts w:ascii="宋体"/>
                <w:sz w:val="21"/>
              </w:rPr>
              <w:t>100,000,000.00</w:t>
            </w:r>
          </w:p>
        </w:tc>
        <w:tc>
          <w:tcPr>
            <w:tcW w:w="566"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51" w:type="dxa"/>
            <w:tcBorders>
              <w:top w:val="single" w:sz="4" w:space="0" w:color="000000"/>
              <w:left w:val="single" w:sz="4" w:space="0" w:color="000000"/>
              <w:bottom w:val="single" w:sz="4" w:space="0" w:color="000000"/>
              <w:right w:val="single" w:sz="4" w:space="0" w:color="000000"/>
            </w:tcBorders>
          </w:tcPr>
          <w:p>
            <w:pPr/>
          </w:p>
        </w:tc>
        <w:tc>
          <w:tcPr>
            <w:tcW w:w="600" w:type="dxa"/>
            <w:tcBorders>
              <w:top w:val="single" w:sz="4" w:space="0" w:color="000000"/>
              <w:left w:val="single" w:sz="4" w:space="0" w:color="000000"/>
              <w:bottom w:val="single" w:sz="4" w:space="0" w:color="000000"/>
              <w:right w:val="single" w:sz="4" w:space="0" w:color="000000"/>
            </w:tcBorders>
          </w:tcPr>
          <w:p>
            <w:pPr/>
          </w:p>
        </w:tc>
        <w:tc>
          <w:tcPr>
            <w:tcW w:w="801" w:type="dxa"/>
            <w:tcBorders>
              <w:top w:val="single" w:sz="4" w:space="0" w:color="000000"/>
              <w:left w:val="single" w:sz="4" w:space="0" w:color="000000"/>
              <w:bottom w:val="single" w:sz="4" w:space="0" w:color="000000"/>
              <w:right w:val="single" w:sz="4" w:space="0" w:color="000000"/>
            </w:tcBorders>
          </w:tcPr>
          <w:p>
            <w:pP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0"/>
              <w:jc w:val="center"/>
              <w:rPr>
                <w:rFonts w:ascii="宋体" w:hAnsi="宋体" w:cs="宋体" w:eastAsia="宋体" w:hint="default"/>
                <w:sz w:val="21"/>
                <w:szCs w:val="21"/>
              </w:rPr>
            </w:pPr>
            <w:r>
              <w:rPr>
                <w:rFonts w:ascii="宋体"/>
                <w:sz w:val="21"/>
              </w:rPr>
              <w:t>177,000,000.00</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0"/>
              <w:jc w:val="center"/>
              <w:rPr>
                <w:rFonts w:ascii="宋体" w:hAnsi="宋体" w:cs="宋体" w:eastAsia="宋体" w:hint="default"/>
                <w:sz w:val="21"/>
                <w:szCs w:val="21"/>
              </w:rPr>
            </w:pPr>
            <w:r>
              <w:rPr>
                <w:rFonts w:ascii="宋体"/>
                <w:sz w:val="21"/>
              </w:rPr>
              <w:t>50,000,000.00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1"/>
              <w:jc w:val="center"/>
              <w:rPr>
                <w:rFonts w:ascii="宋体" w:hAnsi="宋体" w:cs="宋体" w:eastAsia="宋体" w:hint="default"/>
                <w:sz w:val="21"/>
                <w:szCs w:val="21"/>
              </w:rPr>
            </w:pPr>
            <w:r>
              <w:rPr>
                <w:rFonts w:ascii="宋体"/>
                <w:sz w:val="21"/>
              </w:rPr>
              <w:t>127,000,000.00</w:t>
            </w:r>
          </w:p>
        </w:tc>
        <w:tc>
          <w:tcPr>
            <w:tcW w:w="56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0"/>
        <w:rPr>
          <w:rFonts w:ascii="宋体" w:hAnsi="宋体" w:cs="宋体" w:eastAsia="宋体" w:hint="default"/>
          <w:b/>
          <w:bCs/>
          <w:sz w:val="4"/>
          <w:szCs w:val="4"/>
        </w:rPr>
      </w:pPr>
    </w:p>
    <w:p>
      <w:pPr>
        <w:pStyle w:val="Heading2"/>
        <w:spacing w:line="240" w:lineRule="auto"/>
        <w:ind w:left="876" w:right="1117"/>
        <w:jc w:val="left"/>
        <w:rPr>
          <w:b w:val="0"/>
          <w:bCs w:val="0"/>
        </w:rPr>
      </w:pPr>
      <w:bookmarkStart w:name="46、应付债券" w:id="364"/>
      <w:bookmarkEnd w:id="364"/>
      <w:r>
        <w:rPr>
          <w:b w:val="0"/>
          <w:bCs w:val="0"/>
        </w:rPr>
      </w:r>
      <w:r>
        <w:rPr>
          <w:rFonts w:ascii="宋体" w:hAnsi="宋体" w:cs="宋体" w:eastAsia="宋体" w:hint="default"/>
        </w:rPr>
        <w:t>46</w:t>
      </w:r>
      <w:r>
        <w:rPr/>
        <w:t>、应付债券</w:t>
      </w:r>
      <w:r>
        <w:rPr>
          <w:b w:val="0"/>
          <w:bCs w:val="0"/>
        </w:rPr>
      </w:r>
    </w:p>
    <w:p>
      <w:pPr>
        <w:spacing w:line="240" w:lineRule="auto" w:before="2"/>
        <w:rPr>
          <w:rFonts w:ascii="宋体" w:hAnsi="宋体" w:cs="宋体" w:eastAsia="宋体" w:hint="default"/>
          <w:b/>
          <w:bCs/>
          <w:sz w:val="23"/>
          <w:szCs w:val="23"/>
        </w:rPr>
      </w:pPr>
    </w:p>
    <w:p>
      <w:pPr>
        <w:pStyle w:val="Heading2"/>
        <w:spacing w:line="240" w:lineRule="auto" w:before="0"/>
        <w:ind w:left="876" w:right="1117"/>
        <w:jc w:val="left"/>
        <w:rPr>
          <w:b w:val="0"/>
          <w:bCs w:val="0"/>
        </w:rPr>
      </w:pPr>
      <w:bookmarkStart w:name="（1）应付债券" w:id="365"/>
      <w:bookmarkEnd w:id="365"/>
      <w:r>
        <w:rPr>
          <w:b w:val="0"/>
          <w:bCs w:val="0"/>
        </w:rPr>
      </w:r>
      <w:r>
        <w:rPr/>
        <w:t>（</w:t>
      </w:r>
      <w:r>
        <w:rPr>
          <w:rFonts w:ascii="宋体" w:hAnsi="宋体" w:cs="宋体" w:eastAsia="宋体" w:hint="default"/>
        </w:rPr>
        <w:t>1</w:t>
      </w:r>
      <w:r>
        <w:rPr/>
        <w:t>）应付债券</w:t>
      </w:r>
      <w:r>
        <w:rPr>
          <w:b w:val="0"/>
          <w:bCs w:val="0"/>
        </w:rPr>
      </w:r>
    </w:p>
    <w:p>
      <w:pPr>
        <w:spacing w:line="240" w:lineRule="auto" w:before="8"/>
        <w:rPr>
          <w:rFonts w:ascii="宋体" w:hAnsi="宋体" w:cs="宋体" w:eastAsia="宋体" w:hint="default"/>
          <w:b/>
          <w:bCs/>
          <w:sz w:val="12"/>
          <w:szCs w:val="12"/>
        </w:rPr>
      </w:pPr>
    </w:p>
    <w:p>
      <w:pPr>
        <w:spacing w:before="35"/>
        <w:ind w:left="0" w:right="1129" w:firstLine="0"/>
        <w:jc w:val="right"/>
        <w:rPr>
          <w:rFonts w:ascii="宋体" w:hAnsi="宋体" w:cs="宋体" w:eastAsia="宋体" w:hint="default"/>
          <w:sz w:val="21"/>
          <w:szCs w:val="21"/>
        </w:rPr>
      </w:pPr>
      <w:r>
        <w:rPr>
          <w:rFonts w:ascii="宋体" w:hAnsi="宋体" w:cs="宋体" w:eastAsia="宋体" w:hint="default"/>
          <w:sz w:val="21"/>
          <w:szCs w:val="21"/>
        </w:rPr>
        <w:t>单位： 元</w:t>
      </w:r>
    </w:p>
    <w:p>
      <w:pPr>
        <w:spacing w:line="240" w:lineRule="auto" w:before="13"/>
        <w:rPr>
          <w:rFonts w:ascii="宋体" w:hAnsi="宋体" w:cs="宋体" w:eastAsia="宋体" w:hint="default"/>
          <w:sz w:val="6"/>
          <w:szCs w:val="6"/>
        </w:rPr>
      </w:pPr>
    </w:p>
    <w:tbl>
      <w:tblPr>
        <w:tblW w:w="0" w:type="auto"/>
        <w:jc w:val="left"/>
        <w:tblInd w:w="38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其他应付债券</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9"/>
              <w:jc w:val="right"/>
              <w:rPr>
                <w:rFonts w:ascii="宋体" w:hAnsi="宋体" w:cs="宋体" w:eastAsia="宋体" w:hint="default"/>
                <w:sz w:val="21"/>
                <w:szCs w:val="21"/>
              </w:rPr>
            </w:pPr>
            <w:r>
              <w:rPr>
                <w:rFonts w:ascii="宋体"/>
                <w:sz w:val="21"/>
              </w:rPr>
              <w:t>249,048,721.03</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9"/>
              <w:jc w:val="right"/>
              <w:rPr>
                <w:rFonts w:ascii="宋体" w:hAnsi="宋体" w:cs="宋体" w:eastAsia="宋体" w:hint="default"/>
                <w:sz w:val="21"/>
                <w:szCs w:val="21"/>
              </w:rPr>
            </w:pPr>
            <w:r>
              <w:rPr>
                <w:rFonts w:ascii="宋体"/>
                <w:sz w:val="21"/>
              </w:rPr>
              <w:t>249,048,721.03</w:t>
            </w:r>
          </w:p>
        </w:tc>
      </w:tr>
    </w:tbl>
    <w:p>
      <w:pPr>
        <w:spacing w:line="240" w:lineRule="auto" w:before="10"/>
        <w:rPr>
          <w:rFonts w:ascii="宋体" w:hAnsi="宋体" w:cs="宋体" w:eastAsia="宋体" w:hint="default"/>
          <w:sz w:val="4"/>
          <w:szCs w:val="4"/>
        </w:rPr>
      </w:pPr>
    </w:p>
    <w:p>
      <w:pPr>
        <w:pStyle w:val="Heading2"/>
        <w:spacing w:line="240" w:lineRule="auto"/>
        <w:ind w:left="876" w:right="0"/>
        <w:jc w:val="left"/>
        <w:rPr>
          <w:b w:val="0"/>
          <w:bCs w:val="0"/>
        </w:rPr>
      </w:pPr>
      <w:bookmarkStart w:name="（2）应付债券的增减变动（不包括划分为金融负债的优先股、永续债等其他金融工具）" w:id="366"/>
      <w:bookmarkEnd w:id="366"/>
      <w:r>
        <w:rPr>
          <w:b w:val="0"/>
          <w:bCs w:val="0"/>
        </w:rPr>
      </w:r>
      <w:r>
        <w:rPr/>
        <w:t>（</w:t>
      </w:r>
      <w:r>
        <w:rPr>
          <w:rFonts w:ascii="宋体" w:hAnsi="宋体" w:cs="宋体" w:eastAsia="宋体" w:hint="default"/>
        </w:rPr>
        <w:t>2</w:t>
      </w:r>
      <w:r>
        <w:rPr/>
        <w:t>）应付债券的增减变动（不包括划分为金融负债的优先股、永续债等其他金融工具）</w:t>
      </w:r>
      <w:r>
        <w:rPr>
          <w:b w:val="0"/>
          <w:bCs w:val="0"/>
        </w:rPr>
      </w:r>
    </w:p>
    <w:p>
      <w:pPr>
        <w:spacing w:before="199"/>
        <w:ind w:left="0" w:right="1129" w:firstLine="0"/>
        <w:jc w:val="right"/>
        <w:rPr>
          <w:rFonts w:ascii="宋体" w:hAnsi="宋体" w:cs="宋体" w:eastAsia="宋体" w:hint="default"/>
          <w:sz w:val="21"/>
          <w:szCs w:val="21"/>
        </w:rPr>
      </w:pPr>
      <w:r>
        <w:rPr>
          <w:rFonts w:ascii="宋体" w:hAnsi="宋体" w:cs="宋体" w:eastAsia="宋体" w:hint="default"/>
          <w:sz w:val="21"/>
          <w:szCs w:val="21"/>
        </w:rPr>
        <w:t>单位： 元</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1355"/>
        <w:gridCol w:w="991"/>
        <w:gridCol w:w="956"/>
        <w:gridCol w:w="640"/>
        <w:gridCol w:w="1061"/>
        <w:gridCol w:w="1134"/>
        <w:gridCol w:w="992"/>
        <w:gridCol w:w="851"/>
        <w:gridCol w:w="992"/>
        <w:gridCol w:w="1134"/>
      </w:tblGrid>
      <w:tr>
        <w:trPr>
          <w:trHeight w:val="162" w:hRule="exact"/>
        </w:trPr>
        <w:tc>
          <w:tcPr>
            <w:tcW w:w="1355" w:type="dxa"/>
            <w:tcBorders>
              <w:top w:val="single" w:sz="4" w:space="0" w:color="000000"/>
              <w:left w:val="single" w:sz="4" w:space="0" w:color="000000"/>
              <w:bottom w:val="nil" w:sz="6" w:space="0" w:color="auto"/>
              <w:right w:val="single" w:sz="4" w:space="0" w:color="000000"/>
            </w:tcBorders>
            <w:shd w:val="clear" w:color="auto" w:fill="D2D2D2"/>
          </w:tcPr>
          <w:p>
            <w:pPr/>
          </w:p>
        </w:tc>
        <w:tc>
          <w:tcPr>
            <w:tcW w:w="991" w:type="dxa"/>
            <w:tcBorders>
              <w:top w:val="single" w:sz="4" w:space="0" w:color="000000"/>
              <w:left w:val="single" w:sz="4" w:space="0" w:color="000000"/>
              <w:bottom w:val="nil" w:sz="6" w:space="0" w:color="auto"/>
              <w:right w:val="single" w:sz="4" w:space="0" w:color="000000"/>
            </w:tcBorders>
            <w:shd w:val="clear" w:color="auto" w:fill="D2D2D2"/>
          </w:tcPr>
          <w:p>
            <w:pPr/>
          </w:p>
        </w:tc>
        <w:tc>
          <w:tcPr>
            <w:tcW w:w="956" w:type="dxa"/>
            <w:tcBorders>
              <w:top w:val="single" w:sz="4" w:space="0" w:color="000000"/>
              <w:left w:val="single" w:sz="4" w:space="0" w:color="000000"/>
              <w:bottom w:val="nil" w:sz="6" w:space="0" w:color="auto"/>
              <w:right w:val="single" w:sz="4" w:space="0" w:color="000000"/>
            </w:tcBorders>
            <w:shd w:val="clear" w:color="auto" w:fill="D2D2D2"/>
          </w:tcPr>
          <w:p>
            <w:pPr/>
          </w:p>
        </w:tc>
        <w:tc>
          <w:tcPr>
            <w:tcW w:w="640"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27"/>
              <w:ind w:left="104" w:right="103"/>
              <w:jc w:val="left"/>
              <w:rPr>
                <w:rFonts w:ascii="宋体" w:hAnsi="宋体" w:cs="宋体" w:eastAsia="宋体" w:hint="default"/>
                <w:sz w:val="21"/>
                <w:szCs w:val="21"/>
              </w:rPr>
            </w:pPr>
            <w:r>
              <w:rPr>
                <w:rFonts w:ascii="宋体" w:hAnsi="宋体" w:cs="宋体" w:eastAsia="宋体" w:hint="default"/>
                <w:sz w:val="21"/>
                <w:szCs w:val="21"/>
              </w:rPr>
              <w:t>债券 期限</w:t>
            </w:r>
          </w:p>
        </w:tc>
        <w:tc>
          <w:tcPr>
            <w:tcW w:w="1061" w:type="dxa"/>
            <w:tcBorders>
              <w:top w:val="single" w:sz="4" w:space="0" w:color="000000"/>
              <w:left w:val="single" w:sz="4" w:space="0" w:color="000000"/>
              <w:bottom w:val="nil" w:sz="6" w:space="0" w:color="auto"/>
              <w:right w:val="single" w:sz="4" w:space="0" w:color="000000"/>
            </w:tcBorders>
            <w:shd w:val="clear" w:color="auto" w:fill="D2D2D2"/>
          </w:tcPr>
          <w:p>
            <w:pPr/>
          </w:p>
        </w:tc>
        <w:tc>
          <w:tcPr>
            <w:tcW w:w="1134" w:type="dxa"/>
            <w:tcBorders>
              <w:top w:val="single" w:sz="4" w:space="0" w:color="000000"/>
              <w:left w:val="single" w:sz="4" w:space="0" w:color="000000"/>
              <w:bottom w:val="nil" w:sz="6" w:space="0" w:color="auto"/>
              <w:right w:val="single" w:sz="4" w:space="0" w:color="000000"/>
            </w:tcBorders>
            <w:shd w:val="clear" w:color="auto" w:fill="D2D2D2"/>
          </w:tcPr>
          <w:p>
            <w:pPr/>
          </w:p>
        </w:tc>
        <w:tc>
          <w:tcPr>
            <w:tcW w:w="992"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27"/>
              <w:ind w:left="176" w:right="68" w:hanging="105"/>
              <w:jc w:val="left"/>
              <w:rPr>
                <w:rFonts w:ascii="宋体" w:hAnsi="宋体" w:cs="宋体" w:eastAsia="宋体" w:hint="default"/>
                <w:sz w:val="21"/>
                <w:szCs w:val="21"/>
              </w:rPr>
            </w:pPr>
            <w:r>
              <w:rPr>
                <w:rFonts w:ascii="宋体" w:hAnsi="宋体" w:cs="宋体" w:eastAsia="宋体" w:hint="default"/>
                <w:sz w:val="21"/>
                <w:szCs w:val="21"/>
              </w:rPr>
              <w:t>按面值计 提利息</w:t>
            </w:r>
          </w:p>
        </w:tc>
        <w:tc>
          <w:tcPr>
            <w:tcW w:w="851"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27"/>
              <w:ind w:left="210" w:right="103" w:hanging="105"/>
              <w:jc w:val="left"/>
              <w:rPr>
                <w:rFonts w:ascii="宋体" w:hAnsi="宋体" w:cs="宋体" w:eastAsia="宋体" w:hint="default"/>
                <w:sz w:val="21"/>
                <w:szCs w:val="21"/>
              </w:rPr>
            </w:pPr>
            <w:r>
              <w:rPr>
                <w:rFonts w:ascii="宋体" w:hAnsi="宋体" w:cs="宋体" w:eastAsia="宋体" w:hint="default"/>
                <w:sz w:val="21"/>
                <w:szCs w:val="21"/>
              </w:rPr>
              <w:t>溢折价 摊销</w:t>
            </w:r>
          </w:p>
        </w:tc>
        <w:tc>
          <w:tcPr>
            <w:tcW w:w="992" w:type="dxa"/>
            <w:tcBorders>
              <w:top w:val="single" w:sz="4" w:space="0" w:color="000000"/>
              <w:left w:val="single" w:sz="4" w:space="0" w:color="000000"/>
              <w:bottom w:val="nil" w:sz="6" w:space="0" w:color="auto"/>
              <w:right w:val="single" w:sz="4" w:space="0" w:color="000000"/>
            </w:tcBorders>
            <w:shd w:val="clear" w:color="auto" w:fill="D2D2D2"/>
          </w:tcPr>
          <w:p>
            <w:pPr/>
          </w:p>
        </w:tc>
        <w:tc>
          <w:tcPr>
            <w:tcW w:w="113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135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6"/>
              <w:ind w:right="12"/>
              <w:jc w:val="center"/>
              <w:rPr>
                <w:rFonts w:ascii="宋体" w:hAnsi="宋体" w:cs="宋体" w:eastAsia="宋体" w:hint="default"/>
                <w:sz w:val="21"/>
                <w:szCs w:val="21"/>
              </w:rPr>
            </w:pPr>
            <w:r>
              <w:rPr>
                <w:rFonts w:ascii="宋体" w:hAnsi="宋体" w:cs="宋体" w:eastAsia="宋体" w:hint="default"/>
                <w:sz w:val="21"/>
                <w:szCs w:val="21"/>
              </w:rPr>
              <w:t>债券名称</w:t>
            </w:r>
          </w:p>
        </w:tc>
        <w:tc>
          <w:tcPr>
            <w:tcW w:w="99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面值</w:t>
            </w:r>
          </w:p>
        </w:tc>
        <w:tc>
          <w:tcPr>
            <w:tcW w:w="95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发行日期</w:t>
            </w:r>
          </w:p>
        </w:tc>
        <w:tc>
          <w:tcPr>
            <w:tcW w:w="640" w:type="dxa"/>
            <w:vMerge/>
            <w:tcBorders>
              <w:left w:val="single" w:sz="4" w:space="0" w:color="000000"/>
              <w:right w:val="single" w:sz="4" w:space="0" w:color="000000"/>
            </w:tcBorders>
            <w:shd w:val="clear" w:color="auto" w:fill="D2D2D2"/>
          </w:tcPr>
          <w:p>
            <w:pPr/>
          </w:p>
        </w:tc>
        <w:tc>
          <w:tcPr>
            <w:tcW w:w="106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6"/>
              <w:ind w:left="105" w:right="0"/>
              <w:jc w:val="left"/>
              <w:rPr>
                <w:rFonts w:ascii="宋体" w:hAnsi="宋体" w:cs="宋体" w:eastAsia="宋体" w:hint="default"/>
                <w:sz w:val="21"/>
                <w:szCs w:val="21"/>
              </w:rPr>
            </w:pPr>
            <w:r>
              <w:rPr>
                <w:rFonts w:ascii="宋体" w:hAnsi="宋体" w:cs="宋体" w:eastAsia="宋体" w:hint="default"/>
                <w:sz w:val="21"/>
                <w:szCs w:val="21"/>
              </w:rPr>
              <w:t>发行金额</w:t>
            </w:r>
          </w:p>
        </w:tc>
        <w:tc>
          <w:tcPr>
            <w:tcW w:w="113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6"/>
              <w:ind w:left="142"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992" w:type="dxa"/>
            <w:vMerge/>
            <w:tcBorders>
              <w:left w:val="single" w:sz="4" w:space="0" w:color="000000"/>
              <w:right w:val="single" w:sz="4" w:space="0" w:color="000000"/>
            </w:tcBorders>
            <w:shd w:val="clear" w:color="auto" w:fill="D2D2D2"/>
          </w:tcPr>
          <w:p>
            <w:pPr/>
          </w:p>
        </w:tc>
        <w:tc>
          <w:tcPr>
            <w:tcW w:w="851" w:type="dxa"/>
            <w:vMerge/>
            <w:tcBorders>
              <w:left w:val="single" w:sz="4" w:space="0" w:color="000000"/>
              <w:right w:val="single" w:sz="4" w:space="0" w:color="000000"/>
            </w:tcBorders>
            <w:shd w:val="clear" w:color="auto" w:fill="D2D2D2"/>
          </w:tcPr>
          <w:p>
            <w:pPr/>
          </w:p>
        </w:tc>
        <w:tc>
          <w:tcPr>
            <w:tcW w:w="99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6"/>
              <w:ind w:left="70" w:right="0"/>
              <w:jc w:val="left"/>
              <w:rPr>
                <w:rFonts w:ascii="宋体" w:hAnsi="宋体" w:cs="宋体" w:eastAsia="宋体" w:hint="default"/>
                <w:sz w:val="21"/>
                <w:szCs w:val="21"/>
              </w:rPr>
            </w:pPr>
            <w:r>
              <w:rPr>
                <w:rFonts w:ascii="宋体" w:hAnsi="宋体" w:cs="宋体" w:eastAsia="宋体" w:hint="default"/>
                <w:sz w:val="21"/>
                <w:szCs w:val="21"/>
              </w:rPr>
              <w:t>本期偿还</w:t>
            </w:r>
          </w:p>
        </w:tc>
        <w:tc>
          <w:tcPr>
            <w:tcW w:w="113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6"/>
              <w:ind w:left="141"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161" w:hRule="exact"/>
        </w:trPr>
        <w:tc>
          <w:tcPr>
            <w:tcW w:w="1355" w:type="dxa"/>
            <w:tcBorders>
              <w:top w:val="nil" w:sz="6" w:space="0" w:color="auto"/>
              <w:left w:val="single" w:sz="4" w:space="0" w:color="000000"/>
              <w:bottom w:val="single" w:sz="4" w:space="0" w:color="000000"/>
              <w:right w:val="single" w:sz="4" w:space="0" w:color="000000"/>
            </w:tcBorders>
            <w:shd w:val="clear" w:color="auto" w:fill="D2D2D2"/>
          </w:tcPr>
          <w:p>
            <w:pPr/>
          </w:p>
        </w:tc>
        <w:tc>
          <w:tcPr>
            <w:tcW w:w="991" w:type="dxa"/>
            <w:tcBorders>
              <w:top w:val="nil" w:sz="6" w:space="0" w:color="auto"/>
              <w:left w:val="single" w:sz="4" w:space="0" w:color="000000"/>
              <w:bottom w:val="single" w:sz="4" w:space="0" w:color="000000"/>
              <w:right w:val="single" w:sz="4" w:space="0" w:color="000000"/>
            </w:tcBorders>
            <w:shd w:val="clear" w:color="auto" w:fill="D2D2D2"/>
          </w:tcPr>
          <w:p>
            <w:pPr/>
          </w:p>
        </w:tc>
        <w:tc>
          <w:tcPr>
            <w:tcW w:w="956" w:type="dxa"/>
            <w:tcBorders>
              <w:top w:val="nil" w:sz="6" w:space="0" w:color="auto"/>
              <w:left w:val="single" w:sz="4" w:space="0" w:color="000000"/>
              <w:bottom w:val="single" w:sz="4" w:space="0" w:color="000000"/>
              <w:right w:val="single" w:sz="4" w:space="0" w:color="000000"/>
            </w:tcBorders>
            <w:shd w:val="clear" w:color="auto" w:fill="D2D2D2"/>
          </w:tcPr>
          <w:p>
            <w:pPr/>
          </w:p>
        </w:tc>
        <w:tc>
          <w:tcPr>
            <w:tcW w:w="640" w:type="dxa"/>
            <w:vMerge/>
            <w:tcBorders>
              <w:left w:val="single" w:sz="4" w:space="0" w:color="000000"/>
              <w:bottom w:val="single" w:sz="4" w:space="0" w:color="000000"/>
              <w:right w:val="single" w:sz="4" w:space="0" w:color="000000"/>
            </w:tcBorders>
            <w:shd w:val="clear" w:color="auto" w:fill="D2D2D2"/>
          </w:tcPr>
          <w:p>
            <w:pPr/>
          </w:p>
        </w:tc>
        <w:tc>
          <w:tcPr>
            <w:tcW w:w="1061" w:type="dxa"/>
            <w:tcBorders>
              <w:top w:val="nil" w:sz="6" w:space="0" w:color="auto"/>
              <w:left w:val="single" w:sz="4" w:space="0" w:color="000000"/>
              <w:bottom w:val="single" w:sz="4" w:space="0" w:color="000000"/>
              <w:right w:val="single" w:sz="4" w:space="0" w:color="000000"/>
            </w:tcBorders>
            <w:shd w:val="clear" w:color="auto" w:fill="D2D2D2"/>
          </w:tcPr>
          <w:p>
            <w:pPr/>
          </w:p>
        </w:tc>
        <w:tc>
          <w:tcPr>
            <w:tcW w:w="1134" w:type="dxa"/>
            <w:tcBorders>
              <w:top w:val="nil" w:sz="6" w:space="0" w:color="auto"/>
              <w:left w:val="single" w:sz="4" w:space="0" w:color="000000"/>
              <w:bottom w:val="single" w:sz="4" w:space="0" w:color="000000"/>
              <w:right w:val="single" w:sz="4" w:space="0" w:color="000000"/>
            </w:tcBorders>
            <w:shd w:val="clear" w:color="auto" w:fill="D2D2D2"/>
          </w:tcPr>
          <w:p>
            <w:pPr/>
          </w:p>
        </w:tc>
        <w:tc>
          <w:tcPr>
            <w:tcW w:w="992" w:type="dxa"/>
            <w:vMerge/>
            <w:tcBorders>
              <w:left w:val="single" w:sz="4" w:space="0" w:color="000000"/>
              <w:bottom w:val="single" w:sz="4" w:space="0" w:color="000000"/>
              <w:right w:val="single" w:sz="4" w:space="0" w:color="000000"/>
            </w:tcBorders>
            <w:shd w:val="clear" w:color="auto" w:fill="D2D2D2"/>
          </w:tcPr>
          <w:p>
            <w:pPr/>
          </w:p>
        </w:tc>
        <w:tc>
          <w:tcPr>
            <w:tcW w:w="851" w:type="dxa"/>
            <w:vMerge/>
            <w:tcBorders>
              <w:left w:val="single" w:sz="4" w:space="0" w:color="000000"/>
              <w:bottom w:val="single" w:sz="4" w:space="0" w:color="000000"/>
              <w:right w:val="single" w:sz="4" w:space="0" w:color="000000"/>
            </w:tcBorders>
            <w:shd w:val="clear" w:color="auto" w:fill="D2D2D2"/>
          </w:tcPr>
          <w:p>
            <w:pPr/>
          </w:p>
        </w:tc>
        <w:tc>
          <w:tcPr>
            <w:tcW w:w="992" w:type="dxa"/>
            <w:tcBorders>
              <w:top w:val="nil" w:sz="6" w:space="0" w:color="auto"/>
              <w:left w:val="single" w:sz="4" w:space="0" w:color="000000"/>
              <w:bottom w:val="single" w:sz="4" w:space="0" w:color="000000"/>
              <w:right w:val="single" w:sz="4" w:space="0" w:color="000000"/>
            </w:tcBorders>
            <w:shd w:val="clear" w:color="auto" w:fill="D2D2D2"/>
          </w:tcPr>
          <w:p>
            <w:pPr/>
          </w:p>
        </w:tc>
        <w:tc>
          <w:tcPr>
            <w:tcW w:w="113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962" w:hRule="exact"/>
        </w:trPr>
        <w:tc>
          <w:tcPr>
            <w:tcW w:w="13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7"/>
              <w:ind w:left="11" w:right="22"/>
              <w:jc w:val="both"/>
              <w:rPr>
                <w:rFonts w:ascii="宋体" w:hAnsi="宋体" w:cs="宋体" w:eastAsia="宋体" w:hint="default"/>
                <w:sz w:val="21"/>
                <w:szCs w:val="21"/>
              </w:rPr>
            </w:pPr>
            <w:r>
              <w:rPr>
                <w:rFonts w:ascii="宋体" w:hAnsi="宋体" w:cs="宋体" w:eastAsia="宋体" w:hint="default"/>
                <w:sz w:val="21"/>
                <w:szCs w:val="21"/>
              </w:rPr>
              <w:t>河南辉煌科技 股份有限公司 </w:t>
            </w:r>
            <w:r>
              <w:rPr>
                <w:rFonts w:ascii="宋体" w:hAnsi="宋体" w:cs="宋体" w:eastAsia="宋体" w:hint="default"/>
                <w:sz w:val="21"/>
                <w:szCs w:val="21"/>
              </w:rPr>
              <w:t>2015</w:t>
            </w:r>
            <w:r>
              <w:rPr>
                <w:rFonts w:ascii="宋体" w:hAnsi="宋体" w:cs="宋体" w:eastAsia="宋体" w:hint="default"/>
                <w:spacing w:val="-57"/>
                <w:sz w:val="21"/>
                <w:szCs w:val="21"/>
              </w:rPr>
              <w:t> </w:t>
            </w:r>
            <w:r>
              <w:rPr>
                <w:rFonts w:ascii="宋体" w:hAnsi="宋体" w:cs="宋体" w:eastAsia="宋体" w:hint="default"/>
                <w:sz w:val="21"/>
                <w:szCs w:val="21"/>
              </w:rPr>
              <w:t>年公司债 券（第一期） 简称“</w:t>
            </w:r>
            <w:r>
              <w:rPr>
                <w:rFonts w:ascii="宋体" w:hAnsi="宋体" w:cs="宋体" w:eastAsia="宋体" w:hint="default"/>
                <w:sz w:val="21"/>
                <w:szCs w:val="21"/>
              </w:rPr>
              <w:t>15</w:t>
            </w:r>
            <w:r>
              <w:rPr>
                <w:rFonts w:ascii="宋体" w:hAnsi="宋体" w:cs="宋体" w:eastAsia="宋体" w:hint="default"/>
                <w:spacing w:val="-59"/>
                <w:sz w:val="21"/>
                <w:szCs w:val="21"/>
              </w:rPr>
              <w:t> </w:t>
            </w:r>
            <w:r>
              <w:rPr>
                <w:rFonts w:ascii="宋体" w:hAnsi="宋体" w:cs="宋体" w:eastAsia="宋体" w:hint="default"/>
                <w:sz w:val="21"/>
                <w:szCs w:val="21"/>
              </w:rPr>
              <w:t>辉煌</w:t>
            </w:r>
            <w:r>
              <w:rPr>
                <w:rFonts w:ascii="宋体" w:hAnsi="宋体" w:cs="宋体" w:eastAsia="宋体" w:hint="default"/>
                <w:spacing w:val="-2"/>
                <w:sz w:val="21"/>
                <w:szCs w:val="21"/>
              </w:rPr>
              <w:t> </w:t>
            </w:r>
            <w:r>
              <w:rPr>
                <w:rFonts w:ascii="宋体" w:hAnsi="宋体" w:cs="宋体" w:eastAsia="宋体" w:hint="default"/>
                <w:sz w:val="21"/>
                <w:szCs w:val="21"/>
              </w:rPr>
              <w:t>01</w:t>
            </w:r>
            <w:r>
              <w:rPr>
                <w:rFonts w:ascii="宋体" w:hAnsi="宋体" w:cs="宋体" w:eastAsia="宋体" w:hint="default"/>
                <w:sz w:val="21"/>
                <w:szCs w:val="21"/>
              </w:rPr>
              <w:t>”</w:t>
            </w:r>
          </w:p>
        </w:tc>
        <w:tc>
          <w:tcPr>
            <w:tcW w:w="99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9"/>
                <w:szCs w:val="29"/>
              </w:rPr>
            </w:pPr>
          </w:p>
          <w:p>
            <w:pPr>
              <w:pStyle w:val="TableParagraph"/>
              <w:spacing w:line="240" w:lineRule="auto"/>
              <w:ind w:left="106" w:right="0"/>
              <w:jc w:val="left"/>
              <w:rPr>
                <w:rFonts w:ascii="宋体" w:hAnsi="宋体" w:cs="宋体" w:eastAsia="宋体" w:hint="default"/>
                <w:sz w:val="21"/>
                <w:szCs w:val="21"/>
              </w:rPr>
            </w:pPr>
            <w:r>
              <w:rPr>
                <w:rFonts w:ascii="宋体"/>
                <w:sz w:val="21"/>
              </w:rPr>
              <w:t>250,000,</w:t>
            </w:r>
          </w:p>
          <w:p>
            <w:pPr>
              <w:pStyle w:val="TableParagraph"/>
              <w:spacing w:line="240" w:lineRule="auto" w:before="37"/>
              <w:ind w:left="316" w:right="0"/>
              <w:jc w:val="left"/>
              <w:rPr>
                <w:rFonts w:ascii="宋体" w:hAnsi="宋体" w:cs="宋体" w:eastAsia="宋体" w:hint="default"/>
                <w:sz w:val="21"/>
                <w:szCs w:val="21"/>
              </w:rPr>
            </w:pPr>
            <w:r>
              <w:rPr>
                <w:rFonts w:ascii="宋体"/>
                <w:sz w:val="21"/>
              </w:rPr>
              <w:t>000.00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59"/>
              <w:jc w:val="center"/>
              <w:rPr>
                <w:rFonts w:ascii="宋体" w:hAnsi="宋体" w:cs="宋体" w:eastAsia="宋体" w:hint="default"/>
                <w:sz w:val="21"/>
                <w:szCs w:val="21"/>
              </w:rPr>
            </w:pPr>
            <w:r>
              <w:rPr>
                <w:rFonts w:ascii="宋体"/>
                <w:sz w:val="21"/>
              </w:rPr>
              <w:t>2015/3/4</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62" w:right="0"/>
              <w:jc w:val="left"/>
              <w:rPr>
                <w:rFonts w:ascii="宋体" w:hAnsi="宋体" w:cs="宋体" w:eastAsia="宋体" w:hint="default"/>
                <w:sz w:val="21"/>
                <w:szCs w:val="21"/>
              </w:rPr>
            </w:pPr>
            <w:r>
              <w:rPr>
                <w:rFonts w:ascii="宋体"/>
                <w:sz w:val="21"/>
              </w:rPr>
              <w:t>3</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9"/>
                <w:szCs w:val="29"/>
              </w:rPr>
            </w:pPr>
          </w:p>
          <w:p>
            <w:pPr>
              <w:pStyle w:val="TableParagraph"/>
              <w:spacing w:line="240" w:lineRule="auto"/>
              <w:ind w:left="84" w:right="0"/>
              <w:jc w:val="left"/>
              <w:rPr>
                <w:rFonts w:ascii="宋体" w:hAnsi="宋体" w:cs="宋体" w:eastAsia="宋体" w:hint="default"/>
                <w:sz w:val="21"/>
                <w:szCs w:val="21"/>
              </w:rPr>
            </w:pPr>
            <w:r>
              <w:rPr>
                <w:rFonts w:ascii="宋体"/>
                <w:sz w:val="21"/>
              </w:rPr>
              <w:t>250,000,0</w:t>
            </w:r>
          </w:p>
          <w:p>
            <w:pPr>
              <w:pStyle w:val="TableParagraph"/>
              <w:spacing w:line="240" w:lineRule="auto" w:before="37"/>
              <w:ind w:left="504" w:right="0"/>
              <w:jc w:val="left"/>
              <w:rPr>
                <w:rFonts w:ascii="宋体" w:hAnsi="宋体" w:cs="宋体" w:eastAsia="宋体" w:hint="default"/>
                <w:sz w:val="21"/>
                <w:szCs w:val="21"/>
              </w:rPr>
            </w:pPr>
            <w:r>
              <w:rPr>
                <w:rFonts w:ascii="宋体"/>
                <w:sz w:val="21"/>
              </w:rPr>
              <w:t>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9"/>
                <w:szCs w:val="29"/>
              </w:rPr>
            </w:pPr>
          </w:p>
          <w:p>
            <w:pPr>
              <w:pStyle w:val="TableParagraph"/>
              <w:spacing w:line="240" w:lineRule="auto"/>
              <w:ind w:left="51" w:right="0"/>
              <w:jc w:val="left"/>
              <w:rPr>
                <w:rFonts w:ascii="宋体" w:hAnsi="宋体" w:cs="宋体" w:eastAsia="宋体" w:hint="default"/>
                <w:sz w:val="21"/>
                <w:szCs w:val="21"/>
              </w:rPr>
            </w:pPr>
            <w:r>
              <w:rPr>
                <w:rFonts w:ascii="宋体"/>
                <w:sz w:val="21"/>
              </w:rPr>
              <w:t>249,048,72</w:t>
            </w:r>
          </w:p>
          <w:p>
            <w:pPr>
              <w:pStyle w:val="TableParagraph"/>
              <w:spacing w:line="240" w:lineRule="auto" w:before="37"/>
              <w:ind w:left="681" w:right="0"/>
              <w:jc w:val="left"/>
              <w:rPr>
                <w:rFonts w:ascii="宋体" w:hAnsi="宋体" w:cs="宋体" w:eastAsia="宋体" w:hint="default"/>
                <w:sz w:val="21"/>
                <w:szCs w:val="21"/>
              </w:rPr>
            </w:pPr>
            <w:r>
              <w:rPr>
                <w:rFonts w:ascii="宋体"/>
                <w:sz w:val="21"/>
              </w:rPr>
              <w:t>1.03</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9"/>
                <w:szCs w:val="29"/>
              </w:rPr>
            </w:pPr>
          </w:p>
          <w:p>
            <w:pPr>
              <w:pStyle w:val="TableParagraph"/>
              <w:spacing w:line="240" w:lineRule="auto"/>
              <w:ind w:left="120" w:right="0"/>
              <w:jc w:val="left"/>
              <w:rPr>
                <w:rFonts w:ascii="宋体" w:hAnsi="宋体" w:cs="宋体" w:eastAsia="宋体" w:hint="default"/>
                <w:sz w:val="21"/>
                <w:szCs w:val="21"/>
              </w:rPr>
            </w:pPr>
            <w:r>
              <w:rPr>
                <w:rFonts w:ascii="宋体"/>
                <w:sz w:val="21"/>
              </w:rPr>
              <w:t>19,827,0</w:t>
            </w:r>
          </w:p>
          <w:p>
            <w:pPr>
              <w:pStyle w:val="TableParagraph"/>
              <w:spacing w:line="240" w:lineRule="auto" w:before="37"/>
              <w:ind w:left="435" w:right="0"/>
              <w:jc w:val="left"/>
              <w:rPr>
                <w:rFonts w:ascii="宋体" w:hAnsi="宋体" w:cs="宋体" w:eastAsia="宋体" w:hint="default"/>
                <w:sz w:val="21"/>
                <w:szCs w:val="21"/>
              </w:rPr>
            </w:pPr>
            <w:r>
              <w:rPr>
                <w:rFonts w:ascii="宋体"/>
                <w:sz w:val="21"/>
              </w:rPr>
              <w:t>00.00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9"/>
                <w:szCs w:val="29"/>
              </w:rPr>
            </w:pPr>
          </w:p>
          <w:p>
            <w:pPr>
              <w:pStyle w:val="TableParagraph"/>
              <w:spacing w:line="240" w:lineRule="auto"/>
              <w:ind w:left="84" w:right="0"/>
              <w:jc w:val="left"/>
              <w:rPr>
                <w:rFonts w:ascii="宋体" w:hAnsi="宋体" w:cs="宋体" w:eastAsia="宋体" w:hint="default"/>
                <w:sz w:val="21"/>
                <w:szCs w:val="21"/>
              </w:rPr>
            </w:pPr>
            <w:r>
              <w:rPr>
                <w:rFonts w:ascii="宋体"/>
                <w:sz w:val="21"/>
              </w:rPr>
              <w:t>810,388</w:t>
            </w:r>
          </w:p>
          <w:p>
            <w:pPr>
              <w:pStyle w:val="TableParagraph"/>
              <w:spacing w:line="240" w:lineRule="auto" w:before="37"/>
              <w:ind w:left="504" w:right="0"/>
              <w:jc w:val="left"/>
              <w:rPr>
                <w:rFonts w:ascii="宋体" w:hAnsi="宋体" w:cs="宋体" w:eastAsia="宋体" w:hint="default"/>
                <w:sz w:val="21"/>
                <w:szCs w:val="21"/>
              </w:rPr>
            </w:pPr>
            <w:r>
              <w:rPr>
                <w:rFonts w:ascii="宋体"/>
                <w:sz w:val="21"/>
              </w:rPr>
              <w:t>.27</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9"/>
                <w:szCs w:val="29"/>
              </w:rPr>
            </w:pPr>
          </w:p>
          <w:p>
            <w:pPr>
              <w:pStyle w:val="TableParagraph"/>
              <w:spacing w:line="240" w:lineRule="auto"/>
              <w:ind w:left="118" w:right="0"/>
              <w:jc w:val="left"/>
              <w:rPr>
                <w:rFonts w:ascii="宋体" w:hAnsi="宋体" w:cs="宋体" w:eastAsia="宋体" w:hint="default"/>
                <w:sz w:val="21"/>
                <w:szCs w:val="21"/>
              </w:rPr>
            </w:pPr>
            <w:r>
              <w:rPr>
                <w:rFonts w:ascii="宋体"/>
                <w:sz w:val="21"/>
              </w:rPr>
              <w:t>36,000,0</w:t>
            </w:r>
          </w:p>
          <w:p>
            <w:pPr>
              <w:pStyle w:val="TableParagraph"/>
              <w:spacing w:line="240" w:lineRule="auto" w:before="37"/>
              <w:ind w:left="434" w:right="0"/>
              <w:jc w:val="left"/>
              <w:rPr>
                <w:rFonts w:ascii="宋体" w:hAnsi="宋体" w:cs="宋体" w:eastAsia="宋体" w:hint="default"/>
                <w:sz w:val="21"/>
                <w:szCs w:val="21"/>
              </w:rPr>
            </w:pPr>
            <w:r>
              <w:rPr>
                <w:rFonts w:ascii="宋体"/>
                <w:sz w:val="21"/>
              </w:rPr>
              <w:t>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9"/>
                <w:szCs w:val="29"/>
              </w:rPr>
            </w:pPr>
          </w:p>
          <w:p>
            <w:pPr>
              <w:pStyle w:val="TableParagraph"/>
              <w:spacing w:line="240" w:lineRule="auto"/>
              <w:ind w:left="50" w:right="0"/>
              <w:jc w:val="left"/>
              <w:rPr>
                <w:rFonts w:ascii="宋体" w:hAnsi="宋体" w:cs="宋体" w:eastAsia="宋体" w:hint="default"/>
                <w:sz w:val="21"/>
                <w:szCs w:val="21"/>
              </w:rPr>
            </w:pPr>
            <w:r>
              <w:rPr>
                <w:rFonts w:ascii="宋体"/>
                <w:sz w:val="21"/>
              </w:rPr>
              <w:t>213,859,10</w:t>
            </w:r>
          </w:p>
          <w:p>
            <w:pPr>
              <w:pStyle w:val="TableParagraph"/>
              <w:spacing w:line="240" w:lineRule="auto" w:before="37"/>
              <w:ind w:left="680" w:right="0"/>
              <w:jc w:val="left"/>
              <w:rPr>
                <w:rFonts w:ascii="宋体" w:hAnsi="宋体" w:cs="宋体" w:eastAsia="宋体" w:hint="default"/>
                <w:sz w:val="21"/>
                <w:szCs w:val="21"/>
              </w:rPr>
            </w:pPr>
            <w:r>
              <w:rPr>
                <w:rFonts w:ascii="宋体"/>
                <w:sz w:val="21"/>
              </w:rPr>
              <w:t>9.30</w:t>
            </w:r>
          </w:p>
        </w:tc>
      </w:tr>
      <w:tr>
        <w:trPr>
          <w:trHeight w:val="162" w:hRule="exact"/>
        </w:trPr>
        <w:tc>
          <w:tcPr>
            <w:tcW w:w="1355" w:type="dxa"/>
            <w:tcBorders>
              <w:top w:val="single" w:sz="4" w:space="0" w:color="000000"/>
              <w:left w:val="single" w:sz="4" w:space="0" w:color="000000"/>
              <w:bottom w:val="nil" w:sz="6" w:space="0" w:color="auto"/>
              <w:right w:val="single" w:sz="4" w:space="0" w:color="000000"/>
            </w:tcBorders>
            <w:shd w:val="clear" w:color="auto" w:fill="D2D2D2"/>
          </w:tcPr>
          <w:p>
            <w:pPr/>
          </w:p>
        </w:tc>
        <w:tc>
          <w:tcPr>
            <w:tcW w:w="991" w:type="dxa"/>
            <w:tcBorders>
              <w:top w:val="single" w:sz="4" w:space="0" w:color="000000"/>
              <w:left w:val="single" w:sz="4" w:space="0" w:color="000000"/>
              <w:bottom w:val="nil" w:sz="6" w:space="0" w:color="auto"/>
              <w:right w:val="single" w:sz="4" w:space="0" w:color="000000"/>
            </w:tcBorders>
            <w:shd w:val="clear" w:color="auto" w:fill="D2D2D2"/>
          </w:tcPr>
          <w:p>
            <w:pPr/>
          </w:p>
        </w:tc>
        <w:tc>
          <w:tcPr>
            <w:tcW w:w="956" w:type="dxa"/>
            <w:tcBorders>
              <w:top w:val="single" w:sz="4" w:space="0" w:color="000000"/>
              <w:left w:val="single" w:sz="4" w:space="0" w:color="000000"/>
              <w:bottom w:val="nil" w:sz="6" w:space="0" w:color="auto"/>
              <w:right w:val="single" w:sz="4" w:space="0" w:color="000000"/>
            </w:tcBorders>
            <w:shd w:val="clear" w:color="auto" w:fill="D2D2D2"/>
          </w:tcPr>
          <w:p>
            <w:pPr/>
          </w:p>
        </w:tc>
        <w:tc>
          <w:tcPr>
            <w:tcW w:w="640"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1" w:type="dxa"/>
            <w:vMerge w:val="restart"/>
            <w:tcBorders>
              <w:top w:val="single" w:sz="4" w:space="0" w:color="000000"/>
              <w:left w:val="single" w:sz="9" w:space="0" w:color="D2D2D2"/>
              <w:right w:val="single" w:sz="4" w:space="0" w:color="000000"/>
            </w:tcBorders>
          </w:tcPr>
          <w:p>
            <w:pPr>
              <w:pStyle w:val="TableParagraph"/>
              <w:spacing w:line="240" w:lineRule="auto" w:before="27"/>
              <w:ind w:left="77" w:right="0"/>
              <w:jc w:val="left"/>
              <w:rPr>
                <w:rFonts w:ascii="宋体" w:hAnsi="宋体" w:cs="宋体" w:eastAsia="宋体" w:hint="default"/>
                <w:sz w:val="21"/>
                <w:szCs w:val="21"/>
              </w:rPr>
            </w:pPr>
            <w:r>
              <w:rPr>
                <w:rFonts w:ascii="宋体"/>
                <w:sz w:val="21"/>
              </w:rPr>
              <w:t>250,000,0</w:t>
            </w:r>
          </w:p>
          <w:p>
            <w:pPr>
              <w:pStyle w:val="TableParagraph"/>
              <w:spacing w:line="240" w:lineRule="auto" w:before="37"/>
              <w:ind w:left="497" w:right="0"/>
              <w:jc w:val="left"/>
              <w:rPr>
                <w:rFonts w:ascii="宋体" w:hAnsi="宋体" w:cs="宋体" w:eastAsia="宋体" w:hint="default"/>
                <w:sz w:val="21"/>
                <w:szCs w:val="21"/>
              </w:rPr>
            </w:pPr>
            <w:r>
              <w:rPr>
                <w:rFonts w:ascii="宋体"/>
                <w:sz w:val="21"/>
              </w:rPr>
              <w:t>00.00</w:t>
            </w:r>
          </w:p>
        </w:tc>
        <w:tc>
          <w:tcPr>
            <w:tcW w:w="1134" w:type="dxa"/>
            <w:vMerge w:val="restart"/>
            <w:tcBorders>
              <w:top w:val="single" w:sz="4" w:space="0" w:color="000000"/>
              <w:left w:val="single" w:sz="4" w:space="0" w:color="000000"/>
              <w:right w:val="single" w:sz="4" w:space="0" w:color="000000"/>
            </w:tcBorders>
          </w:tcPr>
          <w:p>
            <w:pPr>
              <w:pStyle w:val="TableParagraph"/>
              <w:spacing w:line="240" w:lineRule="auto" w:before="27"/>
              <w:ind w:left="51" w:right="0"/>
              <w:jc w:val="left"/>
              <w:rPr>
                <w:rFonts w:ascii="宋体" w:hAnsi="宋体" w:cs="宋体" w:eastAsia="宋体" w:hint="default"/>
                <w:sz w:val="21"/>
                <w:szCs w:val="21"/>
              </w:rPr>
            </w:pPr>
            <w:r>
              <w:rPr>
                <w:rFonts w:ascii="宋体"/>
                <w:sz w:val="21"/>
              </w:rPr>
              <w:t>249,048,72</w:t>
            </w:r>
          </w:p>
          <w:p>
            <w:pPr>
              <w:pStyle w:val="TableParagraph"/>
              <w:spacing w:line="240" w:lineRule="auto" w:before="37"/>
              <w:ind w:left="681" w:right="0"/>
              <w:jc w:val="left"/>
              <w:rPr>
                <w:rFonts w:ascii="宋体" w:hAnsi="宋体" w:cs="宋体" w:eastAsia="宋体" w:hint="default"/>
                <w:sz w:val="21"/>
                <w:szCs w:val="21"/>
              </w:rPr>
            </w:pPr>
            <w:r>
              <w:rPr>
                <w:rFonts w:ascii="宋体"/>
                <w:sz w:val="21"/>
              </w:rPr>
              <w:t>1.03</w:t>
            </w:r>
          </w:p>
        </w:tc>
        <w:tc>
          <w:tcPr>
            <w:tcW w:w="992" w:type="dxa"/>
            <w:vMerge w:val="restart"/>
            <w:tcBorders>
              <w:top w:val="single" w:sz="4" w:space="0" w:color="000000"/>
              <w:left w:val="single" w:sz="4" w:space="0" w:color="000000"/>
              <w:right w:val="single" w:sz="4" w:space="0" w:color="000000"/>
            </w:tcBorders>
          </w:tcPr>
          <w:p>
            <w:pPr>
              <w:pStyle w:val="TableParagraph"/>
              <w:spacing w:line="240" w:lineRule="auto" w:before="27"/>
              <w:ind w:left="120" w:right="0"/>
              <w:jc w:val="left"/>
              <w:rPr>
                <w:rFonts w:ascii="宋体" w:hAnsi="宋体" w:cs="宋体" w:eastAsia="宋体" w:hint="default"/>
                <w:sz w:val="21"/>
                <w:szCs w:val="21"/>
              </w:rPr>
            </w:pPr>
            <w:r>
              <w:rPr>
                <w:rFonts w:ascii="宋体"/>
                <w:sz w:val="21"/>
              </w:rPr>
              <w:t>19,827,0</w:t>
            </w:r>
          </w:p>
          <w:p>
            <w:pPr>
              <w:pStyle w:val="TableParagraph"/>
              <w:spacing w:line="240" w:lineRule="auto" w:before="37"/>
              <w:ind w:left="435" w:right="0"/>
              <w:jc w:val="left"/>
              <w:rPr>
                <w:rFonts w:ascii="宋体" w:hAnsi="宋体" w:cs="宋体" w:eastAsia="宋体" w:hint="default"/>
                <w:sz w:val="21"/>
                <w:szCs w:val="21"/>
              </w:rPr>
            </w:pPr>
            <w:r>
              <w:rPr>
                <w:rFonts w:ascii="宋体"/>
                <w:sz w:val="21"/>
              </w:rPr>
              <w:t>00.00</w:t>
            </w:r>
          </w:p>
        </w:tc>
        <w:tc>
          <w:tcPr>
            <w:tcW w:w="851" w:type="dxa"/>
            <w:vMerge w:val="restart"/>
            <w:tcBorders>
              <w:top w:val="single" w:sz="4" w:space="0" w:color="000000"/>
              <w:left w:val="single" w:sz="4" w:space="0" w:color="000000"/>
              <w:right w:val="single" w:sz="4" w:space="0" w:color="000000"/>
            </w:tcBorders>
          </w:tcPr>
          <w:p>
            <w:pPr>
              <w:pStyle w:val="TableParagraph"/>
              <w:spacing w:line="240" w:lineRule="auto" w:before="27"/>
              <w:ind w:left="84" w:right="0"/>
              <w:jc w:val="left"/>
              <w:rPr>
                <w:rFonts w:ascii="宋体" w:hAnsi="宋体" w:cs="宋体" w:eastAsia="宋体" w:hint="default"/>
                <w:sz w:val="21"/>
                <w:szCs w:val="21"/>
              </w:rPr>
            </w:pPr>
            <w:r>
              <w:rPr>
                <w:rFonts w:ascii="宋体"/>
                <w:sz w:val="21"/>
              </w:rPr>
              <w:t>810,388</w:t>
            </w:r>
          </w:p>
          <w:p>
            <w:pPr>
              <w:pStyle w:val="TableParagraph"/>
              <w:spacing w:line="240" w:lineRule="auto" w:before="37"/>
              <w:ind w:left="504" w:right="0"/>
              <w:jc w:val="left"/>
              <w:rPr>
                <w:rFonts w:ascii="宋体" w:hAnsi="宋体" w:cs="宋体" w:eastAsia="宋体" w:hint="default"/>
                <w:sz w:val="21"/>
                <w:szCs w:val="21"/>
              </w:rPr>
            </w:pPr>
            <w:r>
              <w:rPr>
                <w:rFonts w:ascii="宋体"/>
                <w:sz w:val="21"/>
              </w:rPr>
              <w:t>.27</w:t>
            </w:r>
          </w:p>
        </w:tc>
        <w:tc>
          <w:tcPr>
            <w:tcW w:w="992" w:type="dxa"/>
            <w:vMerge w:val="restart"/>
            <w:tcBorders>
              <w:top w:val="single" w:sz="4" w:space="0" w:color="000000"/>
              <w:left w:val="single" w:sz="4" w:space="0" w:color="000000"/>
              <w:right w:val="single" w:sz="4" w:space="0" w:color="000000"/>
            </w:tcBorders>
          </w:tcPr>
          <w:p>
            <w:pPr>
              <w:pStyle w:val="TableParagraph"/>
              <w:spacing w:line="240" w:lineRule="auto" w:before="27"/>
              <w:ind w:left="118" w:right="0"/>
              <w:jc w:val="left"/>
              <w:rPr>
                <w:rFonts w:ascii="宋体" w:hAnsi="宋体" w:cs="宋体" w:eastAsia="宋体" w:hint="default"/>
                <w:sz w:val="21"/>
                <w:szCs w:val="21"/>
              </w:rPr>
            </w:pPr>
            <w:r>
              <w:rPr>
                <w:rFonts w:ascii="宋体"/>
                <w:sz w:val="21"/>
              </w:rPr>
              <w:t>36,000,0</w:t>
            </w:r>
          </w:p>
          <w:p>
            <w:pPr>
              <w:pStyle w:val="TableParagraph"/>
              <w:spacing w:line="240" w:lineRule="auto" w:before="37"/>
              <w:ind w:left="434" w:right="0"/>
              <w:jc w:val="left"/>
              <w:rPr>
                <w:rFonts w:ascii="宋体" w:hAnsi="宋体" w:cs="宋体" w:eastAsia="宋体" w:hint="default"/>
                <w:sz w:val="21"/>
                <w:szCs w:val="21"/>
              </w:rPr>
            </w:pPr>
            <w:r>
              <w:rPr>
                <w:rFonts w:ascii="宋体"/>
                <w:sz w:val="21"/>
              </w:rPr>
              <w:t>00.00</w:t>
            </w:r>
          </w:p>
        </w:tc>
        <w:tc>
          <w:tcPr>
            <w:tcW w:w="1134" w:type="dxa"/>
            <w:vMerge w:val="restart"/>
            <w:tcBorders>
              <w:top w:val="single" w:sz="4" w:space="0" w:color="000000"/>
              <w:left w:val="single" w:sz="4" w:space="0" w:color="000000"/>
              <w:right w:val="single" w:sz="4" w:space="0" w:color="000000"/>
            </w:tcBorders>
          </w:tcPr>
          <w:p>
            <w:pPr>
              <w:pStyle w:val="TableParagraph"/>
              <w:spacing w:line="240" w:lineRule="auto" w:before="27"/>
              <w:ind w:left="50" w:right="0"/>
              <w:jc w:val="left"/>
              <w:rPr>
                <w:rFonts w:ascii="宋体" w:hAnsi="宋体" w:cs="宋体" w:eastAsia="宋体" w:hint="default"/>
                <w:sz w:val="21"/>
                <w:szCs w:val="21"/>
              </w:rPr>
            </w:pPr>
            <w:r>
              <w:rPr>
                <w:rFonts w:ascii="宋体"/>
                <w:sz w:val="21"/>
              </w:rPr>
              <w:t>213,859,10</w:t>
            </w:r>
          </w:p>
          <w:p>
            <w:pPr>
              <w:pStyle w:val="TableParagraph"/>
              <w:spacing w:line="240" w:lineRule="auto" w:before="37"/>
              <w:ind w:left="680" w:right="0"/>
              <w:jc w:val="left"/>
              <w:rPr>
                <w:rFonts w:ascii="宋体" w:hAnsi="宋体" w:cs="宋体" w:eastAsia="宋体" w:hint="default"/>
                <w:sz w:val="21"/>
                <w:szCs w:val="21"/>
              </w:rPr>
            </w:pPr>
            <w:r>
              <w:rPr>
                <w:rFonts w:ascii="宋体"/>
                <w:sz w:val="21"/>
              </w:rPr>
              <w:t>9.30</w:t>
            </w:r>
          </w:p>
        </w:tc>
      </w:tr>
      <w:tr>
        <w:trPr>
          <w:trHeight w:val="392" w:hRule="exact"/>
        </w:trPr>
        <w:tc>
          <w:tcPr>
            <w:tcW w:w="135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6"/>
              <w:ind w:right="12"/>
              <w:jc w:val="center"/>
              <w:rPr>
                <w:rFonts w:ascii="宋体" w:hAnsi="宋体" w:cs="宋体" w:eastAsia="宋体" w:hint="default"/>
                <w:sz w:val="21"/>
                <w:szCs w:val="21"/>
              </w:rPr>
            </w:pPr>
            <w:r>
              <w:rPr>
                <w:rFonts w:ascii="宋体" w:hAnsi="宋体" w:cs="宋体" w:eastAsia="宋体" w:hint="default"/>
                <w:sz w:val="21"/>
                <w:szCs w:val="21"/>
              </w:rPr>
              <w:t>合计</w:t>
            </w:r>
          </w:p>
        </w:tc>
        <w:tc>
          <w:tcPr>
            <w:tcW w:w="99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sz w:val="21"/>
              </w:rPr>
              <w:t>--</w:t>
            </w:r>
          </w:p>
        </w:tc>
        <w:tc>
          <w:tcPr>
            <w:tcW w:w="95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6"/>
              <w:ind w:right="1"/>
              <w:jc w:val="center"/>
              <w:rPr>
                <w:rFonts w:ascii="宋体" w:hAnsi="宋体" w:cs="宋体" w:eastAsia="宋体" w:hint="default"/>
                <w:sz w:val="21"/>
                <w:szCs w:val="21"/>
              </w:rPr>
            </w:pPr>
            <w:r>
              <w:rPr>
                <w:rFonts w:ascii="宋体"/>
                <w:sz w:val="21"/>
              </w:rPr>
              <w:t>--</w:t>
            </w:r>
          </w:p>
        </w:tc>
        <w:tc>
          <w:tcPr>
            <w:tcW w:w="64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6"/>
              <w:ind w:left="210" w:right="0"/>
              <w:jc w:val="left"/>
              <w:rPr>
                <w:rFonts w:ascii="宋体" w:hAnsi="宋体" w:cs="宋体" w:eastAsia="宋体" w:hint="default"/>
                <w:sz w:val="21"/>
                <w:szCs w:val="21"/>
              </w:rPr>
            </w:pPr>
            <w:r>
              <w:rPr>
                <w:rFonts w:ascii="宋体"/>
                <w:sz w:val="21"/>
              </w:rPr>
              <w:t>--</w:t>
            </w:r>
          </w:p>
        </w:tc>
        <w:tc>
          <w:tcPr>
            <w:tcW w:w="1061" w:type="dxa"/>
            <w:vMerge/>
            <w:tcBorders>
              <w:left w:val="single" w:sz="9" w:space="0" w:color="D2D2D2"/>
              <w:right w:val="single" w:sz="4" w:space="0" w:color="000000"/>
            </w:tcBorders>
          </w:tcPr>
          <w:p>
            <w:pPr/>
          </w:p>
        </w:tc>
        <w:tc>
          <w:tcPr>
            <w:tcW w:w="1134"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r>
      <w:tr>
        <w:trPr>
          <w:trHeight w:val="162" w:hRule="exact"/>
        </w:trPr>
        <w:tc>
          <w:tcPr>
            <w:tcW w:w="1355" w:type="dxa"/>
            <w:tcBorders>
              <w:top w:val="nil" w:sz="6" w:space="0" w:color="auto"/>
              <w:left w:val="single" w:sz="4" w:space="0" w:color="000000"/>
              <w:bottom w:val="single" w:sz="4" w:space="0" w:color="000000"/>
              <w:right w:val="single" w:sz="4" w:space="0" w:color="000000"/>
            </w:tcBorders>
            <w:shd w:val="clear" w:color="auto" w:fill="D2D2D2"/>
          </w:tcPr>
          <w:p>
            <w:pPr/>
          </w:p>
        </w:tc>
        <w:tc>
          <w:tcPr>
            <w:tcW w:w="991" w:type="dxa"/>
            <w:tcBorders>
              <w:top w:val="nil" w:sz="6" w:space="0" w:color="auto"/>
              <w:left w:val="single" w:sz="4" w:space="0" w:color="000000"/>
              <w:bottom w:val="single" w:sz="4" w:space="0" w:color="000000"/>
              <w:right w:val="single" w:sz="4" w:space="0" w:color="000000"/>
            </w:tcBorders>
            <w:shd w:val="clear" w:color="auto" w:fill="D2D2D2"/>
          </w:tcPr>
          <w:p>
            <w:pPr/>
          </w:p>
        </w:tc>
        <w:tc>
          <w:tcPr>
            <w:tcW w:w="956" w:type="dxa"/>
            <w:tcBorders>
              <w:top w:val="nil" w:sz="6" w:space="0" w:color="auto"/>
              <w:left w:val="single" w:sz="4" w:space="0" w:color="000000"/>
              <w:bottom w:val="single" w:sz="4" w:space="0" w:color="000000"/>
              <w:right w:val="single" w:sz="4" w:space="0" w:color="000000"/>
            </w:tcBorders>
            <w:shd w:val="clear" w:color="auto" w:fill="D2D2D2"/>
          </w:tcPr>
          <w:p>
            <w:pPr/>
          </w:p>
        </w:tc>
        <w:tc>
          <w:tcPr>
            <w:tcW w:w="640"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1" w:type="dxa"/>
            <w:vMerge/>
            <w:tcBorders>
              <w:left w:val="single" w:sz="9" w:space="0" w:color="D2D2D2"/>
              <w:bottom w:val="single" w:sz="4" w:space="0" w:color="000000"/>
              <w:right w:val="single" w:sz="4" w:space="0" w:color="000000"/>
            </w:tcBorders>
          </w:tcPr>
          <w:p>
            <w:pPr/>
          </w:p>
        </w:tc>
        <w:tc>
          <w:tcPr>
            <w:tcW w:w="1134" w:type="dxa"/>
            <w:vMerge/>
            <w:tcBorders>
              <w:left w:val="single" w:sz="4" w:space="0" w:color="000000"/>
              <w:bottom w:val="single" w:sz="4" w:space="0" w:color="000000"/>
              <w:right w:val="single" w:sz="4" w:space="0" w:color="000000"/>
            </w:tcBorders>
          </w:tcPr>
          <w:p>
            <w:pPr/>
          </w:p>
        </w:tc>
        <w:tc>
          <w:tcPr>
            <w:tcW w:w="992" w:type="dxa"/>
            <w:vMerge/>
            <w:tcBorders>
              <w:left w:val="single" w:sz="4" w:space="0" w:color="000000"/>
              <w:bottom w:val="single" w:sz="4" w:space="0" w:color="000000"/>
              <w:right w:val="single" w:sz="4" w:space="0" w:color="000000"/>
            </w:tcBorders>
          </w:tcPr>
          <w:p>
            <w:pPr/>
          </w:p>
        </w:tc>
        <w:tc>
          <w:tcPr>
            <w:tcW w:w="851" w:type="dxa"/>
            <w:vMerge/>
            <w:tcBorders>
              <w:left w:val="single" w:sz="4" w:space="0" w:color="000000"/>
              <w:bottom w:val="single" w:sz="4" w:space="0" w:color="000000"/>
              <w:right w:val="single" w:sz="4" w:space="0" w:color="000000"/>
            </w:tcBorders>
          </w:tcPr>
          <w:p>
            <w:pPr/>
          </w:p>
        </w:tc>
        <w:tc>
          <w:tcPr>
            <w:tcW w:w="992" w:type="dxa"/>
            <w:vMerge/>
            <w:tcBorders>
              <w:left w:val="single" w:sz="4" w:space="0" w:color="000000"/>
              <w:bottom w:val="single" w:sz="4" w:space="0" w:color="000000"/>
              <w:right w:val="single" w:sz="4" w:space="0" w:color="000000"/>
            </w:tcBorders>
          </w:tcPr>
          <w:p>
            <w:pPr/>
          </w:p>
        </w:tc>
        <w:tc>
          <w:tcPr>
            <w:tcW w:w="1134" w:type="dxa"/>
            <w:vMerge/>
            <w:tcBorders>
              <w:left w:val="single" w:sz="4" w:space="0" w:color="000000"/>
              <w:bottom w:val="single" w:sz="4" w:space="0" w:color="000000"/>
              <w:right w:val="single" w:sz="4" w:space="0" w:color="000000"/>
            </w:tcBorders>
          </w:tcPr>
          <w:p>
            <w:pPr/>
          </w:p>
        </w:tc>
      </w:tr>
    </w:tbl>
    <w:p>
      <w:pPr>
        <w:spacing w:line="240" w:lineRule="auto" w:before="10"/>
        <w:rPr>
          <w:rFonts w:ascii="宋体" w:hAnsi="宋体" w:cs="宋体" w:eastAsia="宋体" w:hint="default"/>
          <w:sz w:val="4"/>
          <w:szCs w:val="4"/>
        </w:rPr>
      </w:pPr>
    </w:p>
    <w:p>
      <w:pPr>
        <w:pStyle w:val="Heading2"/>
        <w:spacing w:line="470" w:lineRule="auto"/>
        <w:ind w:left="873" w:right="5129" w:firstLine="2"/>
        <w:jc w:val="left"/>
        <w:rPr>
          <w:rFonts w:ascii="宋体" w:hAnsi="宋体" w:cs="宋体" w:eastAsia="宋体" w:hint="default"/>
          <w:b w:val="0"/>
          <w:bCs w:val="0"/>
        </w:rPr>
      </w:pPr>
      <w:bookmarkStart w:name="（3）可转换公司债券的转股条件、转股时间说明" w:id="367"/>
      <w:bookmarkEnd w:id="367"/>
      <w:r>
        <w:rPr>
          <w:b w:val="0"/>
          <w:bCs w:val="0"/>
        </w:rPr>
      </w:r>
      <w:r>
        <w:rPr>
          <w:w w:val="95"/>
        </w:rPr>
        <w:t>（</w:t>
      </w:r>
      <w:r>
        <w:rPr>
          <w:rFonts w:ascii="宋体" w:hAnsi="宋体" w:cs="宋体" w:eastAsia="宋体" w:hint="default"/>
          <w:w w:val="95"/>
        </w:rPr>
        <w:t>3</w:t>
      </w:r>
      <w:r>
        <w:rPr>
          <w:w w:val="95"/>
        </w:rPr>
        <w:t>）可转换公司债券的转股条件、转股时间说明 </w:t>
      </w:r>
      <w:r>
        <w:rPr>
          <w:spacing w:val="8"/>
          <w:w w:val="95"/>
        </w:rPr>
        <w:t> </w:t>
      </w:r>
      <w:r>
        <w:rPr>
          <w:rFonts w:ascii="宋体" w:hAnsi="宋体" w:cs="宋体" w:eastAsia="宋体" w:hint="default"/>
          <w:b w:val="0"/>
          <w:bCs w:val="0"/>
        </w:rPr>
        <w:t>无</w:t>
      </w:r>
    </w:p>
    <w:p>
      <w:pPr>
        <w:spacing w:after="0" w:line="470" w:lineRule="auto"/>
        <w:jc w:val="left"/>
        <w:rPr>
          <w:rFonts w:ascii="宋体" w:hAnsi="宋体" w:cs="宋体" w:eastAsia="宋体" w:hint="default"/>
        </w:rPr>
        <w:sectPr>
          <w:pgSz w:w="11910" w:h="16840"/>
          <w:pgMar w:header="747" w:footer="979" w:top="1060" w:bottom="1160" w:left="740" w:right="0"/>
        </w:sectPr>
      </w:pPr>
    </w:p>
    <w:p>
      <w:pPr>
        <w:spacing w:line="240" w:lineRule="auto" w:before="0"/>
        <w:rPr>
          <w:rFonts w:ascii="宋体" w:hAnsi="宋体" w:cs="宋体" w:eastAsia="宋体" w:hint="default"/>
          <w:sz w:val="20"/>
          <w:szCs w:val="20"/>
        </w:rPr>
      </w:pPr>
    </w:p>
    <w:p>
      <w:pPr>
        <w:pStyle w:val="Heading2"/>
        <w:spacing w:line="240" w:lineRule="auto" w:before="199"/>
        <w:ind w:right="996"/>
        <w:jc w:val="left"/>
        <w:rPr>
          <w:b w:val="0"/>
          <w:bCs w:val="0"/>
        </w:rPr>
      </w:pPr>
      <w:bookmarkStart w:name="（4）划分为金融负债的其他金融工具说明" w:id="368"/>
      <w:bookmarkEnd w:id="368"/>
      <w:r>
        <w:rPr>
          <w:b w:val="0"/>
          <w:bCs w:val="0"/>
        </w:rPr>
      </w:r>
      <w:r>
        <w:rPr/>
        <w:t>（</w:t>
      </w:r>
      <w:r>
        <w:rPr>
          <w:rFonts w:ascii="宋体" w:hAnsi="宋体" w:cs="宋体" w:eastAsia="宋体" w:hint="default"/>
        </w:rPr>
        <w:t>4</w:t>
      </w:r>
      <w:r>
        <w:rPr/>
        <w:t>）划分为金融负债的其他金融工具说明</w:t>
      </w:r>
      <w:r>
        <w:rPr>
          <w:b w:val="0"/>
          <w:bCs w:val="0"/>
        </w:rPr>
      </w:r>
    </w:p>
    <w:p>
      <w:pPr>
        <w:spacing w:line="240" w:lineRule="auto" w:before="1"/>
        <w:rPr>
          <w:rFonts w:ascii="宋体" w:hAnsi="宋体" w:cs="宋体" w:eastAsia="宋体" w:hint="default"/>
          <w:b/>
          <w:bCs/>
          <w:sz w:val="23"/>
          <w:szCs w:val="23"/>
        </w:rPr>
      </w:pPr>
    </w:p>
    <w:p>
      <w:pPr>
        <w:pStyle w:val="BodyText"/>
        <w:spacing w:line="352" w:lineRule="auto" w:before="0"/>
        <w:ind w:left="633" w:right="3793"/>
        <w:jc w:val="left"/>
      </w:pPr>
      <w:r>
        <w:rPr/>
        <w:t>期末发行在外的优先股、永续债等其他金融工具基本情况：无 期末发行在外的优先股、永续债等金融工具变动情况表：无 其他金融工具划分为金融负债的依据说明：无</w:t>
      </w:r>
    </w:p>
    <w:p>
      <w:pPr>
        <w:pStyle w:val="BodyText"/>
        <w:spacing w:line="352" w:lineRule="auto" w:before="32"/>
        <w:ind w:left="633" w:right="1153"/>
        <w:jc w:val="left"/>
        <w:rPr>
          <w:rFonts w:ascii="宋体" w:hAnsi="宋体" w:cs="宋体" w:eastAsia="宋体" w:hint="default"/>
        </w:rPr>
      </w:pPr>
      <w:r>
        <w:rPr/>
        <w:t>其他说明 经中国证券监督管理委员会证监许可〔</w:t>
      </w:r>
      <w:r>
        <w:rPr>
          <w:rFonts w:ascii="宋体" w:hAnsi="宋体" w:cs="宋体" w:eastAsia="宋体" w:hint="default"/>
        </w:rPr>
        <w:t>2014</w:t>
      </w:r>
      <w:r>
        <w:rPr/>
        <w:t>〕</w:t>
      </w:r>
      <w:r>
        <w:rPr>
          <w:rFonts w:ascii="宋体" w:hAnsi="宋体" w:cs="宋体" w:eastAsia="宋体" w:hint="default"/>
        </w:rPr>
        <w:t>926</w:t>
      </w:r>
      <w:r>
        <w:rPr/>
        <w:t>号文核准公司公开发行不超过人民币</w:t>
      </w:r>
      <w:r>
        <w:rPr>
          <w:rFonts w:ascii="宋体" w:hAnsi="宋体" w:cs="宋体" w:eastAsia="宋体" w:hint="default"/>
        </w:rPr>
        <w:t>5</w:t>
      </w:r>
    </w:p>
    <w:p>
      <w:pPr>
        <w:pStyle w:val="BodyText"/>
        <w:spacing w:line="350" w:lineRule="auto" w:before="32"/>
        <w:ind w:right="999"/>
        <w:jc w:val="left"/>
      </w:pPr>
      <w:r>
        <w:rPr>
          <w:spacing w:val="-2"/>
        </w:rPr>
        <w:t>亿元的公司债券，根据《河南辉煌科技股份有限公司</w:t>
      </w:r>
      <w:r>
        <w:rPr>
          <w:rFonts w:ascii="宋体" w:hAnsi="宋体" w:cs="宋体" w:eastAsia="宋体" w:hint="default"/>
          <w:spacing w:val="-2"/>
        </w:rPr>
        <w:t>2015</w:t>
      </w:r>
      <w:r>
        <w:rPr>
          <w:spacing w:val="-2"/>
        </w:rPr>
        <w:t>年公司债券（第一期）发行公告》，</w:t>
      </w:r>
      <w:r>
        <w:rPr>
          <w:spacing w:val="-118"/>
        </w:rPr>
        <w:t> </w:t>
      </w:r>
      <w:r>
        <w:rPr>
          <w:spacing w:val="-118"/>
        </w:rPr>
      </w:r>
      <w:r>
        <w:rPr/>
        <w:t>公司</w:t>
      </w:r>
      <w:r>
        <w:rPr>
          <w:rFonts w:ascii="宋体" w:hAnsi="宋体" w:cs="宋体" w:eastAsia="宋体" w:hint="default"/>
        </w:rPr>
        <w:t>2015</w:t>
      </w:r>
      <w:r>
        <w:rPr/>
        <w:t>年公司债券（第一期）发行规模为人民币</w:t>
      </w:r>
      <w:r>
        <w:rPr>
          <w:rFonts w:ascii="宋体" w:hAnsi="宋体" w:cs="宋体" w:eastAsia="宋体" w:hint="default"/>
        </w:rPr>
        <w:t>2.5</w:t>
      </w:r>
      <w:r>
        <w:rPr/>
        <w:t>亿，发行价格为每张</w:t>
      </w:r>
      <w:r>
        <w:rPr>
          <w:rFonts w:ascii="宋体" w:hAnsi="宋体" w:cs="宋体" w:eastAsia="宋体" w:hint="default"/>
        </w:rPr>
        <w:t>100</w:t>
      </w:r>
      <w:r>
        <w:rPr/>
        <w:t>元，票面利率 </w:t>
      </w:r>
      <w:r>
        <w:rPr>
          <w:rFonts w:ascii="宋体" w:hAnsi="宋体" w:cs="宋体" w:eastAsia="宋体" w:hint="default"/>
        </w:rPr>
        <w:t>9%</w:t>
      </w:r>
      <w:r>
        <w:rPr/>
        <w:t>，期限为</w:t>
      </w:r>
      <w:r>
        <w:rPr>
          <w:rFonts w:ascii="宋体" w:hAnsi="宋体" w:cs="宋体" w:eastAsia="宋体" w:hint="default"/>
        </w:rPr>
        <w:t>3</w:t>
      </w:r>
      <w:r>
        <w:rPr/>
        <w:t>年，每年付息一次，付息日每年</w:t>
      </w:r>
      <w:r>
        <w:rPr>
          <w:rFonts w:ascii="宋体" w:hAnsi="宋体" w:cs="宋体" w:eastAsia="宋体" w:hint="default"/>
        </w:rPr>
        <w:t>3</w:t>
      </w:r>
      <w:r>
        <w:rPr/>
        <w:t>月</w:t>
      </w:r>
      <w:r>
        <w:rPr>
          <w:rFonts w:ascii="宋体" w:hAnsi="宋体" w:cs="宋体" w:eastAsia="宋体" w:hint="default"/>
        </w:rPr>
        <w:t>4</w:t>
      </w:r>
      <w:r>
        <w:rPr/>
        <w:t>日，首次付息日为</w:t>
      </w:r>
      <w:r>
        <w:rPr>
          <w:rFonts w:ascii="宋体" w:hAnsi="宋体" w:cs="宋体" w:eastAsia="宋体" w:hint="default"/>
        </w:rPr>
        <w:t>2016</w:t>
      </w:r>
      <w:r>
        <w:rPr/>
        <w:t>年</w:t>
      </w:r>
      <w:r>
        <w:rPr>
          <w:rFonts w:ascii="宋体" w:hAnsi="宋体" w:cs="宋体" w:eastAsia="宋体" w:hint="default"/>
        </w:rPr>
        <w:t>3</w:t>
      </w:r>
      <w:r>
        <w:rPr/>
        <w:t>月</w:t>
      </w:r>
      <w:r>
        <w:rPr>
          <w:rFonts w:ascii="宋体" w:hAnsi="宋体" w:cs="宋体" w:eastAsia="宋体" w:hint="default"/>
        </w:rPr>
        <w:t>4</w:t>
      </w:r>
      <w:r>
        <w:rPr/>
        <w:t>日，附第</w:t>
      </w:r>
      <w:r>
        <w:rPr>
          <w:rFonts w:ascii="宋体" w:hAnsi="宋体" w:cs="宋体" w:eastAsia="宋体" w:hint="default"/>
        </w:rPr>
        <w:t>2</w:t>
      </w:r>
      <w:r>
        <w:rPr/>
        <w:t>年 末发行人上调票面利率选择权及投资者回售选择权，简称为“</w:t>
      </w:r>
      <w:r>
        <w:rPr>
          <w:rFonts w:ascii="宋体" w:hAnsi="宋体" w:cs="宋体" w:eastAsia="宋体" w:hint="default"/>
        </w:rPr>
        <w:t>15</w:t>
      </w:r>
      <w:r>
        <w:rPr/>
        <w:t>辉煌</w:t>
      </w:r>
      <w:r>
        <w:rPr>
          <w:rFonts w:ascii="宋体" w:hAnsi="宋体" w:cs="宋体" w:eastAsia="宋体" w:hint="default"/>
        </w:rPr>
        <w:t>01</w:t>
      </w:r>
      <w:r>
        <w:rPr/>
        <w:t>”，发行工作于</w:t>
      </w:r>
      <w:r>
        <w:rPr>
          <w:rFonts w:ascii="宋体" w:hAnsi="宋体" w:cs="宋体" w:eastAsia="宋体" w:hint="default"/>
        </w:rPr>
        <w:t>2015 </w:t>
      </w:r>
      <w:r>
        <w:rPr/>
        <w:t>年</w:t>
      </w:r>
      <w:r>
        <w:rPr>
          <w:rFonts w:ascii="宋体" w:hAnsi="宋体" w:cs="宋体" w:eastAsia="宋体" w:hint="default"/>
        </w:rPr>
        <w:t>3</w:t>
      </w:r>
      <w:r>
        <w:rPr/>
        <w:t>月</w:t>
      </w:r>
      <w:r>
        <w:rPr>
          <w:rFonts w:ascii="宋体" w:hAnsi="宋体" w:cs="宋体" w:eastAsia="宋体" w:hint="default"/>
        </w:rPr>
        <w:t>6</w:t>
      </w:r>
      <w:r>
        <w:rPr/>
        <w:t>日结束，网下机构投资者认购数量为</w:t>
      </w:r>
      <w:r>
        <w:rPr>
          <w:rFonts w:ascii="宋体" w:hAnsi="宋体" w:cs="宋体" w:eastAsia="宋体" w:hint="default"/>
        </w:rPr>
        <w:t>2.5</w:t>
      </w:r>
      <w:r>
        <w:rPr/>
        <w:t>亿元，占本期债券发行总量的比例为</w:t>
      </w:r>
      <w:r>
        <w:rPr>
          <w:rFonts w:ascii="宋体" w:hAnsi="宋体" w:cs="宋体" w:eastAsia="宋体" w:hint="default"/>
        </w:rPr>
        <w:t>100%</w:t>
      </w:r>
      <w:r>
        <w:rPr/>
        <w:t>。</w:t>
      </w:r>
    </w:p>
    <w:p>
      <w:pPr>
        <w:pStyle w:val="Heading2"/>
        <w:spacing w:line="240" w:lineRule="auto" w:before="36"/>
        <w:ind w:right="996"/>
        <w:jc w:val="left"/>
        <w:rPr>
          <w:b w:val="0"/>
          <w:bCs w:val="0"/>
        </w:rPr>
      </w:pPr>
      <w:bookmarkStart w:name="47、长期应付款" w:id="369"/>
      <w:bookmarkEnd w:id="369"/>
      <w:r>
        <w:rPr>
          <w:b w:val="0"/>
          <w:bCs w:val="0"/>
        </w:rPr>
      </w:r>
      <w:r>
        <w:rPr>
          <w:rFonts w:ascii="宋体" w:hAnsi="宋体" w:cs="宋体" w:eastAsia="宋体" w:hint="default"/>
        </w:rPr>
        <w:t>47</w:t>
      </w:r>
      <w:r>
        <w:rPr/>
        <w:t>、长期应付款</w:t>
      </w:r>
      <w:r>
        <w:rPr>
          <w:b w:val="0"/>
          <w:bCs w:val="0"/>
        </w:rPr>
      </w:r>
    </w:p>
    <w:p>
      <w:pPr>
        <w:pStyle w:val="Heading2"/>
        <w:spacing w:line="610" w:lineRule="atLeast" w:before="5"/>
        <w:ind w:left="633" w:right="6913" w:firstLine="2"/>
        <w:jc w:val="left"/>
        <w:rPr>
          <w:rFonts w:ascii="宋体" w:hAnsi="宋体" w:cs="宋体" w:eastAsia="宋体" w:hint="default"/>
          <w:b w:val="0"/>
          <w:bCs w:val="0"/>
        </w:rPr>
      </w:pPr>
      <w:bookmarkStart w:name="（1）按款项性质列示长期应付款" w:id="370"/>
      <w:bookmarkEnd w:id="370"/>
      <w:r>
        <w:rPr>
          <w:b w:val="0"/>
          <w:bCs w:val="0"/>
        </w:rPr>
      </w:r>
      <w:r>
        <w:rPr>
          <w:w w:val="95"/>
        </w:rPr>
        <w:t>（</w:t>
      </w:r>
      <w:r>
        <w:rPr>
          <w:rFonts w:ascii="宋体" w:hAnsi="宋体" w:cs="宋体" w:eastAsia="宋体" w:hint="default"/>
          <w:w w:val="95"/>
        </w:rPr>
        <w:t>1</w:t>
      </w:r>
      <w:r>
        <w:rPr>
          <w:w w:val="95"/>
        </w:rPr>
        <w:t>）按款项性质列示长期应付款</w:t>
      </w:r>
      <w:r>
        <w:rPr>
          <w:spacing w:val="45"/>
          <w:w w:val="95"/>
        </w:rPr>
        <w:t> </w:t>
      </w:r>
      <w:r>
        <w:rPr>
          <w:rFonts w:ascii="宋体" w:hAnsi="宋体" w:cs="宋体" w:eastAsia="宋体" w:hint="default"/>
          <w:b w:val="0"/>
          <w:bCs w:val="0"/>
        </w:rPr>
        <w:t>无</w:t>
      </w:r>
    </w:p>
    <w:p>
      <w:pPr>
        <w:spacing w:line="350" w:lineRule="auto" w:before="147"/>
        <w:ind w:left="636" w:right="7860" w:hanging="3"/>
        <w:jc w:val="left"/>
        <w:rPr>
          <w:rFonts w:ascii="宋体" w:hAnsi="宋体" w:cs="宋体" w:eastAsia="宋体" w:hint="default"/>
          <w:sz w:val="24"/>
          <w:szCs w:val="24"/>
        </w:rPr>
      </w:pPr>
      <w:r>
        <w:rPr>
          <w:rFonts w:ascii="宋体" w:hAnsi="宋体" w:cs="宋体" w:eastAsia="宋体" w:hint="default"/>
          <w:sz w:val="24"/>
          <w:szCs w:val="24"/>
        </w:rPr>
        <w:t>其他说明：无 </w:t>
      </w:r>
      <w:bookmarkStart w:name="48、长期应付职工薪酬" w:id="371"/>
      <w:bookmarkEnd w:id="371"/>
      <w:r>
        <w:rPr>
          <w:rFonts w:ascii="宋体" w:hAnsi="宋体" w:cs="宋体" w:eastAsia="宋体" w:hint="default"/>
          <w:sz w:val="24"/>
          <w:szCs w:val="24"/>
        </w:rPr>
      </w:r>
      <w:r>
        <w:rPr>
          <w:rFonts w:ascii="宋体" w:hAnsi="宋体" w:cs="宋体" w:eastAsia="宋体" w:hint="default"/>
          <w:b/>
          <w:bCs/>
          <w:sz w:val="24"/>
          <w:szCs w:val="24"/>
        </w:rPr>
        <w:t>48</w:t>
      </w:r>
      <w:r>
        <w:rPr>
          <w:rFonts w:ascii="宋体" w:hAnsi="宋体" w:cs="宋体" w:eastAsia="宋体" w:hint="default"/>
          <w:b/>
          <w:bCs/>
          <w:sz w:val="24"/>
          <w:szCs w:val="24"/>
        </w:rPr>
        <w:t>、长期应付职工薪酬</w:t>
      </w:r>
      <w:r>
        <w:rPr>
          <w:rFonts w:ascii="宋体" w:hAnsi="宋体" w:cs="宋体" w:eastAsia="宋体" w:hint="default"/>
          <w:sz w:val="24"/>
          <w:szCs w:val="24"/>
        </w:rPr>
      </w:r>
    </w:p>
    <w:p>
      <w:pPr>
        <w:pStyle w:val="Heading2"/>
        <w:spacing w:line="240" w:lineRule="auto" w:before="191"/>
        <w:ind w:right="996"/>
        <w:jc w:val="left"/>
        <w:rPr>
          <w:b w:val="0"/>
          <w:bCs w:val="0"/>
        </w:rPr>
      </w:pPr>
      <w:bookmarkStart w:name="（1）长期应付职工薪酬表" w:id="372"/>
      <w:bookmarkEnd w:id="372"/>
      <w:r>
        <w:rPr>
          <w:b w:val="0"/>
          <w:bCs w:val="0"/>
        </w:rPr>
      </w:r>
      <w:r>
        <w:rPr/>
        <w:t>（</w:t>
      </w:r>
      <w:r>
        <w:rPr>
          <w:rFonts w:ascii="宋体" w:hAnsi="宋体" w:cs="宋体" w:eastAsia="宋体" w:hint="default"/>
        </w:rPr>
        <w:t>1</w:t>
      </w:r>
      <w:r>
        <w:rPr/>
        <w:t>）长期应付职工薪酬表</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0"/>
        <w:ind w:left="633" w:right="996"/>
        <w:jc w:val="left"/>
      </w:pPr>
      <w:r>
        <w:rPr/>
        <w:t>无</w:t>
      </w:r>
    </w:p>
    <w:p>
      <w:pPr>
        <w:pStyle w:val="Heading2"/>
        <w:spacing w:line="240" w:lineRule="auto" w:before="145"/>
        <w:ind w:left="633" w:right="996" w:firstLine="2"/>
        <w:jc w:val="left"/>
        <w:rPr>
          <w:b w:val="0"/>
          <w:bCs w:val="0"/>
        </w:rPr>
      </w:pPr>
      <w:bookmarkStart w:name="（2）设定受益计划变动情况" w:id="373"/>
      <w:bookmarkEnd w:id="373"/>
      <w:r>
        <w:rPr>
          <w:b w:val="0"/>
          <w:bCs w:val="0"/>
        </w:rPr>
      </w:r>
      <w:r>
        <w:rPr/>
        <w:t>（</w:t>
      </w:r>
      <w:r>
        <w:rPr>
          <w:rFonts w:ascii="宋体" w:hAnsi="宋体" w:cs="宋体" w:eastAsia="宋体" w:hint="default"/>
        </w:rPr>
        <w:t>2</w:t>
      </w:r>
      <w:r>
        <w:rPr/>
        <w:t>）设定受益计划变动情况</w:t>
      </w:r>
      <w:r>
        <w:rPr>
          <w:b w:val="0"/>
          <w:bCs w:val="0"/>
        </w:rPr>
      </w:r>
    </w:p>
    <w:p>
      <w:pPr>
        <w:spacing w:line="240" w:lineRule="auto" w:before="1"/>
        <w:rPr>
          <w:rFonts w:ascii="宋体" w:hAnsi="宋体" w:cs="宋体" w:eastAsia="宋体" w:hint="default"/>
          <w:b/>
          <w:bCs/>
          <w:sz w:val="23"/>
          <w:szCs w:val="23"/>
        </w:rPr>
      </w:pPr>
    </w:p>
    <w:p>
      <w:pPr>
        <w:pStyle w:val="BodyText"/>
        <w:spacing w:line="352" w:lineRule="auto" w:before="0"/>
        <w:ind w:left="633" w:right="6673"/>
        <w:jc w:val="left"/>
      </w:pPr>
      <w:r>
        <w:rPr/>
        <w:t>设定受益计划义务现值：无 计划资产：无 设定受益计划净负债（净资产）无</w:t>
      </w:r>
    </w:p>
    <w:p>
      <w:pPr>
        <w:pStyle w:val="BodyText"/>
        <w:spacing w:line="352" w:lineRule="auto" w:before="32"/>
        <w:ind w:right="1153" w:firstLine="480"/>
        <w:jc w:val="left"/>
      </w:pPr>
      <w:r>
        <w:rPr/>
        <w:t>设定受益计划的内容及与之相关风险、对公司未来现金流量、时间和不确定性的影响说 明：无</w:t>
      </w:r>
    </w:p>
    <w:p>
      <w:pPr>
        <w:pStyle w:val="BodyText"/>
        <w:spacing w:line="350" w:lineRule="auto" w:before="32"/>
        <w:ind w:left="633" w:right="4513"/>
        <w:jc w:val="left"/>
      </w:pPr>
      <w:r>
        <w:rPr/>
        <w:t>设定受益计划重大精算假设及敏感性分析结果说明：无 其他说明：无</w:t>
      </w:r>
    </w:p>
    <w:p>
      <w:pPr>
        <w:spacing w:after="0" w:line="35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Heading2"/>
        <w:spacing w:line="240" w:lineRule="auto" w:before="199"/>
        <w:ind w:right="996"/>
        <w:jc w:val="left"/>
        <w:rPr>
          <w:b w:val="0"/>
          <w:bCs w:val="0"/>
        </w:rPr>
      </w:pPr>
      <w:bookmarkStart w:name="49、专项应付款" w:id="374"/>
      <w:bookmarkEnd w:id="374"/>
      <w:r>
        <w:rPr>
          <w:b w:val="0"/>
          <w:bCs w:val="0"/>
        </w:rPr>
      </w:r>
      <w:r>
        <w:rPr>
          <w:rFonts w:ascii="宋体" w:hAnsi="宋体" w:cs="宋体" w:eastAsia="宋体" w:hint="default"/>
        </w:rPr>
        <w:t>49</w:t>
      </w:r>
      <w:r>
        <w:rPr/>
        <w:t>、专项应付款</w:t>
      </w:r>
      <w:r>
        <w:rPr>
          <w:b w:val="0"/>
          <w:bCs w:val="0"/>
        </w:rPr>
      </w:r>
    </w:p>
    <w:p>
      <w:pPr>
        <w:spacing w:line="240" w:lineRule="auto" w:before="1"/>
        <w:rPr>
          <w:rFonts w:ascii="宋体" w:hAnsi="宋体" w:cs="宋体" w:eastAsia="宋体" w:hint="default"/>
          <w:b/>
          <w:bCs/>
          <w:sz w:val="23"/>
          <w:szCs w:val="23"/>
        </w:rPr>
      </w:pPr>
    </w:p>
    <w:p>
      <w:pPr>
        <w:spacing w:line="352" w:lineRule="auto" w:before="0"/>
        <w:ind w:left="633" w:right="8826" w:firstLine="0"/>
        <w:jc w:val="left"/>
        <w:rPr>
          <w:rFonts w:ascii="宋体" w:hAnsi="宋体" w:cs="宋体" w:eastAsia="宋体" w:hint="default"/>
          <w:sz w:val="24"/>
          <w:szCs w:val="24"/>
        </w:rPr>
      </w:pPr>
      <w:r>
        <w:rPr>
          <w:rFonts w:ascii="宋体" w:hAnsi="宋体" w:cs="宋体" w:eastAsia="宋体" w:hint="default"/>
          <w:sz w:val="24"/>
          <w:szCs w:val="24"/>
        </w:rPr>
        <w:t>无 其他说明：无 </w:t>
      </w:r>
      <w:bookmarkStart w:name="50、预计负债" w:id="375"/>
      <w:bookmarkEnd w:id="375"/>
      <w:r>
        <w:rPr>
          <w:rFonts w:ascii="宋体" w:hAnsi="宋体" w:cs="宋体" w:eastAsia="宋体" w:hint="default"/>
          <w:sz w:val="24"/>
          <w:szCs w:val="24"/>
        </w:rPr>
      </w:r>
      <w:r>
        <w:rPr>
          <w:rFonts w:ascii="宋体" w:hAnsi="宋体" w:cs="宋体" w:eastAsia="宋体" w:hint="default"/>
          <w:b/>
          <w:bCs/>
          <w:sz w:val="24"/>
          <w:szCs w:val="24"/>
        </w:rPr>
        <w:t>50</w:t>
      </w:r>
      <w:r>
        <w:rPr>
          <w:rFonts w:ascii="宋体" w:hAnsi="宋体" w:cs="宋体" w:eastAsia="宋体" w:hint="default"/>
          <w:b/>
          <w:bCs/>
          <w:sz w:val="24"/>
          <w:szCs w:val="24"/>
        </w:rPr>
        <w:t>、预计负债</w:t>
      </w:r>
      <w:r>
        <w:rPr>
          <w:rFonts w:ascii="宋体" w:hAnsi="宋体" w:cs="宋体" w:eastAsia="宋体" w:hint="default"/>
          <w:sz w:val="24"/>
          <w:szCs w:val="24"/>
        </w:rPr>
      </w:r>
    </w:p>
    <w:p>
      <w:pPr>
        <w:pStyle w:val="BodyText"/>
        <w:spacing w:line="352" w:lineRule="auto" w:before="188"/>
        <w:ind w:left="633" w:right="3793"/>
        <w:jc w:val="left"/>
        <w:rPr>
          <w:rFonts w:ascii="宋体" w:hAnsi="宋体" w:cs="宋体" w:eastAsia="宋体" w:hint="default"/>
        </w:rPr>
      </w:pPr>
      <w:r>
        <w:rPr/>
        <w:t>无 其他说明，包括重要预计负债的相关重要假设、估计说明：无 </w:t>
      </w:r>
      <w:bookmarkStart w:name="51、递延收益" w:id="376"/>
      <w:bookmarkEnd w:id="376"/>
      <w:r>
        <w:rPr/>
      </w:r>
      <w:r>
        <w:rPr>
          <w:rFonts w:ascii="宋体" w:hAnsi="宋体" w:cs="宋体" w:eastAsia="宋体" w:hint="default"/>
          <w:b/>
          <w:bCs/>
        </w:rPr>
        <w:t>51</w:t>
      </w:r>
      <w:r>
        <w:rPr>
          <w:rFonts w:ascii="宋体" w:hAnsi="宋体" w:cs="宋体" w:eastAsia="宋体" w:hint="default"/>
          <w:b/>
          <w:bCs/>
        </w:rPr>
        <w:t>、递延收益</w:t>
      </w:r>
      <w:r>
        <w:rPr>
          <w:rFonts w:ascii="宋体" w:hAnsi="宋体" w:cs="宋体" w:eastAsia="宋体" w:hint="default"/>
        </w:rPr>
      </w:r>
    </w:p>
    <w:p>
      <w:pPr>
        <w:spacing w:before="87"/>
        <w:ind w:left="0" w:right="1129" w:firstLine="0"/>
        <w:jc w:val="right"/>
        <w:rPr>
          <w:rFonts w:ascii="宋体" w:hAnsi="宋体" w:cs="宋体" w:eastAsia="宋体" w:hint="default"/>
          <w:sz w:val="21"/>
          <w:szCs w:val="21"/>
        </w:rPr>
      </w:pPr>
      <w:r>
        <w:rPr>
          <w:rFonts w:ascii="宋体" w:hAnsi="宋体" w:cs="宋体" w:eastAsia="宋体" w:hint="default"/>
          <w:sz w:val="21"/>
          <w:szCs w:val="21"/>
        </w:rPr>
        <w:t>单位： 元</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83"/>
        <w:gridCol w:w="1607"/>
        <w:gridCol w:w="1595"/>
        <w:gridCol w:w="1594"/>
        <w:gridCol w:w="1594"/>
        <w:gridCol w:w="1595"/>
      </w:tblGrid>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6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384"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373"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371"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372"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373" w:right="0"/>
              <w:jc w:val="left"/>
              <w:rPr>
                <w:rFonts w:ascii="宋体" w:hAnsi="宋体" w:cs="宋体" w:eastAsia="宋体" w:hint="default"/>
                <w:sz w:val="21"/>
                <w:szCs w:val="21"/>
              </w:rPr>
            </w:pPr>
            <w:r>
              <w:rPr>
                <w:rFonts w:ascii="宋体" w:hAnsi="宋体" w:cs="宋体" w:eastAsia="宋体" w:hint="default"/>
                <w:sz w:val="21"/>
                <w:szCs w:val="21"/>
              </w:rPr>
              <w:t>形成原因</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政府补助</w:t>
            </w:r>
          </w:p>
        </w:tc>
        <w:tc>
          <w:tcPr>
            <w:tcW w:w="160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26"/>
              <w:ind w:right="19"/>
              <w:jc w:val="right"/>
              <w:rPr>
                <w:rFonts w:ascii="宋体" w:hAnsi="宋体" w:cs="宋体" w:eastAsia="宋体" w:hint="default"/>
                <w:sz w:val="21"/>
                <w:szCs w:val="21"/>
              </w:rPr>
            </w:pPr>
            <w:r>
              <w:rPr>
                <w:rFonts w:ascii="宋体"/>
                <w:sz w:val="21"/>
              </w:rPr>
              <w:t>8,500,000.00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1,200,000.00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9"/>
              <w:jc w:val="right"/>
              <w:rPr>
                <w:rFonts w:ascii="宋体" w:hAnsi="宋体" w:cs="宋体" w:eastAsia="宋体" w:hint="default"/>
                <w:sz w:val="21"/>
                <w:szCs w:val="21"/>
              </w:rPr>
            </w:pPr>
            <w:r>
              <w:rPr>
                <w:rFonts w:ascii="宋体"/>
                <w:sz w:val="21"/>
              </w:rPr>
              <w:t>2,700,000.00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7,000,000.00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3" w:right="0"/>
              <w:jc w:val="left"/>
              <w:rPr>
                <w:rFonts w:ascii="宋体" w:hAnsi="宋体" w:cs="宋体" w:eastAsia="宋体" w:hint="default"/>
                <w:sz w:val="21"/>
                <w:szCs w:val="21"/>
              </w:rPr>
            </w:pPr>
            <w:r>
              <w:rPr>
                <w:rFonts w:ascii="宋体" w:hAnsi="宋体" w:cs="宋体" w:eastAsia="宋体" w:hint="default"/>
                <w:sz w:val="21"/>
                <w:szCs w:val="21"/>
              </w:rPr>
              <w:t>政府补助</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60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26"/>
              <w:ind w:right="19"/>
              <w:jc w:val="right"/>
              <w:rPr>
                <w:rFonts w:ascii="宋体" w:hAnsi="宋体" w:cs="宋体" w:eastAsia="宋体" w:hint="default"/>
                <w:sz w:val="21"/>
                <w:szCs w:val="21"/>
              </w:rPr>
            </w:pPr>
            <w:r>
              <w:rPr>
                <w:rFonts w:ascii="宋体"/>
                <w:sz w:val="21"/>
              </w:rPr>
              <w:t>8,500,000.00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9"/>
              <w:jc w:val="right"/>
              <w:rPr>
                <w:rFonts w:ascii="宋体" w:hAnsi="宋体" w:cs="宋体" w:eastAsia="宋体" w:hint="default"/>
                <w:sz w:val="21"/>
                <w:szCs w:val="21"/>
              </w:rPr>
            </w:pPr>
            <w:r>
              <w:rPr>
                <w:rFonts w:ascii="宋体"/>
                <w:sz w:val="21"/>
              </w:rPr>
              <w:t>1,200,000.00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9"/>
              <w:jc w:val="right"/>
              <w:rPr>
                <w:rFonts w:ascii="宋体" w:hAnsi="宋体" w:cs="宋体" w:eastAsia="宋体" w:hint="default"/>
                <w:sz w:val="21"/>
                <w:szCs w:val="21"/>
              </w:rPr>
            </w:pPr>
            <w:r>
              <w:rPr>
                <w:rFonts w:ascii="宋体"/>
                <w:sz w:val="21"/>
              </w:rPr>
              <w:t>2,700,000.00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7,000,000.00</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 w:right="0"/>
              <w:jc w:val="center"/>
              <w:rPr>
                <w:rFonts w:ascii="宋体" w:hAnsi="宋体" w:cs="宋体" w:eastAsia="宋体" w:hint="default"/>
                <w:sz w:val="21"/>
                <w:szCs w:val="21"/>
              </w:rPr>
            </w:pPr>
            <w:r>
              <w:rPr>
                <w:rFonts w:ascii="宋体"/>
                <w:sz w:val="21"/>
              </w:rPr>
              <w:t>--</w:t>
            </w:r>
          </w:p>
        </w:tc>
      </w:tr>
    </w:tbl>
    <w:p>
      <w:pPr>
        <w:spacing w:line="240" w:lineRule="auto" w:before="10"/>
        <w:rPr>
          <w:rFonts w:ascii="宋体" w:hAnsi="宋体" w:cs="宋体" w:eastAsia="宋体" w:hint="default"/>
          <w:sz w:val="4"/>
          <w:szCs w:val="4"/>
        </w:rPr>
      </w:pPr>
    </w:p>
    <w:p>
      <w:pPr>
        <w:spacing w:after="0" w:line="240" w:lineRule="auto"/>
        <w:rPr>
          <w:rFonts w:ascii="宋体" w:hAnsi="宋体" w:cs="宋体" w:eastAsia="宋体" w:hint="default"/>
          <w:sz w:val="4"/>
          <w:szCs w:val="4"/>
        </w:rPr>
        <w:sectPr>
          <w:pgSz w:w="11910" w:h="16840"/>
          <w:pgMar w:header="747" w:footer="979" w:top="1060" w:bottom="1160" w:left="980" w:right="0"/>
        </w:sectPr>
      </w:pPr>
    </w:p>
    <w:p>
      <w:pPr>
        <w:pStyle w:val="BodyText"/>
        <w:spacing w:line="240" w:lineRule="auto" w:before="26"/>
        <w:ind w:left="634" w:right="-20"/>
        <w:jc w:val="left"/>
      </w:pPr>
      <w:r>
        <w:rPr/>
        <w:t>涉及政府补助的项目：</w:t>
      </w:r>
    </w:p>
    <w:p>
      <w:pPr>
        <w:spacing w:line="240" w:lineRule="auto" w:before="0"/>
        <w:rPr>
          <w:rFonts w:ascii="宋体" w:hAnsi="宋体" w:cs="宋体" w:eastAsia="宋体" w:hint="default"/>
          <w:sz w:val="20"/>
          <w:szCs w:val="20"/>
        </w:rPr>
      </w:pPr>
      <w:r>
        <w:rPr/>
        <w:br w:type="column"/>
      </w:r>
      <w:r>
        <w:rPr>
          <w:rFonts w:ascii="宋体"/>
          <w:sz w:val="20"/>
        </w:rPr>
      </w:r>
    </w:p>
    <w:p>
      <w:pPr>
        <w:spacing w:before="161"/>
        <w:ind w:left="633" w:right="0" w:firstLine="0"/>
        <w:jc w:val="left"/>
        <w:rPr>
          <w:rFonts w:ascii="宋体" w:hAnsi="宋体" w:cs="宋体" w:eastAsia="宋体" w:hint="default"/>
          <w:sz w:val="21"/>
          <w:szCs w:val="21"/>
        </w:rPr>
      </w:pPr>
      <w:r>
        <w:rPr>
          <w:rFonts w:ascii="宋体" w:hAnsi="宋体" w:cs="宋体" w:eastAsia="宋体" w:hint="default"/>
          <w:sz w:val="21"/>
          <w:szCs w:val="21"/>
        </w:rPr>
        <w:t>单位： 元</w:t>
      </w:r>
    </w:p>
    <w:p>
      <w:pPr>
        <w:spacing w:after="0"/>
        <w:jc w:val="left"/>
        <w:rPr>
          <w:rFonts w:ascii="宋体" w:hAnsi="宋体" w:cs="宋体" w:eastAsia="宋体" w:hint="default"/>
          <w:sz w:val="21"/>
          <w:szCs w:val="21"/>
        </w:rPr>
        <w:sectPr>
          <w:type w:val="continuous"/>
          <w:pgSz w:w="11910" w:h="16840"/>
          <w:pgMar w:top="1060" w:bottom="1160" w:left="980" w:right="0"/>
          <w:cols w:num="2" w:equalWidth="0">
            <w:col w:w="3035" w:space="5181"/>
            <w:col w:w="2714"/>
          </w:cols>
        </w:sectPr>
      </w:pPr>
    </w:p>
    <w:p>
      <w:pPr>
        <w:spacing w:line="240" w:lineRule="auto" w:before="0"/>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410"/>
        <w:gridCol w:w="1135"/>
        <w:gridCol w:w="1275"/>
        <w:gridCol w:w="852"/>
        <w:gridCol w:w="1274"/>
        <w:gridCol w:w="568"/>
        <w:gridCol w:w="1277"/>
        <w:gridCol w:w="850"/>
      </w:tblGrid>
      <w:tr>
        <w:trPr>
          <w:trHeight w:val="1338" w:hRule="exact"/>
        </w:trPr>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779" w:right="0"/>
              <w:jc w:val="left"/>
              <w:rPr>
                <w:rFonts w:ascii="宋体" w:hAnsi="宋体" w:cs="宋体" w:eastAsia="宋体" w:hint="default"/>
                <w:sz w:val="21"/>
                <w:szCs w:val="21"/>
              </w:rPr>
            </w:pPr>
            <w:r>
              <w:rPr>
                <w:rFonts w:ascii="宋体" w:hAnsi="宋体" w:cs="宋体" w:eastAsia="宋体" w:hint="default"/>
                <w:sz w:val="21"/>
                <w:szCs w:val="21"/>
              </w:rPr>
              <w:t>负债项目</w:t>
            </w:r>
          </w:p>
        </w:tc>
        <w:tc>
          <w:tcPr>
            <w:tcW w:w="11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c>
          <w:tcPr>
            <w:tcW w:w="1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25"/>
                <w:szCs w:val="25"/>
              </w:rPr>
            </w:pPr>
          </w:p>
          <w:p>
            <w:pPr>
              <w:pStyle w:val="TableParagraph"/>
              <w:spacing w:line="273" w:lineRule="auto"/>
              <w:ind w:left="318" w:right="105" w:hanging="211"/>
              <w:jc w:val="left"/>
              <w:rPr>
                <w:rFonts w:ascii="宋体" w:hAnsi="宋体" w:cs="宋体" w:eastAsia="宋体" w:hint="default"/>
                <w:sz w:val="21"/>
                <w:szCs w:val="21"/>
              </w:rPr>
            </w:pPr>
            <w:r>
              <w:rPr>
                <w:rFonts w:ascii="宋体" w:hAnsi="宋体" w:cs="宋体" w:eastAsia="宋体" w:hint="default"/>
                <w:sz w:val="21"/>
                <w:szCs w:val="21"/>
              </w:rPr>
              <w:t>本期新增补 助金额</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2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25"/>
                <w:szCs w:val="25"/>
              </w:rPr>
            </w:pPr>
          </w:p>
          <w:p>
            <w:pPr>
              <w:pStyle w:val="TableParagraph"/>
              <w:spacing w:line="273" w:lineRule="auto"/>
              <w:ind w:left="106" w:right="107"/>
              <w:jc w:val="left"/>
              <w:rPr>
                <w:rFonts w:ascii="宋体" w:hAnsi="宋体" w:cs="宋体" w:eastAsia="宋体" w:hint="default"/>
                <w:sz w:val="21"/>
                <w:szCs w:val="21"/>
              </w:rPr>
            </w:pPr>
            <w:r>
              <w:rPr>
                <w:rFonts w:ascii="宋体" w:hAnsi="宋体" w:cs="宋体" w:eastAsia="宋体" w:hint="default"/>
                <w:sz w:val="21"/>
                <w:szCs w:val="21"/>
              </w:rPr>
              <w:t>本期计入其 他收益金额</w:t>
            </w:r>
          </w:p>
        </w:tc>
        <w:tc>
          <w:tcPr>
            <w:tcW w:w="5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13"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51" w:right="50"/>
              <w:jc w:val="center"/>
              <w:rPr>
                <w:rFonts w:ascii="宋体" w:hAnsi="宋体" w:cs="宋体" w:eastAsia="宋体" w:hint="default"/>
                <w:sz w:val="21"/>
                <w:szCs w:val="21"/>
              </w:rPr>
            </w:pPr>
            <w:r>
              <w:rPr>
                <w:rFonts w:ascii="宋体" w:hAnsi="宋体" w:cs="宋体" w:eastAsia="宋体" w:hint="default"/>
                <w:sz w:val="21"/>
                <w:szCs w:val="21"/>
              </w:rPr>
              <w:t>与资产 相关</w:t>
            </w:r>
            <w:r>
              <w:rPr>
                <w:rFonts w:ascii="宋体" w:hAnsi="宋体" w:cs="宋体" w:eastAsia="宋体" w:hint="default"/>
                <w:sz w:val="21"/>
                <w:szCs w:val="21"/>
              </w:rPr>
              <w:t>/</w:t>
            </w:r>
            <w:r>
              <w:rPr>
                <w:rFonts w:ascii="宋体" w:hAnsi="宋体" w:cs="宋体" w:eastAsia="宋体" w:hint="default"/>
                <w:sz w:val="21"/>
                <w:szCs w:val="21"/>
              </w:rPr>
              <w:t>与 收益相 关</w:t>
            </w:r>
          </w:p>
        </w:tc>
      </w:tr>
      <w:tr>
        <w:trPr>
          <w:trHeight w:val="714"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2" w:right="65"/>
              <w:jc w:val="left"/>
              <w:rPr>
                <w:rFonts w:ascii="宋体" w:hAnsi="宋体" w:cs="宋体" w:eastAsia="宋体" w:hint="default"/>
                <w:sz w:val="21"/>
                <w:szCs w:val="21"/>
              </w:rPr>
            </w:pPr>
            <w:r>
              <w:rPr>
                <w:rFonts w:ascii="宋体" w:hAnsi="宋体" w:cs="宋体" w:eastAsia="宋体" w:hint="default"/>
                <w:sz w:val="21"/>
                <w:szCs w:val="21"/>
              </w:rPr>
              <w:t>年开通</w:t>
            </w:r>
            <w:r>
              <w:rPr>
                <w:rFonts w:ascii="宋体" w:hAnsi="宋体" w:cs="宋体" w:eastAsia="宋体" w:hint="default"/>
                <w:spacing w:val="-52"/>
                <w:sz w:val="21"/>
                <w:szCs w:val="21"/>
              </w:rPr>
              <w:t> </w:t>
            </w:r>
            <w:r>
              <w:rPr>
                <w:rFonts w:ascii="宋体" w:hAnsi="宋体" w:cs="宋体" w:eastAsia="宋体" w:hint="default"/>
                <w:sz w:val="21"/>
                <w:szCs w:val="21"/>
              </w:rPr>
              <w:t>500</w:t>
            </w:r>
            <w:r>
              <w:rPr>
                <w:rFonts w:ascii="宋体" w:hAnsi="宋体" w:cs="宋体" w:eastAsia="宋体" w:hint="default"/>
                <w:spacing w:val="-53"/>
                <w:sz w:val="21"/>
                <w:szCs w:val="21"/>
              </w:rPr>
              <w:t> </w:t>
            </w:r>
            <w:r>
              <w:rPr>
                <w:rFonts w:ascii="宋体" w:hAnsi="宋体" w:cs="宋体" w:eastAsia="宋体" w:hint="default"/>
                <w:sz w:val="21"/>
                <w:szCs w:val="21"/>
              </w:rPr>
              <w:t>个车站的新铁 路信号微机监测系统项目</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4,000,000.00</w:t>
            </w:r>
          </w:p>
        </w:tc>
        <w:tc>
          <w:tcPr>
            <w:tcW w:w="1275"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2,000,000.00</w:t>
            </w:r>
          </w:p>
        </w:tc>
        <w:tc>
          <w:tcPr>
            <w:tcW w:w="56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2,000,000.00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2" w:right="185"/>
              <w:jc w:val="left"/>
              <w:rPr>
                <w:rFonts w:ascii="宋体" w:hAnsi="宋体" w:cs="宋体" w:eastAsia="宋体" w:hint="default"/>
                <w:sz w:val="21"/>
                <w:szCs w:val="21"/>
              </w:rPr>
            </w:pPr>
            <w:r>
              <w:rPr>
                <w:rFonts w:ascii="宋体" w:hAnsi="宋体" w:cs="宋体" w:eastAsia="宋体" w:hint="default"/>
                <w:sz w:val="21"/>
                <w:szCs w:val="21"/>
              </w:rPr>
              <w:t>与资产 相关</w:t>
            </w:r>
          </w:p>
        </w:tc>
      </w:tr>
      <w:tr>
        <w:trPr>
          <w:trHeight w:val="714"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2" w:right="65"/>
              <w:jc w:val="left"/>
              <w:rPr>
                <w:rFonts w:ascii="宋体" w:hAnsi="宋体" w:cs="宋体" w:eastAsia="宋体" w:hint="default"/>
                <w:sz w:val="21"/>
                <w:szCs w:val="21"/>
              </w:rPr>
            </w:pPr>
            <w:r>
              <w:rPr>
                <w:rFonts w:ascii="宋体" w:hAnsi="宋体" w:cs="宋体" w:eastAsia="宋体" w:hint="default"/>
                <w:sz w:val="21"/>
                <w:szCs w:val="21"/>
              </w:rPr>
              <w:t>轨道交通信息集成与网络 化运营调度指挥系统</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2,000,000.00</w:t>
            </w:r>
          </w:p>
        </w:tc>
        <w:tc>
          <w:tcPr>
            <w:tcW w:w="1275"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2,000,000.00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2" w:right="185"/>
              <w:jc w:val="left"/>
              <w:rPr>
                <w:rFonts w:ascii="宋体" w:hAnsi="宋体" w:cs="宋体" w:eastAsia="宋体" w:hint="default"/>
                <w:sz w:val="21"/>
                <w:szCs w:val="21"/>
              </w:rPr>
            </w:pPr>
            <w:r>
              <w:rPr>
                <w:rFonts w:ascii="宋体" w:hAnsi="宋体" w:cs="宋体" w:eastAsia="宋体" w:hint="default"/>
                <w:sz w:val="21"/>
                <w:szCs w:val="21"/>
              </w:rPr>
              <w:t>与资产 相关</w:t>
            </w:r>
          </w:p>
        </w:tc>
      </w:tr>
      <w:tr>
        <w:trPr>
          <w:trHeight w:val="714"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2" w:right="65"/>
              <w:jc w:val="left"/>
              <w:rPr>
                <w:rFonts w:ascii="宋体" w:hAnsi="宋体" w:cs="宋体" w:eastAsia="宋体" w:hint="default"/>
                <w:sz w:val="21"/>
                <w:szCs w:val="21"/>
              </w:rPr>
            </w:pPr>
            <w:r>
              <w:rPr>
                <w:rFonts w:ascii="宋体" w:hAnsi="宋体" w:cs="宋体" w:eastAsia="宋体" w:hint="default"/>
                <w:sz w:val="21"/>
                <w:szCs w:val="21"/>
              </w:rPr>
              <w:t>北斗铁路列车卫星定位与 辅助预警系统应用示范</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2,500,000.00</w:t>
            </w:r>
          </w:p>
        </w:tc>
        <w:tc>
          <w:tcPr>
            <w:tcW w:w="1275"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2,500,000.00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2" w:right="185"/>
              <w:jc w:val="left"/>
              <w:rPr>
                <w:rFonts w:ascii="宋体" w:hAnsi="宋体" w:cs="宋体" w:eastAsia="宋体" w:hint="default"/>
                <w:sz w:val="21"/>
                <w:szCs w:val="21"/>
              </w:rPr>
            </w:pPr>
            <w:r>
              <w:rPr>
                <w:rFonts w:ascii="宋体" w:hAnsi="宋体" w:cs="宋体" w:eastAsia="宋体" w:hint="default"/>
                <w:sz w:val="21"/>
                <w:szCs w:val="21"/>
              </w:rPr>
              <w:t>与资产 相关</w:t>
            </w:r>
          </w:p>
        </w:tc>
      </w:tr>
      <w:tr>
        <w:trPr>
          <w:trHeight w:val="714"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2" w:right="65"/>
              <w:jc w:val="left"/>
              <w:rPr>
                <w:rFonts w:ascii="宋体" w:hAnsi="宋体" w:cs="宋体" w:eastAsia="宋体" w:hint="default"/>
                <w:sz w:val="21"/>
                <w:szCs w:val="21"/>
              </w:rPr>
            </w:pPr>
            <w:r>
              <w:rPr>
                <w:rFonts w:ascii="宋体" w:hAnsi="宋体" w:cs="宋体" w:eastAsia="宋体" w:hint="default"/>
                <w:sz w:val="21"/>
                <w:szCs w:val="21"/>
              </w:rPr>
              <w:t>电气化铁路绝缘带电水冲 洗装备研发与产业化补助</w:t>
            </w:r>
          </w:p>
        </w:tc>
        <w:tc>
          <w:tcPr>
            <w:tcW w:w="1135"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700,000.00</w:t>
            </w:r>
          </w:p>
        </w:tc>
        <w:tc>
          <w:tcPr>
            <w:tcW w:w="852"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700,000.00</w:t>
            </w:r>
          </w:p>
        </w:tc>
        <w:tc>
          <w:tcPr>
            <w:tcW w:w="56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2" w:right="185"/>
              <w:jc w:val="left"/>
              <w:rPr>
                <w:rFonts w:ascii="宋体" w:hAnsi="宋体" w:cs="宋体" w:eastAsia="宋体" w:hint="default"/>
                <w:sz w:val="21"/>
                <w:szCs w:val="21"/>
              </w:rPr>
            </w:pPr>
            <w:r>
              <w:rPr>
                <w:rFonts w:ascii="宋体" w:hAnsi="宋体" w:cs="宋体" w:eastAsia="宋体" w:hint="default"/>
                <w:sz w:val="21"/>
                <w:szCs w:val="21"/>
              </w:rPr>
              <w:t>与收益 相关</w:t>
            </w:r>
          </w:p>
        </w:tc>
      </w:tr>
      <w:tr>
        <w:trPr>
          <w:trHeight w:val="714"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2" w:right="65"/>
              <w:jc w:val="left"/>
              <w:rPr>
                <w:rFonts w:ascii="宋体" w:hAnsi="宋体" w:cs="宋体" w:eastAsia="宋体" w:hint="default"/>
                <w:sz w:val="21"/>
                <w:szCs w:val="21"/>
              </w:rPr>
            </w:pPr>
            <w:r>
              <w:rPr>
                <w:rFonts w:ascii="宋体" w:hAnsi="宋体" w:cs="宋体" w:eastAsia="宋体" w:hint="default"/>
                <w:sz w:val="21"/>
                <w:szCs w:val="21"/>
              </w:rPr>
              <w:t>新型接触网绝缘子带电水 冲洗装备补助</w:t>
            </w:r>
          </w:p>
        </w:tc>
        <w:tc>
          <w:tcPr>
            <w:tcW w:w="1135"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500,000.00</w:t>
            </w:r>
          </w:p>
        </w:tc>
        <w:tc>
          <w:tcPr>
            <w:tcW w:w="852"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500,000.00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2" w:right="185"/>
              <w:jc w:val="left"/>
              <w:rPr>
                <w:rFonts w:ascii="宋体" w:hAnsi="宋体" w:cs="宋体" w:eastAsia="宋体" w:hint="default"/>
                <w:sz w:val="21"/>
                <w:szCs w:val="21"/>
              </w:rPr>
            </w:pPr>
            <w:r>
              <w:rPr>
                <w:rFonts w:ascii="宋体" w:hAnsi="宋体" w:cs="宋体" w:eastAsia="宋体" w:hint="default"/>
                <w:sz w:val="21"/>
                <w:szCs w:val="21"/>
              </w:rPr>
              <w:t>与收益 相关</w:t>
            </w:r>
          </w:p>
        </w:tc>
      </w:tr>
      <w:tr>
        <w:trPr>
          <w:trHeight w:val="402" w:hRule="exact"/>
        </w:trPr>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8,500,000.00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1,200,000.00</w:t>
            </w:r>
          </w:p>
        </w:tc>
        <w:tc>
          <w:tcPr>
            <w:tcW w:w="852"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2,700,000.00</w:t>
            </w:r>
          </w:p>
        </w:tc>
        <w:tc>
          <w:tcPr>
            <w:tcW w:w="56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7,000,000.00</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sz w:val="21"/>
              </w:rPr>
              <w:t>--</w:t>
            </w:r>
          </w:p>
        </w:tc>
      </w:tr>
    </w:tbl>
    <w:p>
      <w:pPr>
        <w:spacing w:line="240" w:lineRule="auto" w:before="10"/>
        <w:rPr>
          <w:rFonts w:ascii="宋体" w:hAnsi="宋体" w:cs="宋体" w:eastAsia="宋体" w:hint="default"/>
          <w:sz w:val="4"/>
          <w:szCs w:val="4"/>
        </w:rPr>
      </w:pPr>
    </w:p>
    <w:p>
      <w:pPr>
        <w:pStyle w:val="BodyText"/>
        <w:spacing w:line="240" w:lineRule="auto" w:before="26"/>
        <w:ind w:left="634" w:right="996"/>
        <w:jc w:val="left"/>
      </w:pPr>
      <w:r>
        <w:rPr/>
        <w:t>其他说明：本期计入当期损益金额中，计入其他收益</w:t>
      </w:r>
      <w:r>
        <w:rPr>
          <w:rFonts w:ascii="宋体" w:hAnsi="宋体" w:cs="宋体" w:eastAsia="宋体" w:hint="default"/>
        </w:rPr>
        <w:t>2,700,000.00</w:t>
      </w:r>
      <w:r>
        <w:rPr/>
        <w:t>元。</w:t>
      </w:r>
    </w:p>
    <w:p>
      <w:pPr>
        <w:pStyle w:val="BodyText"/>
        <w:spacing w:line="352" w:lineRule="auto" w:before="146"/>
        <w:ind w:right="996" w:firstLine="480"/>
        <w:jc w:val="left"/>
      </w:pPr>
      <w:r>
        <w:rPr>
          <w:spacing w:val="-2"/>
        </w:rPr>
        <w:t>（</w:t>
      </w:r>
      <w:r>
        <w:rPr>
          <w:rFonts w:ascii="宋体" w:hAnsi="宋体" w:cs="宋体" w:eastAsia="宋体" w:hint="default"/>
          <w:spacing w:val="-2"/>
        </w:rPr>
        <w:t>1</w:t>
      </w:r>
      <w:r>
        <w:rPr>
          <w:spacing w:val="-2"/>
        </w:rPr>
        <w:t>）根据郑发改投资</w:t>
      </w:r>
      <w:r>
        <w:rPr>
          <w:rFonts w:ascii="宋体" w:hAnsi="宋体" w:cs="宋体" w:eastAsia="宋体" w:hint="default"/>
          <w:spacing w:val="-2"/>
        </w:rPr>
        <w:t>[2009]380</w:t>
      </w:r>
      <w:r>
        <w:rPr>
          <w:spacing w:val="-2"/>
        </w:rPr>
        <w:t>号，公司</w:t>
      </w:r>
      <w:r>
        <w:rPr>
          <w:rFonts w:ascii="宋体" w:hAnsi="宋体" w:cs="宋体" w:eastAsia="宋体" w:hint="default"/>
          <w:spacing w:val="-2"/>
        </w:rPr>
        <w:t>2009</w:t>
      </w:r>
      <w:r>
        <w:rPr>
          <w:spacing w:val="-2"/>
        </w:rPr>
        <w:t>年收到拔付的专项国债资金</w:t>
      </w:r>
      <w:r>
        <w:rPr>
          <w:rFonts w:ascii="宋体" w:hAnsi="宋体" w:cs="宋体" w:eastAsia="宋体" w:hint="default"/>
          <w:spacing w:val="-2"/>
        </w:rPr>
        <w:t>1,000.00</w:t>
      </w:r>
      <w:r>
        <w:rPr>
          <w:spacing w:val="-2"/>
        </w:rPr>
        <w:t>万元，</w:t>
      </w:r>
      <w:r>
        <w:rPr/>
        <w:t> 用于年开通</w:t>
      </w:r>
      <w:r>
        <w:rPr>
          <w:rFonts w:ascii="宋体" w:hAnsi="宋体" w:cs="宋体" w:eastAsia="宋体" w:hint="default"/>
        </w:rPr>
        <w:t>500</w:t>
      </w:r>
      <w:r>
        <w:rPr/>
        <w:t>个车站的新铁路信号集中监测系统项目的研究与开发，该项目已完工验收并于 </w:t>
      </w:r>
      <w:r>
        <w:rPr>
          <w:rFonts w:ascii="宋体" w:hAnsi="宋体" w:cs="宋体" w:eastAsia="宋体" w:hint="default"/>
        </w:rPr>
        <w:t>2013</w:t>
      </w:r>
      <w:r>
        <w:rPr/>
        <w:t>年</w:t>
      </w:r>
      <w:r>
        <w:rPr>
          <w:rFonts w:ascii="宋体" w:hAnsi="宋体" w:cs="宋体" w:eastAsia="宋体" w:hint="default"/>
        </w:rPr>
        <w:t>12</w:t>
      </w:r>
      <w:r>
        <w:rPr/>
        <w:t>月份转固，公司按照所购建固定资产的折旧年限（</w:t>
      </w:r>
      <w:r>
        <w:rPr>
          <w:rFonts w:ascii="宋体" w:hAnsi="宋体" w:cs="宋体" w:eastAsia="宋体" w:hint="default"/>
        </w:rPr>
        <w:t>5</w:t>
      </w:r>
      <w:r>
        <w:rPr/>
        <w:t>年）将该补助资金平均结转至各 期损益，</w:t>
      </w:r>
      <w:r>
        <w:rPr>
          <w:rFonts w:ascii="宋体" w:hAnsi="宋体" w:cs="宋体" w:eastAsia="宋体" w:hint="default"/>
        </w:rPr>
        <w:t>2017</w:t>
      </w:r>
      <w:r>
        <w:rPr/>
        <w:t>年度结转金额为</w:t>
      </w:r>
      <w:r>
        <w:rPr>
          <w:rFonts w:ascii="宋体" w:hAnsi="宋体" w:cs="宋体" w:eastAsia="宋体" w:hint="default"/>
        </w:rPr>
        <w:t>200.00</w:t>
      </w:r>
      <w:r>
        <w:rPr/>
        <w:t>万元。</w:t>
      </w:r>
    </w:p>
    <w:p>
      <w:pPr>
        <w:spacing w:after="0" w:line="352" w:lineRule="auto"/>
        <w:jc w:val="left"/>
        <w:sectPr>
          <w:type w:val="continuous"/>
          <w:pgSz w:w="11910" w:h="16840"/>
          <w:pgMar w:top="1060" w:bottom="1160" w:left="980" w:right="0"/>
        </w:sectPr>
      </w:pPr>
    </w:p>
    <w:p>
      <w:pPr>
        <w:spacing w:line="240" w:lineRule="auto" w:before="0"/>
        <w:rPr>
          <w:rFonts w:ascii="宋体" w:hAnsi="宋体" w:cs="宋体" w:eastAsia="宋体" w:hint="default"/>
          <w:sz w:val="20"/>
          <w:szCs w:val="20"/>
        </w:rPr>
      </w:pPr>
    </w:p>
    <w:p>
      <w:pPr>
        <w:pStyle w:val="BodyText"/>
        <w:spacing w:line="350" w:lineRule="auto" w:before="199"/>
        <w:ind w:right="1131" w:firstLine="480"/>
        <w:jc w:val="both"/>
      </w:pPr>
      <w:r>
        <w:rPr/>
        <w:t>（</w:t>
      </w:r>
      <w:r>
        <w:rPr>
          <w:rFonts w:ascii="宋体" w:hAnsi="宋体" w:cs="宋体" w:eastAsia="宋体" w:hint="default"/>
        </w:rPr>
        <w:t>2</w:t>
      </w:r>
      <w:r>
        <w:rPr/>
        <w:t>）根据郑科计</w:t>
      </w:r>
      <w:r>
        <w:rPr>
          <w:rFonts w:ascii="宋体" w:hAnsi="宋体" w:cs="宋体" w:eastAsia="宋体" w:hint="default"/>
        </w:rPr>
        <w:t>[2013]4</w:t>
      </w:r>
      <w:r>
        <w:rPr/>
        <w:t>号关于下达郑州市</w:t>
      </w:r>
      <w:r>
        <w:rPr>
          <w:rFonts w:ascii="宋体" w:hAnsi="宋体" w:cs="宋体" w:eastAsia="宋体" w:hint="default"/>
        </w:rPr>
        <w:t>2013</w:t>
      </w:r>
      <w:r>
        <w:rPr/>
        <w:t>年第一批科技计划项目经费的通知，轨 道交通信息集成与网络化运营调度指挥系统项目收到郑州市财政局专项资金</w:t>
      </w:r>
      <w:r>
        <w:rPr>
          <w:rFonts w:ascii="宋体" w:hAnsi="宋体" w:cs="宋体" w:eastAsia="宋体" w:hint="default"/>
        </w:rPr>
        <w:t>100.00</w:t>
      </w:r>
      <w:r>
        <w:rPr/>
        <w:t>万元，根 </w:t>
      </w:r>
      <w:r>
        <w:rPr>
          <w:spacing w:val="-2"/>
        </w:rPr>
        <w:t>据郑科计</w:t>
      </w:r>
      <w:r>
        <w:rPr>
          <w:rFonts w:ascii="宋体" w:hAnsi="宋体" w:cs="宋体" w:eastAsia="宋体" w:hint="default"/>
          <w:spacing w:val="-2"/>
        </w:rPr>
        <w:t>[2014]4</w:t>
      </w:r>
      <w:r>
        <w:rPr>
          <w:spacing w:val="-2"/>
        </w:rPr>
        <w:t>号关于下达郑州市</w:t>
      </w:r>
      <w:r>
        <w:rPr>
          <w:rFonts w:ascii="宋体" w:hAnsi="宋体" w:cs="宋体" w:eastAsia="宋体" w:hint="default"/>
          <w:spacing w:val="-2"/>
        </w:rPr>
        <w:t>2014</w:t>
      </w:r>
      <w:r>
        <w:rPr>
          <w:spacing w:val="-2"/>
        </w:rPr>
        <w:t>年第二批科技计划项目经费的通知，轨道交通信息集</w:t>
      </w:r>
      <w:r>
        <w:rPr>
          <w:spacing w:val="-111"/>
        </w:rPr>
        <w:t> </w:t>
      </w:r>
      <w:r>
        <w:rPr>
          <w:spacing w:val="-111"/>
        </w:rPr>
      </w:r>
      <w:r>
        <w:rPr/>
        <w:t>成与网络化运营调度指挥系统项目收到郑州市财政局专项资金</w:t>
      </w:r>
      <w:r>
        <w:rPr>
          <w:rFonts w:ascii="宋体" w:hAnsi="宋体" w:cs="宋体" w:eastAsia="宋体" w:hint="default"/>
        </w:rPr>
        <w:t>100.00</w:t>
      </w:r>
      <w:r>
        <w:rPr/>
        <w:t>万元，截至</w:t>
      </w:r>
      <w:r>
        <w:rPr>
          <w:rFonts w:ascii="宋体" w:hAnsi="宋体" w:cs="宋体" w:eastAsia="宋体" w:hint="default"/>
        </w:rPr>
        <w:t>2017</w:t>
      </w:r>
      <w:r>
        <w:rPr/>
        <w:t>年</w:t>
      </w:r>
      <w:r>
        <w:rPr>
          <w:rFonts w:ascii="宋体" w:hAnsi="宋体" w:cs="宋体" w:eastAsia="宋体" w:hint="default"/>
        </w:rPr>
        <w:t>12</w:t>
      </w:r>
      <w:r>
        <w:rPr/>
        <w:t>月 </w:t>
      </w:r>
      <w:r>
        <w:rPr>
          <w:rFonts w:ascii="宋体" w:hAnsi="宋体" w:cs="宋体" w:eastAsia="宋体" w:hint="default"/>
        </w:rPr>
        <w:t>31</w:t>
      </w:r>
      <w:r>
        <w:rPr/>
        <w:t>日止，该项目尚未完工。</w:t>
      </w:r>
    </w:p>
    <w:p>
      <w:pPr>
        <w:pStyle w:val="BodyText"/>
        <w:spacing w:line="350" w:lineRule="auto"/>
        <w:ind w:right="1169" w:firstLine="480"/>
        <w:jc w:val="both"/>
      </w:pPr>
      <w:r>
        <w:rPr/>
        <w:t>（</w:t>
      </w:r>
      <w:r>
        <w:rPr>
          <w:rFonts w:ascii="宋体" w:hAnsi="宋体" w:cs="宋体" w:eastAsia="宋体" w:hint="default"/>
        </w:rPr>
        <w:t>3</w:t>
      </w:r>
      <w:r>
        <w:rPr/>
        <w:t>）根据工信部财</w:t>
      </w:r>
      <w:r>
        <w:rPr>
          <w:rFonts w:ascii="宋体" w:hAnsi="宋体" w:cs="宋体" w:eastAsia="宋体" w:hint="default"/>
        </w:rPr>
        <w:t>[2013]472</w:t>
      </w:r>
      <w:r>
        <w:rPr/>
        <w:t>号关于下达</w:t>
      </w:r>
      <w:r>
        <w:rPr>
          <w:rFonts w:ascii="宋体" w:hAnsi="宋体" w:cs="宋体" w:eastAsia="宋体" w:hint="default"/>
        </w:rPr>
        <w:t>2013</w:t>
      </w:r>
      <w:r>
        <w:rPr/>
        <w:t>年度电子信息产业发展基金项目计划的通 知，北斗铁路列车卫星定位与辅助预警系统应用示范项目收到财政部专项资金</w:t>
      </w:r>
      <w:r>
        <w:rPr>
          <w:rFonts w:ascii="宋体" w:hAnsi="宋体" w:cs="宋体" w:eastAsia="宋体" w:hint="default"/>
        </w:rPr>
        <w:t>400.00</w:t>
      </w:r>
      <w:r>
        <w:rPr/>
        <w:t>万元， 按照项目经费管理规定，公司已拨转经费</w:t>
      </w:r>
      <w:r>
        <w:rPr>
          <w:rFonts w:ascii="宋体" w:hAnsi="宋体" w:cs="宋体" w:eastAsia="宋体" w:hint="default"/>
        </w:rPr>
        <w:t>150.00</w:t>
      </w:r>
      <w:r>
        <w:rPr/>
        <w:t>万元予联合单位北京金鸿泰科技有限公司。 截至</w:t>
      </w:r>
      <w:r>
        <w:rPr>
          <w:rFonts w:ascii="宋体" w:hAnsi="宋体" w:cs="宋体" w:eastAsia="宋体" w:hint="default"/>
        </w:rPr>
        <w:t>2017</w:t>
      </w:r>
      <w:r>
        <w:rPr/>
        <w:t>年</w:t>
      </w:r>
      <w:r>
        <w:rPr>
          <w:rFonts w:ascii="宋体" w:hAnsi="宋体" w:cs="宋体" w:eastAsia="宋体" w:hint="default"/>
        </w:rPr>
        <w:t>12</w:t>
      </w:r>
      <w:r>
        <w:rPr/>
        <w:t>月</w:t>
      </w:r>
      <w:r>
        <w:rPr>
          <w:rFonts w:ascii="宋体" w:hAnsi="宋体" w:cs="宋体" w:eastAsia="宋体" w:hint="default"/>
        </w:rPr>
        <w:t>31</w:t>
      </w:r>
      <w:r>
        <w:rPr/>
        <w:t>日止，该项目尚未完成结项手续。</w:t>
      </w:r>
    </w:p>
    <w:p>
      <w:pPr>
        <w:pStyle w:val="BodyText"/>
        <w:spacing w:line="350" w:lineRule="auto" w:before="35"/>
        <w:ind w:right="1130" w:firstLine="480"/>
        <w:jc w:val="both"/>
      </w:pPr>
      <w:r>
        <w:rPr/>
        <w:t>（</w:t>
      </w:r>
      <w:r>
        <w:rPr>
          <w:rFonts w:ascii="宋体" w:hAnsi="宋体" w:cs="宋体" w:eastAsia="宋体" w:hint="default"/>
        </w:rPr>
        <w:t>4</w:t>
      </w:r>
      <w:r>
        <w:rPr/>
        <w:t>）根据成高科（</w:t>
      </w:r>
      <w:r>
        <w:rPr>
          <w:rFonts w:ascii="宋体" w:hAnsi="宋体" w:cs="宋体" w:eastAsia="宋体" w:hint="default"/>
        </w:rPr>
        <w:t>2016</w:t>
      </w:r>
      <w:r>
        <w:rPr/>
        <w:t>）</w:t>
      </w:r>
      <w:r>
        <w:rPr>
          <w:rFonts w:ascii="宋体" w:hAnsi="宋体" w:cs="宋体" w:eastAsia="宋体" w:hint="default"/>
        </w:rPr>
        <w:t>124</w:t>
      </w:r>
      <w:r>
        <w:rPr/>
        <w:t>号下达关于</w:t>
      </w:r>
      <w:r>
        <w:rPr>
          <w:rFonts w:ascii="宋体" w:hAnsi="宋体" w:cs="宋体" w:eastAsia="宋体" w:hint="default"/>
        </w:rPr>
        <w:t>2016</w:t>
      </w:r>
      <w:r>
        <w:rPr/>
        <w:t>年成都高新区重大科技成果转化项目立项 </w:t>
      </w:r>
      <w:r>
        <w:rPr>
          <w:spacing w:val="-2"/>
        </w:rPr>
        <w:t>的通知，新型接触网绝缘子带电水冲洗装备项目收到成都高新区科技局财政部专项资金</w:t>
      </w:r>
      <w:r>
        <w:rPr>
          <w:rFonts w:ascii="宋体" w:hAnsi="宋体" w:cs="宋体" w:eastAsia="宋体" w:hint="default"/>
          <w:spacing w:val="-2"/>
        </w:rPr>
        <w:t>50.00</w:t>
      </w:r>
      <w:r>
        <w:rPr>
          <w:rFonts w:ascii="宋体" w:hAnsi="宋体" w:cs="宋体" w:eastAsia="宋体" w:hint="default"/>
          <w:spacing w:val="-115"/>
        </w:rPr>
        <w:t> </w:t>
      </w:r>
      <w:r>
        <w:rPr/>
        <w:t>万元，按照项目经费管理规定，项目执行期满后由高新区科技局组织项目验收，截止报表日 该项目尚未验收。</w:t>
      </w:r>
    </w:p>
    <w:p>
      <w:pPr>
        <w:pStyle w:val="Heading2"/>
        <w:spacing w:line="240" w:lineRule="auto" w:before="35"/>
        <w:ind w:right="996"/>
        <w:jc w:val="left"/>
        <w:rPr>
          <w:b w:val="0"/>
          <w:bCs w:val="0"/>
        </w:rPr>
      </w:pPr>
      <w:bookmarkStart w:name="52、其他非流动负债" w:id="377"/>
      <w:bookmarkEnd w:id="377"/>
      <w:r>
        <w:rPr>
          <w:b w:val="0"/>
          <w:bCs w:val="0"/>
        </w:rPr>
      </w:r>
      <w:r>
        <w:rPr>
          <w:rFonts w:ascii="宋体" w:hAnsi="宋体" w:cs="宋体" w:eastAsia="宋体" w:hint="default"/>
        </w:rPr>
        <w:t>52</w:t>
      </w:r>
      <w:r>
        <w:rPr/>
        <w:t>、其他非流动负债</w:t>
      </w:r>
      <w:r>
        <w:rPr>
          <w:b w:val="0"/>
          <w:bCs w:val="0"/>
        </w:rPr>
      </w:r>
    </w:p>
    <w:p>
      <w:pPr>
        <w:spacing w:line="240" w:lineRule="auto" w:before="2"/>
        <w:rPr>
          <w:rFonts w:ascii="宋体" w:hAnsi="宋体" w:cs="宋体" w:eastAsia="宋体" w:hint="default"/>
          <w:b/>
          <w:bCs/>
          <w:sz w:val="23"/>
          <w:szCs w:val="23"/>
        </w:rPr>
      </w:pPr>
    </w:p>
    <w:p>
      <w:pPr>
        <w:spacing w:line="352" w:lineRule="auto" w:before="0"/>
        <w:ind w:left="633" w:right="9088" w:firstLine="0"/>
        <w:jc w:val="left"/>
        <w:rPr>
          <w:rFonts w:ascii="宋体" w:hAnsi="宋体" w:cs="宋体" w:eastAsia="宋体" w:hint="default"/>
          <w:sz w:val="24"/>
          <w:szCs w:val="24"/>
        </w:rPr>
      </w:pPr>
      <w:r>
        <w:rPr>
          <w:rFonts w:ascii="宋体" w:hAnsi="宋体" w:cs="宋体" w:eastAsia="宋体" w:hint="default"/>
          <w:sz w:val="24"/>
          <w:szCs w:val="24"/>
        </w:rPr>
        <w:t>无 其他说明： 无 </w:t>
      </w:r>
      <w:bookmarkStart w:name="53、股本" w:id="378"/>
      <w:bookmarkEnd w:id="378"/>
      <w:r>
        <w:rPr>
          <w:rFonts w:ascii="宋体" w:hAnsi="宋体" w:cs="宋体" w:eastAsia="宋体" w:hint="default"/>
          <w:sz w:val="24"/>
          <w:szCs w:val="24"/>
        </w:rPr>
      </w:r>
      <w:r>
        <w:rPr>
          <w:rFonts w:ascii="宋体" w:hAnsi="宋体" w:cs="宋体" w:eastAsia="宋体" w:hint="default"/>
          <w:b/>
          <w:bCs/>
          <w:sz w:val="24"/>
          <w:szCs w:val="24"/>
        </w:rPr>
        <w:t>53</w:t>
      </w:r>
      <w:r>
        <w:rPr>
          <w:rFonts w:ascii="宋体" w:hAnsi="宋体" w:cs="宋体" w:eastAsia="宋体" w:hint="default"/>
          <w:b/>
          <w:bCs/>
          <w:sz w:val="24"/>
          <w:szCs w:val="24"/>
        </w:rPr>
        <w:t>、股本</w:t>
      </w:r>
      <w:r>
        <w:rPr>
          <w:rFonts w:ascii="宋体" w:hAnsi="宋体" w:cs="宋体" w:eastAsia="宋体" w:hint="default"/>
          <w:sz w:val="24"/>
          <w:szCs w:val="24"/>
        </w:rPr>
      </w:r>
    </w:p>
    <w:p>
      <w:pPr>
        <w:spacing w:before="87"/>
        <w:ind w:left="0" w:right="1130" w:firstLine="0"/>
        <w:jc w:val="right"/>
        <w:rPr>
          <w:rFonts w:ascii="宋体" w:hAnsi="宋体" w:cs="宋体" w:eastAsia="宋体" w:hint="default"/>
          <w:sz w:val="21"/>
          <w:szCs w:val="21"/>
        </w:rPr>
      </w:pPr>
      <w:r>
        <w:rPr>
          <w:rFonts w:ascii="宋体" w:hAnsi="宋体" w:cs="宋体" w:eastAsia="宋体" w:hint="default"/>
          <w:sz w:val="21"/>
          <w:szCs w:val="21"/>
        </w:rPr>
        <w:t>单位：元</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1184"/>
        <w:gridCol w:w="1652"/>
        <w:gridCol w:w="1123"/>
        <w:gridCol w:w="815"/>
        <w:gridCol w:w="1195"/>
        <w:gridCol w:w="824"/>
        <w:gridCol w:w="840"/>
        <w:gridCol w:w="1924"/>
      </w:tblGrid>
      <w:tr>
        <w:trPr>
          <w:trHeight w:val="206" w:hRule="exact"/>
        </w:trPr>
        <w:tc>
          <w:tcPr>
            <w:tcW w:w="1184" w:type="dxa"/>
            <w:tcBorders>
              <w:top w:val="single" w:sz="4" w:space="0" w:color="000000"/>
              <w:left w:val="single" w:sz="4" w:space="0" w:color="000000"/>
              <w:bottom w:val="nil" w:sz="6" w:space="0" w:color="auto"/>
              <w:right w:val="single" w:sz="4" w:space="0" w:color="000000"/>
            </w:tcBorders>
            <w:shd w:val="clear" w:color="auto" w:fill="D2D2D2"/>
          </w:tcPr>
          <w:p>
            <w:pPr/>
          </w:p>
        </w:tc>
        <w:tc>
          <w:tcPr>
            <w:tcW w:w="1652" w:type="dxa"/>
            <w:tcBorders>
              <w:top w:val="single" w:sz="4" w:space="0" w:color="000000"/>
              <w:left w:val="single" w:sz="4" w:space="0" w:color="000000"/>
              <w:bottom w:val="nil" w:sz="6" w:space="0" w:color="auto"/>
              <w:right w:val="single" w:sz="4" w:space="0" w:color="000000"/>
            </w:tcBorders>
            <w:shd w:val="clear" w:color="auto" w:fill="D2D2D2"/>
          </w:tcPr>
          <w:p>
            <w:pPr/>
          </w:p>
        </w:tc>
        <w:tc>
          <w:tcPr>
            <w:tcW w:w="4797"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7"/>
              <w:ind w:left="1291" w:right="0"/>
              <w:jc w:val="left"/>
              <w:rPr>
                <w:rFonts w:ascii="宋体" w:hAnsi="宋体" w:cs="宋体" w:eastAsia="宋体" w:hint="default"/>
                <w:sz w:val="21"/>
                <w:szCs w:val="21"/>
              </w:rPr>
            </w:pPr>
            <w:r>
              <w:rPr>
                <w:rFonts w:ascii="宋体" w:hAnsi="宋体" w:cs="宋体" w:eastAsia="宋体" w:hint="default"/>
                <w:sz w:val="21"/>
                <w:szCs w:val="21"/>
              </w:rPr>
              <w:t>本次变动增减（</w:t>
            </w:r>
            <w:r>
              <w:rPr>
                <w:rFonts w:ascii="宋体" w:hAnsi="宋体" w:cs="宋体" w:eastAsia="宋体" w:hint="default"/>
                <w:sz w:val="21"/>
                <w:szCs w:val="21"/>
              </w:rPr>
              <w:t>+</w:t>
            </w:r>
            <w:r>
              <w:rPr>
                <w:rFonts w:ascii="宋体" w:hAnsi="宋体" w:cs="宋体" w:eastAsia="宋体" w:hint="default"/>
                <w:sz w:val="21"/>
                <w:szCs w:val="21"/>
              </w:rPr>
              <w:t>、—）</w:t>
            </w:r>
          </w:p>
        </w:tc>
        <w:tc>
          <w:tcPr>
            <w:tcW w:w="192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6" w:hRule="exact"/>
        </w:trPr>
        <w:tc>
          <w:tcPr>
            <w:tcW w:w="1184" w:type="dxa"/>
            <w:vMerge w:val="restart"/>
            <w:tcBorders>
              <w:top w:val="nil" w:sz="6" w:space="0" w:color="auto"/>
              <w:left w:val="single" w:sz="4" w:space="0" w:color="000000"/>
              <w:right w:val="single" w:sz="4" w:space="0" w:color="000000"/>
            </w:tcBorders>
            <w:shd w:val="clear" w:color="auto" w:fill="D2D2D2"/>
          </w:tcPr>
          <w:p>
            <w:pPr/>
          </w:p>
        </w:tc>
        <w:tc>
          <w:tcPr>
            <w:tcW w:w="165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6"/>
              <w:ind w:left="394"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4797" w:type="dxa"/>
            <w:gridSpan w:val="5"/>
            <w:vMerge/>
            <w:tcBorders>
              <w:left w:val="single" w:sz="4" w:space="0" w:color="000000"/>
              <w:bottom w:val="single" w:sz="4" w:space="0" w:color="000000"/>
              <w:right w:val="single" w:sz="4" w:space="0" w:color="000000"/>
            </w:tcBorders>
            <w:shd w:val="clear" w:color="auto" w:fill="D2D2D2"/>
          </w:tcPr>
          <w:p>
            <w:pPr/>
          </w:p>
        </w:tc>
        <w:tc>
          <w:tcPr>
            <w:tcW w:w="192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6"/>
              <w:ind w:left="542"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196" w:hRule="exact"/>
        </w:trPr>
        <w:tc>
          <w:tcPr>
            <w:tcW w:w="1184" w:type="dxa"/>
            <w:vMerge/>
            <w:tcBorders>
              <w:left w:val="single" w:sz="4" w:space="0" w:color="000000"/>
              <w:bottom w:val="nil" w:sz="6" w:space="0" w:color="auto"/>
              <w:right w:val="single" w:sz="4" w:space="0" w:color="000000"/>
            </w:tcBorders>
            <w:shd w:val="clear" w:color="auto" w:fill="D2D2D2"/>
          </w:tcPr>
          <w:p>
            <w:pPr/>
          </w:p>
        </w:tc>
        <w:tc>
          <w:tcPr>
            <w:tcW w:w="1652" w:type="dxa"/>
            <w:vMerge/>
            <w:tcBorders>
              <w:left w:val="single" w:sz="4" w:space="0" w:color="000000"/>
              <w:bottom w:val="nil" w:sz="6" w:space="0" w:color="auto"/>
              <w:right w:val="single" w:sz="4" w:space="0" w:color="000000"/>
            </w:tcBorders>
            <w:shd w:val="clear" w:color="auto" w:fill="D2D2D2"/>
          </w:tcPr>
          <w:p>
            <w:pPr/>
          </w:p>
        </w:tc>
        <w:tc>
          <w:tcPr>
            <w:tcW w:w="112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6"/>
              <w:ind w:left="130" w:right="0"/>
              <w:jc w:val="left"/>
              <w:rPr>
                <w:rFonts w:ascii="宋体" w:hAnsi="宋体" w:cs="宋体" w:eastAsia="宋体" w:hint="default"/>
                <w:sz w:val="21"/>
                <w:szCs w:val="21"/>
              </w:rPr>
            </w:pPr>
            <w:r>
              <w:rPr>
                <w:rFonts w:ascii="宋体" w:hAnsi="宋体" w:cs="宋体" w:eastAsia="宋体" w:hint="default"/>
                <w:sz w:val="21"/>
                <w:szCs w:val="21"/>
              </w:rPr>
              <w:t>发行新股</w:t>
            </w:r>
          </w:p>
        </w:tc>
        <w:tc>
          <w:tcPr>
            <w:tcW w:w="81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6"/>
              <w:ind w:left="192" w:right="0"/>
              <w:jc w:val="left"/>
              <w:rPr>
                <w:rFonts w:ascii="宋体" w:hAnsi="宋体" w:cs="宋体" w:eastAsia="宋体" w:hint="default"/>
                <w:sz w:val="21"/>
                <w:szCs w:val="21"/>
              </w:rPr>
            </w:pPr>
            <w:r>
              <w:rPr>
                <w:rFonts w:ascii="宋体" w:hAnsi="宋体" w:cs="宋体" w:eastAsia="宋体" w:hint="default"/>
                <w:sz w:val="21"/>
                <w:szCs w:val="21"/>
              </w:rPr>
              <w:t>送股</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6"/>
              <w:ind w:left="67" w:right="0"/>
              <w:jc w:val="left"/>
              <w:rPr>
                <w:rFonts w:ascii="宋体" w:hAnsi="宋体" w:cs="宋体" w:eastAsia="宋体" w:hint="default"/>
                <w:sz w:val="21"/>
                <w:szCs w:val="21"/>
              </w:rPr>
            </w:pPr>
            <w:r>
              <w:rPr>
                <w:rFonts w:ascii="宋体" w:hAnsi="宋体" w:cs="宋体" w:eastAsia="宋体" w:hint="default"/>
                <w:sz w:val="21"/>
                <w:szCs w:val="21"/>
              </w:rPr>
              <w:t>公积金转股</w:t>
            </w:r>
          </w:p>
        </w:tc>
        <w:tc>
          <w:tcPr>
            <w:tcW w:w="82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6"/>
              <w:ind w:left="197"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84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6"/>
              <w:ind w:left="210"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924" w:type="dxa"/>
            <w:vMerge/>
            <w:tcBorders>
              <w:left w:val="single" w:sz="4" w:space="0" w:color="000000"/>
              <w:bottom w:val="nil" w:sz="6" w:space="0" w:color="auto"/>
              <w:right w:val="single" w:sz="4" w:space="0" w:color="000000"/>
            </w:tcBorders>
            <w:shd w:val="clear" w:color="auto" w:fill="D2D2D2"/>
          </w:tcPr>
          <w:p>
            <w:pPr/>
          </w:p>
        </w:tc>
      </w:tr>
      <w:tr>
        <w:trPr>
          <w:trHeight w:val="205" w:hRule="exact"/>
        </w:trPr>
        <w:tc>
          <w:tcPr>
            <w:tcW w:w="11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652" w:type="dxa"/>
            <w:tcBorders>
              <w:top w:val="nil" w:sz="6" w:space="0" w:color="auto"/>
              <w:left w:val="single" w:sz="4" w:space="0" w:color="000000"/>
              <w:bottom w:val="single" w:sz="4" w:space="0" w:color="000000"/>
              <w:right w:val="single" w:sz="4" w:space="0" w:color="000000"/>
            </w:tcBorders>
            <w:shd w:val="clear" w:color="auto" w:fill="D2D2D2"/>
          </w:tcPr>
          <w:p>
            <w:pPr/>
          </w:p>
        </w:tc>
        <w:tc>
          <w:tcPr>
            <w:tcW w:w="1123" w:type="dxa"/>
            <w:vMerge/>
            <w:tcBorders>
              <w:left w:val="single" w:sz="4" w:space="0" w:color="000000"/>
              <w:bottom w:val="single" w:sz="4" w:space="0" w:color="000000"/>
              <w:right w:val="single" w:sz="4" w:space="0" w:color="000000"/>
            </w:tcBorders>
            <w:shd w:val="clear" w:color="auto" w:fill="D2D2D2"/>
          </w:tcPr>
          <w:p>
            <w:pPr/>
          </w:p>
        </w:tc>
        <w:tc>
          <w:tcPr>
            <w:tcW w:w="815"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824" w:type="dxa"/>
            <w:vMerge/>
            <w:tcBorders>
              <w:left w:val="single" w:sz="4" w:space="0" w:color="000000"/>
              <w:bottom w:val="single" w:sz="4" w:space="0" w:color="000000"/>
              <w:right w:val="single" w:sz="4" w:space="0" w:color="000000"/>
            </w:tcBorders>
            <w:shd w:val="clear" w:color="auto" w:fill="D2D2D2"/>
          </w:tcPr>
          <w:p>
            <w:pPr/>
          </w:p>
        </w:tc>
        <w:tc>
          <w:tcPr>
            <w:tcW w:w="840" w:type="dxa"/>
            <w:vMerge/>
            <w:tcBorders>
              <w:left w:val="single" w:sz="4" w:space="0" w:color="000000"/>
              <w:bottom w:val="single" w:sz="4" w:space="0" w:color="000000"/>
              <w:right w:val="single" w:sz="4" w:space="0" w:color="000000"/>
            </w:tcBorders>
            <w:shd w:val="clear" w:color="auto" w:fill="D2D2D2"/>
          </w:tcPr>
          <w:p>
            <w:pPr/>
          </w:p>
        </w:tc>
        <w:tc>
          <w:tcPr>
            <w:tcW w:w="192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1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11" w:right="0"/>
              <w:jc w:val="left"/>
              <w:rPr>
                <w:rFonts w:ascii="宋体" w:hAnsi="宋体" w:cs="宋体" w:eastAsia="宋体" w:hint="default"/>
                <w:sz w:val="21"/>
                <w:szCs w:val="21"/>
              </w:rPr>
            </w:pPr>
            <w:r>
              <w:rPr>
                <w:rFonts w:ascii="宋体" w:hAnsi="宋体" w:cs="宋体" w:eastAsia="宋体" w:hint="default"/>
                <w:sz w:val="21"/>
                <w:szCs w:val="21"/>
              </w:rPr>
              <w:t>股份总数</w:t>
            </w:r>
          </w:p>
        </w:tc>
        <w:tc>
          <w:tcPr>
            <w:tcW w:w="165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7"/>
              <w:ind w:left="130" w:right="0"/>
              <w:jc w:val="left"/>
              <w:rPr>
                <w:rFonts w:ascii="宋体" w:hAnsi="宋体" w:cs="宋体" w:eastAsia="宋体" w:hint="default"/>
                <w:sz w:val="21"/>
                <w:szCs w:val="21"/>
              </w:rPr>
            </w:pPr>
            <w:r>
              <w:rPr>
                <w:rFonts w:ascii="宋体"/>
                <w:sz w:val="21"/>
              </w:rPr>
              <w:t>376,656,420.00</w:t>
            </w:r>
          </w:p>
        </w:tc>
        <w:tc>
          <w:tcPr>
            <w:tcW w:w="1123" w:type="dxa"/>
            <w:tcBorders>
              <w:top w:val="single" w:sz="4" w:space="0" w:color="000000"/>
              <w:left w:val="single" w:sz="4" w:space="0" w:color="000000"/>
              <w:bottom w:val="single" w:sz="4" w:space="0" w:color="000000"/>
              <w:right w:val="single" w:sz="4" w:space="0" w:color="000000"/>
            </w:tcBorders>
          </w:tcPr>
          <w:p>
            <w:pPr/>
          </w:p>
        </w:tc>
        <w:tc>
          <w:tcPr>
            <w:tcW w:w="81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824"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1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422" w:right="0"/>
              <w:jc w:val="left"/>
              <w:rPr>
                <w:rFonts w:ascii="宋体" w:hAnsi="宋体" w:cs="宋体" w:eastAsia="宋体" w:hint="default"/>
                <w:sz w:val="21"/>
                <w:szCs w:val="21"/>
              </w:rPr>
            </w:pPr>
            <w:r>
              <w:rPr>
                <w:rFonts w:ascii="宋体"/>
                <w:sz w:val="21"/>
              </w:rPr>
              <w:t>376,656,420.00</w:t>
            </w:r>
          </w:p>
        </w:tc>
      </w:tr>
    </w:tbl>
    <w:p>
      <w:pPr>
        <w:spacing w:line="240" w:lineRule="auto" w:before="10"/>
        <w:rPr>
          <w:rFonts w:ascii="宋体" w:hAnsi="宋体" w:cs="宋体" w:eastAsia="宋体" w:hint="default"/>
          <w:sz w:val="4"/>
          <w:szCs w:val="4"/>
        </w:rPr>
      </w:pPr>
    </w:p>
    <w:p>
      <w:pPr>
        <w:pStyle w:val="BodyText"/>
        <w:spacing w:line="350" w:lineRule="auto" w:before="26"/>
        <w:ind w:left="633" w:right="9073"/>
        <w:jc w:val="left"/>
      </w:pPr>
      <w:r>
        <w:rPr/>
        <w:t>其他说明： 无</w:t>
      </w:r>
    </w:p>
    <w:p>
      <w:pPr>
        <w:pStyle w:val="Heading2"/>
        <w:spacing w:line="240" w:lineRule="auto" w:before="35"/>
        <w:ind w:right="996"/>
        <w:jc w:val="left"/>
        <w:rPr>
          <w:b w:val="0"/>
          <w:bCs w:val="0"/>
        </w:rPr>
      </w:pPr>
      <w:bookmarkStart w:name="54、其他权益工具" w:id="379"/>
      <w:bookmarkEnd w:id="379"/>
      <w:r>
        <w:rPr>
          <w:b w:val="0"/>
          <w:bCs w:val="0"/>
        </w:rPr>
      </w:r>
      <w:r>
        <w:rPr>
          <w:rFonts w:ascii="宋体" w:hAnsi="宋体" w:cs="宋体" w:eastAsia="宋体" w:hint="default"/>
        </w:rPr>
        <w:t>54</w:t>
      </w:r>
      <w:r>
        <w:rPr/>
        <w:t>、其他权益工具</w:t>
      </w:r>
      <w:r>
        <w:rPr>
          <w:b w:val="0"/>
          <w:bCs w:val="0"/>
        </w:rPr>
      </w:r>
    </w:p>
    <w:p>
      <w:pPr>
        <w:pStyle w:val="Heading2"/>
        <w:spacing w:line="610" w:lineRule="atLeast" w:before="6"/>
        <w:ind w:left="633" w:right="3913" w:firstLine="2"/>
        <w:jc w:val="left"/>
        <w:rPr>
          <w:rFonts w:ascii="宋体" w:hAnsi="宋体" w:cs="宋体" w:eastAsia="宋体" w:hint="default"/>
          <w:b w:val="0"/>
          <w:bCs w:val="0"/>
        </w:rPr>
      </w:pPr>
      <w:bookmarkStart w:name="（1）期末发行在外的优先股、永续债等其他金融工具基本情况" w:id="380"/>
      <w:bookmarkEnd w:id="380"/>
      <w:r>
        <w:rPr>
          <w:b w:val="0"/>
          <w:bCs w:val="0"/>
        </w:rPr>
      </w:r>
      <w:r>
        <w:rPr>
          <w:w w:val="95"/>
        </w:rPr>
        <w:t>（</w:t>
      </w:r>
      <w:r>
        <w:rPr>
          <w:rFonts w:ascii="宋体" w:hAnsi="宋体" w:cs="宋体" w:eastAsia="宋体" w:hint="default"/>
          <w:w w:val="95"/>
        </w:rPr>
        <w:t>1</w:t>
      </w:r>
      <w:r>
        <w:rPr>
          <w:w w:val="95"/>
        </w:rPr>
        <w:t>）期末发行在外的优先股、永续债等其他金融工具基本情况 </w:t>
      </w:r>
      <w:r>
        <w:rPr>
          <w:spacing w:val="75"/>
          <w:w w:val="95"/>
        </w:rPr>
        <w:t> </w:t>
      </w:r>
      <w:r>
        <w:rPr>
          <w:rFonts w:ascii="宋体" w:hAnsi="宋体" w:cs="宋体" w:eastAsia="宋体" w:hint="default"/>
          <w:b w:val="0"/>
          <w:bCs w:val="0"/>
        </w:rPr>
        <w:t>无</w:t>
      </w:r>
    </w:p>
    <w:p>
      <w:pPr>
        <w:pStyle w:val="Heading2"/>
        <w:spacing w:line="470" w:lineRule="auto" w:before="145"/>
        <w:ind w:left="633" w:right="4153" w:firstLine="2"/>
        <w:jc w:val="left"/>
        <w:rPr>
          <w:rFonts w:ascii="宋体" w:hAnsi="宋体" w:cs="宋体" w:eastAsia="宋体" w:hint="default"/>
          <w:b w:val="0"/>
          <w:bCs w:val="0"/>
        </w:rPr>
      </w:pPr>
      <w:bookmarkStart w:name="（2）期末发行在外的优先股、永续债等金融工具变动情况表" w:id="381"/>
      <w:bookmarkEnd w:id="381"/>
      <w:r>
        <w:rPr>
          <w:b w:val="0"/>
          <w:bCs w:val="0"/>
        </w:rPr>
      </w:r>
      <w:r>
        <w:rPr>
          <w:w w:val="95"/>
        </w:rPr>
        <w:t>（</w:t>
      </w:r>
      <w:r>
        <w:rPr>
          <w:rFonts w:ascii="宋体" w:hAnsi="宋体" w:cs="宋体" w:eastAsia="宋体" w:hint="default"/>
          <w:w w:val="95"/>
        </w:rPr>
        <w:t>2</w:t>
      </w:r>
      <w:r>
        <w:rPr>
          <w:w w:val="95"/>
        </w:rPr>
        <w:t>）期末发行在外的优先股、永续债等金融工具变动情况表 </w:t>
      </w:r>
      <w:r>
        <w:rPr>
          <w:spacing w:val="64"/>
          <w:w w:val="95"/>
        </w:rPr>
        <w:t> </w:t>
      </w:r>
      <w:r>
        <w:rPr>
          <w:rFonts w:ascii="宋体" w:hAnsi="宋体" w:cs="宋体" w:eastAsia="宋体" w:hint="default"/>
          <w:b w:val="0"/>
          <w:bCs w:val="0"/>
        </w:rPr>
        <w:t>无</w:t>
      </w:r>
    </w:p>
    <w:p>
      <w:pPr>
        <w:spacing w:after="0" w:line="470" w:lineRule="auto"/>
        <w:jc w:val="left"/>
        <w:rPr>
          <w:rFonts w:ascii="宋体" w:hAnsi="宋体" w:cs="宋体" w:eastAsia="宋体" w:hint="default"/>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350" w:lineRule="auto" w:before="199"/>
        <w:ind w:left="633" w:right="1873"/>
        <w:jc w:val="left"/>
      </w:pPr>
      <w:r>
        <w:rPr/>
        <w:t>其他权益工具本期增减变动情况、变动原因说明，以及相关会计处理的依据：无 其他说明：无</w:t>
      </w:r>
    </w:p>
    <w:p>
      <w:pPr>
        <w:pStyle w:val="Heading2"/>
        <w:spacing w:line="240" w:lineRule="auto" w:before="36"/>
        <w:ind w:right="996"/>
        <w:jc w:val="left"/>
        <w:rPr>
          <w:b w:val="0"/>
          <w:bCs w:val="0"/>
        </w:rPr>
      </w:pPr>
      <w:bookmarkStart w:name="55、资本公积" w:id="382"/>
      <w:bookmarkEnd w:id="382"/>
      <w:r>
        <w:rPr>
          <w:b w:val="0"/>
          <w:bCs w:val="0"/>
        </w:rPr>
      </w:r>
      <w:r>
        <w:rPr>
          <w:rFonts w:ascii="宋体" w:hAnsi="宋体" w:cs="宋体" w:eastAsia="宋体" w:hint="default"/>
        </w:rPr>
        <w:t>55</w:t>
      </w:r>
      <w:r>
        <w:rPr/>
        <w:t>、资本公积</w:t>
      </w:r>
      <w:r>
        <w:rPr>
          <w:b w:val="0"/>
          <w:bCs w:val="0"/>
        </w:rPr>
      </w:r>
    </w:p>
    <w:p>
      <w:pPr>
        <w:spacing w:before="200"/>
        <w:ind w:left="0" w:right="1129" w:firstLine="0"/>
        <w:jc w:val="right"/>
        <w:rPr>
          <w:rFonts w:ascii="宋体" w:hAnsi="宋体" w:cs="宋体" w:eastAsia="宋体" w:hint="default"/>
          <w:sz w:val="21"/>
          <w:szCs w:val="21"/>
        </w:rPr>
      </w:pPr>
      <w:r>
        <w:rPr>
          <w:rFonts w:ascii="宋体" w:hAnsi="宋体" w:cs="宋体" w:eastAsia="宋体" w:hint="default"/>
          <w:sz w:val="21"/>
          <w:szCs w:val="21"/>
        </w:rPr>
        <w:t>单位： 元</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545"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531"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531"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531"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7"/>
              <w:ind w:left="11" w:right="186"/>
              <w:jc w:val="left"/>
              <w:rPr>
                <w:rFonts w:ascii="宋体" w:hAnsi="宋体" w:cs="宋体" w:eastAsia="宋体" w:hint="default"/>
                <w:sz w:val="21"/>
                <w:szCs w:val="21"/>
              </w:rPr>
            </w:pPr>
            <w:r>
              <w:rPr>
                <w:rFonts w:ascii="宋体" w:hAnsi="宋体" w:cs="宋体" w:eastAsia="宋体" w:hint="default"/>
                <w:sz w:val="21"/>
                <w:szCs w:val="21"/>
              </w:rPr>
              <w:t>资本溢价（股本溢 价）</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21"/>
              <w:jc w:val="right"/>
              <w:rPr>
                <w:rFonts w:ascii="宋体" w:hAnsi="宋体" w:cs="宋体" w:eastAsia="宋体" w:hint="default"/>
                <w:sz w:val="21"/>
                <w:szCs w:val="21"/>
              </w:rPr>
            </w:pPr>
            <w:r>
              <w:rPr>
                <w:rFonts w:ascii="宋体"/>
                <w:sz w:val="21"/>
              </w:rPr>
              <w:t>635,366,386.52</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20"/>
              <w:jc w:val="right"/>
              <w:rPr>
                <w:rFonts w:ascii="宋体" w:hAnsi="宋体" w:cs="宋体" w:eastAsia="宋体" w:hint="default"/>
                <w:sz w:val="21"/>
                <w:szCs w:val="21"/>
              </w:rPr>
            </w:pPr>
            <w:r>
              <w:rPr>
                <w:rFonts w:ascii="宋体"/>
                <w:sz w:val="21"/>
              </w:rPr>
              <w:t>635,366,386.52</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11" w:right="0"/>
              <w:jc w:val="left"/>
              <w:rPr>
                <w:rFonts w:ascii="宋体" w:hAnsi="宋体" w:cs="宋体" w:eastAsia="宋体" w:hint="default"/>
                <w:sz w:val="21"/>
                <w:szCs w:val="21"/>
              </w:rPr>
            </w:pPr>
            <w:r>
              <w:rPr>
                <w:rFonts w:ascii="宋体" w:hAnsi="宋体" w:cs="宋体" w:eastAsia="宋体" w:hint="default"/>
                <w:sz w:val="21"/>
                <w:szCs w:val="21"/>
              </w:rPr>
              <w:t>其他资本公积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7"/>
              <w:ind w:right="20"/>
              <w:jc w:val="right"/>
              <w:rPr>
                <w:rFonts w:ascii="宋体" w:hAnsi="宋体" w:cs="宋体" w:eastAsia="宋体" w:hint="default"/>
                <w:sz w:val="21"/>
                <w:szCs w:val="21"/>
              </w:rPr>
            </w:pPr>
            <w:r>
              <w:rPr>
                <w:rFonts w:ascii="宋体"/>
                <w:sz w:val="21"/>
              </w:rPr>
              <w:t>17,152,594.79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0"/>
              <w:jc w:val="right"/>
              <w:rPr>
                <w:rFonts w:ascii="宋体" w:hAnsi="宋体" w:cs="宋体" w:eastAsia="宋体" w:hint="default"/>
                <w:sz w:val="21"/>
                <w:szCs w:val="21"/>
              </w:rPr>
            </w:pPr>
            <w:r>
              <w:rPr>
                <w:rFonts w:ascii="宋体"/>
                <w:sz w:val="21"/>
              </w:rPr>
              <w:t>1,008,652.92</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1"/>
              <w:jc w:val="right"/>
              <w:rPr>
                <w:rFonts w:ascii="宋体" w:hAnsi="宋体" w:cs="宋体" w:eastAsia="宋体" w:hint="default"/>
                <w:sz w:val="21"/>
                <w:szCs w:val="21"/>
              </w:rPr>
            </w:pPr>
            <w:r>
              <w:rPr>
                <w:rFonts w:ascii="宋体"/>
                <w:sz w:val="21"/>
              </w:rPr>
              <w:t>18,161,247.71</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11"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7"/>
              <w:ind w:right="20"/>
              <w:jc w:val="right"/>
              <w:rPr>
                <w:rFonts w:ascii="宋体" w:hAnsi="宋体" w:cs="宋体" w:eastAsia="宋体" w:hint="default"/>
                <w:sz w:val="21"/>
                <w:szCs w:val="21"/>
              </w:rPr>
            </w:pPr>
            <w:r>
              <w:rPr>
                <w:rFonts w:ascii="宋体"/>
                <w:spacing w:val="-1"/>
                <w:sz w:val="21"/>
              </w:rPr>
              <w:t>652,518,981.31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0"/>
              <w:jc w:val="right"/>
              <w:rPr>
                <w:rFonts w:ascii="宋体" w:hAnsi="宋体" w:cs="宋体" w:eastAsia="宋体" w:hint="default"/>
                <w:sz w:val="21"/>
                <w:szCs w:val="21"/>
              </w:rPr>
            </w:pPr>
            <w:r>
              <w:rPr>
                <w:rFonts w:ascii="宋体"/>
                <w:sz w:val="21"/>
              </w:rPr>
              <w:t>1,008,652.92</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0"/>
              <w:jc w:val="right"/>
              <w:rPr>
                <w:rFonts w:ascii="宋体" w:hAnsi="宋体" w:cs="宋体" w:eastAsia="宋体" w:hint="default"/>
                <w:sz w:val="21"/>
                <w:szCs w:val="21"/>
              </w:rPr>
            </w:pPr>
            <w:r>
              <w:rPr>
                <w:rFonts w:ascii="宋体"/>
                <w:sz w:val="21"/>
              </w:rPr>
              <w:t>653,527,634.23</w:t>
            </w:r>
          </w:p>
        </w:tc>
      </w:tr>
    </w:tbl>
    <w:p>
      <w:pPr>
        <w:spacing w:line="240" w:lineRule="auto" w:before="10"/>
        <w:rPr>
          <w:rFonts w:ascii="宋体" w:hAnsi="宋体" w:cs="宋体" w:eastAsia="宋体" w:hint="default"/>
          <w:sz w:val="4"/>
          <w:szCs w:val="4"/>
        </w:rPr>
      </w:pPr>
    </w:p>
    <w:p>
      <w:pPr>
        <w:pStyle w:val="BodyText"/>
        <w:spacing w:line="350" w:lineRule="auto" w:before="26"/>
        <w:ind w:left="633" w:right="2353"/>
        <w:jc w:val="left"/>
        <w:rPr>
          <w:rFonts w:ascii="宋体" w:hAnsi="宋体" w:cs="宋体" w:eastAsia="宋体" w:hint="default"/>
        </w:rPr>
      </w:pPr>
      <w:r>
        <w:rPr/>
        <w:t>其他说明，包括本期增减变动情况、变动原因说明： 本期资本公积变动系北京赛弗网络科技有限责任公司所有者权益增加所致。 </w:t>
      </w:r>
      <w:bookmarkStart w:name="56、库存股" w:id="383"/>
      <w:bookmarkEnd w:id="383"/>
      <w:r>
        <w:rPr/>
      </w:r>
      <w:r>
        <w:rPr>
          <w:rFonts w:ascii="宋体" w:hAnsi="宋体" w:cs="宋体" w:eastAsia="宋体" w:hint="default"/>
          <w:b/>
          <w:bCs/>
        </w:rPr>
        <w:t>56</w:t>
      </w:r>
      <w:r>
        <w:rPr>
          <w:rFonts w:ascii="宋体" w:hAnsi="宋体" w:cs="宋体" w:eastAsia="宋体" w:hint="default"/>
          <w:b/>
          <w:bCs/>
        </w:rPr>
        <w:t>、库存股</w:t>
      </w:r>
      <w:r>
        <w:rPr>
          <w:rFonts w:ascii="宋体" w:hAnsi="宋体" w:cs="宋体" w:eastAsia="宋体" w:hint="default"/>
        </w:rPr>
      </w:r>
    </w:p>
    <w:p>
      <w:pPr>
        <w:spacing w:line="350" w:lineRule="auto" w:before="192"/>
        <w:ind w:left="633" w:right="4513" w:firstLine="0"/>
        <w:jc w:val="left"/>
        <w:rPr>
          <w:rFonts w:ascii="宋体" w:hAnsi="宋体" w:cs="宋体" w:eastAsia="宋体" w:hint="default"/>
          <w:sz w:val="24"/>
          <w:szCs w:val="24"/>
        </w:rPr>
      </w:pPr>
      <w:r>
        <w:rPr>
          <w:rFonts w:ascii="宋体" w:hAnsi="宋体" w:cs="宋体" w:eastAsia="宋体" w:hint="default"/>
          <w:sz w:val="24"/>
          <w:szCs w:val="24"/>
        </w:rPr>
        <w:t>无 其他说明，包括本期增减变动情况、变动原因说明：无 </w:t>
      </w:r>
      <w:bookmarkStart w:name="57、其他综合收益" w:id="384"/>
      <w:bookmarkEnd w:id="384"/>
      <w:r>
        <w:rPr>
          <w:rFonts w:ascii="宋体" w:hAnsi="宋体" w:cs="宋体" w:eastAsia="宋体" w:hint="default"/>
          <w:sz w:val="24"/>
          <w:szCs w:val="24"/>
        </w:rPr>
      </w:r>
      <w:r>
        <w:rPr>
          <w:rFonts w:ascii="宋体" w:hAnsi="宋体" w:cs="宋体" w:eastAsia="宋体" w:hint="default"/>
          <w:b/>
          <w:bCs/>
          <w:sz w:val="24"/>
          <w:szCs w:val="24"/>
        </w:rPr>
        <w:t>57</w:t>
      </w:r>
      <w:r>
        <w:rPr>
          <w:rFonts w:ascii="宋体" w:hAnsi="宋体" w:cs="宋体" w:eastAsia="宋体" w:hint="default"/>
          <w:b/>
          <w:bCs/>
          <w:sz w:val="24"/>
          <w:szCs w:val="24"/>
        </w:rPr>
        <w:t>、其他综合收益</w:t>
      </w:r>
      <w:r>
        <w:rPr>
          <w:rFonts w:ascii="宋体" w:hAnsi="宋体" w:cs="宋体" w:eastAsia="宋体" w:hint="default"/>
          <w:sz w:val="24"/>
          <w:szCs w:val="24"/>
        </w:rPr>
      </w:r>
    </w:p>
    <w:p>
      <w:pPr>
        <w:pStyle w:val="BodyText"/>
        <w:spacing w:line="350" w:lineRule="auto" w:before="192"/>
        <w:ind w:left="633" w:right="1153"/>
        <w:jc w:val="left"/>
        <w:rPr>
          <w:rFonts w:ascii="宋体" w:hAnsi="宋体" w:cs="宋体" w:eastAsia="宋体" w:hint="default"/>
        </w:rPr>
      </w:pPr>
      <w:r>
        <w:rPr/>
        <w:t>无 其他说明，包括对现金流量套期损益的有效部分转为被套期项目初始确认金额调整：无 </w:t>
      </w:r>
      <w:bookmarkStart w:name="58、专项储备" w:id="385"/>
      <w:bookmarkEnd w:id="385"/>
      <w:r>
        <w:rPr/>
      </w:r>
      <w:r>
        <w:rPr>
          <w:rFonts w:ascii="宋体" w:hAnsi="宋体" w:cs="宋体" w:eastAsia="宋体" w:hint="default"/>
          <w:b/>
          <w:bCs/>
        </w:rPr>
        <w:t>58</w:t>
      </w:r>
      <w:r>
        <w:rPr>
          <w:rFonts w:ascii="宋体" w:hAnsi="宋体" w:cs="宋体" w:eastAsia="宋体" w:hint="default"/>
          <w:b/>
          <w:bCs/>
        </w:rPr>
        <w:t>、专项储备</w:t>
      </w:r>
      <w:r>
        <w:rPr>
          <w:rFonts w:ascii="宋体" w:hAnsi="宋体" w:cs="宋体" w:eastAsia="宋体" w:hint="default"/>
        </w:rPr>
      </w:r>
    </w:p>
    <w:p>
      <w:pPr>
        <w:spacing w:line="350" w:lineRule="auto" w:before="192"/>
        <w:ind w:left="633" w:right="4513" w:firstLine="0"/>
        <w:jc w:val="left"/>
        <w:rPr>
          <w:rFonts w:ascii="宋体" w:hAnsi="宋体" w:cs="宋体" w:eastAsia="宋体" w:hint="default"/>
          <w:sz w:val="24"/>
          <w:szCs w:val="24"/>
        </w:rPr>
      </w:pPr>
      <w:r>
        <w:rPr>
          <w:rFonts w:ascii="宋体" w:hAnsi="宋体" w:cs="宋体" w:eastAsia="宋体" w:hint="default"/>
          <w:sz w:val="24"/>
          <w:szCs w:val="24"/>
        </w:rPr>
        <w:t>无 其他说明，包括本期增减变动情况、变动原因说明：无 </w:t>
      </w:r>
      <w:bookmarkStart w:name="59、盈余公积" w:id="386"/>
      <w:bookmarkEnd w:id="386"/>
      <w:r>
        <w:rPr>
          <w:rFonts w:ascii="宋体" w:hAnsi="宋体" w:cs="宋体" w:eastAsia="宋体" w:hint="default"/>
          <w:sz w:val="24"/>
          <w:szCs w:val="24"/>
        </w:rPr>
      </w:r>
      <w:r>
        <w:rPr>
          <w:rFonts w:ascii="宋体" w:hAnsi="宋体" w:cs="宋体" w:eastAsia="宋体" w:hint="default"/>
          <w:b/>
          <w:bCs/>
          <w:sz w:val="24"/>
          <w:szCs w:val="24"/>
        </w:rPr>
        <w:t>59</w:t>
      </w:r>
      <w:r>
        <w:rPr>
          <w:rFonts w:ascii="宋体" w:hAnsi="宋体" w:cs="宋体" w:eastAsia="宋体" w:hint="default"/>
          <w:b/>
          <w:bCs/>
          <w:sz w:val="24"/>
          <w:szCs w:val="24"/>
        </w:rPr>
        <w:t>、盈余公积</w:t>
      </w:r>
      <w:r>
        <w:rPr>
          <w:rFonts w:ascii="宋体" w:hAnsi="宋体" w:cs="宋体" w:eastAsia="宋体" w:hint="default"/>
          <w:sz w:val="24"/>
          <w:szCs w:val="24"/>
        </w:rPr>
      </w:r>
    </w:p>
    <w:p>
      <w:pPr>
        <w:spacing w:before="90"/>
        <w:ind w:left="0" w:right="1129" w:firstLine="0"/>
        <w:jc w:val="right"/>
        <w:rPr>
          <w:rFonts w:ascii="宋体" w:hAnsi="宋体" w:cs="宋体" w:eastAsia="宋体" w:hint="default"/>
          <w:sz w:val="21"/>
          <w:szCs w:val="21"/>
        </w:rPr>
      </w:pPr>
      <w:r>
        <w:rPr>
          <w:rFonts w:ascii="宋体" w:hAnsi="宋体" w:cs="宋体" w:eastAsia="宋体" w:hint="default"/>
          <w:sz w:val="21"/>
          <w:szCs w:val="21"/>
        </w:rPr>
        <w:t>单位： 元</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545"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531"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531"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531"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法定盈余公积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left="519" w:right="0"/>
              <w:jc w:val="left"/>
              <w:rPr>
                <w:rFonts w:ascii="宋体" w:hAnsi="宋体" w:cs="宋体" w:eastAsia="宋体" w:hint="default"/>
                <w:sz w:val="21"/>
                <w:szCs w:val="21"/>
              </w:rPr>
            </w:pPr>
            <w:r>
              <w:rPr>
                <w:rFonts w:ascii="宋体"/>
                <w:sz w:val="21"/>
              </w:rPr>
              <w:t>61,467,445.51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3,442,420.33</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516" w:right="0"/>
              <w:jc w:val="left"/>
              <w:rPr>
                <w:rFonts w:ascii="宋体" w:hAnsi="宋体" w:cs="宋体" w:eastAsia="宋体" w:hint="default"/>
                <w:sz w:val="21"/>
                <w:szCs w:val="21"/>
              </w:rPr>
            </w:pPr>
            <w:r>
              <w:rPr>
                <w:rFonts w:ascii="宋体"/>
                <w:sz w:val="21"/>
              </w:rPr>
              <w:t>64,909,865.84</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left="519" w:right="0"/>
              <w:jc w:val="left"/>
              <w:rPr>
                <w:rFonts w:ascii="宋体" w:hAnsi="宋体" w:cs="宋体" w:eastAsia="宋体" w:hint="default"/>
                <w:sz w:val="21"/>
                <w:szCs w:val="21"/>
              </w:rPr>
            </w:pPr>
            <w:r>
              <w:rPr>
                <w:rFonts w:ascii="宋体"/>
                <w:sz w:val="21"/>
              </w:rPr>
              <w:t>61,467,445.51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3,442,420.33</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516" w:right="0"/>
              <w:jc w:val="left"/>
              <w:rPr>
                <w:rFonts w:ascii="宋体" w:hAnsi="宋体" w:cs="宋体" w:eastAsia="宋体" w:hint="default"/>
                <w:sz w:val="21"/>
                <w:szCs w:val="21"/>
              </w:rPr>
            </w:pPr>
            <w:r>
              <w:rPr>
                <w:rFonts w:ascii="宋体"/>
                <w:sz w:val="21"/>
              </w:rPr>
              <w:t>64,909,865.84</w:t>
            </w:r>
          </w:p>
        </w:tc>
      </w:tr>
    </w:tbl>
    <w:p>
      <w:pPr>
        <w:spacing w:line="240" w:lineRule="auto" w:before="10"/>
        <w:rPr>
          <w:rFonts w:ascii="宋体" w:hAnsi="宋体" w:cs="宋体" w:eastAsia="宋体" w:hint="default"/>
          <w:sz w:val="4"/>
          <w:szCs w:val="4"/>
        </w:rPr>
      </w:pPr>
    </w:p>
    <w:p>
      <w:pPr>
        <w:spacing w:line="352" w:lineRule="auto" w:before="26"/>
        <w:ind w:left="636" w:right="4033" w:hanging="3"/>
        <w:jc w:val="left"/>
        <w:rPr>
          <w:rFonts w:ascii="宋体" w:hAnsi="宋体" w:cs="宋体" w:eastAsia="宋体" w:hint="default"/>
          <w:sz w:val="24"/>
          <w:szCs w:val="24"/>
        </w:rPr>
      </w:pPr>
      <w:r>
        <w:rPr>
          <w:rFonts w:ascii="宋体" w:hAnsi="宋体" w:cs="宋体" w:eastAsia="宋体" w:hint="default"/>
          <w:sz w:val="24"/>
          <w:szCs w:val="24"/>
        </w:rPr>
        <w:t>盈余公积说明，包括本期增减变动情况、变动原因说明：无 </w:t>
      </w:r>
      <w:bookmarkStart w:name="60、未分配利润" w:id="387"/>
      <w:bookmarkEnd w:id="387"/>
      <w:r>
        <w:rPr>
          <w:rFonts w:ascii="宋体" w:hAnsi="宋体" w:cs="宋体" w:eastAsia="宋体" w:hint="default"/>
          <w:sz w:val="24"/>
          <w:szCs w:val="24"/>
        </w:rPr>
      </w:r>
      <w:r>
        <w:rPr>
          <w:rFonts w:ascii="宋体" w:hAnsi="宋体" w:cs="宋体" w:eastAsia="宋体" w:hint="default"/>
          <w:b/>
          <w:bCs/>
          <w:sz w:val="24"/>
          <w:szCs w:val="24"/>
        </w:rPr>
        <w:t>60</w:t>
      </w:r>
      <w:r>
        <w:rPr>
          <w:rFonts w:ascii="宋体" w:hAnsi="宋体" w:cs="宋体" w:eastAsia="宋体" w:hint="default"/>
          <w:b/>
          <w:bCs/>
          <w:sz w:val="24"/>
          <w:szCs w:val="24"/>
        </w:rPr>
        <w:t>、未分配利润</w:t>
      </w:r>
      <w:r>
        <w:rPr>
          <w:rFonts w:ascii="宋体" w:hAnsi="宋体" w:cs="宋体" w:eastAsia="宋体" w:hint="default"/>
          <w:sz w:val="24"/>
          <w:szCs w:val="24"/>
        </w:rPr>
      </w:r>
    </w:p>
    <w:p>
      <w:pPr>
        <w:spacing w:before="87"/>
        <w:ind w:left="0" w:right="1129" w:firstLine="0"/>
        <w:jc w:val="right"/>
        <w:rPr>
          <w:rFonts w:ascii="宋体" w:hAnsi="宋体" w:cs="宋体" w:eastAsia="宋体" w:hint="default"/>
          <w:sz w:val="21"/>
          <w:szCs w:val="21"/>
        </w:rPr>
      </w:pPr>
      <w:r>
        <w:rPr>
          <w:rFonts w:ascii="宋体" w:hAnsi="宋体" w:cs="宋体" w:eastAsia="宋体" w:hint="default"/>
          <w:sz w:val="21"/>
          <w:szCs w:val="21"/>
        </w:rPr>
        <w:t>单位： 元</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3714"/>
        <w:gridCol w:w="2936"/>
        <w:gridCol w:w="2919"/>
      </w:tblGrid>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9"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0" w:right="0"/>
              <w:jc w:val="center"/>
              <w:rPr>
                <w:rFonts w:ascii="宋体" w:hAnsi="宋体" w:cs="宋体" w:eastAsia="宋体" w:hint="default"/>
                <w:sz w:val="21"/>
                <w:szCs w:val="21"/>
              </w:rPr>
            </w:pPr>
            <w:r>
              <w:rPr>
                <w:rFonts w:ascii="宋体" w:hAnsi="宋体" w:cs="宋体" w:eastAsia="宋体" w:hint="default"/>
                <w:sz w:val="21"/>
                <w:szCs w:val="21"/>
              </w:rPr>
              <w:t>本期</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上期</w:t>
            </w:r>
          </w:p>
        </w:tc>
      </w:tr>
      <w:tr>
        <w:trPr>
          <w:trHeight w:val="403"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调整前上期末未分配利润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26"/>
              <w:ind w:left="1427" w:right="0"/>
              <w:jc w:val="left"/>
              <w:rPr>
                <w:rFonts w:ascii="宋体" w:hAnsi="宋体" w:cs="宋体" w:eastAsia="宋体" w:hint="default"/>
                <w:sz w:val="21"/>
                <w:szCs w:val="21"/>
              </w:rPr>
            </w:pPr>
            <w:r>
              <w:rPr>
                <w:rFonts w:ascii="宋体"/>
                <w:sz w:val="21"/>
              </w:rPr>
              <w:t>451,626,351.00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416" w:right="0"/>
              <w:jc w:val="left"/>
              <w:rPr>
                <w:rFonts w:ascii="宋体" w:hAnsi="宋体" w:cs="宋体" w:eastAsia="宋体" w:hint="default"/>
                <w:sz w:val="21"/>
                <w:szCs w:val="21"/>
              </w:rPr>
            </w:pPr>
            <w:r>
              <w:rPr>
                <w:rFonts w:ascii="宋体"/>
                <w:sz w:val="21"/>
              </w:rPr>
              <w:t>385,454,292.44</w:t>
            </w:r>
          </w:p>
        </w:tc>
      </w:tr>
    </w:tbl>
    <w:p>
      <w:pPr>
        <w:spacing w:after="0" w:line="240" w:lineRule="auto"/>
        <w:jc w:val="left"/>
        <w:rPr>
          <w:rFonts w:ascii="宋体" w:hAnsi="宋体" w:cs="宋体" w:eastAsia="宋体" w:hint="default"/>
          <w:sz w:val="21"/>
          <w:szCs w:val="21"/>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714"/>
        <w:gridCol w:w="2936"/>
        <w:gridCol w:w="2919"/>
      </w:tblGrid>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调整后期初未分配利润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451,626,351.00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385,454,292.44</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加：本期归属于母公司所有者的净利润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pacing w:val="-1"/>
                <w:sz w:val="21"/>
              </w:rPr>
              <w:t>-151,742,824.19</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85,070,143.95</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减：提取法定盈余公积</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3,442,420.33</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7,598,392.80</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42" w:right="0"/>
              <w:jc w:val="left"/>
              <w:rPr>
                <w:rFonts w:ascii="宋体" w:hAnsi="宋体" w:cs="宋体" w:eastAsia="宋体" w:hint="default"/>
                <w:sz w:val="21"/>
                <w:szCs w:val="21"/>
              </w:rPr>
            </w:pPr>
            <w:r>
              <w:rPr>
                <w:rFonts w:ascii="宋体" w:hAnsi="宋体" w:cs="宋体" w:eastAsia="宋体" w:hint="default"/>
                <w:sz w:val="21"/>
                <w:szCs w:val="21"/>
              </w:rPr>
              <w:t>应付普通股股利</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3,766,564.20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11,299,692.59</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期末未分配利润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26"/>
              <w:ind w:right="22"/>
              <w:jc w:val="right"/>
              <w:rPr>
                <w:rFonts w:ascii="宋体" w:hAnsi="宋体" w:cs="宋体" w:eastAsia="宋体" w:hint="default"/>
                <w:sz w:val="21"/>
                <w:szCs w:val="21"/>
              </w:rPr>
            </w:pPr>
            <w:r>
              <w:rPr>
                <w:rFonts w:ascii="宋体"/>
                <w:spacing w:val="-1"/>
                <w:sz w:val="21"/>
              </w:rPr>
              <w:t>292,674,542.28</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451,626,351.00</w:t>
            </w:r>
          </w:p>
        </w:tc>
      </w:tr>
    </w:tbl>
    <w:p>
      <w:pPr>
        <w:spacing w:line="240" w:lineRule="auto" w:before="10"/>
        <w:rPr>
          <w:rFonts w:ascii="宋体" w:hAnsi="宋体" w:cs="宋体" w:eastAsia="宋体" w:hint="default"/>
          <w:sz w:val="4"/>
          <w:szCs w:val="4"/>
        </w:rPr>
      </w:pPr>
    </w:p>
    <w:p>
      <w:pPr>
        <w:pStyle w:val="BodyText"/>
        <w:spacing w:line="352" w:lineRule="auto" w:before="26"/>
        <w:ind w:left="634" w:right="996"/>
        <w:jc w:val="left"/>
      </w:pPr>
      <w:r>
        <w:rPr/>
        <w:t>调整期初未分配利润明细： </w:t>
      </w:r>
      <w:r>
        <w:rPr>
          <w:rFonts w:ascii="宋体" w:hAnsi="宋体" w:cs="宋体" w:eastAsia="宋体" w:hint="default"/>
          <w:spacing w:val="-2"/>
        </w:rPr>
        <w:t>1)</w:t>
      </w:r>
      <w:r>
        <w:rPr>
          <w:spacing w:val="-2"/>
        </w:rPr>
        <w:t>、由于《企业会计准则》及其相关新规定进行追溯调整，影响期初未分配利润</w:t>
      </w:r>
      <w:r>
        <w:rPr>
          <w:rFonts w:ascii="宋体" w:hAnsi="宋体" w:cs="宋体" w:eastAsia="宋体" w:hint="default"/>
          <w:spacing w:val="-2"/>
        </w:rPr>
        <w:t>0.00</w:t>
      </w:r>
      <w:r>
        <w:rPr>
          <w:spacing w:val="-2"/>
        </w:rPr>
        <w:t>元。</w:t>
      </w:r>
    </w:p>
    <w:p>
      <w:pPr>
        <w:pStyle w:val="BodyText"/>
        <w:spacing w:line="240" w:lineRule="auto" w:before="32"/>
        <w:ind w:left="633" w:right="996"/>
        <w:jc w:val="left"/>
      </w:pPr>
      <w:r>
        <w:rPr>
          <w:rFonts w:ascii="宋体" w:hAnsi="宋体" w:cs="宋体" w:eastAsia="宋体" w:hint="default"/>
        </w:rPr>
        <w:t>2)</w:t>
      </w:r>
      <w:r>
        <w:rPr/>
        <w:t>、由于会计政策变更，影响期初未分配利润</w:t>
      </w:r>
      <w:r>
        <w:rPr>
          <w:rFonts w:ascii="宋体" w:hAnsi="宋体" w:cs="宋体" w:eastAsia="宋体" w:hint="default"/>
        </w:rPr>
        <w:t>0.00</w:t>
      </w:r>
      <w:r>
        <w:rPr/>
        <w:t>元。</w:t>
      </w:r>
    </w:p>
    <w:p>
      <w:pPr>
        <w:pStyle w:val="BodyText"/>
        <w:spacing w:line="240" w:lineRule="auto" w:before="145"/>
        <w:ind w:left="633" w:right="996"/>
        <w:jc w:val="left"/>
      </w:pPr>
      <w:r>
        <w:rPr>
          <w:rFonts w:ascii="宋体" w:hAnsi="宋体" w:cs="宋体" w:eastAsia="宋体" w:hint="default"/>
        </w:rPr>
        <w:t>3)</w:t>
      </w:r>
      <w:r>
        <w:rPr/>
        <w:t>、由于重大会计差错更正，影响期初未分配利润</w:t>
      </w:r>
      <w:r>
        <w:rPr>
          <w:rFonts w:ascii="宋体" w:hAnsi="宋体" w:cs="宋体" w:eastAsia="宋体" w:hint="default"/>
        </w:rPr>
        <w:t>0.00</w:t>
      </w:r>
      <w:r>
        <w:rPr/>
        <w:t>元。</w:t>
      </w:r>
    </w:p>
    <w:p>
      <w:pPr>
        <w:pStyle w:val="BodyText"/>
        <w:spacing w:line="240" w:lineRule="auto" w:before="146"/>
        <w:ind w:left="633" w:right="996"/>
        <w:jc w:val="left"/>
      </w:pPr>
      <w:r>
        <w:rPr>
          <w:rFonts w:ascii="宋体" w:hAnsi="宋体" w:cs="宋体" w:eastAsia="宋体" w:hint="default"/>
        </w:rPr>
        <w:t>4)</w:t>
      </w:r>
      <w:r>
        <w:rPr/>
        <w:t>、由于同一控制导致的合并范围变更，影响期初未分配利润</w:t>
      </w:r>
      <w:r>
        <w:rPr>
          <w:rFonts w:ascii="宋体" w:hAnsi="宋体" w:cs="宋体" w:eastAsia="宋体" w:hint="default"/>
        </w:rPr>
        <w:t>0.00</w:t>
      </w:r>
      <w:r>
        <w:rPr/>
        <w:t>元。</w:t>
      </w:r>
    </w:p>
    <w:p>
      <w:pPr>
        <w:pStyle w:val="BodyText"/>
        <w:spacing w:line="240" w:lineRule="auto" w:before="145"/>
        <w:ind w:left="633" w:right="996"/>
        <w:jc w:val="left"/>
      </w:pPr>
      <w:r>
        <w:rPr>
          <w:rFonts w:ascii="宋体" w:hAnsi="宋体" w:cs="宋体" w:eastAsia="宋体" w:hint="default"/>
        </w:rPr>
        <w:t>5)</w:t>
      </w:r>
      <w:r>
        <w:rPr/>
        <w:t>、其他调整合计影响期初未分配利润</w:t>
      </w:r>
      <w:r>
        <w:rPr>
          <w:rFonts w:ascii="宋体" w:hAnsi="宋体" w:cs="宋体" w:eastAsia="宋体" w:hint="default"/>
        </w:rPr>
        <w:t>0.00</w:t>
      </w:r>
      <w:r>
        <w:rPr/>
        <w:t>元。</w:t>
      </w:r>
    </w:p>
    <w:p>
      <w:pPr>
        <w:pStyle w:val="Heading2"/>
        <w:spacing w:line="240" w:lineRule="auto" w:before="145"/>
        <w:ind w:right="996"/>
        <w:jc w:val="left"/>
        <w:rPr>
          <w:b w:val="0"/>
          <w:bCs w:val="0"/>
        </w:rPr>
      </w:pPr>
      <w:bookmarkStart w:name="61、营业收入和营业成本" w:id="388"/>
      <w:bookmarkEnd w:id="388"/>
      <w:r>
        <w:rPr>
          <w:b w:val="0"/>
          <w:bCs w:val="0"/>
        </w:rPr>
      </w:r>
      <w:r>
        <w:rPr>
          <w:rFonts w:ascii="宋体" w:hAnsi="宋体" w:cs="宋体" w:eastAsia="宋体" w:hint="default"/>
        </w:rPr>
        <w:t>61</w:t>
      </w:r>
      <w:r>
        <w:rPr/>
        <w:t>、营业收入和营业成本</w:t>
      </w:r>
      <w:r>
        <w:rPr>
          <w:b w:val="0"/>
          <w:bCs w:val="0"/>
        </w:rPr>
      </w:r>
    </w:p>
    <w:p>
      <w:pPr>
        <w:spacing w:before="201"/>
        <w:ind w:left="0" w:right="1129" w:firstLine="0"/>
        <w:jc w:val="right"/>
        <w:rPr>
          <w:rFonts w:ascii="宋体" w:hAnsi="宋体" w:cs="宋体" w:eastAsia="宋体" w:hint="default"/>
          <w:sz w:val="21"/>
          <w:szCs w:val="21"/>
        </w:rPr>
      </w:pPr>
      <w:r>
        <w:rPr>
          <w:rFonts w:ascii="宋体" w:hAnsi="宋体" w:cs="宋体" w:eastAsia="宋体" w:hint="default"/>
          <w:sz w:val="21"/>
          <w:szCs w:val="21"/>
        </w:rPr>
        <w:t>单位： 元</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206" w:hRule="exact"/>
        </w:trPr>
        <w:tc>
          <w:tcPr>
            <w:tcW w:w="1912"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82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191" w:hRule="exact"/>
        </w:trPr>
        <w:tc>
          <w:tcPr>
            <w:tcW w:w="191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8"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912" w:type="dxa"/>
            <w:vMerge/>
            <w:tcBorders>
              <w:left w:val="single" w:sz="4" w:space="0" w:color="000000"/>
              <w:bottom w:val="nil" w:sz="6" w:space="0" w:color="auto"/>
              <w:right w:val="single" w:sz="4" w:space="0" w:color="000000"/>
            </w:tcBorders>
            <w:shd w:val="clear" w:color="auto" w:fill="D2D2D2"/>
          </w:tcPr>
          <w:p>
            <w:pPr/>
          </w:p>
        </w:tc>
        <w:tc>
          <w:tcPr>
            <w:tcW w:w="191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0"/>
              <w:ind w:right="0"/>
              <w:jc w:val="center"/>
              <w:rPr>
                <w:rFonts w:ascii="宋体" w:hAnsi="宋体" w:cs="宋体" w:eastAsia="宋体" w:hint="default"/>
                <w:sz w:val="21"/>
                <w:szCs w:val="21"/>
              </w:rPr>
            </w:pPr>
            <w:r>
              <w:rPr>
                <w:rFonts w:ascii="宋体" w:hAnsi="宋体" w:cs="宋体" w:eastAsia="宋体" w:hint="default"/>
                <w:sz w:val="21"/>
                <w:szCs w:val="21"/>
              </w:rPr>
              <w:t>收入</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0"/>
              <w:ind w:right="1"/>
              <w:jc w:val="center"/>
              <w:rPr>
                <w:rFonts w:ascii="宋体" w:hAnsi="宋体" w:cs="宋体" w:eastAsia="宋体" w:hint="default"/>
                <w:sz w:val="21"/>
                <w:szCs w:val="21"/>
              </w:rPr>
            </w:pPr>
            <w:r>
              <w:rPr>
                <w:rFonts w:ascii="宋体" w:hAnsi="宋体" w:cs="宋体" w:eastAsia="宋体" w:hint="default"/>
                <w:sz w:val="21"/>
                <w:szCs w:val="21"/>
              </w:rPr>
              <w:t>成本</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0"/>
              <w:ind w:right="1"/>
              <w:jc w:val="center"/>
              <w:rPr>
                <w:rFonts w:ascii="宋体" w:hAnsi="宋体" w:cs="宋体" w:eastAsia="宋体" w:hint="default"/>
                <w:sz w:val="21"/>
                <w:szCs w:val="21"/>
              </w:rPr>
            </w:pPr>
            <w:r>
              <w:rPr>
                <w:rFonts w:ascii="宋体" w:hAnsi="宋体" w:cs="宋体" w:eastAsia="宋体" w:hint="default"/>
                <w:sz w:val="21"/>
                <w:szCs w:val="21"/>
              </w:rPr>
              <w:t>收入</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0"/>
              <w:ind w:right="1"/>
              <w:jc w:val="center"/>
              <w:rPr>
                <w:rFonts w:ascii="宋体" w:hAnsi="宋体" w:cs="宋体" w:eastAsia="宋体" w:hint="default"/>
                <w:sz w:val="21"/>
                <w:szCs w:val="21"/>
              </w:rPr>
            </w:pPr>
            <w:r>
              <w:rPr>
                <w:rFonts w:ascii="宋体" w:hAnsi="宋体" w:cs="宋体" w:eastAsia="宋体" w:hint="default"/>
                <w:sz w:val="21"/>
                <w:szCs w:val="21"/>
              </w:rPr>
              <w:t>成本</w:t>
            </w:r>
          </w:p>
        </w:tc>
      </w:tr>
      <w:tr>
        <w:trPr>
          <w:trHeight w:val="206" w:hRule="exact"/>
        </w:trPr>
        <w:tc>
          <w:tcPr>
            <w:tcW w:w="191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主营业务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pacing w:val="-1"/>
                <w:sz w:val="21"/>
              </w:rPr>
              <w:t>470,753,151.66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238,436,987.39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473,406,728.68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247,930,639.30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其他业务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76,139,361.19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49,837,441.90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41,202,372.17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17,837,581.70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546,892,512.85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pacing w:val="-1"/>
                <w:sz w:val="21"/>
              </w:rPr>
              <w:t>288,274,429.29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514,609,100.85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265,768,221.00</w:t>
            </w:r>
          </w:p>
        </w:tc>
      </w:tr>
    </w:tbl>
    <w:p>
      <w:pPr>
        <w:spacing w:line="240" w:lineRule="auto" w:before="10"/>
        <w:rPr>
          <w:rFonts w:ascii="宋体" w:hAnsi="宋体" w:cs="宋体" w:eastAsia="宋体" w:hint="default"/>
          <w:sz w:val="4"/>
          <w:szCs w:val="4"/>
        </w:rPr>
      </w:pPr>
    </w:p>
    <w:p>
      <w:pPr>
        <w:pStyle w:val="Heading2"/>
        <w:spacing w:line="240" w:lineRule="auto"/>
        <w:ind w:right="996"/>
        <w:jc w:val="left"/>
        <w:rPr>
          <w:b w:val="0"/>
          <w:bCs w:val="0"/>
        </w:rPr>
      </w:pPr>
      <w:bookmarkStart w:name="62、税金及附加" w:id="389"/>
      <w:bookmarkEnd w:id="389"/>
      <w:r>
        <w:rPr>
          <w:b w:val="0"/>
          <w:bCs w:val="0"/>
        </w:rPr>
      </w:r>
      <w:r>
        <w:rPr>
          <w:rFonts w:ascii="宋体" w:hAnsi="宋体" w:cs="宋体" w:eastAsia="宋体" w:hint="default"/>
        </w:rPr>
        <w:t>62</w:t>
      </w:r>
      <w:r>
        <w:rPr/>
        <w:t>、税金及附加</w:t>
      </w:r>
      <w:r>
        <w:rPr>
          <w:b w:val="0"/>
          <w:bCs w:val="0"/>
        </w:rPr>
      </w:r>
    </w:p>
    <w:p>
      <w:pPr>
        <w:spacing w:line="240" w:lineRule="auto" w:before="9"/>
        <w:rPr>
          <w:rFonts w:ascii="宋体" w:hAnsi="宋体" w:cs="宋体" w:eastAsia="宋体" w:hint="default"/>
          <w:b/>
          <w:bCs/>
          <w:sz w:val="12"/>
          <w:szCs w:val="12"/>
        </w:rPr>
      </w:pPr>
    </w:p>
    <w:p>
      <w:pPr>
        <w:spacing w:before="35"/>
        <w:ind w:left="0" w:right="1129" w:firstLine="0"/>
        <w:jc w:val="right"/>
        <w:rPr>
          <w:rFonts w:ascii="宋体" w:hAnsi="宋体" w:cs="宋体" w:eastAsia="宋体" w:hint="default"/>
          <w:sz w:val="21"/>
          <w:szCs w:val="21"/>
        </w:rPr>
      </w:pPr>
      <w:r>
        <w:rPr>
          <w:rFonts w:ascii="宋体" w:hAnsi="宋体" w:cs="宋体" w:eastAsia="宋体" w:hint="default"/>
          <w:sz w:val="21"/>
          <w:szCs w:val="21"/>
        </w:rPr>
        <w:t>单位： 元</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0"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3,366,890.74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9"/>
              <w:jc w:val="right"/>
              <w:rPr>
                <w:rFonts w:ascii="宋体" w:hAnsi="宋体" w:cs="宋体" w:eastAsia="宋体" w:hint="default"/>
                <w:sz w:val="21"/>
                <w:szCs w:val="21"/>
              </w:rPr>
            </w:pPr>
            <w:r>
              <w:rPr>
                <w:rFonts w:ascii="宋体"/>
                <w:sz w:val="21"/>
              </w:rPr>
              <w:t>2,939,300.55</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2,405,423.96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9"/>
              <w:jc w:val="right"/>
              <w:rPr>
                <w:rFonts w:ascii="宋体" w:hAnsi="宋体" w:cs="宋体" w:eastAsia="宋体" w:hint="default"/>
                <w:sz w:val="21"/>
                <w:szCs w:val="21"/>
              </w:rPr>
            </w:pPr>
            <w:r>
              <w:rPr>
                <w:rFonts w:ascii="宋体"/>
                <w:sz w:val="21"/>
              </w:rPr>
              <w:t>2,099,500.40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房产税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3"/>
              <w:jc w:val="right"/>
              <w:rPr>
                <w:rFonts w:ascii="宋体" w:hAnsi="宋体" w:cs="宋体" w:eastAsia="宋体" w:hint="default"/>
                <w:sz w:val="21"/>
                <w:szCs w:val="21"/>
              </w:rPr>
            </w:pPr>
            <w:r>
              <w:rPr>
                <w:rFonts w:ascii="宋体"/>
                <w:sz w:val="21"/>
              </w:rPr>
              <w:t>405,744.12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244,049.74</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土地使用税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3"/>
              <w:jc w:val="right"/>
              <w:rPr>
                <w:rFonts w:ascii="宋体" w:hAnsi="宋体" w:cs="宋体" w:eastAsia="宋体" w:hint="default"/>
                <w:sz w:val="21"/>
                <w:szCs w:val="21"/>
              </w:rPr>
            </w:pPr>
            <w:r>
              <w:rPr>
                <w:rFonts w:ascii="宋体"/>
                <w:sz w:val="21"/>
              </w:rPr>
              <w:t>524,995.96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308,450.71</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车船使用税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28,880.00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22,806.31</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印花税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3"/>
              <w:jc w:val="right"/>
              <w:rPr>
                <w:rFonts w:ascii="宋体" w:hAnsi="宋体" w:cs="宋体" w:eastAsia="宋体" w:hint="default"/>
                <w:sz w:val="21"/>
                <w:szCs w:val="21"/>
              </w:rPr>
            </w:pPr>
            <w:r>
              <w:rPr>
                <w:rFonts w:ascii="宋体"/>
                <w:sz w:val="21"/>
              </w:rPr>
              <w:t>371,375.58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276,550.44</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防洪维护工程费</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23,812.30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3,223.83</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7,127,122.66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9"/>
              <w:jc w:val="right"/>
              <w:rPr>
                <w:rFonts w:ascii="宋体" w:hAnsi="宋体" w:cs="宋体" w:eastAsia="宋体" w:hint="default"/>
                <w:sz w:val="21"/>
                <w:szCs w:val="21"/>
              </w:rPr>
            </w:pPr>
            <w:r>
              <w:rPr>
                <w:rFonts w:ascii="宋体"/>
                <w:sz w:val="21"/>
              </w:rPr>
              <w:t>5,893,881.98</w:t>
            </w:r>
          </w:p>
        </w:tc>
      </w:tr>
    </w:tbl>
    <w:p>
      <w:pPr>
        <w:spacing w:line="240" w:lineRule="auto" w:before="10"/>
        <w:rPr>
          <w:rFonts w:ascii="宋体" w:hAnsi="宋体" w:cs="宋体" w:eastAsia="宋体" w:hint="default"/>
          <w:sz w:val="4"/>
          <w:szCs w:val="4"/>
        </w:rPr>
      </w:pPr>
    </w:p>
    <w:p>
      <w:pPr>
        <w:spacing w:line="352" w:lineRule="auto" w:before="26"/>
        <w:ind w:left="636" w:right="8823" w:hanging="3"/>
        <w:jc w:val="left"/>
        <w:rPr>
          <w:rFonts w:ascii="宋体" w:hAnsi="宋体" w:cs="宋体" w:eastAsia="宋体" w:hint="default"/>
          <w:sz w:val="24"/>
          <w:szCs w:val="24"/>
        </w:rPr>
      </w:pPr>
      <w:r>
        <w:rPr>
          <w:rFonts w:ascii="宋体" w:hAnsi="宋体" w:cs="宋体" w:eastAsia="宋体" w:hint="default"/>
          <w:sz w:val="24"/>
          <w:szCs w:val="24"/>
        </w:rPr>
        <w:t>其他说明：无 </w:t>
      </w:r>
      <w:bookmarkStart w:name="63、销售费用" w:id="390"/>
      <w:bookmarkEnd w:id="390"/>
      <w:r>
        <w:rPr>
          <w:rFonts w:ascii="宋体" w:hAnsi="宋体" w:cs="宋体" w:eastAsia="宋体" w:hint="default"/>
          <w:sz w:val="24"/>
          <w:szCs w:val="24"/>
        </w:rPr>
      </w:r>
      <w:r>
        <w:rPr>
          <w:rFonts w:ascii="宋体" w:hAnsi="宋体" w:cs="宋体" w:eastAsia="宋体" w:hint="default"/>
          <w:b/>
          <w:bCs/>
          <w:sz w:val="24"/>
          <w:szCs w:val="24"/>
        </w:rPr>
        <w:t>63</w:t>
      </w:r>
      <w:r>
        <w:rPr>
          <w:rFonts w:ascii="宋体" w:hAnsi="宋体" w:cs="宋体" w:eastAsia="宋体" w:hint="default"/>
          <w:b/>
          <w:bCs/>
          <w:sz w:val="24"/>
          <w:szCs w:val="24"/>
        </w:rPr>
        <w:t>、销售费用</w:t>
      </w:r>
      <w:r>
        <w:rPr>
          <w:rFonts w:ascii="宋体" w:hAnsi="宋体" w:cs="宋体" w:eastAsia="宋体" w:hint="default"/>
          <w:sz w:val="24"/>
          <w:szCs w:val="24"/>
        </w:rPr>
      </w:r>
    </w:p>
    <w:p>
      <w:pPr>
        <w:spacing w:before="87"/>
        <w:ind w:left="0" w:right="1129" w:firstLine="0"/>
        <w:jc w:val="right"/>
        <w:rPr>
          <w:rFonts w:ascii="宋体" w:hAnsi="宋体" w:cs="宋体" w:eastAsia="宋体" w:hint="default"/>
          <w:sz w:val="21"/>
          <w:szCs w:val="21"/>
        </w:rPr>
      </w:pPr>
      <w:r>
        <w:rPr>
          <w:rFonts w:ascii="宋体" w:hAnsi="宋体" w:cs="宋体" w:eastAsia="宋体" w:hint="default"/>
          <w:sz w:val="21"/>
          <w:szCs w:val="21"/>
        </w:rPr>
        <w:t>单位： 元</w:t>
      </w:r>
    </w:p>
    <w:p>
      <w:pPr>
        <w:spacing w:after="0"/>
        <w:jc w:val="right"/>
        <w:rPr>
          <w:rFonts w:ascii="宋体" w:hAnsi="宋体" w:cs="宋体" w:eastAsia="宋体" w:hint="default"/>
          <w:sz w:val="21"/>
          <w:szCs w:val="21"/>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9"/>
              <w:jc w:val="right"/>
              <w:rPr>
                <w:rFonts w:ascii="宋体" w:hAnsi="宋体" w:cs="宋体" w:eastAsia="宋体" w:hint="default"/>
                <w:sz w:val="21"/>
                <w:szCs w:val="21"/>
              </w:rPr>
            </w:pPr>
            <w:r>
              <w:rPr>
                <w:rFonts w:ascii="宋体"/>
                <w:sz w:val="21"/>
              </w:rPr>
              <w:t>8,626,111.55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9"/>
              <w:jc w:val="right"/>
              <w:rPr>
                <w:rFonts w:ascii="宋体" w:hAnsi="宋体" w:cs="宋体" w:eastAsia="宋体" w:hint="default"/>
                <w:sz w:val="21"/>
                <w:szCs w:val="21"/>
              </w:rPr>
            </w:pPr>
            <w:r>
              <w:rPr>
                <w:rFonts w:ascii="宋体"/>
                <w:sz w:val="21"/>
              </w:rPr>
              <w:t>8,520,908.43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运输及维修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9"/>
              <w:jc w:val="right"/>
              <w:rPr>
                <w:rFonts w:ascii="宋体" w:hAnsi="宋体" w:cs="宋体" w:eastAsia="宋体" w:hint="default"/>
                <w:sz w:val="21"/>
                <w:szCs w:val="21"/>
              </w:rPr>
            </w:pPr>
            <w:r>
              <w:rPr>
                <w:rFonts w:ascii="宋体"/>
                <w:sz w:val="21"/>
              </w:rPr>
              <w:t>2,309,080.46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9"/>
              <w:jc w:val="right"/>
              <w:rPr>
                <w:rFonts w:ascii="宋体" w:hAnsi="宋体" w:cs="宋体" w:eastAsia="宋体" w:hint="default"/>
                <w:sz w:val="21"/>
                <w:szCs w:val="21"/>
              </w:rPr>
            </w:pPr>
            <w:r>
              <w:rPr>
                <w:rFonts w:ascii="宋体"/>
                <w:sz w:val="21"/>
              </w:rPr>
              <w:t>2,208,353.01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938,170.85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706,305.14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物料消耗</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63,082.08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41,531.00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广告费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294,339.62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330,874.10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10,369,231.32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pacing w:val="-1"/>
                <w:sz w:val="21"/>
              </w:rPr>
              <w:t>9,319,056.12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9"/>
              <w:jc w:val="right"/>
              <w:rPr>
                <w:rFonts w:ascii="宋体" w:hAnsi="宋体" w:cs="宋体" w:eastAsia="宋体" w:hint="default"/>
                <w:sz w:val="21"/>
                <w:szCs w:val="21"/>
              </w:rPr>
            </w:pPr>
            <w:r>
              <w:rPr>
                <w:rFonts w:ascii="宋体"/>
                <w:sz w:val="21"/>
              </w:rPr>
              <w:t>3,693,487.81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9"/>
              <w:jc w:val="right"/>
              <w:rPr>
                <w:rFonts w:ascii="宋体" w:hAnsi="宋体" w:cs="宋体" w:eastAsia="宋体" w:hint="default"/>
                <w:sz w:val="21"/>
                <w:szCs w:val="21"/>
              </w:rPr>
            </w:pPr>
            <w:r>
              <w:rPr>
                <w:rFonts w:ascii="宋体"/>
                <w:sz w:val="21"/>
              </w:rPr>
              <w:t>4,211,977.83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招标及咨询费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9"/>
              <w:jc w:val="right"/>
              <w:rPr>
                <w:rFonts w:ascii="宋体" w:hAnsi="宋体" w:cs="宋体" w:eastAsia="宋体" w:hint="default"/>
                <w:sz w:val="21"/>
                <w:szCs w:val="21"/>
              </w:rPr>
            </w:pPr>
            <w:r>
              <w:rPr>
                <w:rFonts w:ascii="宋体"/>
                <w:sz w:val="21"/>
              </w:rPr>
              <w:t>3,529,066.56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9"/>
              <w:jc w:val="right"/>
              <w:rPr>
                <w:rFonts w:ascii="宋体" w:hAnsi="宋体" w:cs="宋体" w:eastAsia="宋体" w:hint="default"/>
                <w:sz w:val="21"/>
                <w:szCs w:val="21"/>
              </w:rPr>
            </w:pPr>
            <w:r>
              <w:rPr>
                <w:rFonts w:ascii="宋体"/>
                <w:sz w:val="21"/>
              </w:rPr>
              <w:t>3,530,748.64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租赁费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96,823.32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136,619.05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9"/>
              <w:jc w:val="right"/>
              <w:rPr>
                <w:rFonts w:ascii="宋体" w:hAnsi="宋体" w:cs="宋体" w:eastAsia="宋体" w:hint="default"/>
                <w:sz w:val="21"/>
                <w:szCs w:val="21"/>
              </w:rPr>
            </w:pPr>
            <w:r>
              <w:rPr>
                <w:rFonts w:ascii="宋体"/>
                <w:sz w:val="21"/>
              </w:rPr>
              <w:t>1,176,753.12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9"/>
              <w:jc w:val="right"/>
              <w:rPr>
                <w:rFonts w:ascii="宋体" w:hAnsi="宋体" w:cs="宋体" w:eastAsia="宋体" w:hint="default"/>
                <w:sz w:val="21"/>
                <w:szCs w:val="21"/>
              </w:rPr>
            </w:pPr>
            <w:r>
              <w:rPr>
                <w:rFonts w:ascii="宋体"/>
                <w:sz w:val="21"/>
              </w:rPr>
              <w:t>1,981,222.36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摊销费用</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9"/>
              <w:jc w:val="right"/>
              <w:rPr>
                <w:rFonts w:ascii="宋体" w:hAnsi="宋体" w:cs="宋体" w:eastAsia="宋体" w:hint="default"/>
                <w:sz w:val="21"/>
                <w:szCs w:val="21"/>
              </w:rPr>
            </w:pPr>
            <w:r>
              <w:rPr>
                <w:rFonts w:ascii="宋体"/>
                <w:sz w:val="21"/>
              </w:rPr>
              <w:t>1,063,602.39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31,096,146.69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32,051,198.07</w:t>
            </w:r>
          </w:p>
        </w:tc>
      </w:tr>
    </w:tbl>
    <w:p>
      <w:pPr>
        <w:spacing w:line="240" w:lineRule="auto" w:before="10"/>
        <w:rPr>
          <w:rFonts w:ascii="宋体" w:hAnsi="宋体" w:cs="宋体" w:eastAsia="宋体" w:hint="default"/>
          <w:sz w:val="4"/>
          <w:szCs w:val="4"/>
        </w:rPr>
      </w:pPr>
    </w:p>
    <w:p>
      <w:pPr>
        <w:spacing w:line="352" w:lineRule="auto" w:before="26"/>
        <w:ind w:left="636" w:right="8823" w:hanging="3"/>
        <w:jc w:val="left"/>
        <w:rPr>
          <w:rFonts w:ascii="宋体" w:hAnsi="宋体" w:cs="宋体" w:eastAsia="宋体" w:hint="default"/>
          <w:sz w:val="24"/>
          <w:szCs w:val="24"/>
        </w:rPr>
      </w:pPr>
      <w:r>
        <w:rPr>
          <w:rFonts w:ascii="宋体" w:hAnsi="宋体" w:cs="宋体" w:eastAsia="宋体" w:hint="default"/>
          <w:sz w:val="24"/>
          <w:szCs w:val="24"/>
        </w:rPr>
        <w:t>其他说明：无 </w:t>
      </w:r>
      <w:bookmarkStart w:name="64、管理费用" w:id="391"/>
      <w:bookmarkEnd w:id="391"/>
      <w:r>
        <w:rPr>
          <w:rFonts w:ascii="宋体" w:hAnsi="宋体" w:cs="宋体" w:eastAsia="宋体" w:hint="default"/>
          <w:sz w:val="24"/>
          <w:szCs w:val="24"/>
        </w:rPr>
      </w:r>
      <w:r>
        <w:rPr>
          <w:rFonts w:ascii="宋体" w:hAnsi="宋体" w:cs="宋体" w:eastAsia="宋体" w:hint="default"/>
          <w:b/>
          <w:bCs/>
          <w:sz w:val="24"/>
          <w:szCs w:val="24"/>
        </w:rPr>
        <w:t>64</w:t>
      </w:r>
      <w:r>
        <w:rPr>
          <w:rFonts w:ascii="宋体" w:hAnsi="宋体" w:cs="宋体" w:eastAsia="宋体" w:hint="default"/>
          <w:b/>
          <w:bCs/>
          <w:sz w:val="24"/>
          <w:szCs w:val="24"/>
        </w:rPr>
        <w:t>、管理费用</w:t>
      </w:r>
      <w:r>
        <w:rPr>
          <w:rFonts w:ascii="宋体" w:hAnsi="宋体" w:cs="宋体" w:eastAsia="宋体" w:hint="default"/>
          <w:sz w:val="24"/>
          <w:szCs w:val="24"/>
        </w:rPr>
      </w:r>
    </w:p>
    <w:p>
      <w:pPr>
        <w:spacing w:before="87"/>
        <w:ind w:left="0" w:right="1129" w:firstLine="0"/>
        <w:jc w:val="right"/>
        <w:rPr>
          <w:rFonts w:ascii="宋体" w:hAnsi="宋体" w:cs="宋体" w:eastAsia="宋体" w:hint="default"/>
          <w:sz w:val="21"/>
          <w:szCs w:val="21"/>
        </w:rPr>
      </w:pPr>
      <w:r>
        <w:rPr>
          <w:rFonts w:ascii="宋体" w:hAnsi="宋体" w:cs="宋体" w:eastAsia="宋体" w:hint="default"/>
          <w:sz w:val="21"/>
          <w:szCs w:val="21"/>
        </w:rPr>
        <w:t>单位： 元</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0"/>
              <w:jc w:val="right"/>
              <w:rPr>
                <w:rFonts w:ascii="宋体" w:hAnsi="宋体" w:cs="宋体" w:eastAsia="宋体" w:hint="default"/>
                <w:sz w:val="21"/>
                <w:szCs w:val="21"/>
              </w:rPr>
            </w:pPr>
            <w:r>
              <w:rPr>
                <w:rFonts w:ascii="宋体"/>
                <w:sz w:val="21"/>
              </w:rPr>
              <w:t>14,695,605.80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0"/>
              <w:jc w:val="right"/>
              <w:rPr>
                <w:rFonts w:ascii="宋体" w:hAnsi="宋体" w:cs="宋体" w:eastAsia="宋体" w:hint="default"/>
                <w:sz w:val="21"/>
                <w:szCs w:val="21"/>
              </w:rPr>
            </w:pPr>
            <w:r>
              <w:rPr>
                <w:rFonts w:ascii="宋体"/>
                <w:sz w:val="21"/>
              </w:rPr>
              <w:t>16,822,424.87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修理及运输</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0"/>
              <w:jc w:val="right"/>
              <w:rPr>
                <w:rFonts w:ascii="宋体" w:hAnsi="宋体" w:cs="宋体" w:eastAsia="宋体" w:hint="default"/>
                <w:sz w:val="21"/>
                <w:szCs w:val="21"/>
              </w:rPr>
            </w:pPr>
            <w:r>
              <w:rPr>
                <w:rFonts w:ascii="宋体"/>
                <w:sz w:val="21"/>
              </w:rPr>
              <w:t>837,060.04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0"/>
              <w:jc w:val="right"/>
              <w:rPr>
                <w:rFonts w:ascii="宋体" w:hAnsi="宋体" w:cs="宋体" w:eastAsia="宋体" w:hint="default"/>
                <w:sz w:val="21"/>
                <w:szCs w:val="21"/>
              </w:rPr>
            </w:pPr>
            <w:r>
              <w:rPr>
                <w:rFonts w:ascii="宋体"/>
                <w:sz w:val="21"/>
              </w:rPr>
              <w:t>368,139.99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9"/>
              <w:jc w:val="right"/>
              <w:rPr>
                <w:rFonts w:ascii="宋体" w:hAnsi="宋体" w:cs="宋体" w:eastAsia="宋体" w:hint="default"/>
                <w:sz w:val="21"/>
                <w:szCs w:val="21"/>
              </w:rPr>
            </w:pPr>
            <w:r>
              <w:rPr>
                <w:rFonts w:ascii="宋体"/>
                <w:sz w:val="21"/>
              </w:rPr>
              <w:t>5,721,459.75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9"/>
              <w:jc w:val="right"/>
              <w:rPr>
                <w:rFonts w:ascii="宋体" w:hAnsi="宋体" w:cs="宋体" w:eastAsia="宋体" w:hint="default"/>
                <w:sz w:val="21"/>
                <w:szCs w:val="21"/>
              </w:rPr>
            </w:pPr>
            <w:r>
              <w:rPr>
                <w:rFonts w:ascii="宋体"/>
                <w:sz w:val="21"/>
              </w:rPr>
              <w:t>3,147,965.14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研发费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0"/>
              <w:jc w:val="right"/>
              <w:rPr>
                <w:rFonts w:ascii="宋体" w:hAnsi="宋体" w:cs="宋体" w:eastAsia="宋体" w:hint="default"/>
                <w:sz w:val="21"/>
                <w:szCs w:val="21"/>
              </w:rPr>
            </w:pPr>
            <w:r>
              <w:rPr>
                <w:rFonts w:ascii="宋体"/>
                <w:sz w:val="21"/>
              </w:rPr>
              <w:t>59,787,351.00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0"/>
              <w:jc w:val="right"/>
              <w:rPr>
                <w:rFonts w:ascii="宋体" w:hAnsi="宋体" w:cs="宋体" w:eastAsia="宋体" w:hint="default"/>
                <w:sz w:val="21"/>
                <w:szCs w:val="21"/>
              </w:rPr>
            </w:pPr>
            <w:r>
              <w:rPr>
                <w:rFonts w:ascii="宋体"/>
                <w:sz w:val="21"/>
              </w:rPr>
              <w:t>52,655,150.78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折旧及摊销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9"/>
              <w:jc w:val="right"/>
              <w:rPr>
                <w:rFonts w:ascii="宋体" w:hAnsi="宋体" w:cs="宋体" w:eastAsia="宋体" w:hint="default"/>
                <w:sz w:val="21"/>
                <w:szCs w:val="21"/>
              </w:rPr>
            </w:pPr>
            <w:r>
              <w:rPr>
                <w:rFonts w:ascii="宋体"/>
                <w:sz w:val="21"/>
              </w:rPr>
              <w:t>4,985,164.85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9"/>
              <w:jc w:val="right"/>
              <w:rPr>
                <w:rFonts w:ascii="宋体" w:hAnsi="宋体" w:cs="宋体" w:eastAsia="宋体" w:hint="default"/>
                <w:sz w:val="21"/>
                <w:szCs w:val="21"/>
              </w:rPr>
            </w:pPr>
            <w:r>
              <w:rPr>
                <w:rFonts w:ascii="宋体"/>
                <w:sz w:val="21"/>
              </w:rPr>
              <w:t>6,303,245.12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9"/>
              <w:jc w:val="right"/>
              <w:rPr>
                <w:rFonts w:ascii="宋体" w:hAnsi="宋体" w:cs="宋体" w:eastAsia="宋体" w:hint="default"/>
                <w:sz w:val="21"/>
                <w:szCs w:val="21"/>
              </w:rPr>
            </w:pPr>
            <w:r>
              <w:rPr>
                <w:rFonts w:ascii="宋体"/>
                <w:sz w:val="21"/>
              </w:rPr>
              <w:t>1,336,529.62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9"/>
              <w:jc w:val="right"/>
              <w:rPr>
                <w:rFonts w:ascii="宋体" w:hAnsi="宋体" w:cs="宋体" w:eastAsia="宋体" w:hint="default"/>
                <w:sz w:val="21"/>
                <w:szCs w:val="21"/>
              </w:rPr>
            </w:pPr>
            <w:r>
              <w:rPr>
                <w:rFonts w:ascii="宋体"/>
                <w:sz w:val="21"/>
              </w:rPr>
              <w:t>1,835,522.02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9"/>
              <w:jc w:val="right"/>
              <w:rPr>
                <w:rFonts w:ascii="宋体" w:hAnsi="宋体" w:cs="宋体" w:eastAsia="宋体" w:hint="default"/>
                <w:sz w:val="21"/>
                <w:szCs w:val="21"/>
              </w:rPr>
            </w:pPr>
            <w:r>
              <w:rPr>
                <w:rFonts w:ascii="宋体"/>
                <w:sz w:val="21"/>
              </w:rPr>
              <w:t>1,480,705.68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9"/>
              <w:jc w:val="right"/>
              <w:rPr>
                <w:rFonts w:ascii="宋体" w:hAnsi="宋体" w:cs="宋体" w:eastAsia="宋体" w:hint="default"/>
                <w:sz w:val="21"/>
                <w:szCs w:val="21"/>
              </w:rPr>
            </w:pPr>
            <w:r>
              <w:rPr>
                <w:rFonts w:ascii="宋体"/>
                <w:sz w:val="21"/>
              </w:rPr>
              <w:t>2,207,561.55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税金</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0"/>
              <w:jc w:val="right"/>
              <w:rPr>
                <w:rFonts w:ascii="宋体" w:hAnsi="宋体" w:cs="宋体" w:eastAsia="宋体" w:hint="default"/>
                <w:sz w:val="21"/>
                <w:szCs w:val="21"/>
              </w:rPr>
            </w:pPr>
            <w:r>
              <w:rPr>
                <w:rFonts w:ascii="宋体"/>
                <w:sz w:val="21"/>
              </w:rPr>
              <w:t>901,018.44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咨询费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0"/>
              <w:jc w:val="right"/>
              <w:rPr>
                <w:rFonts w:ascii="宋体" w:hAnsi="宋体" w:cs="宋体" w:eastAsia="宋体" w:hint="default"/>
                <w:sz w:val="21"/>
                <w:szCs w:val="21"/>
              </w:rPr>
            </w:pPr>
            <w:r>
              <w:rPr>
                <w:rFonts w:ascii="宋体"/>
                <w:sz w:val="21"/>
              </w:rPr>
              <w:t>13,371,955.51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9"/>
              <w:jc w:val="right"/>
              <w:rPr>
                <w:rFonts w:ascii="宋体" w:hAnsi="宋体" w:cs="宋体" w:eastAsia="宋体" w:hint="default"/>
                <w:sz w:val="21"/>
                <w:szCs w:val="21"/>
              </w:rPr>
            </w:pPr>
            <w:r>
              <w:rPr>
                <w:rFonts w:ascii="宋体"/>
                <w:sz w:val="21"/>
              </w:rPr>
              <w:t>4,216,161.09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9"/>
              <w:jc w:val="right"/>
              <w:rPr>
                <w:rFonts w:ascii="宋体" w:hAnsi="宋体" w:cs="宋体" w:eastAsia="宋体" w:hint="default"/>
                <w:sz w:val="21"/>
                <w:szCs w:val="21"/>
              </w:rPr>
            </w:pPr>
            <w:r>
              <w:rPr>
                <w:rFonts w:ascii="宋体"/>
                <w:sz w:val="21"/>
              </w:rPr>
              <w:t>5,973,697.15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9"/>
              <w:jc w:val="right"/>
              <w:rPr>
                <w:rFonts w:ascii="宋体" w:hAnsi="宋体" w:cs="宋体" w:eastAsia="宋体" w:hint="default"/>
                <w:sz w:val="21"/>
                <w:szCs w:val="21"/>
              </w:rPr>
            </w:pPr>
            <w:r>
              <w:rPr>
                <w:rFonts w:ascii="宋体"/>
                <w:sz w:val="21"/>
              </w:rPr>
              <w:t>6,350,629.81</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9"/>
              <w:jc w:val="right"/>
              <w:rPr>
                <w:rFonts w:ascii="宋体" w:hAnsi="宋体" w:cs="宋体" w:eastAsia="宋体" w:hint="default"/>
                <w:sz w:val="21"/>
                <w:szCs w:val="21"/>
              </w:rPr>
            </w:pPr>
            <w:r>
              <w:rPr>
                <w:rFonts w:ascii="宋体"/>
                <w:sz w:val="21"/>
              </w:rPr>
              <w:t>108,189,529.40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0"/>
              <w:jc w:val="right"/>
              <w:rPr>
                <w:rFonts w:ascii="宋体" w:hAnsi="宋体" w:cs="宋体" w:eastAsia="宋体" w:hint="default"/>
                <w:sz w:val="21"/>
                <w:szCs w:val="21"/>
              </w:rPr>
            </w:pPr>
            <w:r>
              <w:rPr>
                <w:rFonts w:ascii="宋体"/>
                <w:sz w:val="21"/>
              </w:rPr>
              <w:t>94,807,818.81</w:t>
            </w:r>
          </w:p>
        </w:tc>
      </w:tr>
    </w:tbl>
    <w:p>
      <w:pPr>
        <w:spacing w:line="240" w:lineRule="auto" w:before="10"/>
        <w:rPr>
          <w:rFonts w:ascii="宋体" w:hAnsi="宋体" w:cs="宋体" w:eastAsia="宋体" w:hint="default"/>
          <w:sz w:val="4"/>
          <w:szCs w:val="4"/>
        </w:rPr>
      </w:pPr>
    </w:p>
    <w:p>
      <w:pPr>
        <w:spacing w:line="350" w:lineRule="auto" w:before="26"/>
        <w:ind w:left="636" w:right="8823" w:hanging="3"/>
        <w:jc w:val="left"/>
        <w:rPr>
          <w:rFonts w:ascii="宋体" w:hAnsi="宋体" w:cs="宋体" w:eastAsia="宋体" w:hint="default"/>
          <w:sz w:val="24"/>
          <w:szCs w:val="24"/>
        </w:rPr>
      </w:pPr>
      <w:r>
        <w:rPr>
          <w:rFonts w:ascii="宋体" w:hAnsi="宋体" w:cs="宋体" w:eastAsia="宋体" w:hint="default"/>
          <w:sz w:val="24"/>
          <w:szCs w:val="24"/>
        </w:rPr>
        <w:t>其他说明：无 </w:t>
      </w:r>
      <w:bookmarkStart w:name="65、财务费用" w:id="392"/>
      <w:bookmarkEnd w:id="392"/>
      <w:r>
        <w:rPr>
          <w:rFonts w:ascii="宋体" w:hAnsi="宋体" w:cs="宋体" w:eastAsia="宋体" w:hint="default"/>
          <w:sz w:val="24"/>
          <w:szCs w:val="24"/>
        </w:rPr>
      </w:r>
      <w:r>
        <w:rPr>
          <w:rFonts w:ascii="宋体" w:hAnsi="宋体" w:cs="宋体" w:eastAsia="宋体" w:hint="default"/>
          <w:b/>
          <w:bCs/>
          <w:sz w:val="24"/>
          <w:szCs w:val="24"/>
        </w:rPr>
        <w:t>65</w:t>
      </w:r>
      <w:r>
        <w:rPr>
          <w:rFonts w:ascii="宋体" w:hAnsi="宋体" w:cs="宋体" w:eastAsia="宋体" w:hint="default"/>
          <w:b/>
          <w:bCs/>
          <w:sz w:val="24"/>
          <w:szCs w:val="24"/>
        </w:rPr>
        <w:t>、财务费用</w:t>
      </w:r>
      <w:r>
        <w:rPr>
          <w:rFonts w:ascii="宋体" w:hAnsi="宋体" w:cs="宋体" w:eastAsia="宋体" w:hint="default"/>
          <w:sz w:val="24"/>
          <w:szCs w:val="24"/>
        </w:rPr>
      </w:r>
    </w:p>
    <w:p>
      <w:pPr>
        <w:spacing w:before="89"/>
        <w:ind w:left="0" w:right="1129" w:firstLine="0"/>
        <w:jc w:val="right"/>
        <w:rPr>
          <w:rFonts w:ascii="宋体" w:hAnsi="宋体" w:cs="宋体" w:eastAsia="宋体" w:hint="default"/>
          <w:sz w:val="21"/>
          <w:szCs w:val="21"/>
        </w:rPr>
      </w:pPr>
      <w:r>
        <w:rPr>
          <w:rFonts w:ascii="宋体" w:hAnsi="宋体" w:cs="宋体" w:eastAsia="宋体" w:hint="default"/>
          <w:sz w:val="21"/>
          <w:szCs w:val="21"/>
        </w:rPr>
        <w:t>单位： 元</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利息支出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793" w:right="0"/>
              <w:jc w:val="left"/>
              <w:rPr>
                <w:rFonts w:ascii="宋体" w:hAnsi="宋体" w:cs="宋体" w:eastAsia="宋体" w:hint="default"/>
                <w:sz w:val="21"/>
                <w:szCs w:val="21"/>
              </w:rPr>
            </w:pPr>
            <w:r>
              <w:rPr>
                <w:rFonts w:ascii="宋体"/>
                <w:sz w:val="21"/>
              </w:rPr>
              <w:t>15,278,451.73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898" w:right="0"/>
              <w:jc w:val="left"/>
              <w:rPr>
                <w:rFonts w:ascii="宋体" w:hAnsi="宋体" w:cs="宋体" w:eastAsia="宋体" w:hint="default"/>
                <w:sz w:val="21"/>
                <w:szCs w:val="21"/>
              </w:rPr>
            </w:pPr>
            <w:r>
              <w:rPr>
                <w:rFonts w:ascii="宋体"/>
                <w:sz w:val="21"/>
              </w:rPr>
              <w:t>7,079,870.70</w:t>
            </w:r>
          </w:p>
        </w:tc>
      </w:tr>
    </w:tbl>
    <w:p>
      <w:pPr>
        <w:spacing w:after="0" w:line="240" w:lineRule="auto"/>
        <w:jc w:val="left"/>
        <w:rPr>
          <w:rFonts w:ascii="宋体" w:hAnsi="宋体" w:cs="宋体" w:eastAsia="宋体" w:hint="default"/>
          <w:sz w:val="21"/>
          <w:szCs w:val="21"/>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手续费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362,584.53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589,153.50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15,641,036.26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9"/>
              <w:jc w:val="right"/>
              <w:rPr>
                <w:rFonts w:ascii="宋体" w:hAnsi="宋体" w:cs="宋体" w:eastAsia="宋体" w:hint="default"/>
                <w:sz w:val="21"/>
                <w:szCs w:val="21"/>
              </w:rPr>
            </w:pPr>
            <w:r>
              <w:rPr>
                <w:rFonts w:ascii="宋体"/>
                <w:sz w:val="21"/>
              </w:rPr>
              <w:t>7,669,024.20</w:t>
            </w:r>
          </w:p>
        </w:tc>
      </w:tr>
    </w:tbl>
    <w:p>
      <w:pPr>
        <w:spacing w:line="240" w:lineRule="auto" w:before="10"/>
        <w:rPr>
          <w:rFonts w:ascii="宋体" w:hAnsi="宋体" w:cs="宋体" w:eastAsia="宋体" w:hint="default"/>
          <w:sz w:val="4"/>
          <w:szCs w:val="4"/>
        </w:rPr>
      </w:pPr>
    </w:p>
    <w:p>
      <w:pPr>
        <w:pStyle w:val="BodyText"/>
        <w:spacing w:line="240" w:lineRule="auto" w:before="26"/>
        <w:ind w:left="634" w:right="996"/>
        <w:jc w:val="left"/>
      </w:pPr>
      <w:r>
        <w:rPr/>
        <w:t>其他说明：</w:t>
      </w:r>
    </w:p>
    <w:p>
      <w:pPr>
        <w:pStyle w:val="BodyText"/>
        <w:spacing w:line="350" w:lineRule="auto" w:before="147"/>
        <w:ind w:left="154" w:right="1113" w:firstLine="480"/>
        <w:jc w:val="left"/>
      </w:pPr>
      <w:bookmarkStart w:name="财务费用本期发生额较上年发生额增加7,972,012.06元，增加比例为103." w:id="393"/>
      <w:bookmarkEnd w:id="393"/>
      <w:r>
        <w:rPr/>
      </w:r>
      <w:r>
        <w:rPr/>
        <w:t>财务费用本期发生额较上年发生额增加</w:t>
      </w:r>
      <w:r>
        <w:rPr>
          <w:spacing w:val="-67"/>
        </w:rPr>
        <w:t> </w:t>
      </w:r>
      <w:r>
        <w:rPr>
          <w:rFonts w:ascii="宋体" w:hAnsi="宋体" w:cs="宋体" w:eastAsia="宋体" w:hint="default"/>
        </w:rPr>
        <w:t>7,972,012.06</w:t>
      </w:r>
      <w:r>
        <w:rPr>
          <w:rFonts w:ascii="宋体" w:hAnsi="宋体" w:cs="宋体" w:eastAsia="宋体" w:hint="default"/>
          <w:spacing w:val="-67"/>
        </w:rPr>
        <w:t> </w:t>
      </w:r>
      <w:r>
        <w:rPr/>
        <w:t>元，增加比例为</w:t>
      </w:r>
      <w:r>
        <w:rPr>
          <w:spacing w:val="-67"/>
        </w:rPr>
        <w:t> </w:t>
      </w:r>
      <w:r>
        <w:rPr>
          <w:rFonts w:ascii="宋体" w:hAnsi="宋体" w:cs="宋体" w:eastAsia="宋体" w:hint="default"/>
        </w:rPr>
        <w:t>103.95%</w:t>
      </w:r>
      <w:r>
        <w:rPr/>
        <w:t>，主要系 公司报告期内定期存款到期较上年减少，致利息收入减少所致。</w:t>
      </w:r>
    </w:p>
    <w:p>
      <w:pPr>
        <w:pStyle w:val="Heading2"/>
        <w:spacing w:line="240" w:lineRule="auto" w:before="191"/>
        <w:ind w:right="996"/>
        <w:jc w:val="left"/>
        <w:rPr>
          <w:b w:val="0"/>
          <w:bCs w:val="0"/>
        </w:rPr>
      </w:pPr>
      <w:bookmarkStart w:name="66、资产减值损失" w:id="394"/>
      <w:bookmarkEnd w:id="394"/>
      <w:r>
        <w:rPr>
          <w:b w:val="0"/>
          <w:bCs w:val="0"/>
        </w:rPr>
      </w:r>
      <w:r>
        <w:rPr>
          <w:rFonts w:ascii="宋体" w:hAnsi="宋体" w:cs="宋体" w:eastAsia="宋体" w:hint="default"/>
        </w:rPr>
        <w:t>66</w:t>
      </w:r>
      <w:r>
        <w:rPr/>
        <w:t>、资产减值损失</w:t>
      </w:r>
      <w:r>
        <w:rPr>
          <w:b w:val="0"/>
          <w:bCs w:val="0"/>
        </w:rPr>
      </w:r>
    </w:p>
    <w:p>
      <w:pPr>
        <w:spacing w:before="201"/>
        <w:ind w:left="0" w:right="1129" w:firstLine="0"/>
        <w:jc w:val="right"/>
        <w:rPr>
          <w:rFonts w:ascii="宋体" w:hAnsi="宋体" w:cs="宋体" w:eastAsia="宋体" w:hint="default"/>
          <w:sz w:val="21"/>
          <w:szCs w:val="21"/>
        </w:rPr>
      </w:pPr>
      <w:r>
        <w:rPr>
          <w:rFonts w:ascii="宋体" w:hAnsi="宋体" w:cs="宋体" w:eastAsia="宋体" w:hint="default"/>
          <w:sz w:val="21"/>
          <w:szCs w:val="21"/>
        </w:rPr>
        <w:t>单位： 元</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0"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一、坏账损失</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12,620,080.06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9"/>
              <w:jc w:val="right"/>
              <w:rPr>
                <w:rFonts w:ascii="宋体" w:hAnsi="宋体" w:cs="宋体" w:eastAsia="宋体" w:hint="default"/>
                <w:sz w:val="21"/>
                <w:szCs w:val="21"/>
              </w:rPr>
            </w:pPr>
            <w:r>
              <w:rPr>
                <w:rFonts w:ascii="宋体"/>
                <w:sz w:val="21"/>
              </w:rPr>
              <w:t>6,193,251.50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三、可供出售金融资产减值损失</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114,634,100.00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五、长期股权投资减值损失</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70,369,711.34</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十三、商誉减值损失</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37,619,858.22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21,669,827.46</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235,243,749.62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27,863,078.96</w:t>
            </w:r>
          </w:p>
        </w:tc>
      </w:tr>
    </w:tbl>
    <w:p>
      <w:pPr>
        <w:spacing w:line="240" w:lineRule="auto" w:before="10"/>
        <w:rPr>
          <w:rFonts w:ascii="宋体" w:hAnsi="宋体" w:cs="宋体" w:eastAsia="宋体" w:hint="default"/>
          <w:sz w:val="4"/>
          <w:szCs w:val="4"/>
        </w:rPr>
      </w:pPr>
    </w:p>
    <w:p>
      <w:pPr>
        <w:spacing w:line="352" w:lineRule="auto" w:before="26"/>
        <w:ind w:left="633" w:right="7863" w:firstLine="0"/>
        <w:jc w:val="left"/>
        <w:rPr>
          <w:rFonts w:ascii="宋体" w:hAnsi="宋体" w:cs="宋体" w:eastAsia="宋体" w:hint="default"/>
          <w:sz w:val="24"/>
          <w:szCs w:val="24"/>
        </w:rPr>
      </w:pPr>
      <w:r>
        <w:rPr>
          <w:rFonts w:ascii="宋体" w:hAnsi="宋体" w:cs="宋体" w:eastAsia="宋体" w:hint="default"/>
          <w:sz w:val="24"/>
          <w:szCs w:val="24"/>
        </w:rPr>
        <w:t>其他说明：无 </w:t>
      </w:r>
      <w:bookmarkStart w:name="67、公允价值变动收益" w:id="395"/>
      <w:bookmarkEnd w:id="395"/>
      <w:r>
        <w:rPr>
          <w:rFonts w:ascii="宋体" w:hAnsi="宋体" w:cs="宋体" w:eastAsia="宋体" w:hint="default"/>
          <w:sz w:val="24"/>
          <w:szCs w:val="24"/>
        </w:rPr>
      </w:r>
      <w:r>
        <w:rPr>
          <w:rFonts w:ascii="宋体" w:hAnsi="宋体" w:cs="宋体" w:eastAsia="宋体" w:hint="default"/>
          <w:b/>
          <w:bCs/>
          <w:sz w:val="24"/>
          <w:szCs w:val="24"/>
        </w:rPr>
        <w:t>67</w:t>
      </w:r>
      <w:r>
        <w:rPr>
          <w:rFonts w:ascii="宋体" w:hAnsi="宋体" w:cs="宋体" w:eastAsia="宋体" w:hint="default"/>
          <w:b/>
          <w:bCs/>
          <w:sz w:val="24"/>
          <w:szCs w:val="24"/>
        </w:rPr>
        <w:t>、公允价值变动收益</w:t>
      </w:r>
      <w:r>
        <w:rPr>
          <w:rFonts w:ascii="宋体" w:hAnsi="宋体" w:cs="宋体" w:eastAsia="宋体" w:hint="default"/>
          <w:sz w:val="24"/>
          <w:szCs w:val="24"/>
        </w:rPr>
      </w:r>
    </w:p>
    <w:p>
      <w:pPr>
        <w:spacing w:line="352" w:lineRule="auto" w:before="189"/>
        <w:ind w:left="633" w:right="8826" w:firstLine="0"/>
        <w:jc w:val="left"/>
        <w:rPr>
          <w:rFonts w:ascii="宋体" w:hAnsi="宋体" w:cs="宋体" w:eastAsia="宋体" w:hint="default"/>
          <w:sz w:val="24"/>
          <w:szCs w:val="24"/>
        </w:rPr>
      </w:pPr>
      <w:r>
        <w:rPr>
          <w:rFonts w:ascii="宋体" w:hAnsi="宋体" w:cs="宋体" w:eastAsia="宋体" w:hint="default"/>
          <w:sz w:val="24"/>
          <w:szCs w:val="24"/>
        </w:rPr>
        <w:t>无 其他说明：无 </w:t>
      </w:r>
      <w:bookmarkStart w:name="68、投资收益" w:id="396"/>
      <w:bookmarkEnd w:id="396"/>
      <w:r>
        <w:rPr>
          <w:rFonts w:ascii="宋体" w:hAnsi="宋体" w:cs="宋体" w:eastAsia="宋体" w:hint="default"/>
          <w:sz w:val="24"/>
          <w:szCs w:val="24"/>
        </w:rPr>
      </w:r>
      <w:r>
        <w:rPr>
          <w:rFonts w:ascii="宋体" w:hAnsi="宋体" w:cs="宋体" w:eastAsia="宋体" w:hint="default"/>
          <w:b/>
          <w:bCs/>
          <w:sz w:val="24"/>
          <w:szCs w:val="24"/>
        </w:rPr>
        <w:t>68</w:t>
      </w:r>
      <w:r>
        <w:rPr>
          <w:rFonts w:ascii="宋体" w:hAnsi="宋体" w:cs="宋体" w:eastAsia="宋体" w:hint="default"/>
          <w:b/>
          <w:bCs/>
          <w:sz w:val="24"/>
          <w:szCs w:val="24"/>
        </w:rPr>
        <w:t>、投资收益</w:t>
      </w:r>
      <w:r>
        <w:rPr>
          <w:rFonts w:ascii="宋体" w:hAnsi="宋体" w:cs="宋体" w:eastAsia="宋体" w:hint="default"/>
          <w:sz w:val="24"/>
          <w:szCs w:val="24"/>
        </w:rPr>
      </w:r>
    </w:p>
    <w:p>
      <w:pPr>
        <w:spacing w:before="87"/>
        <w:ind w:left="0" w:right="1129" w:firstLine="0"/>
        <w:jc w:val="right"/>
        <w:rPr>
          <w:rFonts w:ascii="宋体" w:hAnsi="宋体" w:cs="宋体" w:eastAsia="宋体" w:hint="default"/>
          <w:sz w:val="21"/>
          <w:szCs w:val="21"/>
        </w:rPr>
      </w:pPr>
      <w:r>
        <w:rPr>
          <w:rFonts w:ascii="宋体" w:hAnsi="宋体" w:cs="宋体" w:eastAsia="宋体" w:hint="default"/>
          <w:sz w:val="21"/>
          <w:szCs w:val="21"/>
        </w:rPr>
        <w:t>单位： 元</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3460"/>
        <w:gridCol w:w="3191"/>
        <w:gridCol w:w="2918"/>
      </w:tblGrid>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2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929"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权益法核算的长期股权投资收益</w:t>
            </w:r>
          </w:p>
        </w:tc>
        <w:tc>
          <w:tcPr>
            <w:tcW w:w="319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7"/>
              <w:ind w:right="20"/>
              <w:jc w:val="right"/>
              <w:rPr>
                <w:rFonts w:ascii="宋体" w:hAnsi="宋体" w:cs="宋体" w:eastAsia="宋体" w:hint="default"/>
                <w:sz w:val="21"/>
                <w:szCs w:val="21"/>
              </w:rPr>
            </w:pPr>
            <w:r>
              <w:rPr>
                <w:rFonts w:ascii="宋体"/>
                <w:spacing w:val="-1"/>
                <w:sz w:val="21"/>
              </w:rPr>
              <w:t>-14,910,780.43</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0"/>
              <w:jc w:val="right"/>
              <w:rPr>
                <w:rFonts w:ascii="宋体" w:hAnsi="宋体" w:cs="宋体" w:eastAsia="宋体" w:hint="default"/>
                <w:sz w:val="21"/>
                <w:szCs w:val="21"/>
              </w:rPr>
            </w:pPr>
            <w:r>
              <w:rPr>
                <w:rFonts w:ascii="宋体"/>
                <w:spacing w:val="-1"/>
                <w:sz w:val="21"/>
              </w:rPr>
              <w:t>-14,175,147.38</w:t>
            </w: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理财产品收益</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0"/>
              <w:jc w:val="right"/>
              <w:rPr>
                <w:rFonts w:ascii="宋体" w:hAnsi="宋体" w:cs="宋体" w:eastAsia="宋体" w:hint="default"/>
                <w:sz w:val="21"/>
                <w:szCs w:val="21"/>
              </w:rPr>
            </w:pPr>
            <w:r>
              <w:rPr>
                <w:rFonts w:ascii="宋体"/>
                <w:sz w:val="21"/>
              </w:rPr>
              <w:t>195,569.93</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0"/>
              <w:jc w:val="right"/>
              <w:rPr>
                <w:rFonts w:ascii="宋体" w:hAnsi="宋体" w:cs="宋体" w:eastAsia="宋体" w:hint="default"/>
                <w:sz w:val="21"/>
                <w:szCs w:val="21"/>
              </w:rPr>
            </w:pPr>
            <w:r>
              <w:rPr>
                <w:rFonts w:ascii="宋体"/>
                <w:sz w:val="21"/>
              </w:rPr>
              <w:t>8,712.28</w:t>
            </w:r>
          </w:p>
        </w:tc>
      </w:tr>
      <w:tr>
        <w:trPr>
          <w:trHeight w:val="403"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0"/>
              <w:jc w:val="right"/>
              <w:rPr>
                <w:rFonts w:ascii="宋体" w:hAnsi="宋体" w:cs="宋体" w:eastAsia="宋体" w:hint="default"/>
                <w:sz w:val="21"/>
                <w:szCs w:val="21"/>
              </w:rPr>
            </w:pPr>
            <w:r>
              <w:rPr>
                <w:rFonts w:ascii="宋体"/>
                <w:spacing w:val="-1"/>
                <w:sz w:val="21"/>
              </w:rPr>
              <w:t>-14,715,210.50</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0"/>
              <w:jc w:val="right"/>
              <w:rPr>
                <w:rFonts w:ascii="宋体" w:hAnsi="宋体" w:cs="宋体" w:eastAsia="宋体" w:hint="default"/>
                <w:sz w:val="21"/>
                <w:szCs w:val="21"/>
              </w:rPr>
            </w:pPr>
            <w:r>
              <w:rPr>
                <w:rFonts w:ascii="宋体"/>
                <w:spacing w:val="-1"/>
                <w:sz w:val="21"/>
              </w:rPr>
              <w:t>-14,166,435.10</w:t>
            </w:r>
          </w:p>
        </w:tc>
      </w:tr>
    </w:tbl>
    <w:p>
      <w:pPr>
        <w:spacing w:line="240" w:lineRule="auto" w:before="10"/>
        <w:rPr>
          <w:rFonts w:ascii="宋体" w:hAnsi="宋体" w:cs="宋体" w:eastAsia="宋体" w:hint="default"/>
          <w:sz w:val="4"/>
          <w:szCs w:val="4"/>
        </w:rPr>
      </w:pPr>
    </w:p>
    <w:p>
      <w:pPr>
        <w:spacing w:line="350" w:lineRule="auto" w:before="26"/>
        <w:ind w:left="636" w:right="8341" w:hanging="3"/>
        <w:jc w:val="left"/>
        <w:rPr>
          <w:rFonts w:ascii="宋体" w:hAnsi="宋体" w:cs="宋体" w:eastAsia="宋体" w:hint="default"/>
          <w:sz w:val="24"/>
          <w:szCs w:val="24"/>
        </w:rPr>
      </w:pPr>
      <w:r>
        <w:rPr>
          <w:rFonts w:ascii="宋体" w:hAnsi="宋体" w:cs="宋体" w:eastAsia="宋体" w:hint="default"/>
          <w:sz w:val="24"/>
          <w:szCs w:val="24"/>
        </w:rPr>
        <w:t>其他说明：无 </w:t>
      </w:r>
      <w:bookmarkStart w:name="69、资产处置收益" w:id="397"/>
      <w:bookmarkEnd w:id="397"/>
      <w:r>
        <w:rPr>
          <w:rFonts w:ascii="宋体" w:hAnsi="宋体" w:cs="宋体" w:eastAsia="宋体" w:hint="default"/>
          <w:sz w:val="24"/>
          <w:szCs w:val="24"/>
        </w:rPr>
      </w:r>
      <w:r>
        <w:rPr>
          <w:rFonts w:ascii="宋体" w:hAnsi="宋体" w:cs="宋体" w:eastAsia="宋体" w:hint="default"/>
          <w:b/>
          <w:bCs/>
          <w:sz w:val="24"/>
          <w:szCs w:val="24"/>
        </w:rPr>
        <w:t>69</w:t>
      </w:r>
      <w:r>
        <w:rPr>
          <w:rFonts w:ascii="宋体" w:hAnsi="宋体" w:cs="宋体" w:eastAsia="宋体" w:hint="default"/>
          <w:b/>
          <w:bCs/>
          <w:sz w:val="24"/>
          <w:szCs w:val="24"/>
        </w:rPr>
        <w:t>、资产处置收益</w:t>
      </w:r>
      <w:r>
        <w:rPr>
          <w:rFonts w:ascii="宋体" w:hAnsi="宋体" w:cs="宋体" w:eastAsia="宋体" w:hint="default"/>
          <w:sz w:val="24"/>
          <w:szCs w:val="24"/>
        </w:rPr>
      </w:r>
    </w:p>
    <w:p>
      <w:pPr>
        <w:spacing w:before="89"/>
        <w:ind w:left="0" w:right="1129" w:firstLine="0"/>
        <w:jc w:val="right"/>
        <w:rPr>
          <w:rFonts w:ascii="宋体" w:hAnsi="宋体" w:cs="宋体" w:eastAsia="宋体" w:hint="default"/>
          <w:sz w:val="21"/>
          <w:szCs w:val="21"/>
        </w:rPr>
      </w:pPr>
      <w:r>
        <w:rPr>
          <w:rFonts w:ascii="宋体" w:hAnsi="宋体" w:cs="宋体" w:eastAsia="宋体" w:hint="default"/>
          <w:sz w:val="21"/>
          <w:szCs w:val="21"/>
        </w:rPr>
        <w:t>单位： 元</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644" w:right="0"/>
              <w:jc w:val="left"/>
              <w:rPr>
                <w:rFonts w:ascii="宋体" w:hAnsi="宋体" w:cs="宋体" w:eastAsia="宋体" w:hint="default"/>
                <w:sz w:val="21"/>
                <w:szCs w:val="21"/>
              </w:rPr>
            </w:pPr>
            <w:r>
              <w:rPr>
                <w:rFonts w:ascii="宋体" w:hAnsi="宋体" w:cs="宋体" w:eastAsia="宋体" w:hint="default"/>
                <w:sz w:val="21"/>
                <w:szCs w:val="21"/>
              </w:rPr>
              <w:t>资产处置收益的来源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固定资产处置利得或损失</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75,639.04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75,639.04</w:t>
            </w:r>
          </w:p>
        </w:tc>
      </w:tr>
    </w:tbl>
    <w:p>
      <w:pPr>
        <w:spacing w:line="240" w:lineRule="auto" w:before="10"/>
        <w:rPr>
          <w:rFonts w:ascii="宋体" w:hAnsi="宋体" w:cs="宋体" w:eastAsia="宋体" w:hint="default"/>
          <w:sz w:val="4"/>
          <w:szCs w:val="4"/>
        </w:rPr>
      </w:pPr>
    </w:p>
    <w:p>
      <w:pPr>
        <w:pStyle w:val="Heading2"/>
        <w:spacing w:line="240" w:lineRule="auto"/>
        <w:ind w:right="996"/>
        <w:jc w:val="left"/>
        <w:rPr>
          <w:b w:val="0"/>
          <w:bCs w:val="0"/>
        </w:rPr>
      </w:pPr>
      <w:bookmarkStart w:name="70、其他收益" w:id="398"/>
      <w:bookmarkEnd w:id="398"/>
      <w:r>
        <w:rPr>
          <w:b w:val="0"/>
          <w:bCs w:val="0"/>
        </w:rPr>
      </w:r>
      <w:r>
        <w:rPr>
          <w:rFonts w:ascii="宋体" w:hAnsi="宋体" w:cs="宋体" w:eastAsia="宋体" w:hint="default"/>
        </w:rPr>
        <w:t>70</w:t>
      </w:r>
      <w:r>
        <w:rPr/>
        <w:t>、其他收益</w:t>
      </w:r>
      <w:r>
        <w:rPr>
          <w:b w:val="0"/>
          <w:bCs w:val="0"/>
        </w:rPr>
      </w:r>
    </w:p>
    <w:p>
      <w:pPr>
        <w:spacing w:line="240" w:lineRule="auto" w:before="8"/>
        <w:rPr>
          <w:rFonts w:ascii="宋体" w:hAnsi="宋体" w:cs="宋体" w:eastAsia="宋体" w:hint="default"/>
          <w:b/>
          <w:bCs/>
          <w:sz w:val="12"/>
          <w:szCs w:val="12"/>
        </w:rPr>
      </w:pPr>
    </w:p>
    <w:p>
      <w:pPr>
        <w:spacing w:before="35"/>
        <w:ind w:left="0" w:right="1129" w:firstLine="0"/>
        <w:jc w:val="right"/>
        <w:rPr>
          <w:rFonts w:ascii="宋体" w:hAnsi="宋体" w:cs="宋体" w:eastAsia="宋体" w:hint="default"/>
          <w:sz w:val="21"/>
          <w:szCs w:val="21"/>
        </w:rPr>
      </w:pPr>
      <w:r>
        <w:rPr>
          <w:rFonts w:ascii="宋体" w:hAnsi="宋体" w:cs="宋体" w:eastAsia="宋体" w:hint="default"/>
          <w:sz w:val="21"/>
          <w:szCs w:val="21"/>
        </w:rPr>
        <w:t>单位： 元</w:t>
      </w:r>
    </w:p>
    <w:p>
      <w:pPr>
        <w:spacing w:after="0"/>
        <w:jc w:val="right"/>
        <w:rPr>
          <w:rFonts w:ascii="宋体" w:hAnsi="宋体" w:cs="宋体" w:eastAsia="宋体" w:hint="default"/>
          <w:sz w:val="21"/>
          <w:szCs w:val="21"/>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644" w:right="0"/>
              <w:jc w:val="left"/>
              <w:rPr>
                <w:rFonts w:ascii="宋体" w:hAnsi="宋体" w:cs="宋体" w:eastAsia="宋体" w:hint="default"/>
                <w:sz w:val="21"/>
                <w:szCs w:val="21"/>
              </w:rPr>
            </w:pPr>
            <w:r>
              <w:rPr>
                <w:rFonts w:ascii="宋体" w:hAnsi="宋体" w:cs="宋体" w:eastAsia="宋体" w:hint="default"/>
                <w:sz w:val="21"/>
                <w:szCs w:val="21"/>
              </w:rPr>
              <w:t>产生其他收益的来源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政府补助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9"/>
              <w:jc w:val="right"/>
              <w:rPr>
                <w:rFonts w:ascii="宋体" w:hAnsi="宋体" w:cs="宋体" w:eastAsia="宋体" w:hint="default"/>
                <w:sz w:val="21"/>
                <w:szCs w:val="21"/>
              </w:rPr>
            </w:pPr>
            <w:r>
              <w:rPr>
                <w:rFonts w:ascii="宋体"/>
                <w:sz w:val="21"/>
              </w:rPr>
              <w:t>1,347,876.18</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递延收益摊销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9"/>
              <w:jc w:val="right"/>
              <w:rPr>
                <w:rFonts w:ascii="宋体" w:hAnsi="宋体" w:cs="宋体" w:eastAsia="宋体" w:hint="default"/>
                <w:sz w:val="21"/>
                <w:szCs w:val="21"/>
              </w:rPr>
            </w:pPr>
            <w:r>
              <w:rPr>
                <w:rFonts w:ascii="宋体"/>
                <w:sz w:val="21"/>
              </w:rPr>
              <w:t>2,700,000.00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增值税超税负返还收入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24,513,275.80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28,561,151.98</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0"/>
        <w:rPr>
          <w:rFonts w:ascii="宋体" w:hAnsi="宋体" w:cs="宋体" w:eastAsia="宋体" w:hint="default"/>
          <w:sz w:val="4"/>
          <w:szCs w:val="4"/>
        </w:rPr>
      </w:pPr>
    </w:p>
    <w:p>
      <w:pPr>
        <w:pStyle w:val="Heading2"/>
        <w:spacing w:line="240" w:lineRule="auto"/>
        <w:ind w:right="996"/>
        <w:jc w:val="left"/>
        <w:rPr>
          <w:b w:val="0"/>
          <w:bCs w:val="0"/>
        </w:rPr>
      </w:pPr>
      <w:bookmarkStart w:name="71、营业外收入" w:id="399"/>
      <w:bookmarkEnd w:id="399"/>
      <w:r>
        <w:rPr>
          <w:b w:val="0"/>
          <w:bCs w:val="0"/>
        </w:rPr>
      </w:r>
      <w:r>
        <w:rPr>
          <w:rFonts w:ascii="宋体" w:hAnsi="宋体" w:cs="宋体" w:eastAsia="宋体" w:hint="default"/>
        </w:rPr>
        <w:t>71</w:t>
      </w:r>
      <w:r>
        <w:rPr/>
        <w:t>、营业外收入</w:t>
      </w:r>
      <w:r>
        <w:rPr>
          <w:b w:val="0"/>
          <w:bCs w:val="0"/>
        </w:rPr>
      </w:r>
    </w:p>
    <w:p>
      <w:pPr>
        <w:spacing w:line="240" w:lineRule="auto" w:before="9"/>
        <w:rPr>
          <w:rFonts w:ascii="宋体" w:hAnsi="宋体" w:cs="宋体" w:eastAsia="宋体" w:hint="default"/>
          <w:b/>
          <w:bCs/>
          <w:sz w:val="12"/>
          <w:szCs w:val="12"/>
        </w:rPr>
      </w:pPr>
    </w:p>
    <w:p>
      <w:pPr>
        <w:spacing w:before="35"/>
        <w:ind w:left="0" w:right="1129" w:firstLine="0"/>
        <w:jc w:val="right"/>
        <w:rPr>
          <w:rFonts w:ascii="宋体" w:hAnsi="宋体" w:cs="宋体" w:eastAsia="宋体" w:hint="default"/>
          <w:sz w:val="21"/>
          <w:szCs w:val="21"/>
        </w:rPr>
      </w:pPr>
      <w:r>
        <w:rPr>
          <w:rFonts w:ascii="宋体" w:hAnsi="宋体" w:cs="宋体" w:eastAsia="宋体" w:hint="default"/>
          <w:sz w:val="21"/>
          <w:szCs w:val="21"/>
        </w:rPr>
        <w:t>单位： 元</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161" w:hRule="exact"/>
        </w:trPr>
        <w:tc>
          <w:tcPr>
            <w:tcW w:w="2390"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6"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26"/>
              <w:ind w:left="980" w:right="35" w:hanging="945"/>
              <w:jc w:val="left"/>
              <w:rPr>
                <w:rFonts w:ascii="宋体" w:hAnsi="宋体" w:cs="宋体" w:eastAsia="宋体" w:hint="default"/>
                <w:sz w:val="21"/>
                <w:szCs w:val="21"/>
              </w:rPr>
            </w:pPr>
            <w:r>
              <w:rPr>
                <w:rFonts w:ascii="宋体" w:hAnsi="宋体" w:cs="宋体" w:eastAsia="宋体" w:hint="default"/>
                <w:sz w:val="21"/>
                <w:szCs w:val="21"/>
              </w:rPr>
              <w:t>计入当期非经常性损益的 金额</w:t>
            </w:r>
          </w:p>
        </w:tc>
      </w:tr>
      <w:tr>
        <w:trPr>
          <w:trHeight w:val="392" w:hRule="exact"/>
        </w:trPr>
        <w:tc>
          <w:tcPr>
            <w:tcW w:w="23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3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6"/>
              <w:ind w:left="667"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39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6"/>
              <w:ind w:left="665" w:right="0"/>
              <w:jc w:val="left"/>
              <w:rPr>
                <w:rFonts w:ascii="宋体" w:hAnsi="宋体" w:cs="宋体" w:eastAsia="宋体" w:hint="default"/>
                <w:sz w:val="21"/>
                <w:szCs w:val="21"/>
              </w:rPr>
            </w:pPr>
            <w:r>
              <w:rPr>
                <w:rFonts w:ascii="宋体" w:hAnsi="宋体" w:cs="宋体" w:eastAsia="宋体" w:hint="default"/>
                <w:sz w:val="21"/>
                <w:szCs w:val="21"/>
              </w:rPr>
              <w:t>上期发生额</w:t>
            </w:r>
          </w:p>
        </w:tc>
        <w:tc>
          <w:tcPr>
            <w:tcW w:w="2392" w:type="dxa"/>
            <w:vMerge/>
            <w:tcBorders>
              <w:left w:val="single" w:sz="4" w:space="0" w:color="000000"/>
              <w:right w:val="single" w:sz="4" w:space="0" w:color="000000"/>
            </w:tcBorders>
            <w:shd w:val="clear" w:color="auto" w:fill="D2D2D2"/>
          </w:tcPr>
          <w:p>
            <w:pPr/>
          </w:p>
        </w:tc>
      </w:tr>
      <w:tr>
        <w:trPr>
          <w:trHeight w:val="161" w:hRule="exact"/>
        </w:trPr>
        <w:tc>
          <w:tcPr>
            <w:tcW w:w="2390"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政府补助</w:t>
            </w:r>
          </w:p>
        </w:tc>
        <w:tc>
          <w:tcPr>
            <w:tcW w:w="2396" w:type="dxa"/>
            <w:tcBorders>
              <w:top w:val="single" w:sz="4" w:space="0" w:color="000000"/>
              <w:left w:val="single" w:sz="13" w:space="0" w:color="D2D2D2"/>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1,766,150.00</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递延收益摊销</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2,000,000.00</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增值税超税负返还收入</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36,158,054.98</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2"/>
              <w:jc w:val="right"/>
              <w:rPr>
                <w:rFonts w:ascii="宋体" w:hAnsi="宋体" w:cs="宋体" w:eastAsia="宋体" w:hint="default"/>
                <w:sz w:val="21"/>
                <w:szCs w:val="21"/>
              </w:rPr>
            </w:pPr>
            <w:r>
              <w:rPr>
                <w:rFonts w:ascii="宋体"/>
                <w:sz w:val="21"/>
              </w:rPr>
              <w:t>375,270.80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172,146.51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375,270.80</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2"/>
              <w:jc w:val="right"/>
              <w:rPr>
                <w:rFonts w:ascii="宋体" w:hAnsi="宋体" w:cs="宋体" w:eastAsia="宋体" w:hint="default"/>
                <w:sz w:val="21"/>
                <w:szCs w:val="21"/>
              </w:rPr>
            </w:pPr>
            <w:r>
              <w:rPr>
                <w:rFonts w:ascii="宋体"/>
                <w:sz w:val="21"/>
              </w:rPr>
              <w:t>375,270.80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40,096,351.49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9"/>
              <w:jc w:val="right"/>
              <w:rPr>
                <w:rFonts w:ascii="宋体" w:hAnsi="宋体" w:cs="宋体" w:eastAsia="宋体" w:hint="default"/>
                <w:sz w:val="21"/>
                <w:szCs w:val="21"/>
              </w:rPr>
            </w:pPr>
            <w:r>
              <w:rPr>
                <w:rFonts w:ascii="宋体"/>
                <w:sz w:val="21"/>
              </w:rPr>
              <w:t>375,270.80</w:t>
            </w:r>
          </w:p>
        </w:tc>
      </w:tr>
    </w:tbl>
    <w:p>
      <w:pPr>
        <w:spacing w:line="240" w:lineRule="auto" w:before="10"/>
        <w:rPr>
          <w:rFonts w:ascii="宋体" w:hAnsi="宋体" w:cs="宋体" w:eastAsia="宋体" w:hint="default"/>
          <w:sz w:val="4"/>
          <w:szCs w:val="4"/>
        </w:rPr>
      </w:pPr>
    </w:p>
    <w:p>
      <w:pPr>
        <w:spacing w:after="0" w:line="240" w:lineRule="auto"/>
        <w:rPr>
          <w:rFonts w:ascii="宋体" w:hAnsi="宋体" w:cs="宋体" w:eastAsia="宋体" w:hint="default"/>
          <w:sz w:val="4"/>
          <w:szCs w:val="4"/>
        </w:rPr>
        <w:sectPr>
          <w:pgSz w:w="11910" w:h="16840"/>
          <w:pgMar w:header="747" w:footer="979" w:top="1060" w:bottom="1160" w:left="980" w:right="0"/>
        </w:sectPr>
      </w:pPr>
    </w:p>
    <w:p>
      <w:pPr>
        <w:pStyle w:val="BodyText"/>
        <w:spacing w:line="240" w:lineRule="auto" w:before="26"/>
        <w:ind w:left="634" w:right="-20"/>
        <w:jc w:val="left"/>
      </w:pPr>
      <w:r>
        <w:rPr/>
        <w:t>计入当期损益的政府补助：</w:t>
      </w:r>
    </w:p>
    <w:p>
      <w:pPr>
        <w:spacing w:line="240" w:lineRule="auto" w:before="0"/>
        <w:rPr>
          <w:rFonts w:ascii="宋体" w:hAnsi="宋体" w:cs="宋体" w:eastAsia="宋体" w:hint="default"/>
          <w:sz w:val="20"/>
          <w:szCs w:val="20"/>
        </w:rPr>
      </w:pPr>
      <w:r>
        <w:rPr/>
        <w:br w:type="column"/>
      </w:r>
      <w:r>
        <w:rPr>
          <w:rFonts w:ascii="宋体"/>
          <w:sz w:val="20"/>
        </w:rPr>
      </w:r>
    </w:p>
    <w:p>
      <w:pPr>
        <w:spacing w:before="163"/>
        <w:ind w:left="633" w:right="0" w:firstLine="0"/>
        <w:jc w:val="left"/>
        <w:rPr>
          <w:rFonts w:ascii="宋体" w:hAnsi="宋体" w:cs="宋体" w:eastAsia="宋体" w:hint="default"/>
          <w:sz w:val="21"/>
          <w:szCs w:val="21"/>
        </w:rPr>
      </w:pPr>
      <w:r>
        <w:rPr>
          <w:rFonts w:ascii="宋体" w:hAnsi="宋体" w:cs="宋体" w:eastAsia="宋体" w:hint="default"/>
          <w:sz w:val="21"/>
          <w:szCs w:val="21"/>
        </w:rPr>
        <w:t>单位： 元</w:t>
      </w:r>
    </w:p>
    <w:p>
      <w:pPr>
        <w:spacing w:after="0"/>
        <w:jc w:val="left"/>
        <w:rPr>
          <w:rFonts w:ascii="宋体" w:hAnsi="宋体" w:cs="宋体" w:eastAsia="宋体" w:hint="default"/>
          <w:sz w:val="21"/>
          <w:szCs w:val="21"/>
        </w:rPr>
        <w:sectPr>
          <w:type w:val="continuous"/>
          <w:pgSz w:w="11910" w:h="16840"/>
          <w:pgMar w:top="1060" w:bottom="1160" w:left="980" w:right="0"/>
          <w:cols w:num="2" w:equalWidth="0">
            <w:col w:w="3515" w:space="4701"/>
            <w:col w:w="2714"/>
          </w:cols>
        </w:sectPr>
      </w:pP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994"/>
        <w:gridCol w:w="1700"/>
        <w:gridCol w:w="497"/>
        <w:gridCol w:w="1913"/>
        <w:gridCol w:w="851"/>
        <w:gridCol w:w="850"/>
        <w:gridCol w:w="640"/>
        <w:gridCol w:w="1062"/>
        <w:gridCol w:w="851"/>
      </w:tblGrid>
      <w:tr>
        <w:trPr>
          <w:trHeight w:val="1338" w:hRule="exact"/>
        </w:trPr>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70" w:right="0"/>
              <w:jc w:val="left"/>
              <w:rPr>
                <w:rFonts w:ascii="宋体" w:hAnsi="宋体" w:cs="宋体" w:eastAsia="宋体" w:hint="default"/>
                <w:sz w:val="21"/>
                <w:szCs w:val="21"/>
              </w:rPr>
            </w:pPr>
            <w:r>
              <w:rPr>
                <w:rFonts w:ascii="宋体" w:hAnsi="宋体" w:cs="宋体" w:eastAsia="宋体" w:hint="default"/>
                <w:sz w:val="21"/>
                <w:szCs w:val="21"/>
              </w:rPr>
              <w:t>补助项目</w:t>
            </w:r>
          </w:p>
        </w:tc>
        <w:tc>
          <w:tcPr>
            <w:tcW w:w="17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424" w:right="0"/>
              <w:jc w:val="left"/>
              <w:rPr>
                <w:rFonts w:ascii="宋体" w:hAnsi="宋体" w:cs="宋体" w:eastAsia="宋体" w:hint="default"/>
                <w:sz w:val="21"/>
                <w:szCs w:val="21"/>
              </w:rPr>
            </w:pPr>
            <w:r>
              <w:rPr>
                <w:rFonts w:ascii="宋体" w:hAnsi="宋体" w:cs="宋体" w:eastAsia="宋体" w:hint="default"/>
                <w:sz w:val="21"/>
                <w:szCs w:val="21"/>
              </w:rPr>
              <w:t>发放主体</w:t>
            </w:r>
          </w:p>
        </w:tc>
        <w:tc>
          <w:tcPr>
            <w:tcW w:w="4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25"/>
                <w:szCs w:val="25"/>
              </w:rPr>
            </w:pPr>
          </w:p>
          <w:p>
            <w:pPr>
              <w:pStyle w:val="TableParagraph"/>
              <w:spacing w:line="273" w:lineRule="auto"/>
              <w:ind w:left="33" w:right="31"/>
              <w:jc w:val="left"/>
              <w:rPr>
                <w:rFonts w:ascii="宋体" w:hAnsi="宋体" w:cs="宋体" w:eastAsia="宋体" w:hint="default"/>
                <w:sz w:val="21"/>
                <w:szCs w:val="21"/>
              </w:rPr>
            </w:pPr>
            <w:r>
              <w:rPr>
                <w:rFonts w:ascii="宋体" w:hAnsi="宋体" w:cs="宋体" w:eastAsia="宋体" w:hint="default"/>
                <w:sz w:val="21"/>
                <w:szCs w:val="21"/>
              </w:rPr>
              <w:t>发放 原因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530" w:right="0"/>
              <w:jc w:val="left"/>
              <w:rPr>
                <w:rFonts w:ascii="宋体" w:hAnsi="宋体" w:cs="宋体" w:eastAsia="宋体" w:hint="default"/>
                <w:sz w:val="21"/>
                <w:szCs w:val="21"/>
              </w:rPr>
            </w:pPr>
            <w:r>
              <w:rPr>
                <w:rFonts w:ascii="宋体" w:hAnsi="宋体" w:cs="宋体" w:eastAsia="宋体" w:hint="default"/>
                <w:sz w:val="21"/>
                <w:szCs w:val="21"/>
              </w:rPr>
              <w:t>性质类型</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105" w:right="103"/>
              <w:jc w:val="center"/>
              <w:rPr>
                <w:rFonts w:ascii="宋体" w:hAnsi="宋体" w:cs="宋体" w:eastAsia="宋体" w:hint="default"/>
                <w:sz w:val="21"/>
                <w:szCs w:val="21"/>
              </w:rPr>
            </w:pPr>
            <w:r>
              <w:rPr>
                <w:rFonts w:ascii="宋体" w:hAnsi="宋体" w:cs="宋体" w:eastAsia="宋体" w:hint="default"/>
                <w:sz w:val="21"/>
                <w:szCs w:val="21"/>
              </w:rPr>
              <w:t>补贴是 否影响 当年盈 亏</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25"/>
                <w:szCs w:val="25"/>
              </w:rPr>
            </w:pPr>
          </w:p>
          <w:p>
            <w:pPr>
              <w:pStyle w:val="TableParagraph"/>
              <w:spacing w:line="273" w:lineRule="auto"/>
              <w:ind w:left="104" w:right="103"/>
              <w:jc w:val="left"/>
              <w:rPr>
                <w:rFonts w:ascii="宋体" w:hAnsi="宋体" w:cs="宋体" w:eastAsia="宋体" w:hint="default"/>
                <w:sz w:val="21"/>
                <w:szCs w:val="21"/>
              </w:rPr>
            </w:pPr>
            <w:r>
              <w:rPr>
                <w:rFonts w:ascii="宋体" w:hAnsi="宋体" w:cs="宋体" w:eastAsia="宋体" w:hint="default"/>
                <w:sz w:val="21"/>
                <w:szCs w:val="21"/>
              </w:rPr>
              <w:t>是否特 殊补贴</w:t>
            </w:r>
          </w:p>
        </w:tc>
        <w:tc>
          <w:tcPr>
            <w:tcW w:w="6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3"/>
                <w:szCs w:val="13"/>
              </w:rPr>
            </w:pPr>
          </w:p>
          <w:p>
            <w:pPr>
              <w:pStyle w:val="TableParagraph"/>
              <w:spacing w:line="273" w:lineRule="auto"/>
              <w:ind w:left="104" w:right="105"/>
              <w:jc w:val="both"/>
              <w:rPr>
                <w:rFonts w:ascii="宋体" w:hAnsi="宋体" w:cs="宋体" w:eastAsia="宋体" w:hint="default"/>
                <w:sz w:val="21"/>
                <w:szCs w:val="21"/>
              </w:rPr>
            </w:pPr>
            <w:r>
              <w:rPr>
                <w:rFonts w:ascii="宋体" w:hAnsi="宋体" w:cs="宋体" w:eastAsia="宋体" w:hint="default"/>
                <w:sz w:val="21"/>
                <w:szCs w:val="21"/>
              </w:rPr>
              <w:t>本期 发生 金额</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25"/>
                <w:szCs w:val="25"/>
              </w:rPr>
            </w:pPr>
          </w:p>
          <w:p>
            <w:pPr>
              <w:pStyle w:val="TableParagraph"/>
              <w:spacing w:line="273" w:lineRule="auto"/>
              <w:ind w:left="315" w:right="104" w:hanging="210"/>
              <w:jc w:val="left"/>
              <w:rPr>
                <w:rFonts w:ascii="宋体" w:hAnsi="宋体" w:cs="宋体" w:eastAsia="宋体" w:hint="default"/>
                <w:sz w:val="21"/>
                <w:szCs w:val="21"/>
              </w:rPr>
            </w:pPr>
            <w:r>
              <w:rPr>
                <w:rFonts w:ascii="宋体" w:hAnsi="宋体" w:cs="宋体" w:eastAsia="宋体" w:hint="default"/>
                <w:sz w:val="21"/>
                <w:szCs w:val="21"/>
              </w:rPr>
              <w:t>上期发生 金额</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53" w:right="49" w:hanging="3"/>
              <w:jc w:val="center"/>
              <w:rPr>
                <w:rFonts w:ascii="宋体" w:hAnsi="宋体" w:cs="宋体" w:eastAsia="宋体" w:hint="default"/>
                <w:sz w:val="21"/>
                <w:szCs w:val="21"/>
              </w:rPr>
            </w:pPr>
            <w:r>
              <w:rPr>
                <w:rFonts w:ascii="宋体" w:hAnsi="宋体" w:cs="宋体" w:eastAsia="宋体" w:hint="default"/>
                <w:sz w:val="21"/>
                <w:szCs w:val="21"/>
              </w:rPr>
              <w:t>与资产 相关</w:t>
            </w:r>
            <w:r>
              <w:rPr>
                <w:rFonts w:ascii="宋体" w:hAnsi="宋体" w:cs="宋体" w:eastAsia="宋体" w:hint="default"/>
                <w:sz w:val="21"/>
                <w:szCs w:val="21"/>
              </w:rPr>
              <w:t>/</w:t>
            </w:r>
            <w:r>
              <w:rPr>
                <w:rFonts w:ascii="宋体" w:hAnsi="宋体" w:cs="宋体" w:eastAsia="宋体" w:hint="default"/>
                <w:sz w:val="21"/>
                <w:szCs w:val="21"/>
              </w:rPr>
              <w:t>与 收益相 关</w:t>
            </w:r>
          </w:p>
        </w:tc>
      </w:tr>
      <w:tr>
        <w:trPr>
          <w:trHeight w:val="1650"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7"/>
                <w:szCs w:val="17"/>
              </w:rPr>
            </w:pPr>
          </w:p>
          <w:p>
            <w:pPr>
              <w:pStyle w:val="TableParagraph"/>
              <w:spacing w:line="273" w:lineRule="auto"/>
              <w:ind w:left="22" w:right="119"/>
              <w:jc w:val="left"/>
              <w:rPr>
                <w:rFonts w:ascii="宋体" w:hAnsi="宋体" w:cs="宋体" w:eastAsia="宋体" w:hint="default"/>
                <w:sz w:val="21"/>
                <w:szCs w:val="21"/>
              </w:rPr>
            </w:pPr>
            <w:r>
              <w:rPr>
                <w:rFonts w:ascii="宋体" w:hAnsi="宋体" w:cs="宋体" w:eastAsia="宋体" w:hint="default"/>
                <w:sz w:val="21"/>
                <w:szCs w:val="21"/>
              </w:rPr>
              <w:t>专利奖励 资金</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7"/>
              <w:ind w:left="22" w:right="-13"/>
              <w:jc w:val="left"/>
              <w:rPr>
                <w:rFonts w:ascii="宋体" w:hAnsi="宋体" w:cs="宋体" w:eastAsia="宋体" w:hint="default"/>
                <w:sz w:val="21"/>
                <w:szCs w:val="21"/>
              </w:rPr>
            </w:pPr>
            <w:r>
              <w:rPr>
                <w:rFonts w:ascii="宋体" w:hAnsi="宋体" w:cs="宋体" w:eastAsia="宋体" w:hint="default"/>
                <w:sz w:val="21"/>
                <w:szCs w:val="21"/>
              </w:rPr>
              <w:t>郑州高新技术产 业开发区财政国 库集中支付中心、 北京市丰台区科 学技术委员会等</w:t>
            </w:r>
          </w:p>
        </w:tc>
        <w:tc>
          <w:tcPr>
            <w:tcW w:w="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9"/>
                <w:szCs w:val="29"/>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奖励</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5"/>
                <w:szCs w:val="25"/>
              </w:rPr>
            </w:pPr>
          </w:p>
          <w:p>
            <w:pPr>
              <w:pStyle w:val="TableParagraph"/>
              <w:spacing w:line="273" w:lineRule="auto"/>
              <w:ind w:left="22" w:right="22"/>
              <w:jc w:val="left"/>
              <w:rPr>
                <w:rFonts w:ascii="宋体" w:hAnsi="宋体" w:cs="宋体" w:eastAsia="宋体" w:hint="default"/>
                <w:sz w:val="21"/>
                <w:szCs w:val="21"/>
              </w:rPr>
            </w:pPr>
            <w:r>
              <w:rPr>
                <w:rFonts w:ascii="宋体" w:hAnsi="宋体" w:cs="宋体" w:eastAsia="宋体" w:hint="default"/>
                <w:spacing w:val="-4"/>
                <w:sz w:val="21"/>
                <w:szCs w:val="21"/>
              </w:rPr>
              <w:t>因研究开发、技术更</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新及改造等获得的 补助</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9"/>
                <w:szCs w:val="29"/>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否</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9"/>
                <w:szCs w:val="29"/>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否</w:t>
            </w:r>
          </w:p>
        </w:tc>
        <w:tc>
          <w:tcPr>
            <w:tcW w:w="640"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9"/>
                <w:szCs w:val="29"/>
              </w:rPr>
            </w:pPr>
          </w:p>
          <w:p>
            <w:pPr>
              <w:pStyle w:val="TableParagraph"/>
              <w:spacing w:line="240" w:lineRule="auto"/>
              <w:ind w:left="85" w:right="0"/>
              <w:jc w:val="left"/>
              <w:rPr>
                <w:rFonts w:ascii="宋体" w:hAnsi="宋体" w:cs="宋体" w:eastAsia="宋体" w:hint="default"/>
                <w:sz w:val="21"/>
                <w:szCs w:val="21"/>
              </w:rPr>
            </w:pPr>
            <w:r>
              <w:rPr>
                <w:rFonts w:ascii="宋体"/>
                <w:sz w:val="21"/>
              </w:rPr>
              <w:t>60,400.00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7"/>
                <w:szCs w:val="17"/>
              </w:rPr>
            </w:pPr>
          </w:p>
          <w:p>
            <w:pPr>
              <w:pStyle w:val="TableParagraph"/>
              <w:spacing w:line="273" w:lineRule="auto"/>
              <w:ind w:left="23" w:right="185"/>
              <w:jc w:val="left"/>
              <w:rPr>
                <w:rFonts w:ascii="宋体" w:hAnsi="宋体" w:cs="宋体" w:eastAsia="宋体" w:hint="default"/>
                <w:sz w:val="21"/>
                <w:szCs w:val="21"/>
              </w:rPr>
            </w:pPr>
            <w:r>
              <w:rPr>
                <w:rFonts w:ascii="宋体" w:hAnsi="宋体" w:cs="宋体" w:eastAsia="宋体" w:hint="default"/>
                <w:sz w:val="21"/>
                <w:szCs w:val="21"/>
              </w:rPr>
              <w:t>与收益 相关</w:t>
            </w:r>
          </w:p>
        </w:tc>
      </w:tr>
      <w:tr>
        <w:trPr>
          <w:trHeight w:val="1650"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7"/>
                <w:szCs w:val="17"/>
              </w:rPr>
            </w:pPr>
          </w:p>
          <w:p>
            <w:pPr>
              <w:pStyle w:val="TableParagraph"/>
              <w:spacing w:line="273" w:lineRule="auto"/>
              <w:ind w:left="22" w:right="119"/>
              <w:jc w:val="left"/>
              <w:rPr>
                <w:rFonts w:ascii="宋体" w:hAnsi="宋体" w:cs="宋体" w:eastAsia="宋体" w:hint="default"/>
                <w:sz w:val="21"/>
                <w:szCs w:val="21"/>
              </w:rPr>
            </w:pPr>
            <w:r>
              <w:rPr>
                <w:rFonts w:ascii="宋体" w:hAnsi="宋体" w:cs="宋体" w:eastAsia="宋体" w:hint="default"/>
                <w:sz w:val="21"/>
                <w:szCs w:val="21"/>
              </w:rPr>
              <w:t>高新技术 企业奖</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7"/>
              <w:ind w:left="22" w:right="-13"/>
              <w:jc w:val="left"/>
              <w:rPr>
                <w:rFonts w:ascii="宋体" w:hAnsi="宋体" w:cs="宋体" w:eastAsia="宋体" w:hint="default"/>
                <w:sz w:val="21"/>
                <w:szCs w:val="21"/>
              </w:rPr>
            </w:pPr>
            <w:r>
              <w:rPr>
                <w:rFonts w:ascii="宋体" w:hAnsi="宋体" w:cs="宋体" w:eastAsia="宋体" w:hint="default"/>
                <w:sz w:val="21"/>
                <w:szCs w:val="21"/>
              </w:rPr>
              <w:t>郑州高新技术产 业开发区财政国 库集中支付中心、 高新区管委会财 政局</w:t>
            </w:r>
          </w:p>
        </w:tc>
        <w:tc>
          <w:tcPr>
            <w:tcW w:w="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9"/>
                <w:szCs w:val="29"/>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奖励</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7"/>
              <w:ind w:left="22" w:right="22"/>
              <w:jc w:val="left"/>
              <w:rPr>
                <w:rFonts w:ascii="宋体" w:hAnsi="宋体" w:cs="宋体" w:eastAsia="宋体" w:hint="default"/>
                <w:sz w:val="21"/>
                <w:szCs w:val="21"/>
              </w:rPr>
            </w:pPr>
            <w:r>
              <w:rPr>
                <w:rFonts w:ascii="宋体" w:hAnsi="宋体" w:cs="宋体" w:eastAsia="宋体" w:hint="default"/>
                <w:sz w:val="21"/>
                <w:szCs w:val="21"/>
              </w:rPr>
              <w:t>因从事国家鼓励和 </w:t>
            </w:r>
            <w:r>
              <w:rPr>
                <w:rFonts w:ascii="宋体" w:hAnsi="宋体" w:cs="宋体" w:eastAsia="宋体" w:hint="default"/>
                <w:spacing w:val="-4"/>
                <w:sz w:val="21"/>
                <w:szCs w:val="21"/>
              </w:rPr>
              <w:t>扶持特定行业、产业</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4"/>
                <w:sz w:val="21"/>
                <w:szCs w:val="21"/>
              </w:rPr>
              <w:t>而获得的补助（按国</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家级政策规定依法 取得）</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9"/>
                <w:szCs w:val="29"/>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否</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9"/>
                <w:szCs w:val="29"/>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否</w:t>
            </w:r>
          </w:p>
        </w:tc>
        <w:tc>
          <w:tcPr>
            <w:tcW w:w="640"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20"/>
              <w:jc w:val="right"/>
              <w:rPr>
                <w:rFonts w:ascii="宋体" w:hAnsi="宋体" w:cs="宋体" w:eastAsia="宋体" w:hint="default"/>
                <w:sz w:val="21"/>
                <w:szCs w:val="21"/>
              </w:rPr>
            </w:pPr>
            <w:r>
              <w:rPr>
                <w:rFonts w:ascii="宋体"/>
                <w:sz w:val="21"/>
              </w:rPr>
              <w:t>100,000.0</w:t>
            </w:r>
          </w:p>
          <w:p>
            <w:pPr>
              <w:pStyle w:val="TableParagraph"/>
              <w:spacing w:line="240" w:lineRule="auto" w:before="37"/>
              <w:ind w:right="20"/>
              <w:jc w:val="right"/>
              <w:rPr>
                <w:rFonts w:ascii="宋体" w:hAnsi="宋体" w:cs="宋体" w:eastAsia="宋体" w:hint="default"/>
                <w:sz w:val="21"/>
                <w:szCs w:val="21"/>
              </w:rPr>
            </w:pPr>
            <w:r>
              <w:rPr>
                <w:rFonts w:ascii="宋体"/>
                <w:sz w:val="21"/>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7"/>
                <w:szCs w:val="17"/>
              </w:rPr>
            </w:pPr>
          </w:p>
          <w:p>
            <w:pPr>
              <w:pStyle w:val="TableParagraph"/>
              <w:spacing w:line="273" w:lineRule="auto"/>
              <w:ind w:left="23" w:right="185"/>
              <w:jc w:val="left"/>
              <w:rPr>
                <w:rFonts w:ascii="宋体" w:hAnsi="宋体" w:cs="宋体" w:eastAsia="宋体" w:hint="default"/>
                <w:sz w:val="21"/>
                <w:szCs w:val="21"/>
              </w:rPr>
            </w:pPr>
            <w:r>
              <w:rPr>
                <w:rFonts w:ascii="宋体" w:hAnsi="宋体" w:cs="宋体" w:eastAsia="宋体" w:hint="default"/>
                <w:sz w:val="21"/>
                <w:szCs w:val="21"/>
              </w:rPr>
              <w:t>与收益 相关</w:t>
            </w:r>
          </w:p>
        </w:tc>
      </w:tr>
      <w:tr>
        <w:trPr>
          <w:trHeight w:val="1650"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7"/>
                <w:szCs w:val="17"/>
              </w:rPr>
            </w:pPr>
          </w:p>
          <w:p>
            <w:pPr>
              <w:pStyle w:val="TableParagraph"/>
              <w:spacing w:line="273" w:lineRule="auto"/>
              <w:ind w:left="22" w:right="119"/>
              <w:jc w:val="left"/>
              <w:rPr>
                <w:rFonts w:ascii="宋体" w:hAnsi="宋体" w:cs="宋体" w:eastAsia="宋体" w:hint="default"/>
                <w:sz w:val="21"/>
                <w:szCs w:val="21"/>
              </w:rPr>
            </w:pPr>
            <w:r>
              <w:rPr>
                <w:rFonts w:ascii="宋体" w:hAnsi="宋体" w:cs="宋体" w:eastAsia="宋体" w:hint="default"/>
                <w:sz w:val="21"/>
                <w:szCs w:val="21"/>
              </w:rPr>
              <w:t>瞪羚企业 奖补</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7"/>
                <w:szCs w:val="17"/>
              </w:rPr>
            </w:pPr>
          </w:p>
          <w:p>
            <w:pPr>
              <w:pStyle w:val="TableParagraph"/>
              <w:spacing w:line="273" w:lineRule="auto"/>
              <w:ind w:left="22" w:right="197"/>
              <w:jc w:val="left"/>
              <w:rPr>
                <w:rFonts w:ascii="宋体" w:hAnsi="宋体" w:cs="宋体" w:eastAsia="宋体" w:hint="default"/>
                <w:sz w:val="21"/>
                <w:szCs w:val="21"/>
              </w:rPr>
            </w:pPr>
            <w:r>
              <w:rPr>
                <w:rFonts w:ascii="宋体" w:hAnsi="宋体" w:cs="宋体" w:eastAsia="宋体" w:hint="default"/>
                <w:sz w:val="21"/>
                <w:szCs w:val="21"/>
              </w:rPr>
              <w:t>高新区管委会财 政局</w:t>
            </w:r>
          </w:p>
        </w:tc>
        <w:tc>
          <w:tcPr>
            <w:tcW w:w="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9"/>
                <w:szCs w:val="29"/>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补助</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7"/>
              <w:ind w:left="22" w:right="22"/>
              <w:jc w:val="left"/>
              <w:rPr>
                <w:rFonts w:ascii="宋体" w:hAnsi="宋体" w:cs="宋体" w:eastAsia="宋体" w:hint="default"/>
                <w:sz w:val="21"/>
                <w:szCs w:val="21"/>
              </w:rPr>
            </w:pPr>
            <w:r>
              <w:rPr>
                <w:rFonts w:ascii="宋体" w:hAnsi="宋体" w:cs="宋体" w:eastAsia="宋体" w:hint="default"/>
                <w:sz w:val="21"/>
                <w:szCs w:val="21"/>
              </w:rPr>
              <w:t>因从事国家鼓励和 </w:t>
            </w:r>
            <w:r>
              <w:rPr>
                <w:rFonts w:ascii="宋体" w:hAnsi="宋体" w:cs="宋体" w:eastAsia="宋体" w:hint="default"/>
                <w:spacing w:val="-4"/>
                <w:sz w:val="21"/>
                <w:szCs w:val="21"/>
              </w:rPr>
              <w:t>扶持特定行业、产业</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4"/>
                <w:sz w:val="21"/>
                <w:szCs w:val="21"/>
              </w:rPr>
              <w:t>而获得的补助（按国</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家级政策规定依法 取得）</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9"/>
                <w:szCs w:val="29"/>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否</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9"/>
                <w:szCs w:val="29"/>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否</w:t>
            </w:r>
          </w:p>
        </w:tc>
        <w:tc>
          <w:tcPr>
            <w:tcW w:w="640"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20"/>
              <w:jc w:val="right"/>
              <w:rPr>
                <w:rFonts w:ascii="宋体" w:hAnsi="宋体" w:cs="宋体" w:eastAsia="宋体" w:hint="default"/>
                <w:sz w:val="21"/>
                <w:szCs w:val="21"/>
              </w:rPr>
            </w:pPr>
            <w:r>
              <w:rPr>
                <w:rFonts w:ascii="宋体"/>
                <w:sz w:val="21"/>
              </w:rPr>
              <w:t>1,300,000</w:t>
            </w:r>
          </w:p>
          <w:p>
            <w:pPr>
              <w:pStyle w:val="TableParagraph"/>
              <w:spacing w:line="240" w:lineRule="auto" w:before="37"/>
              <w:ind w:right="20"/>
              <w:jc w:val="right"/>
              <w:rPr>
                <w:rFonts w:ascii="宋体" w:hAnsi="宋体" w:cs="宋体" w:eastAsia="宋体" w:hint="default"/>
                <w:sz w:val="21"/>
                <w:szCs w:val="21"/>
              </w:rPr>
            </w:pPr>
            <w:r>
              <w:rPr>
                <w:rFonts w:ascii="宋体"/>
                <w:sz w:val="21"/>
              </w:rPr>
              <w:t>.00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7"/>
                <w:szCs w:val="17"/>
              </w:rPr>
            </w:pPr>
          </w:p>
          <w:p>
            <w:pPr>
              <w:pStyle w:val="TableParagraph"/>
              <w:spacing w:line="273" w:lineRule="auto"/>
              <w:ind w:left="23" w:right="185"/>
              <w:jc w:val="left"/>
              <w:rPr>
                <w:rFonts w:ascii="宋体" w:hAnsi="宋体" w:cs="宋体" w:eastAsia="宋体" w:hint="default"/>
                <w:sz w:val="21"/>
                <w:szCs w:val="21"/>
              </w:rPr>
            </w:pPr>
            <w:r>
              <w:rPr>
                <w:rFonts w:ascii="宋体" w:hAnsi="宋体" w:cs="宋体" w:eastAsia="宋体" w:hint="default"/>
                <w:sz w:val="21"/>
                <w:szCs w:val="21"/>
              </w:rPr>
              <w:t>与资产 相关</w:t>
            </w:r>
          </w:p>
        </w:tc>
      </w:tr>
      <w:tr>
        <w:trPr>
          <w:trHeight w:val="1027"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73" w:lineRule="auto"/>
              <w:ind w:left="22" w:right="119"/>
              <w:jc w:val="left"/>
              <w:rPr>
                <w:rFonts w:ascii="宋体" w:hAnsi="宋体" w:cs="宋体" w:eastAsia="宋体" w:hint="default"/>
                <w:sz w:val="21"/>
                <w:szCs w:val="21"/>
              </w:rPr>
            </w:pPr>
            <w:r>
              <w:rPr>
                <w:rFonts w:ascii="宋体" w:hAnsi="宋体" w:cs="宋体" w:eastAsia="宋体" w:hint="default"/>
                <w:sz w:val="21"/>
                <w:szCs w:val="21"/>
              </w:rPr>
              <w:t>职业培训 补贴</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7"/>
              <w:ind w:left="22" w:right="197"/>
              <w:jc w:val="both"/>
              <w:rPr>
                <w:rFonts w:ascii="宋体" w:hAnsi="宋体" w:cs="宋体" w:eastAsia="宋体" w:hint="default"/>
                <w:sz w:val="21"/>
                <w:szCs w:val="21"/>
              </w:rPr>
            </w:pPr>
            <w:r>
              <w:rPr>
                <w:rFonts w:ascii="宋体" w:hAnsi="宋体" w:cs="宋体" w:eastAsia="宋体" w:hint="default"/>
                <w:sz w:val="21"/>
                <w:szCs w:val="21"/>
              </w:rPr>
              <w:t>天津市人力资源 和社会保障局失 业保险基金</w:t>
            </w:r>
          </w:p>
        </w:tc>
        <w:tc>
          <w:tcPr>
            <w:tcW w:w="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补助</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46"/>
              <w:ind w:left="22" w:right="198"/>
              <w:jc w:val="both"/>
              <w:rPr>
                <w:rFonts w:ascii="宋体" w:hAnsi="宋体" w:cs="宋体" w:eastAsia="宋体" w:hint="default"/>
                <w:sz w:val="21"/>
                <w:szCs w:val="21"/>
              </w:rPr>
            </w:pPr>
            <w:r>
              <w:rPr>
                <w:rFonts w:ascii="宋体" w:hAnsi="宋体" w:cs="宋体" w:eastAsia="宋体" w:hint="default"/>
                <w:sz w:val="21"/>
                <w:szCs w:val="21"/>
              </w:rPr>
              <w:t>因承担国家为保障 某种公用事业或社 会必要产品供应或</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否</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否</w:t>
            </w:r>
          </w:p>
        </w:tc>
        <w:tc>
          <w:tcPr>
            <w:tcW w:w="640"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20"/>
              <w:jc w:val="right"/>
              <w:rPr>
                <w:rFonts w:ascii="宋体" w:hAnsi="宋体" w:cs="宋体" w:eastAsia="宋体" w:hint="default"/>
                <w:sz w:val="21"/>
                <w:szCs w:val="21"/>
              </w:rPr>
            </w:pPr>
            <w:r>
              <w:rPr>
                <w:rFonts w:ascii="宋体"/>
                <w:sz w:val="21"/>
              </w:rPr>
              <w:t>105,750.0</w:t>
            </w:r>
          </w:p>
          <w:p>
            <w:pPr>
              <w:pStyle w:val="TableParagraph"/>
              <w:spacing w:line="240" w:lineRule="auto" w:before="37"/>
              <w:ind w:right="20"/>
              <w:jc w:val="right"/>
              <w:rPr>
                <w:rFonts w:ascii="宋体" w:hAnsi="宋体" w:cs="宋体" w:eastAsia="宋体" w:hint="default"/>
                <w:sz w:val="21"/>
                <w:szCs w:val="21"/>
              </w:rPr>
            </w:pPr>
            <w:r>
              <w:rPr>
                <w:rFonts w:ascii="宋体"/>
                <w:sz w:val="21"/>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73" w:lineRule="auto"/>
              <w:ind w:left="23" w:right="185"/>
              <w:jc w:val="left"/>
              <w:rPr>
                <w:rFonts w:ascii="宋体" w:hAnsi="宋体" w:cs="宋体" w:eastAsia="宋体" w:hint="default"/>
                <w:sz w:val="21"/>
                <w:szCs w:val="21"/>
              </w:rPr>
            </w:pPr>
            <w:r>
              <w:rPr>
                <w:rFonts w:ascii="宋体" w:hAnsi="宋体" w:cs="宋体" w:eastAsia="宋体" w:hint="default"/>
                <w:sz w:val="21"/>
                <w:szCs w:val="21"/>
              </w:rPr>
              <w:t>与收益 相关</w:t>
            </w:r>
          </w:p>
        </w:tc>
      </w:tr>
    </w:tbl>
    <w:p>
      <w:pPr>
        <w:spacing w:after="0" w:line="273" w:lineRule="auto"/>
        <w:jc w:val="left"/>
        <w:rPr>
          <w:rFonts w:ascii="宋体" w:hAnsi="宋体" w:cs="宋体" w:eastAsia="宋体" w:hint="default"/>
          <w:sz w:val="21"/>
          <w:szCs w:val="21"/>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994"/>
        <w:gridCol w:w="1700"/>
        <w:gridCol w:w="497"/>
        <w:gridCol w:w="1913"/>
        <w:gridCol w:w="851"/>
        <w:gridCol w:w="850"/>
        <w:gridCol w:w="640"/>
        <w:gridCol w:w="1062"/>
        <w:gridCol w:w="851"/>
      </w:tblGrid>
      <w:tr>
        <w:trPr>
          <w:trHeight w:val="674" w:hRule="exact"/>
        </w:trPr>
        <w:tc>
          <w:tcPr>
            <w:tcW w:w="994"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497"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z w:val="21"/>
                <w:szCs w:val="21"/>
              </w:rPr>
              <w:t>价格控制职能而获</w:t>
            </w:r>
          </w:p>
          <w:p>
            <w:pPr>
              <w:pStyle w:val="TableParagraph"/>
              <w:spacing w:line="240" w:lineRule="auto" w:before="38"/>
              <w:ind w:left="22" w:right="0"/>
              <w:jc w:val="left"/>
              <w:rPr>
                <w:rFonts w:ascii="宋体" w:hAnsi="宋体" w:cs="宋体" w:eastAsia="宋体" w:hint="default"/>
                <w:sz w:val="21"/>
                <w:szCs w:val="21"/>
              </w:rPr>
            </w:pPr>
            <w:r>
              <w:rPr>
                <w:rFonts w:ascii="宋体" w:hAnsi="宋体" w:cs="宋体" w:eastAsia="宋体" w:hint="default"/>
                <w:sz w:val="21"/>
                <w:szCs w:val="21"/>
              </w:rPr>
              <w:t>得的补助</w:t>
            </w:r>
          </w:p>
        </w:tc>
        <w:tc>
          <w:tcPr>
            <w:tcW w:w="85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273" w:lineRule="auto"/>
              <w:ind w:left="22" w:right="119"/>
              <w:jc w:val="left"/>
              <w:rPr>
                <w:rFonts w:ascii="宋体" w:hAnsi="宋体" w:cs="宋体" w:eastAsia="宋体" w:hint="default"/>
                <w:sz w:val="21"/>
                <w:szCs w:val="21"/>
              </w:rPr>
            </w:pPr>
            <w:r>
              <w:rPr>
                <w:rFonts w:ascii="宋体" w:hAnsi="宋体" w:cs="宋体" w:eastAsia="宋体" w:hint="default"/>
                <w:sz w:val="21"/>
                <w:szCs w:val="21"/>
              </w:rPr>
              <w:t>高新技术 企业扶持</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9"/>
                <w:szCs w:val="29"/>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天津市财政局</w:t>
            </w:r>
          </w:p>
        </w:tc>
        <w:tc>
          <w:tcPr>
            <w:tcW w:w="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9"/>
                <w:szCs w:val="29"/>
              </w:rPr>
            </w:pPr>
          </w:p>
          <w:p>
            <w:pPr>
              <w:pStyle w:val="TableParagraph"/>
              <w:spacing w:line="240" w:lineRule="auto"/>
              <w:ind w:right="19"/>
              <w:jc w:val="center"/>
              <w:rPr>
                <w:rFonts w:ascii="宋体" w:hAnsi="宋体" w:cs="宋体" w:eastAsia="宋体" w:hint="default"/>
                <w:sz w:val="21"/>
                <w:szCs w:val="21"/>
              </w:rPr>
            </w:pPr>
            <w:r>
              <w:rPr>
                <w:rFonts w:ascii="宋体" w:hAnsi="宋体" w:cs="宋体" w:eastAsia="宋体" w:hint="default"/>
                <w:sz w:val="21"/>
                <w:szCs w:val="21"/>
              </w:rPr>
              <w:t>补助</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2" w:right="22"/>
              <w:jc w:val="left"/>
              <w:rPr>
                <w:rFonts w:ascii="宋体" w:hAnsi="宋体" w:cs="宋体" w:eastAsia="宋体" w:hint="default"/>
                <w:sz w:val="21"/>
                <w:szCs w:val="21"/>
              </w:rPr>
            </w:pPr>
            <w:r>
              <w:rPr>
                <w:rFonts w:ascii="宋体" w:hAnsi="宋体" w:cs="宋体" w:eastAsia="宋体" w:hint="default"/>
                <w:sz w:val="21"/>
                <w:szCs w:val="21"/>
              </w:rPr>
              <w:t>因从事国家鼓励和 </w:t>
            </w:r>
            <w:r>
              <w:rPr>
                <w:rFonts w:ascii="宋体" w:hAnsi="宋体" w:cs="宋体" w:eastAsia="宋体" w:hint="default"/>
                <w:spacing w:val="-4"/>
                <w:sz w:val="21"/>
                <w:szCs w:val="21"/>
              </w:rPr>
              <w:t>扶持特定行业、产业</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4"/>
                <w:sz w:val="21"/>
                <w:szCs w:val="21"/>
              </w:rPr>
              <w:t>而获得的补助（按国</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家级政策规定依法 取得）</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9"/>
                <w:szCs w:val="29"/>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否</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9"/>
                <w:szCs w:val="29"/>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否</w:t>
            </w:r>
          </w:p>
        </w:tc>
        <w:tc>
          <w:tcPr>
            <w:tcW w:w="640"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0"/>
              <w:jc w:val="right"/>
              <w:rPr>
                <w:rFonts w:ascii="宋体" w:hAnsi="宋体" w:cs="宋体" w:eastAsia="宋体" w:hint="default"/>
                <w:sz w:val="21"/>
                <w:szCs w:val="21"/>
              </w:rPr>
            </w:pPr>
            <w:r>
              <w:rPr>
                <w:rFonts w:ascii="宋体"/>
                <w:sz w:val="21"/>
              </w:rPr>
              <w:t>200,000.0</w:t>
            </w:r>
          </w:p>
          <w:p>
            <w:pPr>
              <w:pStyle w:val="TableParagraph"/>
              <w:spacing w:line="240" w:lineRule="auto" w:before="37"/>
              <w:ind w:right="20"/>
              <w:jc w:val="right"/>
              <w:rPr>
                <w:rFonts w:ascii="宋体" w:hAnsi="宋体" w:cs="宋体" w:eastAsia="宋体" w:hint="default"/>
                <w:sz w:val="21"/>
                <w:szCs w:val="21"/>
              </w:rPr>
            </w:pPr>
            <w:r>
              <w:rPr>
                <w:rFonts w:ascii="宋体"/>
                <w:sz w:val="21"/>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273" w:lineRule="auto"/>
              <w:ind w:left="23" w:right="185"/>
              <w:jc w:val="left"/>
              <w:rPr>
                <w:rFonts w:ascii="宋体" w:hAnsi="宋体" w:cs="宋体" w:eastAsia="宋体" w:hint="default"/>
                <w:sz w:val="21"/>
                <w:szCs w:val="21"/>
              </w:rPr>
            </w:pPr>
            <w:r>
              <w:rPr>
                <w:rFonts w:ascii="宋体" w:hAnsi="宋体" w:cs="宋体" w:eastAsia="宋体" w:hint="default"/>
                <w:sz w:val="21"/>
                <w:szCs w:val="21"/>
              </w:rPr>
              <w:t>与收益 相关</w:t>
            </w:r>
          </w:p>
        </w:tc>
      </w:tr>
      <w:tr>
        <w:trPr>
          <w:trHeight w:val="714" w:hRule="exact"/>
        </w:trPr>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7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1" w:right="0"/>
              <w:jc w:val="center"/>
              <w:rPr>
                <w:rFonts w:ascii="宋体" w:hAnsi="宋体" w:cs="宋体" w:eastAsia="宋体" w:hint="default"/>
                <w:sz w:val="21"/>
                <w:szCs w:val="21"/>
              </w:rPr>
            </w:pPr>
            <w:r>
              <w:rPr>
                <w:rFonts w:ascii="宋体"/>
                <w:sz w:val="21"/>
              </w:rPr>
              <w:t>--</w:t>
            </w:r>
          </w:p>
        </w:tc>
        <w:tc>
          <w:tcPr>
            <w:tcW w:w="4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21"/>
                <w:szCs w:val="21"/>
              </w:rPr>
            </w:pPr>
            <w:r>
              <w:rPr>
                <w:rFonts w:ascii="宋体"/>
                <w:sz w:val="21"/>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21"/>
                <w:szCs w:val="21"/>
              </w:rPr>
            </w:pPr>
            <w:r>
              <w:rPr>
                <w:rFonts w:ascii="宋体"/>
                <w:sz w:val="21"/>
              </w:rPr>
              <w:t>--</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1" w:right="0"/>
              <w:jc w:val="center"/>
              <w:rPr>
                <w:rFonts w:ascii="宋体" w:hAnsi="宋体" w:cs="宋体" w:eastAsia="宋体" w:hint="default"/>
                <w:sz w:val="21"/>
                <w:szCs w:val="21"/>
              </w:rPr>
            </w:pPr>
            <w:r>
              <w:rPr>
                <w:rFonts w:ascii="宋体"/>
                <w:sz w:val="21"/>
              </w:rPr>
              <w:t>--</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21"/>
                <w:szCs w:val="21"/>
              </w:rPr>
            </w:pPr>
            <w:r>
              <w:rPr>
                <w:rFonts w:ascii="宋体"/>
                <w:sz w:val="21"/>
              </w:rPr>
              <w:t>--</w:t>
            </w:r>
          </w:p>
        </w:tc>
        <w:tc>
          <w:tcPr>
            <w:tcW w:w="640"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1,766,150</w:t>
            </w:r>
          </w:p>
          <w:p>
            <w:pPr>
              <w:pStyle w:val="TableParagraph"/>
              <w:spacing w:line="240" w:lineRule="auto" w:before="37"/>
              <w:ind w:right="20"/>
              <w:jc w:val="right"/>
              <w:rPr>
                <w:rFonts w:ascii="宋体" w:hAnsi="宋体" w:cs="宋体" w:eastAsia="宋体" w:hint="default"/>
                <w:sz w:val="21"/>
                <w:szCs w:val="21"/>
              </w:rPr>
            </w:pPr>
            <w:r>
              <w:rPr>
                <w:rFonts w:ascii="宋体"/>
                <w:sz w:val="21"/>
              </w:rPr>
              <w:t>.00</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1" w:right="0"/>
              <w:jc w:val="center"/>
              <w:rPr>
                <w:rFonts w:ascii="宋体" w:hAnsi="宋体" w:cs="宋体" w:eastAsia="宋体" w:hint="default"/>
                <w:sz w:val="21"/>
                <w:szCs w:val="21"/>
              </w:rPr>
            </w:pPr>
            <w:r>
              <w:rPr>
                <w:rFonts w:ascii="宋体"/>
                <w:sz w:val="21"/>
              </w:rPr>
              <w:t>--</w:t>
            </w:r>
          </w:p>
        </w:tc>
      </w:tr>
    </w:tbl>
    <w:p>
      <w:pPr>
        <w:spacing w:line="240" w:lineRule="auto" w:before="10"/>
        <w:rPr>
          <w:rFonts w:ascii="宋体" w:hAnsi="宋体" w:cs="宋体" w:eastAsia="宋体" w:hint="default"/>
          <w:sz w:val="4"/>
          <w:szCs w:val="4"/>
        </w:rPr>
      </w:pPr>
    </w:p>
    <w:p>
      <w:pPr>
        <w:spacing w:line="350" w:lineRule="auto" w:before="26"/>
        <w:ind w:left="636" w:right="8582" w:hanging="3"/>
        <w:jc w:val="left"/>
        <w:rPr>
          <w:rFonts w:ascii="宋体" w:hAnsi="宋体" w:cs="宋体" w:eastAsia="宋体" w:hint="default"/>
          <w:sz w:val="24"/>
          <w:szCs w:val="24"/>
        </w:rPr>
      </w:pPr>
      <w:r>
        <w:rPr>
          <w:rFonts w:ascii="宋体" w:hAnsi="宋体" w:cs="宋体" w:eastAsia="宋体" w:hint="default"/>
          <w:sz w:val="24"/>
          <w:szCs w:val="24"/>
        </w:rPr>
        <w:t>其他说明：无 </w:t>
      </w:r>
      <w:bookmarkStart w:name="72、营业外支出" w:id="400"/>
      <w:bookmarkEnd w:id="400"/>
      <w:r>
        <w:rPr>
          <w:rFonts w:ascii="宋体" w:hAnsi="宋体" w:cs="宋体" w:eastAsia="宋体" w:hint="default"/>
          <w:sz w:val="24"/>
          <w:szCs w:val="24"/>
        </w:rPr>
      </w:r>
      <w:r>
        <w:rPr>
          <w:rFonts w:ascii="宋体" w:hAnsi="宋体" w:cs="宋体" w:eastAsia="宋体" w:hint="default"/>
          <w:b/>
          <w:bCs/>
          <w:sz w:val="24"/>
          <w:szCs w:val="24"/>
        </w:rPr>
        <w:t>72</w:t>
      </w:r>
      <w:r>
        <w:rPr>
          <w:rFonts w:ascii="宋体" w:hAnsi="宋体" w:cs="宋体" w:eastAsia="宋体" w:hint="default"/>
          <w:b/>
          <w:bCs/>
          <w:sz w:val="24"/>
          <w:szCs w:val="24"/>
        </w:rPr>
        <w:t>、营业外支出</w:t>
      </w:r>
      <w:r>
        <w:rPr>
          <w:rFonts w:ascii="宋体" w:hAnsi="宋体" w:cs="宋体" w:eastAsia="宋体" w:hint="default"/>
          <w:sz w:val="24"/>
          <w:szCs w:val="24"/>
        </w:rPr>
      </w:r>
    </w:p>
    <w:p>
      <w:pPr>
        <w:spacing w:before="90"/>
        <w:ind w:left="0" w:right="1129" w:firstLine="0"/>
        <w:jc w:val="right"/>
        <w:rPr>
          <w:rFonts w:ascii="宋体" w:hAnsi="宋体" w:cs="宋体" w:eastAsia="宋体" w:hint="default"/>
          <w:sz w:val="21"/>
          <w:szCs w:val="21"/>
        </w:rPr>
      </w:pPr>
      <w:r>
        <w:rPr>
          <w:rFonts w:ascii="宋体" w:hAnsi="宋体" w:cs="宋体" w:eastAsia="宋体" w:hint="default"/>
          <w:sz w:val="21"/>
          <w:szCs w:val="21"/>
        </w:rPr>
        <w:t>单位： 元</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161" w:hRule="exact"/>
        </w:trPr>
        <w:tc>
          <w:tcPr>
            <w:tcW w:w="2390"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6"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26"/>
              <w:ind w:left="980" w:right="35" w:hanging="945"/>
              <w:jc w:val="left"/>
              <w:rPr>
                <w:rFonts w:ascii="宋体" w:hAnsi="宋体" w:cs="宋体" w:eastAsia="宋体" w:hint="default"/>
                <w:sz w:val="21"/>
                <w:szCs w:val="21"/>
              </w:rPr>
            </w:pPr>
            <w:r>
              <w:rPr>
                <w:rFonts w:ascii="宋体" w:hAnsi="宋体" w:cs="宋体" w:eastAsia="宋体" w:hint="default"/>
                <w:sz w:val="21"/>
                <w:szCs w:val="21"/>
              </w:rPr>
              <w:t>计入当期非经常性损益的 金额</w:t>
            </w:r>
          </w:p>
        </w:tc>
      </w:tr>
      <w:tr>
        <w:trPr>
          <w:trHeight w:val="392" w:hRule="exact"/>
        </w:trPr>
        <w:tc>
          <w:tcPr>
            <w:tcW w:w="23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3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6"/>
              <w:ind w:left="667"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39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6"/>
              <w:ind w:left="665" w:right="0"/>
              <w:jc w:val="left"/>
              <w:rPr>
                <w:rFonts w:ascii="宋体" w:hAnsi="宋体" w:cs="宋体" w:eastAsia="宋体" w:hint="default"/>
                <w:sz w:val="21"/>
                <w:szCs w:val="21"/>
              </w:rPr>
            </w:pPr>
            <w:r>
              <w:rPr>
                <w:rFonts w:ascii="宋体" w:hAnsi="宋体" w:cs="宋体" w:eastAsia="宋体" w:hint="default"/>
                <w:sz w:val="21"/>
                <w:szCs w:val="21"/>
              </w:rPr>
              <w:t>上期发生额</w:t>
            </w:r>
          </w:p>
        </w:tc>
        <w:tc>
          <w:tcPr>
            <w:tcW w:w="2392" w:type="dxa"/>
            <w:vMerge/>
            <w:tcBorders>
              <w:left w:val="single" w:sz="4" w:space="0" w:color="000000"/>
              <w:right w:val="single" w:sz="4" w:space="0" w:color="000000"/>
            </w:tcBorders>
            <w:shd w:val="clear" w:color="auto" w:fill="D2D2D2"/>
          </w:tcPr>
          <w:p>
            <w:pPr/>
          </w:p>
        </w:tc>
      </w:tr>
      <w:tr>
        <w:trPr>
          <w:trHeight w:val="161" w:hRule="exact"/>
        </w:trPr>
        <w:tc>
          <w:tcPr>
            <w:tcW w:w="2390"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债务重组损失</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2,073,271.64</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9"/>
              <w:jc w:val="right"/>
              <w:rPr>
                <w:rFonts w:ascii="宋体" w:hAnsi="宋体" w:cs="宋体" w:eastAsia="宋体" w:hint="default"/>
                <w:sz w:val="21"/>
                <w:szCs w:val="21"/>
              </w:rPr>
            </w:pPr>
            <w:r>
              <w:rPr>
                <w:rFonts w:ascii="宋体"/>
                <w:sz w:val="21"/>
              </w:rPr>
              <w:t>2,073,271.64</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对外捐赠</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2"/>
              <w:jc w:val="right"/>
              <w:rPr>
                <w:rFonts w:ascii="宋体" w:hAnsi="宋体" w:cs="宋体" w:eastAsia="宋体" w:hint="default"/>
                <w:sz w:val="21"/>
                <w:szCs w:val="21"/>
              </w:rPr>
            </w:pPr>
            <w:r>
              <w:rPr>
                <w:rFonts w:ascii="宋体"/>
                <w:sz w:val="21"/>
              </w:rPr>
              <w:t>110,000.00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100,000.00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110,000.00</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非流动资产报废损失</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12,381.05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50,782.25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12,381.05</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3,483,844.10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225.71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9"/>
              <w:jc w:val="right"/>
              <w:rPr>
                <w:rFonts w:ascii="宋体" w:hAnsi="宋体" w:cs="宋体" w:eastAsia="宋体" w:hint="default"/>
                <w:sz w:val="21"/>
                <w:szCs w:val="21"/>
              </w:rPr>
            </w:pPr>
            <w:r>
              <w:rPr>
                <w:rFonts w:ascii="宋体"/>
                <w:sz w:val="21"/>
              </w:rPr>
              <w:t>3,483,844.10</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5,679,496.79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151,007.96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9"/>
              <w:jc w:val="right"/>
              <w:rPr>
                <w:rFonts w:ascii="宋体" w:hAnsi="宋体" w:cs="宋体" w:eastAsia="宋体" w:hint="default"/>
                <w:sz w:val="21"/>
                <w:szCs w:val="21"/>
              </w:rPr>
            </w:pPr>
            <w:r>
              <w:rPr>
                <w:rFonts w:ascii="宋体"/>
                <w:sz w:val="21"/>
              </w:rPr>
              <w:t>5,679,496.79</w:t>
            </w:r>
          </w:p>
        </w:tc>
      </w:tr>
    </w:tbl>
    <w:p>
      <w:pPr>
        <w:spacing w:line="240" w:lineRule="auto" w:before="10"/>
        <w:rPr>
          <w:rFonts w:ascii="宋体" w:hAnsi="宋体" w:cs="宋体" w:eastAsia="宋体" w:hint="default"/>
          <w:sz w:val="4"/>
          <w:szCs w:val="4"/>
        </w:rPr>
      </w:pPr>
    </w:p>
    <w:p>
      <w:pPr>
        <w:pStyle w:val="BodyText"/>
        <w:spacing w:line="352" w:lineRule="auto" w:before="26"/>
        <w:ind w:left="633" w:right="996"/>
        <w:jc w:val="left"/>
      </w:pPr>
      <w:r>
        <w:rPr/>
        <w:t>其他说明： </w:t>
      </w:r>
      <w:r>
        <w:rPr>
          <w:spacing w:val="-2"/>
        </w:rPr>
        <w:t>营业外支出本期发生额较上期发生额增加</w:t>
      </w:r>
      <w:r>
        <w:rPr>
          <w:rFonts w:ascii="宋体" w:hAnsi="宋体" w:cs="宋体" w:eastAsia="宋体" w:hint="default"/>
          <w:spacing w:val="-2"/>
        </w:rPr>
        <w:t>5,528,488.83</w:t>
      </w:r>
      <w:r>
        <w:rPr>
          <w:spacing w:val="-2"/>
        </w:rPr>
        <w:t>元，增加比例为</w:t>
      </w:r>
      <w:r>
        <w:rPr>
          <w:rFonts w:ascii="宋体" w:hAnsi="宋体" w:cs="宋体" w:eastAsia="宋体" w:hint="default"/>
          <w:spacing w:val="-2"/>
        </w:rPr>
        <w:t>3,661.06%</w:t>
      </w:r>
      <w:r>
        <w:rPr>
          <w:spacing w:val="-2"/>
        </w:rPr>
        <w:t>，主要</w:t>
      </w:r>
    </w:p>
    <w:p>
      <w:pPr>
        <w:pStyle w:val="BodyText"/>
        <w:spacing w:line="350" w:lineRule="auto" w:before="32"/>
        <w:ind w:left="634" w:right="1152" w:hanging="480"/>
        <w:jc w:val="left"/>
      </w:pPr>
      <w:r>
        <w:rPr/>
        <w:t>系本期投资项目终结保证金损失以及债务重组损失增加所致。 投资项目终结保证金损失说明：本公司拟对于</w:t>
      </w:r>
      <w:r>
        <w:rPr>
          <w:rFonts w:ascii="宋体" w:hAnsi="宋体" w:cs="宋体" w:eastAsia="宋体" w:hint="default"/>
        </w:rPr>
        <w:t>2017</w:t>
      </w:r>
      <w:r>
        <w:rPr/>
        <w:t>年</w:t>
      </w:r>
      <w:r>
        <w:rPr>
          <w:rFonts w:ascii="宋体" w:hAnsi="宋体" w:cs="宋体" w:eastAsia="宋体" w:hint="default"/>
        </w:rPr>
        <w:t>3</w:t>
      </w:r>
      <w:r>
        <w:rPr/>
        <w:t>月</w:t>
      </w:r>
      <w:r>
        <w:rPr>
          <w:rFonts w:ascii="宋体" w:hAnsi="宋体" w:cs="宋体" w:eastAsia="宋体" w:hint="default"/>
        </w:rPr>
        <w:t>9</w:t>
      </w:r>
      <w:r>
        <w:rPr/>
        <w:t>日在北京产权交易所公开挂牌</w:t>
      </w:r>
    </w:p>
    <w:p>
      <w:pPr>
        <w:pStyle w:val="BodyText"/>
        <w:spacing w:line="350" w:lineRule="auto"/>
        <w:ind w:right="995"/>
        <w:jc w:val="left"/>
      </w:pPr>
      <w:r>
        <w:rPr>
          <w:spacing w:val="-2"/>
        </w:rPr>
        <w:t>征集投资方的上海富欣智能交通控制有限公司进行投资，因未与本公司融资方就《增资协议》</w:t>
      </w:r>
      <w:r>
        <w:rPr/>
        <w:t> 条款达成一致，经与被投资单位共同协商决定终结本次投资项目。本公司已支付给北京产权 交易所的</w:t>
      </w:r>
      <w:r>
        <w:rPr>
          <w:rFonts w:ascii="宋体" w:hAnsi="宋体" w:cs="宋体" w:eastAsia="宋体" w:hint="default"/>
        </w:rPr>
        <w:t>750.00</w:t>
      </w:r>
      <w:r>
        <w:rPr/>
        <w:t>万元保证金，其中</w:t>
      </w:r>
      <w:r>
        <w:rPr>
          <w:rFonts w:ascii="宋体" w:hAnsi="宋体" w:cs="宋体" w:eastAsia="宋体" w:hint="default"/>
        </w:rPr>
        <w:t>75.00</w:t>
      </w:r>
      <w:r>
        <w:rPr/>
        <w:t>万元作为支付北京产权交易所及产权经纪机构的交易 服务费；</w:t>
      </w:r>
      <w:r>
        <w:rPr>
          <w:rFonts w:ascii="宋体" w:hAnsi="宋体" w:cs="宋体" w:eastAsia="宋体" w:hint="default"/>
        </w:rPr>
        <w:t>337.50</w:t>
      </w:r>
      <w:r>
        <w:rPr/>
        <w:t>万元汇至上海富欣智能交通控制有限公司；剩余</w:t>
      </w:r>
      <w:r>
        <w:rPr>
          <w:rFonts w:ascii="宋体" w:hAnsi="宋体" w:cs="宋体" w:eastAsia="宋体" w:hint="default"/>
        </w:rPr>
        <w:t>337.50</w:t>
      </w:r>
      <w:r>
        <w:rPr/>
        <w:t>万元退回本公司。</w:t>
      </w:r>
    </w:p>
    <w:p>
      <w:pPr>
        <w:pStyle w:val="BodyText"/>
        <w:spacing w:line="352" w:lineRule="auto" w:before="35"/>
        <w:ind w:right="1170" w:firstLine="480"/>
        <w:jc w:val="both"/>
      </w:pPr>
      <w:r>
        <w:rPr/>
        <w:t>债务重组损失说明：为解决剩余货款问题，经协商公司分别与中铁电气化局集团有限公 司电气化分公司广深项目部、中铁武汉电气化局集团第一工程有限公司以及广深铁路股份有 限公司签订了债务重组协议，共免除债务 </w:t>
      </w:r>
      <w:r>
        <w:rPr>
          <w:rFonts w:ascii="宋体" w:hAnsi="宋体" w:cs="宋体" w:eastAsia="宋体" w:hint="default"/>
        </w:rPr>
        <w:t>2,073,271.64</w:t>
      </w:r>
      <w:r>
        <w:rPr/>
        <w:t>元。</w:t>
      </w:r>
    </w:p>
    <w:p>
      <w:pPr>
        <w:pStyle w:val="Heading2"/>
        <w:spacing w:line="240" w:lineRule="auto" w:before="33"/>
        <w:ind w:right="996"/>
        <w:jc w:val="left"/>
        <w:rPr>
          <w:b w:val="0"/>
          <w:bCs w:val="0"/>
        </w:rPr>
      </w:pPr>
      <w:bookmarkStart w:name="73、所得税费用" w:id="401"/>
      <w:bookmarkEnd w:id="401"/>
      <w:r>
        <w:rPr>
          <w:b w:val="0"/>
          <w:bCs w:val="0"/>
        </w:rPr>
      </w:r>
      <w:r>
        <w:rPr>
          <w:rFonts w:ascii="宋体" w:hAnsi="宋体" w:cs="宋体" w:eastAsia="宋体" w:hint="default"/>
        </w:rPr>
        <w:t>73</w:t>
      </w:r>
      <w:r>
        <w:rPr/>
        <w:t>、所得税费用</w:t>
      </w:r>
      <w:r>
        <w:rPr>
          <w:b w:val="0"/>
          <w:bCs w:val="0"/>
        </w:rPr>
      </w:r>
    </w:p>
    <w:p>
      <w:pPr>
        <w:spacing w:line="240" w:lineRule="auto" w:before="1"/>
        <w:rPr>
          <w:rFonts w:ascii="宋体" w:hAnsi="宋体" w:cs="宋体" w:eastAsia="宋体" w:hint="default"/>
          <w:b/>
          <w:bCs/>
          <w:sz w:val="23"/>
          <w:szCs w:val="23"/>
        </w:rPr>
      </w:pPr>
    </w:p>
    <w:p>
      <w:pPr>
        <w:pStyle w:val="Heading2"/>
        <w:spacing w:line="240" w:lineRule="auto" w:before="0"/>
        <w:ind w:right="996"/>
        <w:jc w:val="left"/>
        <w:rPr>
          <w:b w:val="0"/>
          <w:bCs w:val="0"/>
        </w:rPr>
      </w:pPr>
      <w:bookmarkStart w:name="（1）所得税费用表" w:id="402"/>
      <w:bookmarkEnd w:id="402"/>
      <w:r>
        <w:rPr>
          <w:b w:val="0"/>
          <w:bCs w:val="0"/>
        </w:rPr>
      </w:r>
      <w:r>
        <w:rPr/>
        <w:t>（</w:t>
      </w:r>
      <w:r>
        <w:rPr>
          <w:rFonts w:ascii="宋体" w:hAnsi="宋体" w:cs="宋体" w:eastAsia="宋体" w:hint="default"/>
        </w:rPr>
        <w:t>1</w:t>
      </w:r>
      <w:r>
        <w:rPr/>
        <w:t>）所得税费用表</w:t>
      </w:r>
      <w:r>
        <w:rPr>
          <w:b w:val="0"/>
          <w:bCs w:val="0"/>
        </w:rPr>
      </w:r>
    </w:p>
    <w:p>
      <w:pPr>
        <w:spacing w:before="201"/>
        <w:ind w:left="0" w:right="1129" w:firstLine="0"/>
        <w:jc w:val="right"/>
        <w:rPr>
          <w:rFonts w:ascii="宋体" w:hAnsi="宋体" w:cs="宋体" w:eastAsia="宋体" w:hint="default"/>
          <w:sz w:val="21"/>
          <w:szCs w:val="21"/>
        </w:rPr>
      </w:pPr>
      <w:r>
        <w:rPr>
          <w:rFonts w:ascii="宋体" w:hAnsi="宋体" w:cs="宋体" w:eastAsia="宋体" w:hint="default"/>
          <w:sz w:val="21"/>
          <w:szCs w:val="21"/>
        </w:rPr>
        <w:t>单位： 元</w:t>
      </w:r>
    </w:p>
    <w:p>
      <w:pPr>
        <w:spacing w:after="0"/>
        <w:jc w:val="right"/>
        <w:rPr>
          <w:rFonts w:ascii="宋体" w:hAnsi="宋体" w:cs="宋体" w:eastAsia="宋体" w:hint="default"/>
          <w:sz w:val="21"/>
          <w:szCs w:val="21"/>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0"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当期所得税费用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2"/>
              <w:jc w:val="right"/>
              <w:rPr>
                <w:rFonts w:ascii="宋体" w:hAnsi="宋体" w:cs="宋体" w:eastAsia="宋体" w:hint="default"/>
                <w:sz w:val="21"/>
                <w:szCs w:val="21"/>
              </w:rPr>
            </w:pPr>
            <w:r>
              <w:rPr>
                <w:rFonts w:ascii="宋体"/>
                <w:spacing w:val="-1"/>
                <w:sz w:val="21"/>
              </w:rPr>
              <w:t>21,794,054.19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21,507,097.66</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递延所得税费用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pacing w:val="-1"/>
                <w:sz w:val="21"/>
              </w:rPr>
              <w:t>-5,592,333.53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9"/>
              <w:jc w:val="right"/>
              <w:rPr>
                <w:rFonts w:ascii="宋体" w:hAnsi="宋体" w:cs="宋体" w:eastAsia="宋体" w:hint="default"/>
                <w:sz w:val="21"/>
                <w:szCs w:val="21"/>
              </w:rPr>
            </w:pPr>
            <w:r>
              <w:rPr>
                <w:rFonts w:ascii="宋体"/>
                <w:sz w:val="21"/>
              </w:rPr>
              <w:t>-166,816.31</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16,201,720.66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21,340,281.35</w:t>
            </w:r>
          </w:p>
        </w:tc>
      </w:tr>
    </w:tbl>
    <w:p>
      <w:pPr>
        <w:spacing w:line="240" w:lineRule="auto" w:before="10"/>
        <w:rPr>
          <w:rFonts w:ascii="宋体" w:hAnsi="宋体" w:cs="宋体" w:eastAsia="宋体" w:hint="default"/>
          <w:sz w:val="4"/>
          <w:szCs w:val="4"/>
        </w:rPr>
      </w:pPr>
    </w:p>
    <w:p>
      <w:pPr>
        <w:pStyle w:val="Heading2"/>
        <w:spacing w:line="240" w:lineRule="auto"/>
        <w:ind w:right="996"/>
        <w:jc w:val="left"/>
        <w:rPr>
          <w:b w:val="0"/>
          <w:bCs w:val="0"/>
        </w:rPr>
      </w:pPr>
      <w:bookmarkStart w:name="（2）会计利润与所得税费用调整过程" w:id="403"/>
      <w:bookmarkEnd w:id="403"/>
      <w:r>
        <w:rPr>
          <w:b w:val="0"/>
          <w:bCs w:val="0"/>
        </w:rPr>
      </w:r>
      <w:r>
        <w:rPr/>
        <w:t>（</w:t>
      </w:r>
      <w:r>
        <w:rPr>
          <w:rFonts w:ascii="宋体" w:hAnsi="宋体" w:cs="宋体" w:eastAsia="宋体" w:hint="default"/>
        </w:rPr>
        <w:t>2</w:t>
      </w:r>
      <w:r>
        <w:rPr/>
        <w:t>）会计利润与所得税费用调整过程</w:t>
      </w:r>
      <w:r>
        <w:rPr>
          <w:b w:val="0"/>
          <w:bCs w:val="0"/>
        </w:rPr>
      </w:r>
    </w:p>
    <w:p>
      <w:pPr>
        <w:spacing w:line="240" w:lineRule="auto" w:before="9"/>
        <w:rPr>
          <w:rFonts w:ascii="宋体" w:hAnsi="宋体" w:cs="宋体" w:eastAsia="宋体" w:hint="default"/>
          <w:b/>
          <w:bCs/>
          <w:sz w:val="12"/>
          <w:szCs w:val="12"/>
        </w:rPr>
      </w:pPr>
    </w:p>
    <w:p>
      <w:pPr>
        <w:spacing w:before="35"/>
        <w:ind w:left="0" w:right="1129" w:firstLine="0"/>
        <w:jc w:val="right"/>
        <w:rPr>
          <w:rFonts w:ascii="宋体" w:hAnsi="宋体" w:cs="宋体" w:eastAsia="宋体" w:hint="default"/>
          <w:sz w:val="21"/>
          <w:szCs w:val="21"/>
        </w:rPr>
      </w:pPr>
      <w:r>
        <w:rPr>
          <w:rFonts w:ascii="宋体" w:hAnsi="宋体" w:cs="宋体" w:eastAsia="宋体" w:hint="default"/>
          <w:sz w:val="21"/>
          <w:szCs w:val="21"/>
        </w:rPr>
        <w:t>单位： 元</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6924"/>
        <w:gridCol w:w="2634"/>
      </w:tblGrid>
      <w:tr>
        <w:trPr>
          <w:trHeight w:val="402" w:hRule="exact"/>
        </w:trPr>
        <w:tc>
          <w:tcPr>
            <w:tcW w:w="69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792" w:right="0"/>
              <w:jc w:val="left"/>
              <w:rPr>
                <w:rFonts w:ascii="宋体" w:hAnsi="宋体" w:cs="宋体" w:eastAsia="宋体" w:hint="default"/>
                <w:sz w:val="21"/>
                <w:szCs w:val="21"/>
              </w:rPr>
            </w:pPr>
            <w:r>
              <w:rPr>
                <w:rFonts w:ascii="宋体" w:hAnsi="宋体" w:cs="宋体" w:eastAsia="宋体" w:hint="default"/>
                <w:sz w:val="21"/>
                <w:szCs w:val="21"/>
              </w:rPr>
              <w:t>本期发生额</w:t>
            </w:r>
          </w:p>
        </w:tc>
      </w:tr>
      <w:tr>
        <w:trPr>
          <w:trHeight w:val="402" w:hRule="exact"/>
        </w:trPr>
        <w:tc>
          <w:tcPr>
            <w:tcW w:w="69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利润总额</w:t>
            </w:r>
          </w:p>
        </w:tc>
        <w:tc>
          <w:tcPr>
            <w:tcW w:w="263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pacing w:val="-1"/>
                <w:sz w:val="21"/>
              </w:rPr>
              <w:t>-130,137,785.58</w:t>
            </w:r>
          </w:p>
        </w:tc>
      </w:tr>
      <w:tr>
        <w:trPr>
          <w:trHeight w:val="402" w:hRule="exact"/>
        </w:trPr>
        <w:tc>
          <w:tcPr>
            <w:tcW w:w="69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按法定</w:t>
            </w:r>
            <w:r>
              <w:rPr>
                <w:rFonts w:ascii="宋体" w:hAnsi="宋体" w:cs="宋体" w:eastAsia="宋体" w:hint="default"/>
                <w:sz w:val="21"/>
                <w:szCs w:val="21"/>
              </w:rPr>
              <w:t>/</w:t>
            </w:r>
            <w:r>
              <w:rPr>
                <w:rFonts w:ascii="宋体" w:hAnsi="宋体" w:cs="宋体" w:eastAsia="宋体" w:hint="default"/>
                <w:sz w:val="21"/>
                <w:szCs w:val="21"/>
              </w:rPr>
              <w:t>适用税率计算的所得税费用</w:t>
            </w:r>
          </w:p>
        </w:tc>
        <w:tc>
          <w:tcPr>
            <w:tcW w:w="263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pacing w:val="-1"/>
                <w:sz w:val="21"/>
              </w:rPr>
              <w:t>-19,577,884.29</w:t>
            </w:r>
          </w:p>
        </w:tc>
      </w:tr>
      <w:tr>
        <w:trPr>
          <w:trHeight w:val="402" w:hRule="exact"/>
        </w:trPr>
        <w:tc>
          <w:tcPr>
            <w:tcW w:w="69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子公司适用不同税率的影响</w:t>
            </w:r>
          </w:p>
        </w:tc>
        <w:tc>
          <w:tcPr>
            <w:tcW w:w="263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19"/>
              <w:jc w:val="right"/>
              <w:rPr>
                <w:rFonts w:ascii="宋体" w:hAnsi="宋体" w:cs="宋体" w:eastAsia="宋体" w:hint="default"/>
                <w:sz w:val="21"/>
                <w:szCs w:val="21"/>
              </w:rPr>
            </w:pPr>
            <w:r>
              <w:rPr>
                <w:rFonts w:ascii="宋体"/>
                <w:sz w:val="21"/>
              </w:rPr>
              <w:t>3,362,686.73</w:t>
            </w:r>
          </w:p>
        </w:tc>
      </w:tr>
      <w:tr>
        <w:trPr>
          <w:trHeight w:val="402" w:hRule="exact"/>
        </w:trPr>
        <w:tc>
          <w:tcPr>
            <w:tcW w:w="69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调整以前期间所得税的影响</w:t>
            </w:r>
          </w:p>
        </w:tc>
        <w:tc>
          <w:tcPr>
            <w:tcW w:w="263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13,078.16</w:t>
            </w:r>
          </w:p>
        </w:tc>
      </w:tr>
      <w:tr>
        <w:trPr>
          <w:trHeight w:val="402" w:hRule="exact"/>
        </w:trPr>
        <w:tc>
          <w:tcPr>
            <w:tcW w:w="69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非应税收入的影响</w:t>
            </w:r>
          </w:p>
        </w:tc>
        <w:tc>
          <w:tcPr>
            <w:tcW w:w="263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19"/>
              <w:jc w:val="right"/>
              <w:rPr>
                <w:rFonts w:ascii="宋体" w:hAnsi="宋体" w:cs="宋体" w:eastAsia="宋体" w:hint="default"/>
                <w:sz w:val="21"/>
                <w:szCs w:val="21"/>
              </w:rPr>
            </w:pPr>
            <w:r>
              <w:rPr>
                <w:rFonts w:ascii="宋体"/>
                <w:sz w:val="21"/>
              </w:rPr>
              <w:t>-329,124.73</w:t>
            </w:r>
          </w:p>
        </w:tc>
      </w:tr>
      <w:tr>
        <w:trPr>
          <w:trHeight w:val="402" w:hRule="exact"/>
        </w:trPr>
        <w:tc>
          <w:tcPr>
            <w:tcW w:w="69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不可抵扣的成本、费用和损失的影响</w:t>
            </w:r>
          </w:p>
        </w:tc>
        <w:tc>
          <w:tcPr>
            <w:tcW w:w="263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pacing w:val="-1"/>
                <w:sz w:val="21"/>
              </w:rPr>
              <w:t>3,342,574.62</w:t>
            </w:r>
          </w:p>
        </w:tc>
      </w:tr>
      <w:tr>
        <w:trPr>
          <w:trHeight w:val="402" w:hRule="exact"/>
        </w:trPr>
        <w:tc>
          <w:tcPr>
            <w:tcW w:w="69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使用前期未确认递延所得税资产的可抵扣亏损的影响</w:t>
            </w:r>
          </w:p>
        </w:tc>
        <w:tc>
          <w:tcPr>
            <w:tcW w:w="263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19"/>
              <w:jc w:val="right"/>
              <w:rPr>
                <w:rFonts w:ascii="宋体" w:hAnsi="宋体" w:cs="宋体" w:eastAsia="宋体" w:hint="default"/>
                <w:sz w:val="21"/>
                <w:szCs w:val="21"/>
              </w:rPr>
            </w:pPr>
            <w:r>
              <w:rPr>
                <w:rFonts w:ascii="宋体"/>
                <w:sz w:val="21"/>
              </w:rPr>
              <w:t>-147,907.97</w:t>
            </w:r>
          </w:p>
        </w:tc>
      </w:tr>
      <w:tr>
        <w:trPr>
          <w:trHeight w:val="402" w:hRule="exact"/>
        </w:trPr>
        <w:tc>
          <w:tcPr>
            <w:tcW w:w="69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本期未确认递延所得税资产的可抵扣暂时性差异或可抵扣亏损的影响</w:t>
            </w:r>
          </w:p>
        </w:tc>
        <w:tc>
          <w:tcPr>
            <w:tcW w:w="263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pacing w:val="-1"/>
                <w:sz w:val="21"/>
              </w:rPr>
              <w:t>32,190,803.84</w:t>
            </w:r>
          </w:p>
        </w:tc>
      </w:tr>
      <w:tr>
        <w:trPr>
          <w:trHeight w:val="402" w:hRule="exact"/>
        </w:trPr>
        <w:tc>
          <w:tcPr>
            <w:tcW w:w="69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研发加计扣除的影响</w:t>
            </w:r>
          </w:p>
        </w:tc>
        <w:tc>
          <w:tcPr>
            <w:tcW w:w="263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pacing w:val="-1"/>
                <w:sz w:val="21"/>
              </w:rPr>
              <w:t>-2,578,382.79</w:t>
            </w:r>
          </w:p>
        </w:tc>
      </w:tr>
      <w:tr>
        <w:trPr>
          <w:trHeight w:val="402" w:hRule="exact"/>
        </w:trPr>
        <w:tc>
          <w:tcPr>
            <w:tcW w:w="69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63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-74,122.91</w:t>
            </w:r>
          </w:p>
        </w:tc>
      </w:tr>
      <w:tr>
        <w:trPr>
          <w:trHeight w:val="402" w:hRule="exact"/>
        </w:trPr>
        <w:tc>
          <w:tcPr>
            <w:tcW w:w="69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所得税费用</w:t>
            </w:r>
          </w:p>
        </w:tc>
        <w:tc>
          <w:tcPr>
            <w:tcW w:w="263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16,201,720.66</w:t>
            </w:r>
          </w:p>
        </w:tc>
      </w:tr>
    </w:tbl>
    <w:p>
      <w:pPr>
        <w:spacing w:line="240" w:lineRule="auto" w:before="10"/>
        <w:rPr>
          <w:rFonts w:ascii="宋体" w:hAnsi="宋体" w:cs="宋体" w:eastAsia="宋体" w:hint="default"/>
          <w:sz w:val="4"/>
          <w:szCs w:val="4"/>
        </w:rPr>
      </w:pPr>
    </w:p>
    <w:p>
      <w:pPr>
        <w:spacing w:line="352" w:lineRule="auto" w:before="26"/>
        <w:ind w:left="633" w:right="8344" w:firstLine="0"/>
        <w:jc w:val="left"/>
        <w:rPr>
          <w:rFonts w:ascii="宋体" w:hAnsi="宋体" w:cs="宋体" w:eastAsia="宋体" w:hint="default"/>
          <w:sz w:val="24"/>
          <w:szCs w:val="24"/>
        </w:rPr>
      </w:pPr>
      <w:r>
        <w:rPr>
          <w:rFonts w:ascii="宋体" w:hAnsi="宋体" w:cs="宋体" w:eastAsia="宋体" w:hint="default"/>
          <w:sz w:val="24"/>
          <w:szCs w:val="24"/>
        </w:rPr>
        <w:t>其他说明：无 </w:t>
      </w:r>
      <w:bookmarkStart w:name="74、其他综合收益" w:id="404"/>
      <w:bookmarkEnd w:id="404"/>
      <w:r>
        <w:rPr>
          <w:rFonts w:ascii="宋体" w:hAnsi="宋体" w:cs="宋体" w:eastAsia="宋体" w:hint="default"/>
          <w:sz w:val="24"/>
          <w:szCs w:val="24"/>
        </w:rPr>
      </w:r>
      <w:r>
        <w:rPr>
          <w:rFonts w:ascii="宋体" w:hAnsi="宋体" w:cs="宋体" w:eastAsia="宋体" w:hint="default"/>
          <w:b/>
          <w:bCs/>
          <w:sz w:val="24"/>
          <w:szCs w:val="24"/>
        </w:rPr>
        <w:t>74</w:t>
      </w:r>
      <w:r>
        <w:rPr>
          <w:rFonts w:ascii="宋体" w:hAnsi="宋体" w:cs="宋体" w:eastAsia="宋体" w:hint="default"/>
          <w:b/>
          <w:bCs/>
          <w:sz w:val="24"/>
          <w:szCs w:val="24"/>
        </w:rPr>
        <w:t>、其他综合收益</w:t>
      </w:r>
      <w:r>
        <w:rPr>
          <w:rFonts w:ascii="宋体" w:hAnsi="宋体" w:cs="宋体" w:eastAsia="宋体" w:hint="default"/>
          <w:sz w:val="24"/>
          <w:szCs w:val="24"/>
        </w:rPr>
      </w:r>
    </w:p>
    <w:p>
      <w:pPr>
        <w:spacing w:line="350" w:lineRule="auto" w:before="188"/>
        <w:ind w:left="636" w:right="8101" w:hanging="3"/>
        <w:jc w:val="left"/>
        <w:rPr>
          <w:rFonts w:ascii="宋体" w:hAnsi="宋体" w:cs="宋体" w:eastAsia="宋体" w:hint="default"/>
          <w:sz w:val="24"/>
          <w:szCs w:val="24"/>
        </w:rPr>
      </w:pPr>
      <w:r>
        <w:rPr>
          <w:rFonts w:ascii="宋体" w:hAnsi="宋体" w:cs="宋体" w:eastAsia="宋体" w:hint="default"/>
          <w:sz w:val="24"/>
          <w:szCs w:val="24"/>
        </w:rPr>
        <w:t>详见附注。 </w:t>
      </w:r>
      <w:bookmarkStart w:name="75、现金流量表项目" w:id="405"/>
      <w:bookmarkEnd w:id="405"/>
      <w:r>
        <w:rPr>
          <w:rFonts w:ascii="宋体" w:hAnsi="宋体" w:cs="宋体" w:eastAsia="宋体" w:hint="default"/>
          <w:sz w:val="24"/>
          <w:szCs w:val="24"/>
        </w:rPr>
      </w:r>
      <w:r>
        <w:rPr>
          <w:rFonts w:ascii="宋体" w:hAnsi="宋体" w:cs="宋体" w:eastAsia="宋体" w:hint="default"/>
          <w:b/>
          <w:bCs/>
          <w:sz w:val="24"/>
          <w:szCs w:val="24"/>
        </w:rPr>
        <w:t>75</w:t>
      </w:r>
      <w:r>
        <w:rPr>
          <w:rFonts w:ascii="宋体" w:hAnsi="宋体" w:cs="宋体" w:eastAsia="宋体" w:hint="default"/>
          <w:b/>
          <w:bCs/>
          <w:sz w:val="24"/>
          <w:szCs w:val="24"/>
        </w:rPr>
        <w:t>、现金流量表项目</w:t>
      </w:r>
      <w:r>
        <w:rPr>
          <w:rFonts w:ascii="宋体" w:hAnsi="宋体" w:cs="宋体" w:eastAsia="宋体" w:hint="default"/>
          <w:sz w:val="24"/>
          <w:szCs w:val="24"/>
        </w:rPr>
      </w:r>
    </w:p>
    <w:p>
      <w:pPr>
        <w:pStyle w:val="Heading2"/>
        <w:spacing w:line="240" w:lineRule="auto" w:before="192"/>
        <w:ind w:right="996"/>
        <w:jc w:val="left"/>
        <w:rPr>
          <w:b w:val="0"/>
          <w:bCs w:val="0"/>
        </w:rPr>
      </w:pPr>
      <w:bookmarkStart w:name="（1）收到的其他与经营活动有关的现金" w:id="406"/>
      <w:bookmarkEnd w:id="406"/>
      <w:r>
        <w:rPr>
          <w:b w:val="0"/>
          <w:bCs w:val="0"/>
        </w:rPr>
      </w:r>
      <w:r>
        <w:rPr/>
        <w:t>（</w:t>
      </w:r>
      <w:r>
        <w:rPr>
          <w:rFonts w:ascii="宋体" w:hAnsi="宋体" w:cs="宋体" w:eastAsia="宋体" w:hint="default"/>
        </w:rPr>
        <w:t>1</w:t>
      </w:r>
      <w:r>
        <w:rPr/>
        <w:t>）收到的其他与经营活动有关的现金</w:t>
      </w:r>
      <w:r>
        <w:rPr>
          <w:b w:val="0"/>
          <w:bCs w:val="0"/>
        </w:rPr>
      </w:r>
    </w:p>
    <w:p>
      <w:pPr>
        <w:spacing w:line="240" w:lineRule="auto" w:before="8"/>
        <w:rPr>
          <w:rFonts w:ascii="宋体" w:hAnsi="宋体" w:cs="宋体" w:eastAsia="宋体" w:hint="default"/>
          <w:b/>
          <w:bCs/>
          <w:sz w:val="12"/>
          <w:szCs w:val="12"/>
        </w:rPr>
      </w:pPr>
    </w:p>
    <w:p>
      <w:pPr>
        <w:spacing w:before="35"/>
        <w:ind w:left="0" w:right="1129" w:firstLine="0"/>
        <w:jc w:val="right"/>
        <w:rPr>
          <w:rFonts w:ascii="宋体" w:hAnsi="宋体" w:cs="宋体" w:eastAsia="宋体" w:hint="default"/>
          <w:sz w:val="21"/>
          <w:szCs w:val="21"/>
        </w:rPr>
      </w:pPr>
      <w:r>
        <w:rPr>
          <w:rFonts w:ascii="宋体" w:hAnsi="宋体" w:cs="宋体" w:eastAsia="宋体" w:hint="default"/>
          <w:sz w:val="21"/>
          <w:szCs w:val="21"/>
        </w:rPr>
        <w:t>单位： 元</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政府各类补助</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2"/>
              <w:jc w:val="right"/>
              <w:rPr>
                <w:rFonts w:ascii="宋体" w:hAnsi="宋体" w:cs="宋体" w:eastAsia="宋体" w:hint="default"/>
                <w:sz w:val="21"/>
                <w:szCs w:val="21"/>
              </w:rPr>
            </w:pPr>
            <w:r>
              <w:rPr>
                <w:rFonts w:ascii="宋体"/>
                <w:spacing w:val="-1"/>
                <w:sz w:val="21"/>
              </w:rPr>
              <w:t>1,347,876.18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9"/>
              <w:jc w:val="right"/>
              <w:rPr>
                <w:rFonts w:ascii="宋体" w:hAnsi="宋体" w:cs="宋体" w:eastAsia="宋体" w:hint="default"/>
                <w:sz w:val="21"/>
                <w:szCs w:val="21"/>
              </w:rPr>
            </w:pPr>
            <w:r>
              <w:rPr>
                <w:rFonts w:ascii="宋体"/>
                <w:sz w:val="21"/>
              </w:rPr>
              <w:t>1,766,150.00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营业外收入</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1"/>
              <w:jc w:val="right"/>
              <w:rPr>
                <w:rFonts w:ascii="宋体" w:hAnsi="宋体" w:cs="宋体" w:eastAsia="宋体" w:hint="default"/>
                <w:sz w:val="21"/>
                <w:szCs w:val="21"/>
              </w:rPr>
            </w:pPr>
            <w:r>
              <w:rPr>
                <w:rFonts w:ascii="宋体"/>
                <w:sz w:val="21"/>
              </w:rPr>
              <w:t>44,775.80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0"/>
              <w:jc w:val="right"/>
              <w:rPr>
                <w:rFonts w:ascii="宋体" w:hAnsi="宋体" w:cs="宋体" w:eastAsia="宋体" w:hint="default"/>
                <w:sz w:val="21"/>
                <w:szCs w:val="21"/>
              </w:rPr>
            </w:pPr>
            <w:r>
              <w:rPr>
                <w:rFonts w:ascii="宋体"/>
                <w:sz w:val="21"/>
              </w:rPr>
              <w:t>172,146.51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利息收入</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1"/>
              <w:jc w:val="right"/>
              <w:rPr>
                <w:rFonts w:ascii="宋体" w:hAnsi="宋体" w:cs="宋体" w:eastAsia="宋体" w:hint="default"/>
                <w:sz w:val="21"/>
                <w:szCs w:val="21"/>
              </w:rPr>
            </w:pPr>
            <w:r>
              <w:rPr>
                <w:rFonts w:ascii="宋体"/>
                <w:sz w:val="21"/>
              </w:rPr>
              <w:t>12,348,452.59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0"/>
              <w:jc w:val="right"/>
              <w:rPr>
                <w:rFonts w:ascii="宋体" w:hAnsi="宋体" w:cs="宋体" w:eastAsia="宋体" w:hint="default"/>
                <w:sz w:val="21"/>
                <w:szCs w:val="21"/>
              </w:rPr>
            </w:pPr>
            <w:r>
              <w:rPr>
                <w:rFonts w:ascii="宋体"/>
                <w:sz w:val="21"/>
              </w:rPr>
              <w:t>22,437,837.19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其它暂收往来款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0"/>
              <w:jc w:val="right"/>
              <w:rPr>
                <w:rFonts w:ascii="宋体" w:hAnsi="宋体" w:cs="宋体" w:eastAsia="宋体" w:hint="default"/>
                <w:sz w:val="21"/>
                <w:szCs w:val="21"/>
              </w:rPr>
            </w:pPr>
            <w:r>
              <w:rPr>
                <w:rFonts w:ascii="宋体"/>
                <w:sz w:val="21"/>
              </w:rPr>
              <w:t>6,351,740.23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0"/>
              <w:jc w:val="right"/>
              <w:rPr>
                <w:rFonts w:ascii="宋体" w:hAnsi="宋体" w:cs="宋体" w:eastAsia="宋体" w:hint="default"/>
                <w:sz w:val="21"/>
                <w:szCs w:val="21"/>
              </w:rPr>
            </w:pPr>
            <w:r>
              <w:rPr>
                <w:rFonts w:ascii="宋体"/>
                <w:sz w:val="21"/>
              </w:rPr>
              <w:t>621,929.76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所有权受限资产减少</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0"/>
              <w:jc w:val="right"/>
              <w:rPr>
                <w:rFonts w:ascii="宋体" w:hAnsi="宋体" w:cs="宋体" w:eastAsia="宋体" w:hint="default"/>
                <w:sz w:val="21"/>
                <w:szCs w:val="21"/>
              </w:rPr>
            </w:pPr>
            <w:r>
              <w:rPr>
                <w:rFonts w:ascii="宋体"/>
                <w:sz w:val="21"/>
              </w:rPr>
              <w:t>238,956.60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1"/>
              <w:jc w:val="right"/>
              <w:rPr>
                <w:rFonts w:ascii="宋体" w:hAnsi="宋体" w:cs="宋体" w:eastAsia="宋体" w:hint="default"/>
                <w:sz w:val="21"/>
                <w:szCs w:val="21"/>
              </w:rPr>
            </w:pPr>
            <w:r>
              <w:rPr>
                <w:rFonts w:ascii="宋体"/>
                <w:spacing w:val="-1"/>
                <w:sz w:val="21"/>
              </w:rPr>
              <w:t>20,092,844.80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0"/>
              <w:jc w:val="right"/>
              <w:rPr>
                <w:rFonts w:ascii="宋体" w:hAnsi="宋体" w:cs="宋体" w:eastAsia="宋体" w:hint="default"/>
                <w:sz w:val="21"/>
                <w:szCs w:val="21"/>
              </w:rPr>
            </w:pPr>
            <w:r>
              <w:rPr>
                <w:rFonts w:ascii="宋体"/>
                <w:sz w:val="21"/>
              </w:rPr>
              <w:t>25,237,020.06</w:t>
            </w:r>
          </w:p>
        </w:tc>
      </w:tr>
    </w:tbl>
    <w:p>
      <w:pPr>
        <w:spacing w:line="240" w:lineRule="auto" w:before="10"/>
        <w:rPr>
          <w:rFonts w:ascii="宋体" w:hAnsi="宋体" w:cs="宋体" w:eastAsia="宋体" w:hint="default"/>
          <w:sz w:val="4"/>
          <w:szCs w:val="4"/>
        </w:rPr>
      </w:pPr>
    </w:p>
    <w:p>
      <w:pPr>
        <w:pStyle w:val="BodyText"/>
        <w:spacing w:line="240" w:lineRule="auto" w:before="26"/>
        <w:ind w:left="634" w:right="996"/>
        <w:jc w:val="left"/>
      </w:pPr>
      <w:r>
        <w:rPr/>
        <w:t>收到的其他与经营活动有关的现金说明：无</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Heading2"/>
        <w:spacing w:line="240" w:lineRule="auto" w:before="199"/>
        <w:ind w:right="996"/>
        <w:jc w:val="left"/>
        <w:rPr>
          <w:b w:val="0"/>
          <w:bCs w:val="0"/>
        </w:rPr>
      </w:pPr>
      <w:bookmarkStart w:name="（2）支付的其他与经营活动有关的现金" w:id="407"/>
      <w:bookmarkEnd w:id="407"/>
      <w:r>
        <w:rPr>
          <w:b w:val="0"/>
          <w:bCs w:val="0"/>
        </w:rPr>
      </w:r>
      <w:r>
        <w:rPr/>
        <w:t>（</w:t>
      </w:r>
      <w:r>
        <w:rPr>
          <w:rFonts w:ascii="宋体" w:hAnsi="宋体" w:cs="宋体" w:eastAsia="宋体" w:hint="default"/>
        </w:rPr>
        <w:t>2</w:t>
      </w:r>
      <w:r>
        <w:rPr/>
        <w:t>）支付的其他与经营活动有关的现金</w:t>
      </w:r>
      <w:r>
        <w:rPr>
          <w:b w:val="0"/>
          <w:bCs w:val="0"/>
        </w:rPr>
      </w:r>
    </w:p>
    <w:p>
      <w:pPr>
        <w:spacing w:line="240" w:lineRule="auto" w:before="8"/>
        <w:rPr>
          <w:rFonts w:ascii="宋体" w:hAnsi="宋体" w:cs="宋体" w:eastAsia="宋体" w:hint="default"/>
          <w:b/>
          <w:bCs/>
          <w:sz w:val="12"/>
          <w:szCs w:val="12"/>
        </w:rPr>
      </w:pPr>
    </w:p>
    <w:p>
      <w:pPr>
        <w:spacing w:before="35"/>
        <w:ind w:left="0" w:right="1129" w:firstLine="0"/>
        <w:jc w:val="right"/>
        <w:rPr>
          <w:rFonts w:ascii="宋体" w:hAnsi="宋体" w:cs="宋体" w:eastAsia="宋体" w:hint="default"/>
          <w:sz w:val="21"/>
          <w:szCs w:val="21"/>
        </w:rPr>
      </w:pPr>
      <w:r>
        <w:rPr>
          <w:rFonts w:ascii="宋体" w:hAnsi="宋体" w:cs="宋体" w:eastAsia="宋体" w:hint="default"/>
          <w:sz w:val="21"/>
          <w:szCs w:val="21"/>
        </w:rPr>
        <w:t>单位： 元</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销售费用、管理费用付现</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2"/>
              <w:jc w:val="right"/>
              <w:rPr>
                <w:rFonts w:ascii="宋体" w:hAnsi="宋体" w:cs="宋体" w:eastAsia="宋体" w:hint="default"/>
                <w:sz w:val="21"/>
                <w:szCs w:val="21"/>
              </w:rPr>
            </w:pPr>
            <w:r>
              <w:rPr>
                <w:rFonts w:ascii="宋体"/>
                <w:spacing w:val="-1"/>
                <w:sz w:val="21"/>
              </w:rPr>
              <w:t>77,439,704.47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58,364,954.52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财务费用手续费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3"/>
              <w:jc w:val="right"/>
              <w:rPr>
                <w:rFonts w:ascii="宋体" w:hAnsi="宋体" w:cs="宋体" w:eastAsia="宋体" w:hint="default"/>
                <w:sz w:val="21"/>
                <w:szCs w:val="21"/>
              </w:rPr>
            </w:pPr>
            <w:r>
              <w:rPr>
                <w:rFonts w:ascii="宋体"/>
                <w:sz w:val="21"/>
              </w:rPr>
              <w:t>362,584.53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473,316.24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营业外支出付现</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3,485,864.10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100,225.71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其他暂付款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9,037,911.36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10,424,393.99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所有权受限资产增加</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2,459,971.35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662,110.55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92,786,035.81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70,025,001.01</w:t>
            </w:r>
          </w:p>
        </w:tc>
      </w:tr>
    </w:tbl>
    <w:p>
      <w:pPr>
        <w:spacing w:line="240" w:lineRule="auto" w:before="10"/>
        <w:rPr>
          <w:rFonts w:ascii="宋体" w:hAnsi="宋体" w:cs="宋体" w:eastAsia="宋体" w:hint="default"/>
          <w:sz w:val="4"/>
          <w:szCs w:val="4"/>
        </w:rPr>
      </w:pPr>
    </w:p>
    <w:p>
      <w:pPr>
        <w:pStyle w:val="BodyText"/>
        <w:spacing w:line="240" w:lineRule="auto" w:before="26"/>
        <w:ind w:left="634" w:right="996"/>
        <w:jc w:val="left"/>
      </w:pPr>
      <w:r>
        <w:rPr/>
        <w:t>支付的其他与经营活动有关的现金说明：无</w:t>
      </w:r>
    </w:p>
    <w:p>
      <w:pPr>
        <w:pStyle w:val="Heading2"/>
        <w:spacing w:line="240" w:lineRule="auto" w:before="145"/>
        <w:ind w:right="996"/>
        <w:jc w:val="left"/>
        <w:rPr>
          <w:b w:val="0"/>
          <w:bCs w:val="0"/>
        </w:rPr>
      </w:pPr>
      <w:bookmarkStart w:name="（3）收到的其他与投资活动有关的现金" w:id="408"/>
      <w:bookmarkEnd w:id="408"/>
      <w:r>
        <w:rPr>
          <w:b w:val="0"/>
          <w:bCs w:val="0"/>
        </w:rPr>
      </w:r>
      <w:r>
        <w:rPr/>
        <w:t>（</w:t>
      </w:r>
      <w:r>
        <w:rPr>
          <w:rFonts w:ascii="宋体" w:hAnsi="宋体" w:cs="宋体" w:eastAsia="宋体" w:hint="default"/>
        </w:rPr>
        <w:t>3</w:t>
      </w:r>
      <w:r>
        <w:rPr/>
        <w:t>）收到的其他与投资活动有关的现金</w:t>
      </w:r>
      <w:r>
        <w:rPr>
          <w:b w:val="0"/>
          <w:bCs w:val="0"/>
        </w:rPr>
      </w:r>
    </w:p>
    <w:p>
      <w:pPr>
        <w:spacing w:line="240" w:lineRule="auto" w:before="2"/>
        <w:rPr>
          <w:rFonts w:ascii="宋体" w:hAnsi="宋体" w:cs="宋体" w:eastAsia="宋体" w:hint="default"/>
          <w:b/>
          <w:bCs/>
          <w:sz w:val="23"/>
          <w:szCs w:val="23"/>
        </w:rPr>
      </w:pPr>
    </w:p>
    <w:p>
      <w:pPr>
        <w:pStyle w:val="BodyText"/>
        <w:spacing w:line="350" w:lineRule="auto" w:before="0"/>
        <w:ind w:left="634" w:right="5712"/>
        <w:jc w:val="left"/>
      </w:pPr>
      <w:r>
        <w:rPr/>
        <w:t>无 收到的其他与投资活动有关的现金说明：无</w:t>
      </w:r>
    </w:p>
    <w:p>
      <w:pPr>
        <w:pStyle w:val="Heading2"/>
        <w:spacing w:line="240" w:lineRule="auto" w:before="35"/>
        <w:ind w:right="996"/>
        <w:jc w:val="left"/>
        <w:rPr>
          <w:b w:val="0"/>
          <w:bCs w:val="0"/>
        </w:rPr>
      </w:pPr>
      <w:bookmarkStart w:name="（4）支付的其他与投资活动有关的现金" w:id="409"/>
      <w:bookmarkEnd w:id="409"/>
      <w:r>
        <w:rPr>
          <w:b w:val="0"/>
          <w:bCs w:val="0"/>
        </w:rPr>
      </w:r>
      <w:r>
        <w:rPr/>
        <w:t>（</w:t>
      </w:r>
      <w:r>
        <w:rPr>
          <w:rFonts w:ascii="宋体" w:hAnsi="宋体" w:cs="宋体" w:eastAsia="宋体" w:hint="default"/>
        </w:rPr>
        <w:t>4</w:t>
      </w:r>
      <w:r>
        <w:rPr/>
        <w:t>）支付的其他与投资活动有关的现金</w:t>
      </w:r>
      <w:r>
        <w:rPr>
          <w:b w:val="0"/>
          <w:bCs w:val="0"/>
        </w:rPr>
      </w:r>
    </w:p>
    <w:p>
      <w:pPr>
        <w:spacing w:line="240" w:lineRule="auto" w:before="2"/>
        <w:rPr>
          <w:rFonts w:ascii="宋体" w:hAnsi="宋体" w:cs="宋体" w:eastAsia="宋体" w:hint="default"/>
          <w:b/>
          <w:bCs/>
          <w:sz w:val="23"/>
          <w:szCs w:val="23"/>
        </w:rPr>
      </w:pPr>
    </w:p>
    <w:p>
      <w:pPr>
        <w:pStyle w:val="BodyText"/>
        <w:spacing w:line="350" w:lineRule="auto" w:before="0"/>
        <w:ind w:left="634" w:right="5712"/>
        <w:jc w:val="left"/>
      </w:pPr>
      <w:r>
        <w:rPr/>
        <w:t>无 支付的其他与投资活动有关的现金说明：无</w:t>
      </w:r>
    </w:p>
    <w:p>
      <w:pPr>
        <w:pStyle w:val="Heading2"/>
        <w:spacing w:line="240" w:lineRule="auto" w:before="35"/>
        <w:ind w:right="996"/>
        <w:jc w:val="left"/>
        <w:rPr>
          <w:b w:val="0"/>
          <w:bCs w:val="0"/>
        </w:rPr>
      </w:pPr>
      <w:bookmarkStart w:name="（5）收到的其他与筹资活动有关的现金" w:id="410"/>
      <w:bookmarkEnd w:id="410"/>
      <w:r>
        <w:rPr>
          <w:b w:val="0"/>
          <w:bCs w:val="0"/>
        </w:rPr>
      </w:r>
      <w:r>
        <w:rPr/>
        <w:t>（</w:t>
      </w:r>
      <w:r>
        <w:rPr>
          <w:rFonts w:ascii="宋体" w:hAnsi="宋体" w:cs="宋体" w:eastAsia="宋体" w:hint="default"/>
        </w:rPr>
        <w:t>5</w:t>
      </w:r>
      <w:r>
        <w:rPr/>
        <w:t>）收到的其他与筹资活动有关的现金</w:t>
      </w:r>
      <w:r>
        <w:rPr>
          <w:b w:val="0"/>
          <w:bCs w:val="0"/>
        </w:rPr>
      </w:r>
    </w:p>
    <w:p>
      <w:pPr>
        <w:spacing w:line="240" w:lineRule="auto" w:before="2"/>
        <w:rPr>
          <w:rFonts w:ascii="宋体" w:hAnsi="宋体" w:cs="宋体" w:eastAsia="宋体" w:hint="default"/>
          <w:b/>
          <w:bCs/>
          <w:sz w:val="23"/>
          <w:szCs w:val="23"/>
        </w:rPr>
      </w:pPr>
    </w:p>
    <w:p>
      <w:pPr>
        <w:pStyle w:val="BodyText"/>
        <w:spacing w:line="350" w:lineRule="auto" w:before="0"/>
        <w:ind w:left="634" w:right="5712"/>
        <w:jc w:val="left"/>
      </w:pPr>
      <w:r>
        <w:rPr/>
        <w:t>无 收到的其他与筹资活动有关的现金说明：无</w:t>
      </w:r>
    </w:p>
    <w:p>
      <w:pPr>
        <w:pStyle w:val="Heading2"/>
        <w:spacing w:line="240" w:lineRule="auto" w:before="35"/>
        <w:ind w:right="996"/>
        <w:jc w:val="left"/>
        <w:rPr>
          <w:b w:val="0"/>
          <w:bCs w:val="0"/>
        </w:rPr>
      </w:pPr>
      <w:bookmarkStart w:name="（6）支付的其他与筹资活动有关的现金" w:id="411"/>
      <w:bookmarkEnd w:id="411"/>
      <w:r>
        <w:rPr>
          <w:b w:val="0"/>
          <w:bCs w:val="0"/>
        </w:rPr>
      </w:r>
      <w:r>
        <w:rPr/>
        <w:t>（</w:t>
      </w:r>
      <w:r>
        <w:rPr>
          <w:rFonts w:ascii="宋体" w:hAnsi="宋体" w:cs="宋体" w:eastAsia="宋体" w:hint="default"/>
        </w:rPr>
        <w:t>6</w:t>
      </w:r>
      <w:r>
        <w:rPr/>
        <w:t>）支付的其他与筹资活动有关的现金</w:t>
      </w:r>
      <w:r>
        <w:rPr>
          <w:b w:val="0"/>
          <w:bCs w:val="0"/>
        </w:rPr>
      </w:r>
    </w:p>
    <w:p>
      <w:pPr>
        <w:spacing w:line="240" w:lineRule="auto" w:before="2"/>
        <w:rPr>
          <w:rFonts w:ascii="宋体" w:hAnsi="宋体" w:cs="宋体" w:eastAsia="宋体" w:hint="default"/>
          <w:b/>
          <w:bCs/>
          <w:sz w:val="23"/>
          <w:szCs w:val="23"/>
        </w:rPr>
      </w:pPr>
    </w:p>
    <w:p>
      <w:pPr>
        <w:spacing w:line="350" w:lineRule="auto" w:before="0"/>
        <w:ind w:left="634" w:right="5712" w:firstLine="0"/>
        <w:jc w:val="left"/>
        <w:rPr>
          <w:rFonts w:ascii="宋体" w:hAnsi="宋体" w:cs="宋体" w:eastAsia="宋体" w:hint="default"/>
          <w:sz w:val="24"/>
          <w:szCs w:val="24"/>
        </w:rPr>
      </w:pPr>
      <w:r>
        <w:rPr>
          <w:rFonts w:ascii="宋体" w:hAnsi="宋体" w:cs="宋体" w:eastAsia="宋体" w:hint="default"/>
          <w:sz w:val="24"/>
          <w:szCs w:val="24"/>
        </w:rPr>
        <w:t>无 支付的其他与筹资活动有关的现金说明：无 </w:t>
      </w:r>
      <w:bookmarkStart w:name="76、现金流量表补充资料" w:id="412"/>
      <w:bookmarkEnd w:id="412"/>
      <w:r>
        <w:rPr>
          <w:rFonts w:ascii="宋体" w:hAnsi="宋体" w:cs="宋体" w:eastAsia="宋体" w:hint="default"/>
          <w:sz w:val="24"/>
          <w:szCs w:val="24"/>
        </w:rPr>
      </w:r>
      <w:r>
        <w:rPr>
          <w:rFonts w:ascii="宋体" w:hAnsi="宋体" w:cs="宋体" w:eastAsia="宋体" w:hint="default"/>
          <w:b/>
          <w:bCs/>
          <w:sz w:val="24"/>
          <w:szCs w:val="24"/>
        </w:rPr>
        <w:t>76</w:t>
      </w:r>
      <w:r>
        <w:rPr>
          <w:rFonts w:ascii="宋体" w:hAnsi="宋体" w:cs="宋体" w:eastAsia="宋体" w:hint="default"/>
          <w:b/>
          <w:bCs/>
          <w:sz w:val="24"/>
          <w:szCs w:val="24"/>
        </w:rPr>
        <w:t>、现金流量表补充资料</w:t>
      </w:r>
      <w:r>
        <w:rPr>
          <w:rFonts w:ascii="宋体" w:hAnsi="宋体" w:cs="宋体" w:eastAsia="宋体" w:hint="default"/>
          <w:sz w:val="24"/>
          <w:szCs w:val="24"/>
        </w:rPr>
      </w:r>
    </w:p>
    <w:p>
      <w:pPr>
        <w:pStyle w:val="Heading2"/>
        <w:spacing w:line="240" w:lineRule="auto" w:before="192"/>
        <w:ind w:right="996"/>
        <w:jc w:val="left"/>
        <w:rPr>
          <w:b w:val="0"/>
          <w:bCs w:val="0"/>
        </w:rPr>
      </w:pPr>
      <w:bookmarkStart w:name="（1）现金流量表补充资料" w:id="413"/>
      <w:bookmarkEnd w:id="413"/>
      <w:r>
        <w:rPr>
          <w:b w:val="0"/>
          <w:bCs w:val="0"/>
        </w:rPr>
      </w:r>
      <w:r>
        <w:rPr/>
        <w:t>（</w:t>
      </w:r>
      <w:r>
        <w:rPr>
          <w:rFonts w:ascii="宋体" w:hAnsi="宋体" w:cs="宋体" w:eastAsia="宋体" w:hint="default"/>
        </w:rPr>
        <w:t>1</w:t>
      </w:r>
      <w:r>
        <w:rPr/>
        <w:t>）现金流量表补充资料</w:t>
      </w:r>
      <w:r>
        <w:rPr>
          <w:b w:val="0"/>
          <w:bCs w:val="0"/>
        </w:rPr>
      </w:r>
    </w:p>
    <w:p>
      <w:pPr>
        <w:spacing w:line="240" w:lineRule="auto" w:before="8"/>
        <w:rPr>
          <w:rFonts w:ascii="宋体" w:hAnsi="宋体" w:cs="宋体" w:eastAsia="宋体" w:hint="default"/>
          <w:b/>
          <w:bCs/>
          <w:sz w:val="12"/>
          <w:szCs w:val="12"/>
        </w:rPr>
      </w:pPr>
    </w:p>
    <w:p>
      <w:pPr>
        <w:spacing w:before="35"/>
        <w:ind w:left="0" w:right="1129" w:firstLine="0"/>
        <w:jc w:val="right"/>
        <w:rPr>
          <w:rFonts w:ascii="宋体" w:hAnsi="宋体" w:cs="宋体" w:eastAsia="宋体" w:hint="default"/>
          <w:sz w:val="21"/>
          <w:szCs w:val="21"/>
        </w:rPr>
      </w:pPr>
      <w:r>
        <w:rPr>
          <w:rFonts w:ascii="宋体" w:hAnsi="宋体" w:cs="宋体" w:eastAsia="宋体" w:hint="default"/>
          <w:sz w:val="21"/>
          <w:szCs w:val="21"/>
        </w:rPr>
        <w:t>单位： 元</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5365"/>
        <w:gridCol w:w="2280"/>
        <w:gridCol w:w="1913"/>
      </w:tblGrid>
      <w:tr>
        <w:trPr>
          <w:trHeight w:val="403"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1" w:right="1"/>
              <w:jc w:val="center"/>
              <w:rPr>
                <w:rFonts w:ascii="宋体" w:hAnsi="宋体" w:cs="宋体" w:eastAsia="宋体" w:hint="default"/>
                <w:sz w:val="21"/>
                <w:szCs w:val="21"/>
              </w:rPr>
            </w:pPr>
            <w:r>
              <w:rPr>
                <w:rFonts w:ascii="宋体" w:hAnsi="宋体" w:cs="宋体" w:eastAsia="宋体" w:hint="default"/>
                <w:sz w:val="21"/>
                <w:szCs w:val="21"/>
              </w:rPr>
              <w:t>补充资料</w:t>
            </w:r>
          </w:p>
        </w:tc>
        <w:tc>
          <w:tcPr>
            <w:tcW w:w="22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719" w:right="0"/>
              <w:jc w:val="left"/>
              <w:rPr>
                <w:rFonts w:ascii="宋体" w:hAnsi="宋体" w:cs="宋体" w:eastAsia="宋体" w:hint="default"/>
                <w:sz w:val="21"/>
                <w:szCs w:val="21"/>
              </w:rPr>
            </w:pPr>
            <w:r>
              <w:rPr>
                <w:rFonts w:ascii="宋体" w:hAnsi="宋体" w:cs="宋体" w:eastAsia="宋体" w:hint="default"/>
                <w:sz w:val="21"/>
                <w:szCs w:val="21"/>
              </w:rPr>
              <w:t>本期金额</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531" w:right="0"/>
              <w:jc w:val="left"/>
              <w:rPr>
                <w:rFonts w:ascii="宋体" w:hAnsi="宋体" w:cs="宋体" w:eastAsia="宋体" w:hint="default"/>
                <w:sz w:val="21"/>
                <w:szCs w:val="21"/>
              </w:rPr>
            </w:pPr>
            <w:r>
              <w:rPr>
                <w:rFonts w:ascii="宋体" w:hAnsi="宋体" w:cs="宋体" w:eastAsia="宋体" w:hint="default"/>
                <w:sz w:val="21"/>
                <w:szCs w:val="21"/>
              </w:rPr>
              <w:t>上期金额</w:t>
            </w:r>
          </w:p>
        </w:tc>
      </w:tr>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11"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．将净利润调节为经营活动现金流量：</w:t>
            </w:r>
          </w:p>
        </w:tc>
        <w:tc>
          <w:tcPr>
            <w:tcW w:w="22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11" w:right="0"/>
              <w:jc w:val="center"/>
              <w:rPr>
                <w:rFonts w:ascii="宋体" w:hAnsi="宋体" w:cs="宋体" w:eastAsia="宋体" w:hint="default"/>
                <w:sz w:val="21"/>
                <w:szCs w:val="21"/>
              </w:rPr>
            </w:pPr>
            <w:r>
              <w:rPr>
                <w:rFonts w:ascii="宋体"/>
                <w:sz w:val="21"/>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right="0"/>
              <w:jc w:val="center"/>
              <w:rPr>
                <w:rFonts w:ascii="宋体" w:hAnsi="宋体" w:cs="宋体" w:eastAsia="宋体" w:hint="default"/>
                <w:sz w:val="21"/>
                <w:szCs w:val="21"/>
              </w:rPr>
            </w:pPr>
            <w:r>
              <w:rPr>
                <w:rFonts w:ascii="宋体"/>
                <w:sz w:val="21"/>
              </w:rPr>
              <w:t>--</w:t>
            </w:r>
          </w:p>
        </w:tc>
      </w:tr>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2"/>
              <w:jc w:val="right"/>
              <w:rPr>
                <w:rFonts w:ascii="宋体" w:hAnsi="宋体" w:cs="宋体" w:eastAsia="宋体" w:hint="default"/>
                <w:sz w:val="21"/>
                <w:szCs w:val="21"/>
              </w:rPr>
            </w:pPr>
            <w:r>
              <w:rPr>
                <w:rFonts w:ascii="宋体"/>
                <w:spacing w:val="-1"/>
                <w:sz w:val="21"/>
              </w:rPr>
              <w:t>-146,339,506.24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516" w:right="0"/>
              <w:jc w:val="left"/>
              <w:rPr>
                <w:rFonts w:ascii="宋体" w:hAnsi="宋体" w:cs="宋体" w:eastAsia="宋体" w:hint="default"/>
                <w:sz w:val="21"/>
                <w:szCs w:val="21"/>
              </w:rPr>
            </w:pPr>
            <w:r>
              <w:rPr>
                <w:rFonts w:ascii="宋体"/>
                <w:sz w:val="21"/>
              </w:rPr>
              <w:t>85,070,143.95</w:t>
            </w:r>
          </w:p>
        </w:tc>
      </w:tr>
      <w:tr>
        <w:trPr>
          <w:trHeight w:val="403"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加：资产减值准备</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235,243,749.62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516" w:right="0"/>
              <w:jc w:val="left"/>
              <w:rPr>
                <w:rFonts w:ascii="宋体" w:hAnsi="宋体" w:cs="宋体" w:eastAsia="宋体" w:hint="default"/>
                <w:sz w:val="21"/>
                <w:szCs w:val="21"/>
              </w:rPr>
            </w:pPr>
            <w:r>
              <w:rPr>
                <w:rFonts w:ascii="宋体"/>
                <w:sz w:val="21"/>
              </w:rPr>
              <w:t>27,863,078.96</w:t>
            </w:r>
          </w:p>
        </w:tc>
      </w:tr>
    </w:tbl>
    <w:p>
      <w:pPr>
        <w:spacing w:after="0" w:line="240" w:lineRule="auto"/>
        <w:jc w:val="left"/>
        <w:rPr>
          <w:rFonts w:ascii="宋体" w:hAnsi="宋体" w:cs="宋体" w:eastAsia="宋体" w:hint="default"/>
          <w:sz w:val="21"/>
          <w:szCs w:val="21"/>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5365"/>
        <w:gridCol w:w="2280"/>
        <w:gridCol w:w="1913"/>
      </w:tblGrid>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固定资产折旧、油气资产折耗、生产性生物资产折旧</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13,429,974.48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19,083,599.93</w:t>
            </w:r>
          </w:p>
        </w:tc>
      </w:tr>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无形资产摊销</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2,464,713.22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9"/>
              <w:jc w:val="right"/>
              <w:rPr>
                <w:rFonts w:ascii="宋体" w:hAnsi="宋体" w:cs="宋体" w:eastAsia="宋体" w:hint="default"/>
                <w:sz w:val="21"/>
                <w:szCs w:val="21"/>
              </w:rPr>
            </w:pPr>
            <w:r>
              <w:rPr>
                <w:rFonts w:ascii="宋体"/>
                <w:sz w:val="21"/>
              </w:rPr>
              <w:t>3,014,494.00</w:t>
            </w:r>
          </w:p>
        </w:tc>
      </w:tr>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长期待摊费用摊销</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8,792,602.44</w:t>
            </w: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11" w:right="91"/>
              <w:jc w:val="left"/>
              <w:rPr>
                <w:rFonts w:ascii="宋体" w:hAnsi="宋体" w:cs="宋体" w:eastAsia="宋体" w:hint="default"/>
                <w:sz w:val="21"/>
                <w:szCs w:val="21"/>
              </w:rPr>
            </w:pPr>
            <w:r>
              <w:rPr>
                <w:rFonts w:ascii="宋体" w:hAnsi="宋体" w:cs="宋体" w:eastAsia="宋体" w:hint="default"/>
                <w:sz w:val="21"/>
                <w:szCs w:val="21"/>
              </w:rPr>
              <w:t>处置固定资产、无形资产和其他长期资产的损失（收益以 “－”号填列）</w:t>
            </w:r>
          </w:p>
        </w:tc>
        <w:tc>
          <w:tcPr>
            <w:tcW w:w="2280" w:type="dxa"/>
            <w:tcBorders>
              <w:top w:val="single" w:sz="4" w:space="0" w:color="000000"/>
              <w:left w:val="single" w:sz="13" w:space="0" w:color="D2D2D2"/>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0"/>
              <w:jc w:val="right"/>
              <w:rPr>
                <w:rFonts w:ascii="宋体" w:hAnsi="宋体" w:cs="宋体" w:eastAsia="宋体" w:hint="default"/>
                <w:sz w:val="21"/>
                <w:szCs w:val="21"/>
              </w:rPr>
            </w:pPr>
            <w:r>
              <w:rPr>
                <w:rFonts w:ascii="宋体"/>
                <w:sz w:val="21"/>
              </w:rPr>
              <w:t>-75,639.04</w:t>
            </w:r>
          </w:p>
        </w:tc>
      </w:tr>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固定资产报废损失（收益以“－”号填列）</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12,381.05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50,782.25</w:t>
            </w:r>
          </w:p>
        </w:tc>
      </w:tr>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财务费用（收益以“－”号填列）</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27,626,904.32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29,517,707.89</w:t>
            </w:r>
          </w:p>
        </w:tc>
      </w:tr>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投资损失（收益以“－”号填列）</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14,715,210.50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14,166,435.10</w:t>
            </w:r>
          </w:p>
        </w:tc>
      </w:tr>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递延所得税资产减少（增加以“－”号填列）</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2"/>
              <w:jc w:val="right"/>
              <w:rPr>
                <w:rFonts w:ascii="宋体" w:hAnsi="宋体" w:cs="宋体" w:eastAsia="宋体" w:hint="default"/>
                <w:sz w:val="21"/>
                <w:szCs w:val="21"/>
              </w:rPr>
            </w:pPr>
            <w:r>
              <w:rPr>
                <w:rFonts w:ascii="宋体"/>
                <w:spacing w:val="-1"/>
                <w:sz w:val="21"/>
              </w:rPr>
              <w:t>-8,796,862.83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541,765.09</w:t>
            </w:r>
          </w:p>
        </w:tc>
      </w:tr>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递延所得税负债增加（减少以“－”号填列）</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3,204,529.30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9"/>
              <w:jc w:val="right"/>
              <w:rPr>
                <w:rFonts w:ascii="宋体" w:hAnsi="宋体" w:cs="宋体" w:eastAsia="宋体" w:hint="default"/>
                <w:sz w:val="21"/>
                <w:szCs w:val="21"/>
              </w:rPr>
            </w:pPr>
            <w:r>
              <w:rPr>
                <w:rFonts w:ascii="宋体"/>
                <w:sz w:val="21"/>
              </w:rPr>
              <w:t>-708,581.40</w:t>
            </w:r>
          </w:p>
        </w:tc>
      </w:tr>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存货的减少（增加以“－”号填列）</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pacing w:val="-1"/>
                <w:sz w:val="21"/>
              </w:rPr>
              <w:t>-14,566,444.75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42,598,906.54</w:t>
            </w:r>
          </w:p>
        </w:tc>
      </w:tr>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经营性应收项目的减少（增加以“－”号填列）</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2"/>
              <w:jc w:val="right"/>
              <w:rPr>
                <w:rFonts w:ascii="宋体" w:hAnsi="宋体" w:cs="宋体" w:eastAsia="宋体" w:hint="default"/>
                <w:sz w:val="21"/>
                <w:szCs w:val="21"/>
              </w:rPr>
            </w:pPr>
            <w:r>
              <w:rPr>
                <w:rFonts w:ascii="宋体"/>
                <w:spacing w:val="-1"/>
                <w:sz w:val="21"/>
              </w:rPr>
              <w:t>-120,911,336.20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pacing w:val="-1"/>
                <w:sz w:val="21"/>
              </w:rPr>
              <w:t>-4,781,174.26</w:t>
            </w:r>
          </w:p>
        </w:tc>
      </w:tr>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经营性应付项目的增加（减少以“－”号填列）</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44,842,995.40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pacing w:val="-1"/>
                <w:sz w:val="21"/>
              </w:rPr>
              <w:t>-79,772,310.83</w:t>
            </w:r>
          </w:p>
        </w:tc>
      </w:tr>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59,718,910.31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9"/>
              <w:jc w:val="right"/>
              <w:rPr>
                <w:rFonts w:ascii="宋体" w:hAnsi="宋体" w:cs="宋体" w:eastAsia="宋体" w:hint="default"/>
                <w:sz w:val="21"/>
                <w:szCs w:val="21"/>
              </w:rPr>
            </w:pPr>
            <w:r>
              <w:rPr>
                <w:rFonts w:ascii="宋体"/>
                <w:sz w:val="21"/>
              </w:rPr>
              <w:t>136,569,208.18</w:t>
            </w:r>
          </w:p>
        </w:tc>
      </w:tr>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．不涉及现金收支的重大投资和筹资活动：</w:t>
            </w:r>
          </w:p>
        </w:tc>
        <w:tc>
          <w:tcPr>
            <w:tcW w:w="22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center"/>
              <w:rPr>
                <w:rFonts w:ascii="宋体" w:hAnsi="宋体" w:cs="宋体" w:eastAsia="宋体" w:hint="default"/>
                <w:sz w:val="21"/>
                <w:szCs w:val="21"/>
              </w:rPr>
            </w:pPr>
            <w:r>
              <w:rPr>
                <w:rFonts w:ascii="宋体"/>
                <w:sz w:val="21"/>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sz w:val="21"/>
              </w:rPr>
              <w:t>--</w:t>
            </w:r>
          </w:p>
        </w:tc>
      </w:tr>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．现金及现金等价物净变动情况：</w:t>
            </w:r>
          </w:p>
        </w:tc>
        <w:tc>
          <w:tcPr>
            <w:tcW w:w="22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center"/>
              <w:rPr>
                <w:rFonts w:ascii="宋体" w:hAnsi="宋体" w:cs="宋体" w:eastAsia="宋体" w:hint="default"/>
                <w:sz w:val="21"/>
                <w:szCs w:val="21"/>
              </w:rPr>
            </w:pPr>
            <w:r>
              <w:rPr>
                <w:rFonts w:ascii="宋体"/>
                <w:sz w:val="21"/>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sz w:val="21"/>
              </w:rPr>
              <w:t>--</w:t>
            </w:r>
          </w:p>
        </w:tc>
      </w:tr>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现金的期末余额</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875,069,643.04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9"/>
              <w:jc w:val="right"/>
              <w:rPr>
                <w:rFonts w:ascii="宋体" w:hAnsi="宋体" w:cs="宋体" w:eastAsia="宋体" w:hint="default"/>
                <w:sz w:val="21"/>
                <w:szCs w:val="21"/>
              </w:rPr>
            </w:pPr>
            <w:r>
              <w:rPr>
                <w:rFonts w:ascii="宋体"/>
                <w:sz w:val="21"/>
              </w:rPr>
              <w:t>820,682,598.12</w:t>
            </w:r>
          </w:p>
        </w:tc>
      </w:tr>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减：现金的期初余额</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820,682,598.12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9"/>
              <w:jc w:val="right"/>
              <w:rPr>
                <w:rFonts w:ascii="宋体" w:hAnsi="宋体" w:cs="宋体" w:eastAsia="宋体" w:hint="default"/>
                <w:sz w:val="21"/>
                <w:szCs w:val="21"/>
              </w:rPr>
            </w:pPr>
            <w:r>
              <w:rPr>
                <w:rFonts w:ascii="宋体"/>
                <w:sz w:val="21"/>
              </w:rPr>
              <w:t>808,089,388.62</w:t>
            </w:r>
          </w:p>
        </w:tc>
      </w:tr>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现金及现金等价物净增加额</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54,387,044.92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12,593,209.50</w:t>
            </w:r>
          </w:p>
        </w:tc>
      </w:tr>
    </w:tbl>
    <w:p>
      <w:pPr>
        <w:spacing w:line="240" w:lineRule="auto" w:before="10"/>
        <w:rPr>
          <w:rFonts w:ascii="宋体" w:hAnsi="宋体" w:cs="宋体" w:eastAsia="宋体" w:hint="default"/>
          <w:sz w:val="4"/>
          <w:szCs w:val="4"/>
        </w:rPr>
      </w:pPr>
    </w:p>
    <w:p>
      <w:pPr>
        <w:pStyle w:val="Heading2"/>
        <w:spacing w:line="240" w:lineRule="auto"/>
        <w:ind w:right="996"/>
        <w:jc w:val="left"/>
        <w:rPr>
          <w:b w:val="0"/>
          <w:bCs w:val="0"/>
        </w:rPr>
      </w:pPr>
      <w:bookmarkStart w:name="（2）本期支付的取得子公司的现金净额" w:id="414"/>
      <w:bookmarkEnd w:id="414"/>
      <w:r>
        <w:rPr>
          <w:b w:val="0"/>
          <w:bCs w:val="0"/>
        </w:rPr>
      </w:r>
      <w:r>
        <w:rPr/>
        <w:t>（</w:t>
      </w:r>
      <w:r>
        <w:rPr>
          <w:rFonts w:ascii="宋体" w:hAnsi="宋体" w:cs="宋体" w:eastAsia="宋体" w:hint="default"/>
        </w:rPr>
        <w:t>2</w:t>
      </w:r>
      <w:r>
        <w:rPr/>
        <w:t>）本期支付的取得子公司的现金净额</w:t>
      </w:r>
      <w:r>
        <w:rPr>
          <w:b w:val="0"/>
          <w:bCs w:val="0"/>
        </w:rPr>
      </w:r>
    </w:p>
    <w:p>
      <w:pPr>
        <w:spacing w:line="240" w:lineRule="auto" w:before="9"/>
        <w:rPr>
          <w:rFonts w:ascii="宋体" w:hAnsi="宋体" w:cs="宋体" w:eastAsia="宋体" w:hint="default"/>
          <w:b/>
          <w:bCs/>
          <w:sz w:val="12"/>
          <w:szCs w:val="12"/>
        </w:rPr>
      </w:pPr>
    </w:p>
    <w:p>
      <w:pPr>
        <w:spacing w:before="35"/>
        <w:ind w:left="0" w:right="1129" w:firstLine="0"/>
        <w:jc w:val="right"/>
        <w:rPr>
          <w:rFonts w:ascii="宋体" w:hAnsi="宋体" w:cs="宋体" w:eastAsia="宋体" w:hint="default"/>
          <w:sz w:val="21"/>
          <w:szCs w:val="21"/>
        </w:rPr>
      </w:pPr>
      <w:r>
        <w:rPr>
          <w:rFonts w:ascii="宋体" w:hAnsi="宋体" w:cs="宋体" w:eastAsia="宋体" w:hint="default"/>
          <w:sz w:val="21"/>
          <w:szCs w:val="21"/>
        </w:rPr>
        <w:t>单位： 元</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5648"/>
        <w:gridCol w:w="3909"/>
      </w:tblGrid>
      <w:tr>
        <w:trPr>
          <w:trHeight w:val="402"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9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center"/>
              <w:rPr>
                <w:rFonts w:ascii="宋体" w:hAnsi="宋体" w:cs="宋体" w:eastAsia="宋体" w:hint="default"/>
                <w:sz w:val="21"/>
                <w:szCs w:val="21"/>
              </w:rPr>
            </w:pPr>
            <w:r>
              <w:rPr>
                <w:rFonts w:ascii="宋体" w:hAnsi="宋体" w:cs="宋体" w:eastAsia="宋体" w:hint="default"/>
                <w:sz w:val="21"/>
                <w:szCs w:val="21"/>
              </w:rPr>
              <w:t>金额</w:t>
            </w:r>
          </w:p>
        </w:tc>
      </w:tr>
      <w:tr>
        <w:trPr>
          <w:trHeight w:val="402"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本期发生的企业合并于本期支付的现金或现金等价物</w:t>
            </w:r>
          </w:p>
        </w:tc>
        <w:tc>
          <w:tcPr>
            <w:tcW w:w="390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54,266,600.00</w:t>
            </w:r>
          </w:p>
        </w:tc>
      </w:tr>
      <w:tr>
        <w:trPr>
          <w:trHeight w:val="402"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其中：</w:t>
            </w:r>
          </w:p>
        </w:tc>
        <w:tc>
          <w:tcPr>
            <w:tcW w:w="39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center"/>
              <w:rPr>
                <w:rFonts w:ascii="宋体" w:hAnsi="宋体" w:cs="宋体" w:eastAsia="宋体" w:hint="default"/>
                <w:sz w:val="21"/>
                <w:szCs w:val="21"/>
              </w:rPr>
            </w:pPr>
            <w:r>
              <w:rPr>
                <w:rFonts w:ascii="宋体"/>
                <w:sz w:val="21"/>
              </w:rPr>
              <w:t>--</w:t>
            </w:r>
          </w:p>
        </w:tc>
      </w:tr>
      <w:tr>
        <w:trPr>
          <w:trHeight w:val="402"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减：购买日子公司持有的现金及现金等价物</w:t>
            </w:r>
          </w:p>
        </w:tc>
        <w:tc>
          <w:tcPr>
            <w:tcW w:w="390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19,005,462.18</w:t>
            </w:r>
          </w:p>
        </w:tc>
      </w:tr>
      <w:tr>
        <w:trPr>
          <w:trHeight w:val="402"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其中：</w:t>
            </w:r>
          </w:p>
        </w:tc>
        <w:tc>
          <w:tcPr>
            <w:tcW w:w="39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center"/>
              <w:rPr>
                <w:rFonts w:ascii="宋体" w:hAnsi="宋体" w:cs="宋体" w:eastAsia="宋体" w:hint="default"/>
                <w:sz w:val="21"/>
                <w:szCs w:val="21"/>
              </w:rPr>
            </w:pPr>
            <w:r>
              <w:rPr>
                <w:rFonts w:ascii="宋体"/>
                <w:sz w:val="21"/>
              </w:rPr>
              <w:t>--</w:t>
            </w:r>
          </w:p>
        </w:tc>
      </w:tr>
      <w:tr>
        <w:trPr>
          <w:trHeight w:val="402"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其中：</w:t>
            </w:r>
          </w:p>
        </w:tc>
        <w:tc>
          <w:tcPr>
            <w:tcW w:w="39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center"/>
              <w:rPr>
                <w:rFonts w:ascii="宋体" w:hAnsi="宋体" w:cs="宋体" w:eastAsia="宋体" w:hint="default"/>
                <w:sz w:val="21"/>
                <w:szCs w:val="21"/>
              </w:rPr>
            </w:pPr>
            <w:r>
              <w:rPr>
                <w:rFonts w:ascii="宋体"/>
                <w:sz w:val="21"/>
              </w:rPr>
              <w:t>--</w:t>
            </w:r>
          </w:p>
        </w:tc>
      </w:tr>
      <w:tr>
        <w:trPr>
          <w:trHeight w:val="402"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取得子公司支付的现金净额</w:t>
            </w:r>
          </w:p>
        </w:tc>
        <w:tc>
          <w:tcPr>
            <w:tcW w:w="390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35,261,137.82</w:t>
            </w:r>
          </w:p>
        </w:tc>
      </w:tr>
    </w:tbl>
    <w:p>
      <w:pPr>
        <w:spacing w:line="240" w:lineRule="auto" w:before="10"/>
        <w:rPr>
          <w:rFonts w:ascii="宋体" w:hAnsi="宋体" w:cs="宋体" w:eastAsia="宋体" w:hint="default"/>
          <w:sz w:val="4"/>
          <w:szCs w:val="4"/>
        </w:rPr>
      </w:pPr>
    </w:p>
    <w:p>
      <w:pPr>
        <w:pStyle w:val="BodyText"/>
        <w:spacing w:line="240" w:lineRule="auto" w:before="26"/>
        <w:ind w:left="634" w:right="996"/>
        <w:jc w:val="left"/>
      </w:pPr>
      <w:r>
        <w:rPr/>
        <w:t>其他说明：无</w:t>
      </w:r>
    </w:p>
    <w:p>
      <w:pPr>
        <w:pStyle w:val="Heading2"/>
        <w:spacing w:line="240" w:lineRule="auto" w:before="146"/>
        <w:ind w:right="996"/>
        <w:jc w:val="left"/>
        <w:rPr>
          <w:b w:val="0"/>
          <w:bCs w:val="0"/>
        </w:rPr>
      </w:pPr>
      <w:bookmarkStart w:name="（3）本期收到的处置子公司的现金净额" w:id="415"/>
      <w:bookmarkEnd w:id="415"/>
      <w:r>
        <w:rPr>
          <w:b w:val="0"/>
          <w:bCs w:val="0"/>
        </w:rPr>
      </w:r>
      <w:r>
        <w:rPr/>
        <w:t>（</w:t>
      </w:r>
      <w:r>
        <w:rPr>
          <w:rFonts w:ascii="宋体" w:hAnsi="宋体" w:cs="宋体" w:eastAsia="宋体" w:hint="default"/>
        </w:rPr>
        <w:t>3</w:t>
      </w:r>
      <w:r>
        <w:rPr/>
        <w:t>）本期收到的处置子公司的现金净额</w:t>
      </w:r>
      <w:r>
        <w:rPr>
          <w:b w:val="0"/>
          <w:bCs w:val="0"/>
        </w:rPr>
      </w:r>
    </w:p>
    <w:p>
      <w:pPr>
        <w:spacing w:line="240" w:lineRule="auto" w:before="1"/>
        <w:rPr>
          <w:rFonts w:ascii="宋体" w:hAnsi="宋体" w:cs="宋体" w:eastAsia="宋体" w:hint="default"/>
          <w:b/>
          <w:bCs/>
          <w:sz w:val="23"/>
          <w:szCs w:val="23"/>
        </w:rPr>
      </w:pPr>
    </w:p>
    <w:p>
      <w:pPr>
        <w:pStyle w:val="BodyText"/>
        <w:spacing w:line="350" w:lineRule="auto" w:before="0"/>
        <w:ind w:left="633" w:right="8833"/>
        <w:jc w:val="left"/>
      </w:pPr>
      <w:r>
        <w:rPr/>
        <w:t>无 其他说明：无</w:t>
      </w:r>
    </w:p>
    <w:p>
      <w:pPr>
        <w:spacing w:after="0" w:line="35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Heading2"/>
        <w:spacing w:line="240" w:lineRule="auto" w:before="199"/>
        <w:ind w:right="996"/>
        <w:jc w:val="left"/>
        <w:rPr>
          <w:b w:val="0"/>
          <w:bCs w:val="0"/>
        </w:rPr>
      </w:pPr>
      <w:bookmarkStart w:name="（4）现金和现金等价物的构成" w:id="416"/>
      <w:bookmarkEnd w:id="416"/>
      <w:r>
        <w:rPr>
          <w:b w:val="0"/>
          <w:bCs w:val="0"/>
        </w:rPr>
      </w:r>
      <w:r>
        <w:rPr/>
        <w:t>（</w:t>
      </w:r>
      <w:r>
        <w:rPr>
          <w:rFonts w:ascii="宋体" w:hAnsi="宋体" w:cs="宋体" w:eastAsia="宋体" w:hint="default"/>
        </w:rPr>
        <w:t>4</w:t>
      </w:r>
      <w:r>
        <w:rPr/>
        <w:t>）现金和现金等价物的构成</w:t>
      </w:r>
      <w:r>
        <w:rPr>
          <w:b w:val="0"/>
          <w:bCs w:val="0"/>
        </w:rPr>
      </w:r>
    </w:p>
    <w:p>
      <w:pPr>
        <w:spacing w:line="240" w:lineRule="auto" w:before="8"/>
        <w:rPr>
          <w:rFonts w:ascii="宋体" w:hAnsi="宋体" w:cs="宋体" w:eastAsia="宋体" w:hint="default"/>
          <w:b/>
          <w:bCs/>
          <w:sz w:val="12"/>
          <w:szCs w:val="12"/>
        </w:rPr>
      </w:pPr>
    </w:p>
    <w:p>
      <w:pPr>
        <w:spacing w:before="35"/>
        <w:ind w:left="0" w:right="1129" w:firstLine="0"/>
        <w:jc w:val="right"/>
        <w:rPr>
          <w:rFonts w:ascii="宋体" w:hAnsi="宋体" w:cs="宋体" w:eastAsia="宋体" w:hint="default"/>
          <w:sz w:val="21"/>
          <w:szCs w:val="21"/>
        </w:rPr>
      </w:pPr>
      <w:r>
        <w:rPr>
          <w:rFonts w:ascii="宋体" w:hAnsi="宋体" w:cs="宋体" w:eastAsia="宋体" w:hint="default"/>
          <w:sz w:val="21"/>
          <w:szCs w:val="21"/>
        </w:rPr>
        <w:t>单位： 元</w:t>
      </w:r>
    </w:p>
    <w:p>
      <w:pPr>
        <w:spacing w:line="240" w:lineRule="auto" w:before="0"/>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305"/>
        <w:gridCol w:w="3069"/>
        <w:gridCol w:w="3184"/>
      </w:tblGrid>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一、现金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19"/>
              <w:jc w:val="right"/>
              <w:rPr>
                <w:rFonts w:ascii="宋体" w:hAnsi="宋体" w:cs="宋体" w:eastAsia="宋体" w:hint="default"/>
                <w:sz w:val="21"/>
                <w:szCs w:val="21"/>
              </w:rPr>
            </w:pPr>
            <w:r>
              <w:rPr>
                <w:rFonts w:ascii="宋体"/>
                <w:sz w:val="21"/>
              </w:rPr>
              <w:t>875,069,643.04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9"/>
              <w:jc w:val="right"/>
              <w:rPr>
                <w:rFonts w:ascii="宋体" w:hAnsi="宋体" w:cs="宋体" w:eastAsia="宋体" w:hint="default"/>
                <w:sz w:val="21"/>
                <w:szCs w:val="21"/>
              </w:rPr>
            </w:pPr>
            <w:r>
              <w:rPr>
                <w:rFonts w:ascii="宋体"/>
                <w:sz w:val="21"/>
              </w:rPr>
              <w:t>820,682,598.12</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其中：库存现金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150,031.69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67,344.49</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641" w:right="0"/>
              <w:jc w:val="left"/>
              <w:rPr>
                <w:rFonts w:ascii="宋体" w:hAnsi="宋体" w:cs="宋体" w:eastAsia="宋体" w:hint="default"/>
                <w:sz w:val="21"/>
                <w:szCs w:val="21"/>
              </w:rPr>
            </w:pPr>
            <w:r>
              <w:rPr>
                <w:rFonts w:ascii="宋体" w:hAnsi="宋体" w:cs="宋体" w:eastAsia="宋体" w:hint="default"/>
                <w:sz w:val="21"/>
                <w:szCs w:val="21"/>
              </w:rPr>
              <w:t>可随时用于支付的银行存款</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19"/>
              <w:jc w:val="right"/>
              <w:rPr>
                <w:rFonts w:ascii="宋体" w:hAnsi="宋体" w:cs="宋体" w:eastAsia="宋体" w:hint="default"/>
                <w:sz w:val="21"/>
                <w:szCs w:val="21"/>
              </w:rPr>
            </w:pPr>
            <w:r>
              <w:rPr>
                <w:rFonts w:ascii="宋体"/>
                <w:sz w:val="21"/>
              </w:rPr>
              <w:t>874,919,611.35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9"/>
              <w:jc w:val="right"/>
              <w:rPr>
                <w:rFonts w:ascii="宋体" w:hAnsi="宋体" w:cs="宋体" w:eastAsia="宋体" w:hint="default"/>
                <w:sz w:val="21"/>
                <w:szCs w:val="21"/>
              </w:rPr>
            </w:pPr>
            <w:r>
              <w:rPr>
                <w:rFonts w:ascii="宋体"/>
                <w:sz w:val="21"/>
              </w:rPr>
              <w:t>820,615,253.63</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三、期末现金及现金等价物余额</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19"/>
              <w:jc w:val="right"/>
              <w:rPr>
                <w:rFonts w:ascii="宋体" w:hAnsi="宋体" w:cs="宋体" w:eastAsia="宋体" w:hint="default"/>
                <w:sz w:val="21"/>
                <w:szCs w:val="21"/>
              </w:rPr>
            </w:pPr>
            <w:r>
              <w:rPr>
                <w:rFonts w:ascii="宋体"/>
                <w:sz w:val="21"/>
              </w:rPr>
              <w:t>875,069,643.04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9"/>
              <w:jc w:val="right"/>
              <w:rPr>
                <w:rFonts w:ascii="宋体" w:hAnsi="宋体" w:cs="宋体" w:eastAsia="宋体" w:hint="default"/>
                <w:sz w:val="21"/>
                <w:szCs w:val="21"/>
              </w:rPr>
            </w:pPr>
            <w:r>
              <w:rPr>
                <w:rFonts w:ascii="宋体"/>
                <w:sz w:val="21"/>
              </w:rPr>
              <w:t>820,682,598.12</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11" w:right="10"/>
              <w:jc w:val="left"/>
              <w:rPr>
                <w:rFonts w:ascii="宋体" w:hAnsi="宋体" w:cs="宋体" w:eastAsia="宋体" w:hint="default"/>
                <w:sz w:val="21"/>
                <w:szCs w:val="21"/>
              </w:rPr>
            </w:pPr>
            <w:r>
              <w:rPr>
                <w:rFonts w:ascii="宋体" w:hAnsi="宋体" w:cs="宋体" w:eastAsia="宋体" w:hint="default"/>
                <w:spacing w:val="-6"/>
                <w:sz w:val="21"/>
                <w:szCs w:val="21"/>
              </w:rPr>
              <w:t>其中：母公司或集团内子公司使用受</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限制的现金和现金等价物</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0"/>
              <w:jc w:val="right"/>
              <w:rPr>
                <w:rFonts w:ascii="宋体" w:hAnsi="宋体" w:cs="宋体" w:eastAsia="宋体" w:hint="default"/>
                <w:sz w:val="21"/>
                <w:szCs w:val="21"/>
              </w:rPr>
            </w:pPr>
            <w:r>
              <w:rPr>
                <w:rFonts w:ascii="宋体"/>
                <w:sz w:val="21"/>
              </w:rPr>
              <w:t>13,864,603.88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0"/>
              <w:jc w:val="right"/>
              <w:rPr>
                <w:rFonts w:ascii="宋体" w:hAnsi="宋体" w:cs="宋体" w:eastAsia="宋体" w:hint="default"/>
                <w:sz w:val="21"/>
                <w:szCs w:val="21"/>
              </w:rPr>
            </w:pPr>
            <w:r>
              <w:rPr>
                <w:rFonts w:ascii="宋体"/>
                <w:sz w:val="21"/>
              </w:rPr>
              <w:t>11,404,632.53</w:t>
            </w:r>
          </w:p>
        </w:tc>
      </w:tr>
    </w:tbl>
    <w:p>
      <w:pPr>
        <w:spacing w:line="240" w:lineRule="auto" w:before="10"/>
        <w:rPr>
          <w:rFonts w:ascii="宋体" w:hAnsi="宋体" w:cs="宋体" w:eastAsia="宋体" w:hint="default"/>
          <w:sz w:val="4"/>
          <w:szCs w:val="4"/>
        </w:rPr>
      </w:pPr>
    </w:p>
    <w:p>
      <w:pPr>
        <w:pStyle w:val="BodyText"/>
        <w:spacing w:line="350" w:lineRule="auto" w:before="26"/>
        <w:ind w:left="633" w:right="1123"/>
        <w:jc w:val="left"/>
      </w:pPr>
      <w:r>
        <w:rPr/>
        <w:t>其他说明： </w:t>
      </w:r>
      <w:r>
        <w:rPr>
          <w:spacing w:val="-2"/>
        </w:rPr>
        <w:t>期末其他货币资金中有</w:t>
      </w:r>
      <w:r>
        <w:rPr>
          <w:rFonts w:ascii="宋体" w:hAnsi="宋体" w:cs="宋体" w:eastAsia="宋体" w:hint="default"/>
          <w:spacing w:val="-2"/>
        </w:rPr>
        <w:t>13,864,603.88</w:t>
      </w:r>
      <w:r>
        <w:rPr>
          <w:spacing w:val="-2"/>
        </w:rPr>
        <w:t>元保函保证金，不包含在现金及现金等价物中；期</w:t>
      </w:r>
    </w:p>
    <w:p>
      <w:pPr>
        <w:pStyle w:val="BodyText"/>
        <w:spacing w:line="350" w:lineRule="auto"/>
        <w:ind w:right="996"/>
        <w:jc w:val="left"/>
      </w:pPr>
      <w:r>
        <w:rPr>
          <w:spacing w:val="-2"/>
        </w:rPr>
        <w:t>初其他货币资金中有</w:t>
      </w:r>
      <w:r>
        <w:rPr>
          <w:rFonts w:ascii="宋体" w:hAnsi="宋体" w:cs="宋体" w:eastAsia="宋体" w:hint="default"/>
          <w:spacing w:val="-2"/>
        </w:rPr>
        <w:t>11,031,155.73</w:t>
      </w:r>
      <w:r>
        <w:rPr>
          <w:spacing w:val="-2"/>
        </w:rPr>
        <w:t>元保函保证金和</w:t>
      </w:r>
      <w:r>
        <w:rPr>
          <w:rFonts w:ascii="宋体" w:hAnsi="宋体" w:cs="宋体" w:eastAsia="宋体" w:hint="default"/>
          <w:spacing w:val="-2"/>
        </w:rPr>
        <w:t>373,476.80</w:t>
      </w:r>
      <w:r>
        <w:rPr>
          <w:spacing w:val="-2"/>
        </w:rPr>
        <w:t>元银行承兑汇票保证金，不包</w:t>
      </w:r>
      <w:r>
        <w:rPr>
          <w:spacing w:val="-99"/>
        </w:rPr>
        <w:t> </w:t>
      </w:r>
      <w:r>
        <w:rPr>
          <w:spacing w:val="-99"/>
        </w:rPr>
      </w:r>
      <w:r>
        <w:rPr/>
        <w:t>含在现金及现金等价物中。</w:t>
      </w:r>
    </w:p>
    <w:p>
      <w:pPr>
        <w:spacing w:line="240" w:lineRule="auto" w:before="7"/>
        <w:rPr>
          <w:rFonts w:ascii="宋体" w:hAnsi="宋体" w:cs="宋体" w:eastAsia="宋体" w:hint="default"/>
          <w:sz w:val="26"/>
          <w:szCs w:val="26"/>
        </w:rPr>
      </w:pPr>
    </w:p>
    <w:p>
      <w:pPr>
        <w:pStyle w:val="Heading2"/>
        <w:spacing w:line="240" w:lineRule="auto" w:before="0"/>
        <w:ind w:right="996"/>
        <w:jc w:val="left"/>
        <w:rPr>
          <w:b w:val="0"/>
          <w:bCs w:val="0"/>
        </w:rPr>
      </w:pPr>
      <w:bookmarkStart w:name="77、所有者权益变动表项目注释" w:id="417"/>
      <w:bookmarkEnd w:id="417"/>
      <w:r>
        <w:rPr>
          <w:b w:val="0"/>
          <w:bCs w:val="0"/>
        </w:rPr>
      </w:r>
      <w:r>
        <w:rPr>
          <w:rFonts w:ascii="宋体" w:hAnsi="宋体" w:cs="宋体" w:eastAsia="宋体" w:hint="default"/>
        </w:rPr>
        <w:t>77</w:t>
      </w:r>
      <w:r>
        <w:rPr/>
        <w:t>、所有者权益变动表项目注释</w:t>
      </w:r>
      <w:r>
        <w:rPr>
          <w:b w:val="0"/>
          <w:bCs w:val="0"/>
        </w:rPr>
      </w:r>
    </w:p>
    <w:p>
      <w:pPr>
        <w:spacing w:line="240" w:lineRule="auto" w:before="2"/>
        <w:rPr>
          <w:rFonts w:ascii="宋体" w:hAnsi="宋体" w:cs="宋体" w:eastAsia="宋体" w:hint="default"/>
          <w:b/>
          <w:bCs/>
          <w:sz w:val="23"/>
          <w:szCs w:val="23"/>
        </w:rPr>
      </w:pPr>
    </w:p>
    <w:p>
      <w:pPr>
        <w:pStyle w:val="BodyText"/>
        <w:spacing w:line="350" w:lineRule="auto" w:before="0"/>
        <w:ind w:left="633" w:right="2833"/>
        <w:jc w:val="left"/>
      </w:pPr>
      <w:r>
        <w:rPr/>
        <w:t>说明对上年期末余额进行调整的“其他”项目名称及调整金额等事项： 无</w:t>
      </w:r>
    </w:p>
    <w:p>
      <w:pPr>
        <w:pStyle w:val="Heading2"/>
        <w:spacing w:line="240" w:lineRule="auto" w:before="35"/>
        <w:ind w:right="996"/>
        <w:jc w:val="left"/>
        <w:rPr>
          <w:b w:val="0"/>
          <w:bCs w:val="0"/>
        </w:rPr>
      </w:pPr>
      <w:bookmarkStart w:name="78、所有权或使用权受到限制的资产" w:id="418"/>
      <w:bookmarkEnd w:id="418"/>
      <w:r>
        <w:rPr>
          <w:b w:val="0"/>
          <w:bCs w:val="0"/>
        </w:rPr>
      </w:r>
      <w:r>
        <w:rPr>
          <w:rFonts w:ascii="宋体" w:hAnsi="宋体" w:cs="宋体" w:eastAsia="宋体" w:hint="default"/>
        </w:rPr>
        <w:t>78</w:t>
      </w:r>
      <w:r>
        <w:rPr/>
        <w:t>、所有权或使用权受到限制的资产</w:t>
      </w:r>
      <w:r>
        <w:rPr>
          <w:b w:val="0"/>
          <w:bCs w:val="0"/>
        </w:rPr>
      </w:r>
    </w:p>
    <w:p>
      <w:pPr>
        <w:spacing w:before="201"/>
        <w:ind w:left="0" w:right="1129" w:firstLine="0"/>
        <w:jc w:val="right"/>
        <w:rPr>
          <w:rFonts w:ascii="宋体" w:hAnsi="宋体" w:cs="宋体" w:eastAsia="宋体" w:hint="default"/>
          <w:sz w:val="21"/>
          <w:szCs w:val="21"/>
        </w:rPr>
      </w:pPr>
      <w:r>
        <w:rPr>
          <w:rFonts w:ascii="宋体" w:hAnsi="宋体" w:cs="宋体" w:eastAsia="宋体" w:hint="default"/>
          <w:sz w:val="21"/>
          <w:szCs w:val="21"/>
        </w:rPr>
        <w:t>单位： 元</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1820"/>
        <w:gridCol w:w="3556"/>
        <w:gridCol w:w="4181"/>
      </w:tblGrid>
      <w:tr>
        <w:trPr>
          <w:trHeight w:val="402" w:hRule="exact"/>
        </w:trPr>
        <w:tc>
          <w:tcPr>
            <w:tcW w:w="18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35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48" w:right="0"/>
              <w:jc w:val="left"/>
              <w:rPr>
                <w:rFonts w:ascii="宋体" w:hAnsi="宋体" w:cs="宋体" w:eastAsia="宋体" w:hint="default"/>
                <w:sz w:val="21"/>
                <w:szCs w:val="21"/>
              </w:rPr>
            </w:pPr>
            <w:r>
              <w:rPr>
                <w:rFonts w:ascii="宋体" w:hAnsi="宋体" w:cs="宋体" w:eastAsia="宋体" w:hint="default"/>
                <w:sz w:val="21"/>
                <w:szCs w:val="21"/>
              </w:rPr>
              <w:t>期末账面价值</w:t>
            </w:r>
          </w:p>
        </w:tc>
        <w:tc>
          <w:tcPr>
            <w:tcW w:w="4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受限原因</w:t>
            </w:r>
          </w:p>
        </w:tc>
      </w:tr>
      <w:tr>
        <w:trPr>
          <w:trHeight w:val="402" w:hRule="exact"/>
        </w:trPr>
        <w:tc>
          <w:tcPr>
            <w:tcW w:w="18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355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13,864,603.88</w:t>
            </w:r>
          </w:p>
        </w:tc>
        <w:tc>
          <w:tcPr>
            <w:tcW w:w="4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保函保证金</w:t>
            </w:r>
          </w:p>
        </w:tc>
      </w:tr>
      <w:tr>
        <w:trPr>
          <w:trHeight w:val="402" w:hRule="exact"/>
        </w:trPr>
        <w:tc>
          <w:tcPr>
            <w:tcW w:w="18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3556"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26"/>
              <w:ind w:right="8"/>
              <w:jc w:val="right"/>
              <w:rPr>
                <w:rFonts w:ascii="宋体" w:hAnsi="宋体" w:cs="宋体" w:eastAsia="宋体" w:hint="default"/>
                <w:sz w:val="21"/>
                <w:szCs w:val="21"/>
              </w:rPr>
            </w:pPr>
            <w:r>
              <w:rPr>
                <w:rFonts w:ascii="宋体"/>
                <w:sz w:val="21"/>
              </w:rPr>
              <w:t>54,266,600.00</w:t>
            </w:r>
          </w:p>
        </w:tc>
        <w:tc>
          <w:tcPr>
            <w:tcW w:w="4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质押交大驱动股权取得借款</w:t>
            </w:r>
          </w:p>
        </w:tc>
      </w:tr>
      <w:tr>
        <w:trPr>
          <w:trHeight w:val="402" w:hRule="exact"/>
        </w:trPr>
        <w:tc>
          <w:tcPr>
            <w:tcW w:w="18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556"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26"/>
              <w:ind w:right="8"/>
              <w:jc w:val="right"/>
              <w:rPr>
                <w:rFonts w:ascii="宋体" w:hAnsi="宋体" w:cs="宋体" w:eastAsia="宋体" w:hint="default"/>
                <w:sz w:val="21"/>
                <w:szCs w:val="21"/>
              </w:rPr>
            </w:pPr>
            <w:r>
              <w:rPr>
                <w:rFonts w:ascii="宋体"/>
                <w:sz w:val="21"/>
              </w:rPr>
              <w:t>68,131,203.88</w:t>
            </w:r>
          </w:p>
        </w:tc>
        <w:tc>
          <w:tcPr>
            <w:tcW w:w="4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sz w:val="21"/>
              </w:rPr>
              <w:t>--</w:t>
            </w:r>
          </w:p>
        </w:tc>
      </w:tr>
    </w:tbl>
    <w:p>
      <w:pPr>
        <w:spacing w:line="240" w:lineRule="auto" w:before="10"/>
        <w:rPr>
          <w:rFonts w:ascii="宋体" w:hAnsi="宋体" w:cs="宋体" w:eastAsia="宋体" w:hint="default"/>
          <w:sz w:val="4"/>
          <w:szCs w:val="4"/>
        </w:rPr>
      </w:pPr>
    </w:p>
    <w:p>
      <w:pPr>
        <w:pStyle w:val="Heading2"/>
        <w:spacing w:line="240" w:lineRule="auto"/>
        <w:ind w:right="996"/>
        <w:jc w:val="left"/>
        <w:rPr>
          <w:b w:val="0"/>
          <w:bCs w:val="0"/>
        </w:rPr>
      </w:pPr>
      <w:bookmarkStart w:name="79、外币货币性项目" w:id="419"/>
      <w:bookmarkEnd w:id="419"/>
      <w:r>
        <w:rPr>
          <w:b w:val="0"/>
          <w:bCs w:val="0"/>
        </w:rPr>
      </w:r>
      <w:r>
        <w:rPr>
          <w:rFonts w:ascii="宋体" w:hAnsi="宋体" w:cs="宋体" w:eastAsia="宋体" w:hint="default"/>
        </w:rPr>
        <w:t>79</w:t>
      </w:r>
      <w:r>
        <w:rPr/>
        <w:t>、外币货币性项目</w:t>
      </w:r>
      <w:r>
        <w:rPr>
          <w:b w:val="0"/>
          <w:bCs w:val="0"/>
        </w:rPr>
      </w:r>
    </w:p>
    <w:p>
      <w:pPr>
        <w:pStyle w:val="BodyText"/>
        <w:spacing w:line="610" w:lineRule="atLeast" w:before="6"/>
        <w:ind w:left="634" w:right="7992"/>
        <w:jc w:val="left"/>
      </w:pPr>
      <w:bookmarkStart w:name="（1）外币货币性项目" w:id="420"/>
      <w:bookmarkEnd w:id="420"/>
      <w:r>
        <w:rPr/>
      </w:r>
      <w:r>
        <w:rPr/>
        <w:t>（</w:t>
      </w:r>
      <w:r>
        <w:rPr>
          <w:rFonts w:ascii="宋体" w:hAnsi="宋体" w:cs="宋体" w:eastAsia="宋体" w:hint="default"/>
        </w:rPr>
        <w:t>1</w:t>
      </w:r>
      <w:r>
        <w:rPr/>
        <w:t>）外币货币性项目 无</w:t>
      </w:r>
    </w:p>
    <w:p>
      <w:pPr>
        <w:pStyle w:val="BodyText"/>
        <w:spacing w:line="352" w:lineRule="auto" w:before="145"/>
        <w:ind w:right="996" w:firstLine="480"/>
        <w:jc w:val="left"/>
      </w:pPr>
      <w:bookmarkStart w:name="（2）境外经营实体说明，包括对于重要的境外经营实体，应披露其境外主要经营地、记账" w:id="421"/>
      <w:bookmarkEnd w:id="421"/>
      <w:r>
        <w:rPr/>
      </w:r>
      <w:r>
        <w:rPr>
          <w:spacing w:val="-3"/>
        </w:rPr>
        <w:t>（</w:t>
      </w:r>
      <w:r>
        <w:rPr>
          <w:rFonts w:ascii="宋体" w:hAnsi="宋体" w:cs="宋体" w:eastAsia="宋体" w:hint="default"/>
          <w:spacing w:val="-3"/>
        </w:rPr>
        <w:t>2</w:t>
      </w:r>
      <w:r>
        <w:rPr>
          <w:spacing w:val="-3"/>
        </w:rPr>
        <w:t>）境外经营实体说明，包括对于重要的境外经营实体，应披露其境外主要经营地、记</w:t>
      </w:r>
      <w:r>
        <w:rPr/>
        <w:t> 账本位币及选择依据，记账本位币发生变化的还应披露原因。</w:t>
      </w:r>
    </w:p>
    <w:p>
      <w:pPr>
        <w:pStyle w:val="BodyText"/>
        <w:spacing w:line="240" w:lineRule="auto" w:before="189"/>
        <w:ind w:left="633" w:right="996"/>
        <w:jc w:val="left"/>
      </w:pPr>
      <w:r>
        <w:rPr/>
        <w:t>□ 适用 √ 不适用</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Heading2"/>
        <w:spacing w:line="240" w:lineRule="auto" w:before="199"/>
        <w:ind w:left="736" w:right="997"/>
        <w:jc w:val="left"/>
        <w:rPr>
          <w:b w:val="0"/>
          <w:bCs w:val="0"/>
        </w:rPr>
      </w:pPr>
      <w:bookmarkStart w:name="80、套期" w:id="422"/>
      <w:bookmarkEnd w:id="422"/>
      <w:r>
        <w:rPr>
          <w:b w:val="0"/>
          <w:bCs w:val="0"/>
        </w:rPr>
      </w:r>
      <w:r>
        <w:rPr>
          <w:rFonts w:ascii="宋体" w:hAnsi="宋体" w:cs="宋体" w:eastAsia="宋体" w:hint="default"/>
        </w:rPr>
        <w:t>80</w:t>
      </w:r>
      <w:r>
        <w:rPr/>
        <w:t>、套期</w:t>
      </w:r>
      <w:r>
        <w:rPr>
          <w:b w:val="0"/>
          <w:bCs w:val="0"/>
        </w:rPr>
      </w:r>
    </w:p>
    <w:p>
      <w:pPr>
        <w:spacing w:line="240" w:lineRule="auto" w:before="1"/>
        <w:rPr>
          <w:rFonts w:ascii="宋体" w:hAnsi="宋体" w:cs="宋体" w:eastAsia="宋体" w:hint="default"/>
          <w:b/>
          <w:bCs/>
          <w:sz w:val="23"/>
          <w:szCs w:val="23"/>
        </w:rPr>
      </w:pPr>
    </w:p>
    <w:p>
      <w:pPr>
        <w:pStyle w:val="BodyText"/>
        <w:spacing w:line="352" w:lineRule="auto" w:before="0"/>
        <w:ind w:left="733" w:right="2113"/>
        <w:jc w:val="left"/>
      </w:pPr>
      <w:r>
        <w:rPr/>
        <w:t>按照套期类别披露套期项目及相关套期工具、被套期风险的定性和定量信息： 无</w:t>
      </w:r>
    </w:p>
    <w:p>
      <w:pPr>
        <w:pStyle w:val="Heading2"/>
        <w:spacing w:line="470" w:lineRule="auto" w:before="32"/>
        <w:ind w:left="733" w:right="9306" w:firstLine="2"/>
        <w:jc w:val="left"/>
        <w:rPr>
          <w:rFonts w:ascii="宋体" w:hAnsi="宋体" w:cs="宋体" w:eastAsia="宋体" w:hint="default"/>
          <w:b w:val="0"/>
          <w:bCs w:val="0"/>
        </w:rPr>
      </w:pPr>
      <w:bookmarkStart w:name="81、其他" w:id="423"/>
      <w:bookmarkEnd w:id="423"/>
      <w:r>
        <w:rPr>
          <w:b w:val="0"/>
          <w:bCs w:val="0"/>
        </w:rPr>
      </w:r>
      <w:r>
        <w:rPr>
          <w:rFonts w:ascii="宋体" w:hAnsi="宋体" w:cs="宋体" w:eastAsia="宋体" w:hint="default"/>
        </w:rPr>
        <w:t>81</w:t>
      </w:r>
      <w:r>
        <w:rPr/>
        <w:t>、其他</w:t>
      </w:r>
      <w:r>
        <w:rPr>
          <w:spacing w:val="1"/>
          <w:w w:val="99"/>
        </w:rPr>
        <w:t> </w:t>
      </w:r>
      <w:r>
        <w:rPr>
          <w:rFonts w:ascii="宋体" w:hAnsi="宋体" w:cs="宋体" w:eastAsia="宋体" w:hint="default"/>
          <w:b w:val="0"/>
          <w:bCs w:val="0"/>
        </w:rPr>
        <w:t>无</w:t>
      </w:r>
    </w:p>
    <w:p>
      <w:pPr>
        <w:pStyle w:val="Heading2"/>
        <w:spacing w:line="468" w:lineRule="auto" w:before="89"/>
        <w:ind w:left="736" w:right="5992" w:hanging="483"/>
        <w:jc w:val="left"/>
        <w:rPr>
          <w:b w:val="0"/>
          <w:bCs w:val="0"/>
        </w:rPr>
      </w:pPr>
      <w:bookmarkStart w:name="八、合并范围的变更" w:id="424"/>
      <w:bookmarkEnd w:id="424"/>
      <w:r>
        <w:rPr>
          <w:b w:val="0"/>
          <w:bCs w:val="0"/>
        </w:rPr>
      </w:r>
      <w:r>
        <w:rPr/>
        <w:t>八、合并范围的变更</w:t>
      </w:r>
      <w:r>
        <w:rPr>
          <w:w w:val="99"/>
        </w:rPr>
        <w:t> </w:t>
      </w:r>
      <w:bookmarkStart w:name="1、非同一控制下企业合并" w:id="425"/>
      <w:bookmarkEnd w:id="425"/>
      <w:r>
        <w:rPr>
          <w:w w:val="99"/>
        </w:rPr>
      </w:r>
      <w:r>
        <w:rPr>
          <w:rFonts w:ascii="宋体" w:hAnsi="宋体" w:cs="宋体" w:eastAsia="宋体" w:hint="default"/>
          <w:w w:val="95"/>
        </w:rPr>
        <w:t>1</w:t>
      </w:r>
      <w:r>
        <w:rPr>
          <w:w w:val="95"/>
        </w:rPr>
        <w:t>、非同一控制下企业合并</w:t>
      </w:r>
      <w:r>
        <w:rPr>
          <w:b w:val="0"/>
          <w:bCs w:val="0"/>
        </w:rPr>
      </w:r>
    </w:p>
    <w:p>
      <w:pPr>
        <w:spacing w:line="240" w:lineRule="auto" w:before="1"/>
        <w:rPr>
          <w:rFonts w:ascii="宋体" w:hAnsi="宋体" w:cs="宋体" w:eastAsia="宋体" w:hint="default"/>
          <w:b/>
          <w:bCs/>
          <w:sz w:val="13"/>
          <w:szCs w:val="13"/>
        </w:rPr>
      </w:pPr>
    </w:p>
    <w:p>
      <w:pPr>
        <w:spacing w:after="0" w:line="240" w:lineRule="auto"/>
        <w:rPr>
          <w:rFonts w:ascii="宋体" w:hAnsi="宋体" w:cs="宋体" w:eastAsia="宋体" w:hint="default"/>
          <w:sz w:val="13"/>
          <w:szCs w:val="13"/>
        </w:rPr>
        <w:sectPr>
          <w:pgSz w:w="11910" w:h="16840"/>
          <w:pgMar w:header="747" w:footer="979" w:top="1060" w:bottom="1160" w:left="880" w:right="0"/>
        </w:sectPr>
      </w:pPr>
    </w:p>
    <w:p>
      <w:pPr>
        <w:pStyle w:val="Heading2"/>
        <w:spacing w:line="240" w:lineRule="auto"/>
        <w:ind w:left="736" w:right="0"/>
        <w:jc w:val="left"/>
        <w:rPr>
          <w:b w:val="0"/>
          <w:bCs w:val="0"/>
        </w:rPr>
      </w:pPr>
      <w:bookmarkStart w:name="（1）本期发生的非同一控制下企业合并" w:id="426"/>
      <w:bookmarkEnd w:id="426"/>
      <w:r>
        <w:rPr>
          <w:b w:val="0"/>
          <w:bCs w:val="0"/>
        </w:rPr>
      </w:r>
      <w:r>
        <w:rPr>
          <w:w w:val="95"/>
        </w:rPr>
        <w:t>（</w:t>
      </w:r>
      <w:r>
        <w:rPr>
          <w:rFonts w:ascii="宋体" w:hAnsi="宋体" w:cs="宋体" w:eastAsia="宋体" w:hint="default"/>
          <w:w w:val="95"/>
        </w:rPr>
        <w:t>1</w:t>
      </w:r>
      <w:r>
        <w:rPr>
          <w:w w:val="95"/>
        </w:rPr>
        <w:t>）本期发生的非同一控制下企业合并</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before="161"/>
        <w:ind w:left="736" w:right="0" w:firstLine="0"/>
        <w:jc w:val="left"/>
        <w:rPr>
          <w:rFonts w:ascii="宋体" w:hAnsi="宋体" w:cs="宋体" w:eastAsia="宋体" w:hint="default"/>
          <w:sz w:val="21"/>
          <w:szCs w:val="21"/>
        </w:rPr>
      </w:pPr>
      <w:r>
        <w:rPr>
          <w:rFonts w:ascii="宋体" w:hAnsi="宋体" w:cs="宋体" w:eastAsia="宋体" w:hint="default"/>
          <w:sz w:val="21"/>
          <w:szCs w:val="21"/>
        </w:rPr>
        <w:t>单位： 元</w:t>
      </w:r>
    </w:p>
    <w:p>
      <w:pPr>
        <w:spacing w:after="0"/>
        <w:jc w:val="left"/>
        <w:rPr>
          <w:rFonts w:ascii="宋体" w:hAnsi="宋体" w:cs="宋体" w:eastAsia="宋体" w:hint="default"/>
          <w:sz w:val="21"/>
          <w:szCs w:val="21"/>
        </w:rPr>
        <w:sectPr>
          <w:type w:val="continuous"/>
          <w:pgSz w:w="11910" w:h="16840"/>
          <w:pgMar w:top="1060" w:bottom="1160" w:left="880" w:right="0"/>
          <w:cols w:num="2" w:equalWidth="0">
            <w:col w:w="4951" w:space="3262"/>
            <w:col w:w="2817"/>
          </w:cols>
        </w:sectPr>
      </w:pPr>
    </w:p>
    <w:p>
      <w:pPr>
        <w:spacing w:line="240" w:lineRule="auto" w:before="0"/>
        <w:rPr>
          <w:rFonts w:ascii="宋体" w:hAnsi="宋体" w:cs="宋体" w:eastAsia="宋体" w:hint="default"/>
          <w:sz w:val="7"/>
          <w:szCs w:val="7"/>
        </w:rPr>
      </w:pPr>
    </w:p>
    <w:tbl>
      <w:tblPr>
        <w:tblW w:w="0" w:type="auto"/>
        <w:jc w:val="left"/>
        <w:tblInd w:w="107" w:type="dxa"/>
        <w:tblLayout w:type="fixed"/>
        <w:tblCellMar>
          <w:top w:w="0" w:type="dxa"/>
          <w:left w:w="0" w:type="dxa"/>
          <w:bottom w:w="0" w:type="dxa"/>
          <w:right w:w="0" w:type="dxa"/>
        </w:tblCellMar>
        <w:tblLook w:val="01E0"/>
      </w:tblPr>
      <w:tblGrid>
        <w:gridCol w:w="1418"/>
        <w:gridCol w:w="992"/>
        <w:gridCol w:w="1134"/>
        <w:gridCol w:w="854"/>
        <w:gridCol w:w="1064"/>
        <w:gridCol w:w="1063"/>
        <w:gridCol w:w="1062"/>
        <w:gridCol w:w="1062"/>
        <w:gridCol w:w="1062"/>
      </w:tblGrid>
      <w:tr>
        <w:trPr>
          <w:trHeight w:val="1338"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73" w:right="0"/>
              <w:jc w:val="left"/>
              <w:rPr>
                <w:rFonts w:ascii="宋体" w:hAnsi="宋体" w:cs="宋体" w:eastAsia="宋体" w:hint="default"/>
                <w:sz w:val="21"/>
                <w:szCs w:val="21"/>
              </w:rPr>
            </w:pPr>
            <w:r>
              <w:rPr>
                <w:rFonts w:ascii="宋体" w:hAnsi="宋体" w:cs="宋体" w:eastAsia="宋体" w:hint="default"/>
                <w:sz w:val="21"/>
                <w:szCs w:val="21"/>
              </w:rPr>
              <w:t>被购买方名称</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25"/>
                <w:szCs w:val="25"/>
              </w:rPr>
            </w:pPr>
          </w:p>
          <w:p>
            <w:pPr>
              <w:pStyle w:val="TableParagraph"/>
              <w:spacing w:line="273" w:lineRule="auto"/>
              <w:ind w:left="281" w:right="68" w:hanging="210"/>
              <w:jc w:val="left"/>
              <w:rPr>
                <w:rFonts w:ascii="宋体" w:hAnsi="宋体" w:cs="宋体" w:eastAsia="宋体" w:hint="default"/>
                <w:sz w:val="21"/>
                <w:szCs w:val="21"/>
              </w:rPr>
            </w:pPr>
            <w:r>
              <w:rPr>
                <w:rFonts w:ascii="宋体" w:hAnsi="宋体" w:cs="宋体" w:eastAsia="宋体" w:hint="default"/>
                <w:sz w:val="21"/>
                <w:szCs w:val="21"/>
              </w:rPr>
              <w:t>股权取得 时点</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25"/>
                <w:szCs w:val="25"/>
              </w:rPr>
            </w:pPr>
          </w:p>
          <w:p>
            <w:pPr>
              <w:pStyle w:val="TableParagraph"/>
              <w:spacing w:line="273" w:lineRule="auto"/>
              <w:ind w:left="455" w:right="36" w:hanging="420"/>
              <w:jc w:val="left"/>
              <w:rPr>
                <w:rFonts w:ascii="宋体" w:hAnsi="宋体" w:cs="宋体" w:eastAsia="宋体" w:hint="default"/>
                <w:sz w:val="21"/>
                <w:szCs w:val="21"/>
              </w:rPr>
            </w:pPr>
            <w:r>
              <w:rPr>
                <w:rFonts w:ascii="宋体" w:hAnsi="宋体" w:cs="宋体" w:eastAsia="宋体" w:hint="default"/>
                <w:sz w:val="21"/>
                <w:szCs w:val="21"/>
              </w:rPr>
              <w:t>股权取得成 本</w:t>
            </w:r>
          </w:p>
        </w:tc>
        <w:tc>
          <w:tcPr>
            <w:tcW w:w="8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25"/>
                <w:szCs w:val="25"/>
              </w:rPr>
            </w:pPr>
          </w:p>
          <w:p>
            <w:pPr>
              <w:pStyle w:val="TableParagraph"/>
              <w:spacing w:line="273" w:lineRule="auto"/>
              <w:ind w:left="105" w:right="106"/>
              <w:jc w:val="left"/>
              <w:rPr>
                <w:rFonts w:ascii="宋体" w:hAnsi="宋体" w:cs="宋体" w:eastAsia="宋体" w:hint="default"/>
                <w:sz w:val="21"/>
                <w:szCs w:val="21"/>
              </w:rPr>
            </w:pPr>
            <w:r>
              <w:rPr>
                <w:rFonts w:ascii="宋体" w:hAnsi="宋体" w:cs="宋体" w:eastAsia="宋体" w:hint="default"/>
                <w:sz w:val="21"/>
                <w:szCs w:val="21"/>
              </w:rPr>
              <w:t>股权取 得比例</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25"/>
                <w:szCs w:val="25"/>
              </w:rPr>
            </w:pPr>
          </w:p>
          <w:p>
            <w:pPr>
              <w:pStyle w:val="TableParagraph"/>
              <w:spacing w:line="273" w:lineRule="auto"/>
              <w:ind w:left="316" w:right="107" w:hanging="210"/>
              <w:jc w:val="left"/>
              <w:rPr>
                <w:rFonts w:ascii="宋体" w:hAnsi="宋体" w:cs="宋体" w:eastAsia="宋体" w:hint="default"/>
                <w:sz w:val="21"/>
                <w:szCs w:val="21"/>
              </w:rPr>
            </w:pPr>
            <w:r>
              <w:rPr>
                <w:rFonts w:ascii="宋体" w:hAnsi="宋体" w:cs="宋体" w:eastAsia="宋体" w:hint="default"/>
                <w:sz w:val="21"/>
                <w:szCs w:val="21"/>
              </w:rPr>
              <w:t>股权取得 方式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11" w:right="0"/>
              <w:jc w:val="left"/>
              <w:rPr>
                <w:rFonts w:ascii="宋体" w:hAnsi="宋体" w:cs="宋体" w:eastAsia="宋体" w:hint="default"/>
                <w:sz w:val="21"/>
                <w:szCs w:val="21"/>
              </w:rPr>
            </w:pPr>
            <w:r>
              <w:rPr>
                <w:rFonts w:ascii="宋体" w:hAnsi="宋体" w:cs="宋体" w:eastAsia="宋体" w:hint="default"/>
                <w:sz w:val="21"/>
                <w:szCs w:val="21"/>
              </w:rPr>
              <w:t>购买日</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25"/>
                <w:szCs w:val="25"/>
              </w:rPr>
            </w:pPr>
          </w:p>
          <w:p>
            <w:pPr>
              <w:pStyle w:val="TableParagraph"/>
              <w:spacing w:line="273" w:lineRule="auto"/>
              <w:ind w:left="105" w:right="105"/>
              <w:jc w:val="left"/>
              <w:rPr>
                <w:rFonts w:ascii="宋体" w:hAnsi="宋体" w:cs="宋体" w:eastAsia="宋体" w:hint="default"/>
                <w:sz w:val="21"/>
                <w:szCs w:val="21"/>
              </w:rPr>
            </w:pPr>
            <w:r>
              <w:rPr>
                <w:rFonts w:ascii="宋体" w:hAnsi="宋体" w:cs="宋体" w:eastAsia="宋体" w:hint="default"/>
                <w:sz w:val="21"/>
                <w:szCs w:val="21"/>
              </w:rPr>
              <w:t>购买日的 确定依据</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105" w:right="104"/>
              <w:jc w:val="center"/>
              <w:rPr>
                <w:rFonts w:ascii="宋体" w:hAnsi="宋体" w:cs="宋体" w:eastAsia="宋体" w:hint="default"/>
                <w:sz w:val="21"/>
                <w:szCs w:val="21"/>
              </w:rPr>
            </w:pPr>
            <w:r>
              <w:rPr>
                <w:rFonts w:ascii="宋体" w:hAnsi="宋体" w:cs="宋体" w:eastAsia="宋体" w:hint="default"/>
                <w:sz w:val="21"/>
                <w:szCs w:val="21"/>
              </w:rPr>
              <w:t>购买日至 期末被购 买方的收 入</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105" w:right="104"/>
              <w:jc w:val="center"/>
              <w:rPr>
                <w:rFonts w:ascii="宋体" w:hAnsi="宋体" w:cs="宋体" w:eastAsia="宋体" w:hint="default"/>
                <w:sz w:val="21"/>
                <w:szCs w:val="21"/>
              </w:rPr>
            </w:pPr>
            <w:r>
              <w:rPr>
                <w:rFonts w:ascii="宋体" w:hAnsi="宋体" w:cs="宋体" w:eastAsia="宋体" w:hint="default"/>
                <w:sz w:val="21"/>
                <w:szCs w:val="21"/>
              </w:rPr>
              <w:t>购买日至 期末被购 买方的净 利润</w:t>
            </w:r>
          </w:p>
        </w:tc>
      </w:tr>
      <w:tr>
        <w:trPr>
          <w:trHeight w:val="1026" w:hRule="exact"/>
        </w:trPr>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2" w:right="123"/>
              <w:jc w:val="both"/>
              <w:rPr>
                <w:rFonts w:ascii="宋体" w:hAnsi="宋体" w:cs="宋体" w:eastAsia="宋体" w:hint="default"/>
                <w:sz w:val="21"/>
                <w:szCs w:val="21"/>
              </w:rPr>
            </w:pPr>
            <w:r>
              <w:rPr>
                <w:rFonts w:ascii="宋体" w:hAnsi="宋体" w:cs="宋体" w:eastAsia="宋体" w:hint="default"/>
                <w:sz w:val="21"/>
                <w:szCs w:val="21"/>
              </w:rPr>
              <w:t>成都西南交大 驱动技术有限 责任公司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7"/>
                <w:sz w:val="21"/>
                <w:szCs w:val="21"/>
              </w:rPr>
              <w:t> </w:t>
            </w:r>
            <w:r>
              <w:rPr>
                <w:rFonts w:ascii="宋体" w:hAnsi="宋体" w:cs="宋体" w:eastAsia="宋体" w:hint="default"/>
                <w:sz w:val="21"/>
                <w:szCs w:val="21"/>
              </w:rPr>
              <w:t>年</w:t>
            </w:r>
            <w:r>
              <w:rPr>
                <w:rFonts w:ascii="宋体" w:hAnsi="宋体" w:cs="宋体" w:eastAsia="宋体" w:hint="default"/>
                <w:spacing w:val="-59"/>
                <w:sz w:val="21"/>
                <w:szCs w:val="21"/>
              </w:rPr>
              <w:t> </w:t>
            </w:r>
            <w:r>
              <w:rPr>
                <w:rFonts w:ascii="宋体" w:hAnsi="宋体" w:cs="宋体" w:eastAsia="宋体" w:hint="default"/>
                <w:sz w:val="21"/>
                <w:szCs w:val="21"/>
              </w:rPr>
              <w:t>01</w:t>
            </w:r>
          </w:p>
          <w:p>
            <w:pPr>
              <w:pStyle w:val="TableParagraph"/>
              <w:spacing w:line="240" w:lineRule="auto" w:before="37"/>
              <w:ind w:left="2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20</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3"/>
              <w:jc w:val="right"/>
              <w:rPr>
                <w:rFonts w:ascii="宋体" w:hAnsi="宋体" w:cs="宋体" w:eastAsia="宋体" w:hint="default"/>
                <w:sz w:val="21"/>
                <w:szCs w:val="21"/>
              </w:rPr>
            </w:pPr>
            <w:r>
              <w:rPr>
                <w:rFonts w:ascii="宋体"/>
                <w:sz w:val="21"/>
              </w:rPr>
              <w:t>54,266,600</w:t>
            </w:r>
          </w:p>
          <w:p>
            <w:pPr>
              <w:pStyle w:val="TableParagraph"/>
              <w:spacing w:line="240" w:lineRule="auto" w:before="37"/>
              <w:ind w:right="21"/>
              <w:jc w:val="right"/>
              <w:rPr>
                <w:rFonts w:ascii="宋体" w:hAnsi="宋体" w:cs="宋体" w:eastAsia="宋体" w:hint="default"/>
                <w:sz w:val="21"/>
                <w:szCs w:val="21"/>
              </w:rPr>
            </w:pPr>
            <w:r>
              <w:rPr>
                <w:rFonts w:ascii="宋体"/>
                <w:sz w:val="21"/>
              </w:rPr>
              <w:t>.00</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left="189" w:right="0"/>
              <w:jc w:val="left"/>
              <w:rPr>
                <w:rFonts w:ascii="宋体" w:hAnsi="宋体" w:cs="宋体" w:eastAsia="宋体" w:hint="default"/>
                <w:sz w:val="21"/>
                <w:szCs w:val="21"/>
              </w:rPr>
            </w:pPr>
            <w:r>
              <w:rPr>
                <w:rFonts w:ascii="宋体"/>
                <w:sz w:val="21"/>
              </w:rPr>
              <w:t>51.00%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现金购买</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02</w:t>
            </w:r>
          </w:p>
          <w:p>
            <w:pPr>
              <w:pStyle w:val="TableParagraph"/>
              <w:spacing w:line="240" w:lineRule="auto" w:before="37"/>
              <w:ind w:left="22"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17</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73" w:lineRule="auto"/>
              <w:ind w:left="22" w:right="189"/>
              <w:jc w:val="left"/>
              <w:rPr>
                <w:rFonts w:ascii="宋体" w:hAnsi="宋体" w:cs="宋体" w:eastAsia="宋体" w:hint="default"/>
                <w:sz w:val="21"/>
                <w:szCs w:val="21"/>
              </w:rPr>
            </w:pPr>
            <w:r>
              <w:rPr>
                <w:rFonts w:ascii="宋体" w:hAnsi="宋体" w:cs="宋体" w:eastAsia="宋体" w:hint="default"/>
                <w:sz w:val="21"/>
                <w:szCs w:val="21"/>
              </w:rPr>
              <w:t>工商登记 变更</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83" w:right="0"/>
              <w:jc w:val="left"/>
              <w:rPr>
                <w:rFonts w:ascii="宋体" w:hAnsi="宋体" w:cs="宋体" w:eastAsia="宋体" w:hint="default"/>
                <w:sz w:val="21"/>
                <w:szCs w:val="21"/>
              </w:rPr>
            </w:pPr>
            <w:r>
              <w:rPr>
                <w:rFonts w:ascii="宋体"/>
                <w:sz w:val="21"/>
              </w:rPr>
              <w:t>39,863,92</w:t>
            </w:r>
          </w:p>
          <w:p>
            <w:pPr>
              <w:pStyle w:val="TableParagraph"/>
              <w:spacing w:line="240" w:lineRule="auto" w:before="37"/>
              <w:ind w:left="608" w:right="0"/>
              <w:jc w:val="left"/>
              <w:rPr>
                <w:rFonts w:ascii="宋体" w:hAnsi="宋体" w:cs="宋体" w:eastAsia="宋体" w:hint="default"/>
                <w:sz w:val="21"/>
                <w:szCs w:val="21"/>
              </w:rPr>
            </w:pPr>
            <w:r>
              <w:rPr>
                <w:rFonts w:ascii="宋体"/>
                <w:sz w:val="21"/>
              </w:rPr>
              <w:t>6.47</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83" w:right="0"/>
              <w:jc w:val="left"/>
              <w:rPr>
                <w:rFonts w:ascii="宋体" w:hAnsi="宋体" w:cs="宋体" w:eastAsia="宋体" w:hint="default"/>
                <w:sz w:val="21"/>
                <w:szCs w:val="21"/>
              </w:rPr>
            </w:pPr>
            <w:r>
              <w:rPr>
                <w:rFonts w:ascii="宋体"/>
                <w:sz w:val="21"/>
              </w:rPr>
              <w:t>11,027,17</w:t>
            </w:r>
          </w:p>
          <w:p>
            <w:pPr>
              <w:pStyle w:val="TableParagraph"/>
              <w:spacing w:line="240" w:lineRule="auto" w:before="37"/>
              <w:ind w:left="608" w:right="0"/>
              <w:jc w:val="left"/>
              <w:rPr>
                <w:rFonts w:ascii="宋体" w:hAnsi="宋体" w:cs="宋体" w:eastAsia="宋体" w:hint="default"/>
                <w:sz w:val="21"/>
                <w:szCs w:val="21"/>
              </w:rPr>
            </w:pPr>
            <w:r>
              <w:rPr>
                <w:rFonts w:ascii="宋体"/>
                <w:sz w:val="21"/>
              </w:rPr>
              <w:t>9.49</w:t>
            </w:r>
          </w:p>
        </w:tc>
      </w:tr>
    </w:tbl>
    <w:p>
      <w:pPr>
        <w:spacing w:line="240" w:lineRule="auto" w:before="10"/>
        <w:rPr>
          <w:rFonts w:ascii="宋体" w:hAnsi="宋体" w:cs="宋体" w:eastAsia="宋体" w:hint="default"/>
          <w:sz w:val="4"/>
          <w:szCs w:val="4"/>
        </w:rPr>
      </w:pPr>
    </w:p>
    <w:p>
      <w:pPr>
        <w:spacing w:after="0" w:line="240" w:lineRule="auto"/>
        <w:rPr>
          <w:rFonts w:ascii="宋体" w:hAnsi="宋体" w:cs="宋体" w:eastAsia="宋体" w:hint="default"/>
          <w:sz w:val="4"/>
          <w:szCs w:val="4"/>
        </w:rPr>
        <w:sectPr>
          <w:type w:val="continuous"/>
          <w:pgSz w:w="11910" w:h="16840"/>
          <w:pgMar w:top="1060" w:bottom="1160" w:left="880" w:right="0"/>
        </w:sectPr>
      </w:pPr>
    </w:p>
    <w:p>
      <w:pPr>
        <w:pStyle w:val="Heading2"/>
        <w:spacing w:line="240" w:lineRule="auto"/>
        <w:ind w:left="736" w:right="0"/>
        <w:jc w:val="left"/>
        <w:rPr>
          <w:b w:val="0"/>
          <w:bCs w:val="0"/>
        </w:rPr>
      </w:pPr>
      <w:bookmarkStart w:name="（2）合并成本及商誉" w:id="427"/>
      <w:bookmarkEnd w:id="427"/>
      <w:r>
        <w:rPr>
          <w:b w:val="0"/>
          <w:bCs w:val="0"/>
        </w:rPr>
      </w:r>
      <w:r>
        <w:rPr>
          <w:w w:val="95"/>
        </w:rPr>
        <w:t>（</w:t>
      </w:r>
      <w:r>
        <w:rPr>
          <w:rFonts w:ascii="宋体" w:hAnsi="宋体" w:cs="宋体" w:eastAsia="宋体" w:hint="default"/>
          <w:w w:val="95"/>
        </w:rPr>
        <w:t>2</w:t>
      </w:r>
      <w:r>
        <w:rPr>
          <w:w w:val="95"/>
        </w:rPr>
        <w:t>）合并成本及商誉</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before="161"/>
        <w:ind w:left="736" w:right="0" w:firstLine="0"/>
        <w:jc w:val="left"/>
        <w:rPr>
          <w:rFonts w:ascii="宋体" w:hAnsi="宋体" w:cs="宋体" w:eastAsia="宋体" w:hint="default"/>
          <w:sz w:val="21"/>
          <w:szCs w:val="21"/>
        </w:rPr>
      </w:pPr>
      <w:r>
        <w:rPr>
          <w:rFonts w:ascii="宋体" w:hAnsi="宋体" w:cs="宋体" w:eastAsia="宋体" w:hint="default"/>
          <w:sz w:val="21"/>
          <w:szCs w:val="21"/>
        </w:rPr>
        <w:t>单位： 元</w:t>
      </w:r>
    </w:p>
    <w:p>
      <w:pPr>
        <w:spacing w:after="0"/>
        <w:jc w:val="left"/>
        <w:rPr>
          <w:rFonts w:ascii="宋体" w:hAnsi="宋体" w:cs="宋体" w:eastAsia="宋体" w:hint="default"/>
          <w:sz w:val="21"/>
          <w:szCs w:val="21"/>
        </w:rPr>
        <w:sectPr>
          <w:type w:val="continuous"/>
          <w:pgSz w:w="11910" w:h="16840"/>
          <w:pgMar w:top="1060" w:bottom="1160" w:left="880" w:right="0"/>
          <w:cols w:num="2" w:equalWidth="0">
            <w:col w:w="3025" w:space="5187"/>
            <w:col w:w="2818"/>
          </w:cols>
        </w:sectPr>
      </w:pPr>
    </w:p>
    <w:p>
      <w:pPr>
        <w:spacing w:line="240" w:lineRule="auto" w:before="0"/>
        <w:rPr>
          <w:rFonts w:ascii="宋体" w:hAnsi="宋体" w:cs="宋体" w:eastAsia="宋体" w:hint="default"/>
          <w:sz w:val="7"/>
          <w:szCs w:val="7"/>
        </w:rPr>
      </w:pPr>
    </w:p>
    <w:tbl>
      <w:tblPr>
        <w:tblW w:w="0" w:type="auto"/>
        <w:jc w:val="left"/>
        <w:tblInd w:w="260" w:type="dxa"/>
        <w:tblLayout w:type="fixed"/>
        <w:tblCellMar>
          <w:top w:w="0" w:type="dxa"/>
          <w:left w:w="0" w:type="dxa"/>
          <w:bottom w:w="0" w:type="dxa"/>
          <w:right w:w="0" w:type="dxa"/>
        </w:tblCellMar>
        <w:tblLook w:val="01E0"/>
      </w:tblPr>
      <w:tblGrid>
        <w:gridCol w:w="6499"/>
        <w:gridCol w:w="3059"/>
      </w:tblGrid>
      <w:tr>
        <w:trPr>
          <w:trHeight w:val="402" w:hRule="exact"/>
        </w:trPr>
        <w:tc>
          <w:tcPr>
            <w:tcW w:w="64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合并成本</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64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现金</w:t>
            </w:r>
          </w:p>
        </w:tc>
        <w:tc>
          <w:tcPr>
            <w:tcW w:w="305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54,266,600.00</w:t>
            </w:r>
          </w:p>
        </w:tc>
      </w:tr>
      <w:tr>
        <w:trPr>
          <w:trHeight w:val="402" w:hRule="exact"/>
        </w:trPr>
        <w:tc>
          <w:tcPr>
            <w:tcW w:w="64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合并成本合计</w:t>
            </w:r>
          </w:p>
        </w:tc>
        <w:tc>
          <w:tcPr>
            <w:tcW w:w="305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54,266,600.00</w:t>
            </w:r>
          </w:p>
        </w:tc>
      </w:tr>
      <w:tr>
        <w:trPr>
          <w:trHeight w:val="402" w:hRule="exact"/>
        </w:trPr>
        <w:tc>
          <w:tcPr>
            <w:tcW w:w="64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减：取得的可辨认净资产公允价值份额</w:t>
            </w:r>
          </w:p>
        </w:tc>
        <w:tc>
          <w:tcPr>
            <w:tcW w:w="305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20,125,273.64</w:t>
            </w:r>
          </w:p>
        </w:tc>
      </w:tr>
      <w:tr>
        <w:trPr>
          <w:trHeight w:val="402" w:hRule="exact"/>
        </w:trPr>
        <w:tc>
          <w:tcPr>
            <w:tcW w:w="64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商誉</w:t>
            </w:r>
            <w:r>
              <w:rPr>
                <w:rFonts w:ascii="宋体" w:hAnsi="宋体" w:cs="宋体" w:eastAsia="宋体" w:hint="default"/>
                <w:sz w:val="21"/>
                <w:szCs w:val="21"/>
              </w:rPr>
              <w:t>/</w:t>
            </w:r>
            <w:r>
              <w:rPr>
                <w:rFonts w:ascii="宋体" w:hAnsi="宋体" w:cs="宋体" w:eastAsia="宋体" w:hint="default"/>
                <w:sz w:val="21"/>
                <w:szCs w:val="21"/>
              </w:rPr>
              <w:t>合并成本小于取得的可辨认净资产公允价值份额的金额</w:t>
            </w:r>
          </w:p>
        </w:tc>
        <w:tc>
          <w:tcPr>
            <w:tcW w:w="305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34,141,326.36</w:t>
            </w:r>
          </w:p>
        </w:tc>
      </w:tr>
    </w:tbl>
    <w:p>
      <w:pPr>
        <w:spacing w:line="240" w:lineRule="auto" w:before="10"/>
        <w:rPr>
          <w:rFonts w:ascii="宋体" w:hAnsi="宋体" w:cs="宋体" w:eastAsia="宋体" w:hint="default"/>
          <w:sz w:val="4"/>
          <w:szCs w:val="4"/>
        </w:rPr>
      </w:pPr>
    </w:p>
    <w:p>
      <w:pPr>
        <w:pStyle w:val="BodyText"/>
        <w:spacing w:line="352" w:lineRule="auto" w:before="26"/>
        <w:ind w:left="733" w:right="1153"/>
        <w:jc w:val="left"/>
      </w:pPr>
      <w:r>
        <w:rPr/>
        <w:t>合并成本公允价值的确定方法、或有对价及其变动的说明：无 大额商誉形成的主要原因：公司于本年度非同一控制下企业合并收购西南交大驱动确认</w:t>
      </w:r>
    </w:p>
    <w:p>
      <w:pPr>
        <w:pStyle w:val="BodyText"/>
        <w:spacing w:line="240" w:lineRule="auto" w:before="32"/>
        <w:ind w:left="235" w:right="8231"/>
        <w:jc w:val="center"/>
      </w:pPr>
      <w:r>
        <w:rPr>
          <w:rFonts w:ascii="宋体" w:hAnsi="宋体" w:cs="宋体" w:eastAsia="宋体" w:hint="default"/>
        </w:rPr>
        <w:t>34,141,326.36</w:t>
      </w:r>
      <w:r>
        <w:rPr/>
        <w:t>元商誉。</w:t>
      </w:r>
    </w:p>
    <w:p>
      <w:pPr>
        <w:pStyle w:val="BodyText"/>
        <w:spacing w:line="240" w:lineRule="auto" w:before="145"/>
        <w:ind w:left="734" w:right="997"/>
        <w:jc w:val="left"/>
      </w:pPr>
      <w:r>
        <w:rPr/>
        <w:t>其他说明：无。</w:t>
      </w:r>
    </w:p>
    <w:p>
      <w:pPr>
        <w:pStyle w:val="Heading2"/>
        <w:spacing w:line="240" w:lineRule="auto" w:before="146"/>
        <w:ind w:left="736" w:right="997"/>
        <w:jc w:val="left"/>
        <w:rPr>
          <w:b w:val="0"/>
          <w:bCs w:val="0"/>
        </w:rPr>
      </w:pPr>
      <w:bookmarkStart w:name="（3）被购买方于购买日可辨认资产、负债" w:id="428"/>
      <w:bookmarkEnd w:id="428"/>
      <w:r>
        <w:rPr>
          <w:b w:val="0"/>
          <w:bCs w:val="0"/>
        </w:rPr>
      </w:r>
      <w:r>
        <w:rPr/>
        <w:t>（</w:t>
      </w:r>
      <w:r>
        <w:rPr>
          <w:rFonts w:ascii="宋体" w:hAnsi="宋体" w:cs="宋体" w:eastAsia="宋体" w:hint="default"/>
        </w:rPr>
        <w:t>3</w:t>
      </w:r>
      <w:r>
        <w:rPr/>
        <w:t>）被购买方于购买日可辨认资产、负债</w:t>
      </w:r>
      <w:r>
        <w:rPr>
          <w:b w:val="0"/>
          <w:bCs w:val="0"/>
        </w:rPr>
      </w:r>
    </w:p>
    <w:p>
      <w:pPr>
        <w:spacing w:before="83"/>
        <w:ind w:left="0" w:right="1129" w:firstLine="0"/>
        <w:jc w:val="right"/>
        <w:rPr>
          <w:rFonts w:ascii="宋体" w:hAnsi="宋体" w:cs="宋体" w:eastAsia="宋体" w:hint="default"/>
          <w:sz w:val="21"/>
          <w:szCs w:val="21"/>
        </w:rPr>
      </w:pPr>
      <w:r>
        <w:rPr>
          <w:rFonts w:ascii="宋体" w:hAnsi="宋体" w:cs="宋体" w:eastAsia="宋体" w:hint="default"/>
          <w:sz w:val="21"/>
          <w:szCs w:val="21"/>
        </w:rPr>
        <w:t>单位： 元</w:t>
      </w:r>
    </w:p>
    <w:p>
      <w:pPr>
        <w:spacing w:line="240" w:lineRule="auto" w:before="0"/>
        <w:rPr>
          <w:rFonts w:ascii="宋体" w:hAnsi="宋体" w:cs="宋体" w:eastAsia="宋体" w:hint="default"/>
          <w:sz w:val="7"/>
          <w:szCs w:val="7"/>
        </w:rPr>
      </w:pPr>
    </w:p>
    <w:tbl>
      <w:tblPr>
        <w:tblW w:w="0" w:type="auto"/>
        <w:jc w:val="left"/>
        <w:tblInd w:w="249" w:type="dxa"/>
        <w:tblLayout w:type="fixed"/>
        <w:tblCellMar>
          <w:top w:w="0" w:type="dxa"/>
          <w:left w:w="0" w:type="dxa"/>
          <w:bottom w:w="0" w:type="dxa"/>
          <w:right w:w="0" w:type="dxa"/>
        </w:tblCellMar>
        <w:tblLook w:val="01E0"/>
      </w:tblPr>
      <w:tblGrid>
        <w:gridCol w:w="3190"/>
        <w:gridCol w:w="3191"/>
        <w:gridCol w:w="317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37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506" w:right="0"/>
              <w:jc w:val="left"/>
              <w:rPr>
                <w:rFonts w:ascii="宋体" w:hAnsi="宋体" w:cs="宋体" w:eastAsia="宋体" w:hint="default"/>
                <w:sz w:val="21"/>
                <w:szCs w:val="21"/>
              </w:rPr>
            </w:pPr>
            <w:r>
              <w:rPr>
                <w:rFonts w:ascii="宋体" w:hAnsi="宋体" w:cs="宋体" w:eastAsia="宋体" w:hint="default"/>
                <w:sz w:val="21"/>
                <w:szCs w:val="21"/>
              </w:rPr>
              <w:t>成都西南交大驱动技术有限责任公司</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856" w:right="0"/>
              <w:jc w:val="left"/>
              <w:rPr>
                <w:rFonts w:ascii="宋体" w:hAnsi="宋体" w:cs="宋体" w:eastAsia="宋体" w:hint="default"/>
                <w:sz w:val="21"/>
                <w:szCs w:val="21"/>
              </w:rPr>
            </w:pPr>
            <w:r>
              <w:rPr>
                <w:rFonts w:ascii="宋体" w:hAnsi="宋体" w:cs="宋体" w:eastAsia="宋体" w:hint="default"/>
                <w:sz w:val="21"/>
                <w:szCs w:val="21"/>
              </w:rPr>
              <w:t>购买日公允价值</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854" w:right="0"/>
              <w:jc w:val="left"/>
              <w:rPr>
                <w:rFonts w:ascii="宋体" w:hAnsi="宋体" w:cs="宋体" w:eastAsia="宋体" w:hint="default"/>
                <w:sz w:val="21"/>
                <w:szCs w:val="21"/>
              </w:rPr>
            </w:pPr>
            <w:r>
              <w:rPr>
                <w:rFonts w:ascii="宋体" w:hAnsi="宋体" w:cs="宋体" w:eastAsia="宋体" w:hint="default"/>
                <w:sz w:val="21"/>
                <w:szCs w:val="21"/>
              </w:rPr>
              <w:t>购买日账面价值</w:t>
            </w:r>
          </w:p>
        </w:tc>
      </w:tr>
    </w:tbl>
    <w:p>
      <w:pPr>
        <w:spacing w:after="0" w:line="240" w:lineRule="auto"/>
        <w:jc w:val="left"/>
        <w:rPr>
          <w:rFonts w:ascii="宋体" w:hAnsi="宋体" w:cs="宋体" w:eastAsia="宋体" w:hint="default"/>
          <w:sz w:val="21"/>
          <w:szCs w:val="21"/>
        </w:rPr>
        <w:sectPr>
          <w:type w:val="continuous"/>
          <w:pgSz w:w="11910" w:h="16840"/>
          <w:pgMar w:top="1060" w:bottom="1160" w:left="8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90"/>
        <w:gridCol w:w="3191"/>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19,005,462.18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19,005,462.18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应收款项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20,608,725.33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20,608,725.33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9"/>
              <w:jc w:val="right"/>
              <w:rPr>
                <w:rFonts w:ascii="宋体" w:hAnsi="宋体" w:cs="宋体" w:eastAsia="宋体" w:hint="default"/>
                <w:sz w:val="21"/>
                <w:szCs w:val="21"/>
              </w:rPr>
            </w:pPr>
            <w:r>
              <w:rPr>
                <w:rFonts w:ascii="宋体"/>
                <w:sz w:val="21"/>
              </w:rPr>
              <w:t>3,079,107.56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9"/>
              <w:jc w:val="right"/>
              <w:rPr>
                <w:rFonts w:ascii="宋体" w:hAnsi="宋体" w:cs="宋体" w:eastAsia="宋体" w:hint="default"/>
                <w:sz w:val="21"/>
                <w:szCs w:val="21"/>
              </w:rPr>
            </w:pPr>
            <w:r>
              <w:rPr>
                <w:rFonts w:ascii="宋体"/>
                <w:sz w:val="21"/>
              </w:rPr>
              <w:t>3,079,107.56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763,128.63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763,128.63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交易性金融资产</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9"/>
              <w:jc w:val="right"/>
              <w:rPr>
                <w:rFonts w:ascii="宋体" w:hAnsi="宋体" w:cs="宋体" w:eastAsia="宋体" w:hint="default"/>
                <w:sz w:val="21"/>
                <w:szCs w:val="21"/>
              </w:rPr>
            </w:pPr>
            <w:r>
              <w:rPr>
                <w:rFonts w:ascii="宋体"/>
                <w:sz w:val="21"/>
              </w:rPr>
              <w:t>5,100,000.00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9"/>
              <w:jc w:val="right"/>
              <w:rPr>
                <w:rFonts w:ascii="宋体" w:hAnsi="宋体" w:cs="宋体" w:eastAsia="宋体" w:hint="default"/>
                <w:sz w:val="21"/>
                <w:szCs w:val="21"/>
              </w:rPr>
            </w:pPr>
            <w:r>
              <w:rPr>
                <w:rFonts w:ascii="宋体"/>
                <w:sz w:val="21"/>
              </w:rPr>
              <w:t>5,100,000.00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预付账款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83,278.85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83,278.85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917,986.40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917,986.40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697,800.00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697,800.00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长期待摊费用</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103,328.72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103,328.72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255,366.40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255,366.40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应付款项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9"/>
              <w:jc w:val="right"/>
              <w:rPr>
                <w:rFonts w:ascii="宋体" w:hAnsi="宋体" w:cs="宋体" w:eastAsia="宋体" w:hint="default"/>
                <w:sz w:val="21"/>
                <w:szCs w:val="21"/>
              </w:rPr>
            </w:pPr>
            <w:r>
              <w:rPr>
                <w:rFonts w:ascii="宋体"/>
                <w:sz w:val="21"/>
              </w:rPr>
              <w:t>6,646,231.85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9"/>
              <w:jc w:val="right"/>
              <w:rPr>
                <w:rFonts w:ascii="宋体" w:hAnsi="宋体" w:cs="宋体" w:eastAsia="宋体" w:hint="default"/>
                <w:sz w:val="21"/>
                <w:szCs w:val="21"/>
              </w:rPr>
            </w:pPr>
            <w:r>
              <w:rPr>
                <w:rFonts w:ascii="宋体"/>
                <w:sz w:val="21"/>
              </w:rPr>
              <w:t>6,646,231.85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146,002.04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146,002.04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251,212.34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251,212.34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9"/>
              <w:jc w:val="right"/>
              <w:rPr>
                <w:rFonts w:ascii="宋体" w:hAnsi="宋体" w:cs="宋体" w:eastAsia="宋体" w:hint="default"/>
                <w:sz w:val="21"/>
                <w:szCs w:val="21"/>
              </w:rPr>
            </w:pPr>
            <w:r>
              <w:rPr>
                <w:rFonts w:ascii="宋体"/>
                <w:sz w:val="21"/>
              </w:rPr>
              <w:t>2,909,416.98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9"/>
              <w:jc w:val="right"/>
              <w:rPr>
                <w:rFonts w:ascii="宋体" w:hAnsi="宋体" w:cs="宋体" w:eastAsia="宋体" w:hint="default"/>
                <w:sz w:val="21"/>
                <w:szCs w:val="21"/>
              </w:rPr>
            </w:pPr>
            <w:r>
              <w:rPr>
                <w:rFonts w:ascii="宋体"/>
                <w:sz w:val="21"/>
              </w:rPr>
              <w:t>2,909,416.98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专项应付款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9"/>
              <w:jc w:val="right"/>
              <w:rPr>
                <w:rFonts w:ascii="宋体" w:hAnsi="宋体" w:cs="宋体" w:eastAsia="宋体" w:hint="default"/>
                <w:sz w:val="21"/>
                <w:szCs w:val="21"/>
              </w:rPr>
            </w:pPr>
            <w:r>
              <w:rPr>
                <w:rFonts w:ascii="宋体"/>
                <w:sz w:val="21"/>
              </w:rPr>
              <w:t>1,200,000.00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9"/>
              <w:jc w:val="right"/>
              <w:rPr>
                <w:rFonts w:ascii="宋体" w:hAnsi="宋体" w:cs="宋体" w:eastAsia="宋体" w:hint="default"/>
                <w:sz w:val="21"/>
                <w:szCs w:val="21"/>
              </w:rPr>
            </w:pPr>
            <w:r>
              <w:rPr>
                <w:rFonts w:ascii="宋体"/>
                <w:sz w:val="21"/>
              </w:rPr>
              <w:t>1,200,000.00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净资产</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39,461,320.86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39,461,320.86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减：少数股东权益</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19,336,047.22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19,336,047.22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取得的净资产</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20,125,273.64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20,125,273.64</w:t>
            </w:r>
          </w:p>
        </w:tc>
      </w:tr>
    </w:tbl>
    <w:p>
      <w:pPr>
        <w:spacing w:line="240" w:lineRule="auto" w:before="10"/>
        <w:rPr>
          <w:rFonts w:ascii="宋体" w:hAnsi="宋体" w:cs="宋体" w:eastAsia="宋体" w:hint="default"/>
          <w:sz w:val="4"/>
          <w:szCs w:val="4"/>
        </w:rPr>
      </w:pPr>
    </w:p>
    <w:p>
      <w:pPr>
        <w:spacing w:line="352" w:lineRule="auto" w:before="26"/>
        <w:ind w:left="633" w:right="2593" w:firstLine="2"/>
        <w:jc w:val="left"/>
        <w:rPr>
          <w:rFonts w:ascii="宋体" w:hAnsi="宋体" w:cs="宋体" w:eastAsia="宋体" w:hint="default"/>
          <w:sz w:val="24"/>
          <w:szCs w:val="24"/>
        </w:rPr>
      </w:pPr>
      <w:bookmarkStart w:name="（4）购买日之前持有的股权按照公允价值重新计量产生的利得或损失" w:id="429"/>
      <w:bookmarkEnd w:id="429"/>
      <w:r>
        <w:rPr/>
      </w:r>
      <w:r>
        <w:rPr>
          <w:rFonts w:ascii="宋体" w:hAnsi="宋体" w:cs="宋体" w:eastAsia="宋体" w:hint="default"/>
          <w:b/>
          <w:bCs/>
          <w:sz w:val="24"/>
          <w:szCs w:val="24"/>
        </w:rPr>
        <w:t>（</w:t>
      </w:r>
      <w:r>
        <w:rPr>
          <w:rFonts w:ascii="宋体" w:hAnsi="宋体" w:cs="宋体" w:eastAsia="宋体" w:hint="default"/>
          <w:b/>
          <w:bCs/>
          <w:sz w:val="24"/>
          <w:szCs w:val="24"/>
        </w:rPr>
        <w:t>4</w:t>
      </w:r>
      <w:r>
        <w:rPr>
          <w:rFonts w:ascii="宋体" w:hAnsi="宋体" w:cs="宋体" w:eastAsia="宋体" w:hint="default"/>
          <w:b/>
          <w:bCs/>
          <w:sz w:val="24"/>
          <w:szCs w:val="24"/>
        </w:rPr>
        <w:t>）购买日之前持有的股权按照公允价值重新计量产生的利得或损失</w:t>
      </w:r>
      <w:r>
        <w:rPr>
          <w:rFonts w:ascii="宋体" w:hAnsi="宋体" w:cs="宋体" w:eastAsia="宋体" w:hint="default"/>
          <w:b/>
          <w:bCs/>
          <w:w w:val="99"/>
          <w:sz w:val="24"/>
          <w:szCs w:val="24"/>
        </w:rPr>
        <w:t> </w:t>
      </w:r>
      <w:r>
        <w:rPr>
          <w:rFonts w:ascii="宋体" w:hAnsi="宋体" w:cs="宋体" w:eastAsia="宋体" w:hint="default"/>
          <w:sz w:val="24"/>
          <w:szCs w:val="24"/>
        </w:rPr>
        <w:t>是否存在通过多次交易分步实现企业合并且在报告期内取得控制权的交易</w:t>
      </w:r>
    </w:p>
    <w:p>
      <w:pPr>
        <w:pStyle w:val="BodyText"/>
        <w:spacing w:line="240" w:lineRule="auto" w:before="32"/>
        <w:ind w:left="633" w:right="996"/>
        <w:jc w:val="left"/>
      </w:pPr>
      <w:r>
        <w:rPr/>
        <w:t>□ 是 √ 否</w:t>
      </w:r>
    </w:p>
    <w:p>
      <w:pPr>
        <w:pStyle w:val="Heading2"/>
        <w:spacing w:line="352" w:lineRule="auto" w:before="145"/>
        <w:ind w:left="153" w:right="996" w:firstLine="482"/>
        <w:jc w:val="left"/>
        <w:rPr>
          <w:b w:val="0"/>
          <w:bCs w:val="0"/>
        </w:rPr>
      </w:pPr>
      <w:bookmarkStart w:name="（5）购买日或合并当期期末无法合理确定合并对价或被购买方可辨认资产、负债公允价值" w:id="430"/>
      <w:bookmarkEnd w:id="430"/>
      <w:r>
        <w:rPr>
          <w:b w:val="0"/>
          <w:bCs w:val="0"/>
        </w:rPr>
      </w:r>
      <w:r>
        <w:rPr>
          <w:spacing w:val="3"/>
          <w:w w:val="95"/>
        </w:rPr>
        <w:t>（</w:t>
      </w:r>
      <w:r>
        <w:rPr>
          <w:rFonts w:ascii="宋体" w:hAnsi="宋体" w:cs="宋体" w:eastAsia="宋体" w:hint="default"/>
          <w:spacing w:val="3"/>
          <w:w w:val="95"/>
        </w:rPr>
        <w:t>5</w:t>
      </w:r>
      <w:r>
        <w:rPr>
          <w:spacing w:val="3"/>
          <w:w w:val="95"/>
        </w:rPr>
        <w:t>）购买日或合并当期期末无法合理确定合并对价或被购买方可辨认资产、负债公允</w:t>
      </w:r>
      <w:r>
        <w:rPr>
          <w:w w:val="99"/>
        </w:rPr>
        <w:t> </w:t>
      </w:r>
      <w:r>
        <w:rPr/>
        <w:t>价值的相关说明</w:t>
      </w:r>
      <w:r>
        <w:rPr>
          <w:b w:val="0"/>
          <w:bCs w:val="0"/>
        </w:rPr>
      </w:r>
    </w:p>
    <w:p>
      <w:pPr>
        <w:pStyle w:val="BodyText"/>
        <w:spacing w:line="240" w:lineRule="auto" w:before="32"/>
        <w:ind w:left="633" w:right="996"/>
        <w:jc w:val="left"/>
      </w:pPr>
      <w:r>
        <w:rPr/>
        <w:t>无</w:t>
      </w:r>
    </w:p>
    <w:p>
      <w:pPr>
        <w:pStyle w:val="Heading2"/>
        <w:spacing w:line="352" w:lineRule="auto" w:before="145"/>
        <w:ind w:left="633" w:right="8704" w:firstLine="2"/>
        <w:jc w:val="left"/>
        <w:rPr>
          <w:rFonts w:ascii="宋体" w:hAnsi="宋体" w:cs="宋体" w:eastAsia="宋体" w:hint="default"/>
          <w:b w:val="0"/>
          <w:bCs w:val="0"/>
        </w:rPr>
      </w:pPr>
      <w:bookmarkStart w:name="（6）其他说明" w:id="431"/>
      <w:bookmarkEnd w:id="431"/>
      <w:r>
        <w:rPr>
          <w:b w:val="0"/>
          <w:bCs w:val="0"/>
        </w:rPr>
      </w:r>
      <w:r>
        <w:rPr/>
        <w:t>（</w:t>
      </w:r>
      <w:r>
        <w:rPr>
          <w:rFonts w:ascii="宋体" w:hAnsi="宋体" w:cs="宋体" w:eastAsia="宋体" w:hint="default"/>
        </w:rPr>
        <w:t>6</w:t>
      </w:r>
      <w:r>
        <w:rPr/>
        <w:t>）其他说明</w:t>
      </w:r>
      <w:r>
        <w:rPr>
          <w:w w:val="99"/>
        </w:rPr>
        <w:t> </w:t>
      </w:r>
      <w:r>
        <w:rPr>
          <w:rFonts w:ascii="宋体" w:hAnsi="宋体" w:cs="宋体" w:eastAsia="宋体" w:hint="default"/>
          <w:b w:val="0"/>
          <w:bCs w:val="0"/>
        </w:rPr>
        <w:t>无</w:t>
      </w:r>
    </w:p>
    <w:p>
      <w:pPr>
        <w:pStyle w:val="Heading2"/>
        <w:spacing w:line="240" w:lineRule="auto" w:before="205"/>
        <w:ind w:right="996"/>
        <w:jc w:val="left"/>
        <w:rPr>
          <w:b w:val="0"/>
          <w:bCs w:val="0"/>
        </w:rPr>
      </w:pPr>
      <w:bookmarkStart w:name="2、同一控制下企业合并" w:id="432"/>
      <w:bookmarkEnd w:id="432"/>
      <w:r>
        <w:rPr>
          <w:b w:val="0"/>
          <w:bCs w:val="0"/>
        </w:rPr>
      </w:r>
      <w:r>
        <w:rPr>
          <w:rFonts w:ascii="宋体" w:hAnsi="宋体" w:cs="宋体" w:eastAsia="宋体" w:hint="default"/>
        </w:rPr>
        <w:t>2</w:t>
      </w:r>
      <w:r>
        <w:rPr/>
        <w:t>、同一控制下企业合并</w:t>
      </w:r>
      <w:r>
        <w:rPr>
          <w:b w:val="0"/>
          <w:bCs w:val="0"/>
        </w:rPr>
      </w:r>
    </w:p>
    <w:p>
      <w:pPr>
        <w:spacing w:line="240" w:lineRule="auto" w:before="6"/>
        <w:rPr>
          <w:rFonts w:ascii="宋体" w:hAnsi="宋体" w:cs="宋体" w:eastAsia="宋体" w:hint="default"/>
          <w:b/>
          <w:bCs/>
          <w:sz w:val="32"/>
          <w:szCs w:val="32"/>
        </w:rPr>
      </w:pPr>
    </w:p>
    <w:p>
      <w:pPr>
        <w:pStyle w:val="Heading2"/>
        <w:spacing w:line="350" w:lineRule="auto" w:before="0"/>
        <w:ind w:left="633" w:right="6433" w:firstLine="2"/>
        <w:jc w:val="left"/>
        <w:rPr>
          <w:rFonts w:ascii="宋体" w:hAnsi="宋体" w:cs="宋体" w:eastAsia="宋体" w:hint="default"/>
          <w:b w:val="0"/>
          <w:bCs w:val="0"/>
        </w:rPr>
      </w:pPr>
      <w:bookmarkStart w:name="（1）本期发生的同一控制下企业合并" w:id="433"/>
      <w:bookmarkEnd w:id="433"/>
      <w:r>
        <w:rPr>
          <w:b w:val="0"/>
          <w:bCs w:val="0"/>
        </w:rPr>
      </w:r>
      <w:r>
        <w:rPr>
          <w:w w:val="95"/>
        </w:rPr>
        <w:t>（</w:t>
      </w:r>
      <w:r>
        <w:rPr>
          <w:rFonts w:ascii="宋体" w:hAnsi="宋体" w:cs="宋体" w:eastAsia="宋体" w:hint="default"/>
          <w:w w:val="95"/>
        </w:rPr>
        <w:t>1</w:t>
      </w:r>
      <w:r>
        <w:rPr>
          <w:w w:val="95"/>
        </w:rPr>
        <w:t>）本期发生的同一控制下企业合并</w:t>
      </w:r>
      <w:r>
        <w:rPr>
          <w:spacing w:val="67"/>
          <w:w w:val="95"/>
        </w:rPr>
        <w:t> </w:t>
      </w:r>
      <w:r>
        <w:rPr>
          <w:rFonts w:ascii="宋体" w:hAnsi="宋体" w:cs="宋体" w:eastAsia="宋体" w:hint="default"/>
          <w:b w:val="0"/>
          <w:bCs w:val="0"/>
        </w:rPr>
        <w:t>无</w:t>
      </w:r>
    </w:p>
    <w:p>
      <w:pPr>
        <w:pStyle w:val="Heading2"/>
        <w:spacing w:line="350" w:lineRule="auto" w:before="36"/>
        <w:ind w:left="633" w:right="8704" w:firstLine="2"/>
        <w:jc w:val="left"/>
        <w:rPr>
          <w:rFonts w:ascii="宋体" w:hAnsi="宋体" w:cs="宋体" w:eastAsia="宋体" w:hint="default"/>
          <w:b w:val="0"/>
          <w:bCs w:val="0"/>
        </w:rPr>
      </w:pPr>
      <w:bookmarkStart w:name="（2）合并成本" w:id="434"/>
      <w:bookmarkEnd w:id="434"/>
      <w:r>
        <w:rPr>
          <w:b w:val="0"/>
          <w:bCs w:val="0"/>
        </w:rPr>
      </w:r>
      <w:r>
        <w:rPr/>
        <w:t>（</w:t>
      </w:r>
      <w:r>
        <w:rPr>
          <w:rFonts w:ascii="宋体" w:hAnsi="宋体" w:cs="宋体" w:eastAsia="宋体" w:hint="default"/>
        </w:rPr>
        <w:t>2</w:t>
      </w:r>
      <w:r>
        <w:rPr/>
        <w:t>）合并成本</w:t>
      </w:r>
      <w:r>
        <w:rPr>
          <w:w w:val="99"/>
        </w:rPr>
        <w:t> </w:t>
      </w:r>
      <w:r>
        <w:rPr>
          <w:rFonts w:ascii="宋体" w:hAnsi="宋体" w:cs="宋体" w:eastAsia="宋体" w:hint="default"/>
          <w:b w:val="0"/>
          <w:bCs w:val="0"/>
        </w:rPr>
        <w:t>无</w:t>
      </w:r>
    </w:p>
    <w:p>
      <w:pPr>
        <w:spacing w:after="0" w:line="350" w:lineRule="auto"/>
        <w:jc w:val="left"/>
        <w:rPr>
          <w:rFonts w:ascii="宋体" w:hAnsi="宋体" w:cs="宋体" w:eastAsia="宋体" w:hint="default"/>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Heading2"/>
        <w:spacing w:line="350" w:lineRule="auto" w:before="199"/>
        <w:ind w:left="633" w:right="5712" w:firstLine="2"/>
        <w:jc w:val="left"/>
        <w:rPr>
          <w:rFonts w:ascii="宋体" w:hAnsi="宋体" w:cs="宋体" w:eastAsia="宋体" w:hint="default"/>
          <w:b w:val="0"/>
          <w:bCs w:val="0"/>
        </w:rPr>
      </w:pPr>
      <w:bookmarkStart w:name="（3）合并日被合并方资产、负债的账面价值" w:id="435"/>
      <w:bookmarkEnd w:id="435"/>
      <w:r>
        <w:rPr>
          <w:b w:val="0"/>
          <w:bCs w:val="0"/>
        </w:rPr>
      </w:r>
      <w:r>
        <w:rPr>
          <w:w w:val="95"/>
        </w:rPr>
        <w:t>（</w:t>
      </w:r>
      <w:r>
        <w:rPr>
          <w:rFonts w:ascii="宋体" w:hAnsi="宋体" w:cs="宋体" w:eastAsia="宋体" w:hint="default"/>
          <w:w w:val="95"/>
        </w:rPr>
        <w:t>3</w:t>
      </w:r>
      <w:r>
        <w:rPr>
          <w:w w:val="95"/>
        </w:rPr>
        <w:t>）合并日被合并方资产、负债的账面价值</w:t>
      </w:r>
      <w:r>
        <w:rPr>
          <w:spacing w:val="101"/>
          <w:w w:val="95"/>
        </w:rPr>
        <w:t> </w:t>
      </w:r>
      <w:r>
        <w:rPr>
          <w:rFonts w:ascii="宋体" w:hAnsi="宋体" w:cs="宋体" w:eastAsia="宋体" w:hint="default"/>
          <w:b w:val="0"/>
          <w:bCs w:val="0"/>
        </w:rPr>
        <w:t>无</w:t>
      </w:r>
    </w:p>
    <w:p>
      <w:pPr>
        <w:pStyle w:val="Heading2"/>
        <w:spacing w:line="240" w:lineRule="auto" w:before="209"/>
        <w:ind w:right="996"/>
        <w:jc w:val="left"/>
        <w:rPr>
          <w:b w:val="0"/>
          <w:bCs w:val="0"/>
        </w:rPr>
      </w:pPr>
      <w:bookmarkStart w:name="3、反向购买" w:id="436"/>
      <w:bookmarkEnd w:id="436"/>
      <w:r>
        <w:rPr>
          <w:b w:val="0"/>
          <w:bCs w:val="0"/>
        </w:rPr>
      </w:r>
      <w:r>
        <w:rPr>
          <w:rFonts w:ascii="宋体" w:hAnsi="宋体" w:cs="宋体" w:eastAsia="宋体" w:hint="default"/>
        </w:rPr>
        <w:t>3</w:t>
      </w:r>
      <w:r>
        <w:rPr/>
        <w:t>、反向购买</w:t>
      </w:r>
      <w:r>
        <w:rPr>
          <w:b w:val="0"/>
          <w:bCs w:val="0"/>
        </w:rPr>
      </w:r>
    </w:p>
    <w:p>
      <w:pPr>
        <w:spacing w:line="240" w:lineRule="auto" w:before="6"/>
        <w:rPr>
          <w:rFonts w:ascii="宋体" w:hAnsi="宋体" w:cs="宋体" w:eastAsia="宋体" w:hint="default"/>
          <w:b/>
          <w:bCs/>
          <w:sz w:val="32"/>
          <w:szCs w:val="32"/>
        </w:rPr>
      </w:pPr>
    </w:p>
    <w:p>
      <w:pPr>
        <w:pStyle w:val="BodyText"/>
        <w:spacing w:line="350" w:lineRule="auto" w:before="0"/>
        <w:ind w:right="1153" w:firstLine="480"/>
        <w:jc w:val="left"/>
      </w:pPr>
      <w:r>
        <w:rPr/>
        <w:t>交易基本信息、交易构成反向购买的依据、上市公司保留的资产、负债是否构成业务及 其依据、合并成本的确定、按照权益性交易处理时调整权益的金额及其计算：无</w:t>
      </w:r>
    </w:p>
    <w:p>
      <w:pPr>
        <w:pStyle w:val="Heading2"/>
        <w:spacing w:line="240" w:lineRule="auto" w:before="208"/>
        <w:ind w:right="996"/>
        <w:jc w:val="left"/>
        <w:rPr>
          <w:b w:val="0"/>
          <w:bCs w:val="0"/>
        </w:rPr>
      </w:pPr>
      <w:bookmarkStart w:name="4、处置子公司" w:id="437"/>
      <w:bookmarkEnd w:id="437"/>
      <w:r>
        <w:rPr>
          <w:b w:val="0"/>
          <w:bCs w:val="0"/>
        </w:rPr>
      </w:r>
      <w:r>
        <w:rPr>
          <w:rFonts w:ascii="宋体" w:hAnsi="宋体" w:cs="宋体" w:eastAsia="宋体" w:hint="default"/>
        </w:rPr>
        <w:t>4</w:t>
      </w:r>
      <w:r>
        <w:rPr/>
        <w:t>、处置子公司</w:t>
      </w:r>
      <w:r>
        <w:rPr>
          <w:b w:val="0"/>
          <w:bCs w:val="0"/>
        </w:rPr>
      </w:r>
    </w:p>
    <w:p>
      <w:pPr>
        <w:spacing w:line="240" w:lineRule="auto" w:before="6"/>
        <w:rPr>
          <w:rFonts w:ascii="宋体" w:hAnsi="宋体" w:cs="宋体" w:eastAsia="宋体" w:hint="default"/>
          <w:b/>
          <w:bCs/>
          <w:sz w:val="32"/>
          <w:szCs w:val="32"/>
        </w:rPr>
      </w:pPr>
    </w:p>
    <w:p>
      <w:pPr>
        <w:pStyle w:val="BodyText"/>
        <w:spacing w:line="240" w:lineRule="auto" w:before="0"/>
        <w:ind w:left="633" w:right="996"/>
        <w:jc w:val="left"/>
      </w:pPr>
      <w:r>
        <w:rPr/>
        <w:t>是否存在单次处置对子公司投资即丧失控制权的情形</w:t>
      </w:r>
    </w:p>
    <w:p>
      <w:pPr>
        <w:pStyle w:val="BodyText"/>
        <w:spacing w:line="350" w:lineRule="auto" w:before="146"/>
        <w:ind w:left="634" w:right="2592"/>
        <w:jc w:val="left"/>
      </w:pPr>
      <w:r>
        <w:rPr/>
        <w:t>□ 是 √ 否 是否存在通过多次交易分步处置对子公司投资且在本期丧失控制权的情形</w:t>
      </w:r>
    </w:p>
    <w:p>
      <w:pPr>
        <w:spacing w:line="484" w:lineRule="auto" w:before="35"/>
        <w:ind w:left="636" w:right="6192" w:hanging="3"/>
        <w:jc w:val="left"/>
        <w:rPr>
          <w:rFonts w:ascii="宋体" w:hAnsi="宋体" w:cs="宋体" w:eastAsia="宋体" w:hint="default"/>
          <w:sz w:val="24"/>
          <w:szCs w:val="24"/>
        </w:rPr>
      </w:pPr>
      <w:r>
        <w:rPr>
          <w:rFonts w:ascii="宋体" w:hAnsi="宋体" w:cs="宋体" w:eastAsia="宋体" w:hint="default"/>
          <w:sz w:val="24"/>
          <w:szCs w:val="24"/>
        </w:rPr>
        <w:t>□ 是 √ 否 </w:t>
      </w:r>
      <w:bookmarkStart w:name="5、其他原因的合并范围变动" w:id="438"/>
      <w:bookmarkEnd w:id="438"/>
      <w:r>
        <w:rPr>
          <w:rFonts w:ascii="宋体" w:hAnsi="宋体" w:cs="宋体" w:eastAsia="宋体" w:hint="default"/>
          <w:sz w:val="24"/>
          <w:szCs w:val="24"/>
        </w:rPr>
      </w:r>
      <w:r>
        <w:rPr>
          <w:rFonts w:ascii="宋体" w:hAnsi="宋体" w:cs="宋体" w:eastAsia="宋体" w:hint="default"/>
          <w:b/>
          <w:bCs/>
          <w:w w:val="95"/>
          <w:sz w:val="24"/>
          <w:szCs w:val="24"/>
        </w:rPr>
        <w:t>5</w:t>
      </w:r>
      <w:r>
        <w:rPr>
          <w:rFonts w:ascii="宋体" w:hAnsi="宋体" w:cs="宋体" w:eastAsia="宋体" w:hint="default"/>
          <w:b/>
          <w:bCs/>
          <w:w w:val="95"/>
          <w:sz w:val="24"/>
          <w:szCs w:val="24"/>
        </w:rPr>
        <w:t>、其他原因的合并范围变动</w:t>
      </w:r>
      <w:r>
        <w:rPr>
          <w:rFonts w:ascii="宋体" w:hAnsi="宋体" w:cs="宋体" w:eastAsia="宋体" w:hint="default"/>
          <w:sz w:val="24"/>
          <w:szCs w:val="24"/>
        </w:rPr>
      </w:r>
    </w:p>
    <w:p>
      <w:pPr>
        <w:pStyle w:val="BodyText"/>
        <w:spacing w:line="350" w:lineRule="auto" w:before="180"/>
        <w:ind w:left="633" w:right="1153"/>
        <w:jc w:val="left"/>
      </w:pPr>
      <w:r>
        <w:rPr/>
        <w:t>说明其他原因导致的合并范围变动（如，新设子公司、清算子公司等）及其相关情况： 无</w:t>
      </w:r>
    </w:p>
    <w:p>
      <w:pPr>
        <w:pStyle w:val="Heading2"/>
        <w:spacing w:line="564" w:lineRule="auto" w:before="208"/>
        <w:ind w:left="633" w:right="9427" w:firstLine="2"/>
        <w:jc w:val="left"/>
        <w:rPr>
          <w:rFonts w:ascii="宋体" w:hAnsi="宋体" w:cs="宋体" w:eastAsia="宋体" w:hint="default"/>
          <w:b w:val="0"/>
          <w:bCs w:val="0"/>
        </w:rPr>
      </w:pPr>
      <w:bookmarkStart w:name="6、其他" w:id="439"/>
      <w:bookmarkEnd w:id="439"/>
      <w:r>
        <w:rPr>
          <w:b w:val="0"/>
          <w:bCs w:val="0"/>
        </w:rPr>
      </w:r>
      <w:r>
        <w:rPr>
          <w:rFonts w:ascii="宋体" w:hAnsi="宋体" w:cs="宋体" w:eastAsia="宋体" w:hint="default"/>
        </w:rPr>
        <w:t>6</w:t>
      </w:r>
      <w:r>
        <w:rPr/>
        <w:t>、其他</w:t>
      </w:r>
      <w:r>
        <w:rPr>
          <w:spacing w:val="1"/>
          <w:w w:val="99"/>
        </w:rPr>
        <w:t> </w:t>
      </w:r>
      <w:r>
        <w:rPr>
          <w:rFonts w:ascii="宋体" w:hAnsi="宋体" w:cs="宋体" w:eastAsia="宋体" w:hint="default"/>
          <w:b w:val="0"/>
          <w:bCs w:val="0"/>
        </w:rPr>
        <w:t>无</w:t>
      </w:r>
    </w:p>
    <w:p>
      <w:pPr>
        <w:pStyle w:val="Heading2"/>
        <w:spacing w:line="465" w:lineRule="auto" w:before="0"/>
        <w:ind w:right="7981" w:hanging="483"/>
        <w:jc w:val="left"/>
        <w:rPr>
          <w:b w:val="0"/>
          <w:bCs w:val="0"/>
        </w:rPr>
      </w:pPr>
      <w:bookmarkStart w:name="九、在其他主体中的权益" w:id="440"/>
      <w:bookmarkEnd w:id="440"/>
      <w:r>
        <w:rPr>
          <w:b w:val="0"/>
          <w:bCs w:val="0"/>
        </w:rPr>
      </w:r>
      <w:r>
        <w:rPr/>
        <w:t>九、在其他主体中的权益</w:t>
      </w:r>
      <w:r>
        <w:rPr>
          <w:w w:val="99"/>
        </w:rPr>
        <w:t> </w:t>
      </w:r>
      <w:bookmarkStart w:name="1、在子公司中的权益" w:id="441"/>
      <w:bookmarkEnd w:id="441"/>
      <w:r>
        <w:rPr>
          <w:w w:val="99"/>
        </w:rPr>
      </w:r>
      <w:r>
        <w:rPr>
          <w:rFonts w:ascii="宋体" w:hAnsi="宋体" w:cs="宋体" w:eastAsia="宋体" w:hint="default"/>
        </w:rPr>
        <w:t>1</w:t>
      </w:r>
      <w:r>
        <w:rPr/>
        <w:t>、在子公司中的权益</w:t>
      </w:r>
      <w:r>
        <w:rPr>
          <w:b w:val="0"/>
          <w:bCs w:val="0"/>
        </w:rPr>
      </w:r>
    </w:p>
    <w:p>
      <w:pPr>
        <w:pStyle w:val="Heading2"/>
        <w:spacing w:line="240" w:lineRule="auto" w:before="199"/>
        <w:ind w:right="996"/>
        <w:jc w:val="left"/>
        <w:rPr>
          <w:b w:val="0"/>
          <w:bCs w:val="0"/>
        </w:rPr>
      </w:pPr>
      <w:bookmarkStart w:name="（1）企业集团的构成" w:id="442"/>
      <w:bookmarkEnd w:id="442"/>
      <w:r>
        <w:rPr>
          <w:b w:val="0"/>
          <w:bCs w:val="0"/>
        </w:rPr>
      </w:r>
      <w:r>
        <w:rPr/>
        <w:t>（</w:t>
      </w:r>
      <w:r>
        <w:rPr>
          <w:rFonts w:ascii="宋体" w:hAnsi="宋体" w:cs="宋体" w:eastAsia="宋体" w:hint="default"/>
        </w:rPr>
        <w:t>1</w:t>
      </w:r>
      <w:r>
        <w:rPr/>
        <w:t>）企业集团的构成</w:t>
      </w:r>
      <w:r>
        <w:rPr>
          <w:b w:val="0"/>
          <w:bCs w:val="0"/>
        </w:rPr>
      </w:r>
    </w:p>
    <w:p>
      <w:pPr>
        <w:spacing w:line="240" w:lineRule="auto" w:before="5"/>
        <w:rPr>
          <w:rFonts w:ascii="宋体" w:hAnsi="宋体" w:cs="宋体" w:eastAsia="宋体" w:hint="default"/>
          <w:b/>
          <w:bCs/>
          <w:sz w:val="4"/>
          <w:szCs w:val="4"/>
        </w:rPr>
      </w:pPr>
    </w:p>
    <w:tbl>
      <w:tblPr>
        <w:tblW w:w="0" w:type="auto"/>
        <w:jc w:val="left"/>
        <w:tblInd w:w="149" w:type="dxa"/>
        <w:tblLayout w:type="fixed"/>
        <w:tblCellMar>
          <w:top w:w="0" w:type="dxa"/>
          <w:left w:w="0" w:type="dxa"/>
          <w:bottom w:w="0" w:type="dxa"/>
          <w:right w:w="0" w:type="dxa"/>
        </w:tblCellMar>
        <w:tblLook w:val="01E0"/>
      </w:tblPr>
      <w:tblGrid>
        <w:gridCol w:w="1844"/>
        <w:gridCol w:w="895"/>
        <w:gridCol w:w="2649"/>
        <w:gridCol w:w="1559"/>
        <w:gridCol w:w="993"/>
        <w:gridCol w:w="568"/>
        <w:gridCol w:w="1066"/>
      </w:tblGrid>
      <w:tr>
        <w:trPr>
          <w:trHeight w:val="402" w:hRule="exact"/>
        </w:trPr>
        <w:tc>
          <w:tcPr>
            <w:tcW w:w="184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b/>
                <w:bCs/>
                <w:sz w:val="17"/>
                <w:szCs w:val="17"/>
              </w:rPr>
            </w:pPr>
          </w:p>
          <w:p>
            <w:pPr>
              <w:pStyle w:val="TableParagraph"/>
              <w:spacing w:line="240" w:lineRule="auto"/>
              <w:ind w:left="391" w:right="0"/>
              <w:jc w:val="left"/>
              <w:rPr>
                <w:rFonts w:ascii="宋体" w:hAnsi="宋体" w:cs="宋体" w:eastAsia="宋体" w:hint="default"/>
                <w:sz w:val="21"/>
                <w:szCs w:val="21"/>
              </w:rPr>
            </w:pPr>
            <w:r>
              <w:rPr>
                <w:rFonts w:ascii="宋体" w:hAnsi="宋体" w:cs="宋体" w:eastAsia="宋体" w:hint="default"/>
                <w:sz w:val="21"/>
                <w:szCs w:val="21"/>
              </w:rPr>
              <w:t>子公司名称</w:t>
            </w:r>
          </w:p>
        </w:tc>
        <w:tc>
          <w:tcPr>
            <w:tcW w:w="895" w:type="dxa"/>
            <w:vMerge w:val="restart"/>
            <w:tcBorders>
              <w:top w:val="single" w:sz="4" w:space="0" w:color="000000"/>
              <w:left w:val="single" w:sz="4" w:space="0" w:color="000000"/>
              <w:right w:val="single" w:sz="4" w:space="0" w:color="000000"/>
            </w:tcBorders>
            <w:shd w:val="clear" w:color="auto" w:fill="D2D2D2"/>
          </w:tcPr>
          <w:p>
            <w:pPr>
              <w:pStyle w:val="TableParagraph"/>
              <w:spacing w:line="307" w:lineRule="auto" w:before="51"/>
              <w:ind w:left="127" w:right="126" w:firstLine="104"/>
              <w:jc w:val="left"/>
              <w:rPr>
                <w:rFonts w:ascii="宋体" w:hAnsi="宋体" w:cs="宋体" w:eastAsia="宋体" w:hint="default"/>
                <w:sz w:val="21"/>
                <w:szCs w:val="21"/>
              </w:rPr>
            </w:pPr>
            <w:r>
              <w:rPr>
                <w:rFonts w:ascii="宋体" w:hAnsi="宋体" w:cs="宋体" w:eastAsia="宋体" w:hint="default"/>
                <w:sz w:val="21"/>
                <w:szCs w:val="21"/>
              </w:rPr>
              <w:t>主要 经营地</w:t>
            </w:r>
          </w:p>
        </w:tc>
        <w:tc>
          <w:tcPr>
            <w:tcW w:w="264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b/>
                <w:bCs/>
                <w:sz w:val="17"/>
                <w:szCs w:val="17"/>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注册地</w:t>
            </w:r>
          </w:p>
        </w:tc>
        <w:tc>
          <w:tcPr>
            <w:tcW w:w="155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b/>
                <w:bCs/>
                <w:sz w:val="17"/>
                <w:szCs w:val="17"/>
              </w:rPr>
            </w:pPr>
          </w:p>
          <w:p>
            <w:pPr>
              <w:pStyle w:val="TableParagraph"/>
              <w:spacing w:line="240" w:lineRule="auto"/>
              <w:ind w:left="353" w:right="0"/>
              <w:jc w:val="left"/>
              <w:rPr>
                <w:rFonts w:ascii="宋体" w:hAnsi="宋体" w:cs="宋体" w:eastAsia="宋体" w:hint="default"/>
                <w:sz w:val="21"/>
                <w:szCs w:val="21"/>
              </w:rPr>
            </w:pPr>
            <w:r>
              <w:rPr>
                <w:rFonts w:ascii="宋体" w:hAnsi="宋体" w:cs="宋体" w:eastAsia="宋体" w:hint="default"/>
                <w:sz w:val="21"/>
                <w:szCs w:val="21"/>
              </w:rPr>
              <w:t>业务性质</w:t>
            </w:r>
          </w:p>
        </w:tc>
        <w:tc>
          <w:tcPr>
            <w:tcW w:w="156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355" w:right="0"/>
              <w:jc w:val="left"/>
              <w:rPr>
                <w:rFonts w:ascii="宋体" w:hAnsi="宋体" w:cs="宋体" w:eastAsia="宋体" w:hint="default"/>
                <w:sz w:val="21"/>
                <w:szCs w:val="21"/>
              </w:rPr>
            </w:pPr>
            <w:r>
              <w:rPr>
                <w:rFonts w:ascii="宋体" w:hAnsi="宋体" w:cs="宋体" w:eastAsia="宋体" w:hint="default"/>
                <w:sz w:val="21"/>
                <w:szCs w:val="21"/>
              </w:rPr>
              <w:t>持股比例</w:t>
            </w:r>
          </w:p>
        </w:tc>
        <w:tc>
          <w:tcPr>
            <w:tcW w:w="10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b/>
                <w:bCs/>
                <w:sz w:val="17"/>
                <w:szCs w:val="17"/>
              </w:rPr>
            </w:pPr>
          </w:p>
          <w:p>
            <w:pPr>
              <w:pStyle w:val="TableParagraph"/>
              <w:spacing w:line="240" w:lineRule="auto"/>
              <w:ind w:left="107" w:right="0"/>
              <w:jc w:val="left"/>
              <w:rPr>
                <w:rFonts w:ascii="宋体" w:hAnsi="宋体" w:cs="宋体" w:eastAsia="宋体" w:hint="default"/>
                <w:sz w:val="21"/>
                <w:szCs w:val="21"/>
              </w:rPr>
            </w:pPr>
            <w:r>
              <w:rPr>
                <w:rFonts w:ascii="宋体" w:hAnsi="宋体" w:cs="宋体" w:eastAsia="宋体" w:hint="default"/>
                <w:sz w:val="21"/>
                <w:szCs w:val="21"/>
              </w:rPr>
              <w:t>取得方式</w:t>
            </w:r>
          </w:p>
        </w:tc>
      </w:tr>
      <w:tr>
        <w:trPr>
          <w:trHeight w:val="402" w:hRule="exact"/>
        </w:trPr>
        <w:tc>
          <w:tcPr>
            <w:tcW w:w="1844" w:type="dxa"/>
            <w:vMerge/>
            <w:tcBorders>
              <w:left w:val="single" w:sz="4" w:space="0" w:color="000000"/>
              <w:bottom w:val="single" w:sz="4" w:space="0" w:color="000000"/>
              <w:right w:val="single" w:sz="4" w:space="0" w:color="000000"/>
            </w:tcBorders>
            <w:shd w:val="clear" w:color="auto" w:fill="D2D2D2"/>
          </w:tcPr>
          <w:p>
            <w:pPr/>
          </w:p>
        </w:tc>
        <w:tc>
          <w:tcPr>
            <w:tcW w:w="895" w:type="dxa"/>
            <w:vMerge/>
            <w:tcBorders>
              <w:left w:val="single" w:sz="4" w:space="0" w:color="000000"/>
              <w:bottom w:val="single" w:sz="4" w:space="0" w:color="000000"/>
              <w:right w:val="single" w:sz="4" w:space="0" w:color="000000"/>
            </w:tcBorders>
            <w:shd w:val="clear" w:color="auto" w:fill="D2D2D2"/>
          </w:tcPr>
          <w:p>
            <w:pPr/>
          </w:p>
        </w:tc>
        <w:tc>
          <w:tcPr>
            <w:tcW w:w="2649" w:type="dxa"/>
            <w:vMerge/>
            <w:tcBorders>
              <w:left w:val="single" w:sz="4" w:space="0" w:color="000000"/>
              <w:bottom w:val="single" w:sz="4" w:space="0" w:color="000000"/>
              <w:right w:val="single" w:sz="4" w:space="0" w:color="000000"/>
            </w:tcBorders>
            <w:shd w:val="clear" w:color="auto" w:fill="D2D2D2"/>
          </w:tcPr>
          <w:p>
            <w:pPr/>
          </w:p>
        </w:tc>
        <w:tc>
          <w:tcPr>
            <w:tcW w:w="1559" w:type="dxa"/>
            <w:vMerge/>
            <w:tcBorders>
              <w:left w:val="single" w:sz="4" w:space="0" w:color="000000"/>
              <w:bottom w:val="single" w:sz="4" w:space="0" w:color="000000"/>
              <w:right w:val="single" w:sz="4" w:space="0" w:color="000000"/>
            </w:tcBorders>
            <w:shd w:val="clear" w:color="auto" w:fill="D2D2D2"/>
          </w:tcPr>
          <w:p>
            <w:pPr/>
          </w:p>
        </w:tc>
        <w:tc>
          <w:tcPr>
            <w:tcW w:w="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82" w:right="0"/>
              <w:jc w:val="left"/>
              <w:rPr>
                <w:rFonts w:ascii="宋体" w:hAnsi="宋体" w:cs="宋体" w:eastAsia="宋体" w:hint="default"/>
                <w:sz w:val="21"/>
                <w:szCs w:val="21"/>
              </w:rPr>
            </w:pPr>
            <w:r>
              <w:rPr>
                <w:rFonts w:ascii="宋体" w:hAnsi="宋体" w:cs="宋体" w:eastAsia="宋体" w:hint="default"/>
                <w:sz w:val="21"/>
                <w:szCs w:val="21"/>
              </w:rPr>
              <w:t>直接</w:t>
            </w:r>
          </w:p>
        </w:tc>
        <w:tc>
          <w:tcPr>
            <w:tcW w:w="5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68" w:right="0"/>
              <w:jc w:val="left"/>
              <w:rPr>
                <w:rFonts w:ascii="宋体" w:hAnsi="宋体" w:cs="宋体" w:eastAsia="宋体" w:hint="default"/>
                <w:sz w:val="21"/>
                <w:szCs w:val="21"/>
              </w:rPr>
            </w:pPr>
            <w:r>
              <w:rPr>
                <w:rFonts w:ascii="宋体" w:hAnsi="宋体" w:cs="宋体" w:eastAsia="宋体" w:hint="default"/>
                <w:sz w:val="21"/>
                <w:szCs w:val="21"/>
              </w:rPr>
              <w:t>间接</w:t>
            </w:r>
          </w:p>
        </w:tc>
        <w:tc>
          <w:tcPr>
            <w:tcW w:w="1066"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2" w:right="129"/>
              <w:jc w:val="left"/>
              <w:rPr>
                <w:rFonts w:ascii="宋体" w:hAnsi="宋体" w:cs="宋体" w:eastAsia="宋体" w:hint="default"/>
                <w:sz w:val="21"/>
                <w:szCs w:val="21"/>
              </w:rPr>
            </w:pPr>
            <w:r>
              <w:rPr>
                <w:rFonts w:ascii="宋体" w:hAnsi="宋体" w:cs="宋体" w:eastAsia="宋体" w:hint="default"/>
                <w:sz w:val="21"/>
                <w:szCs w:val="21"/>
              </w:rPr>
              <w:t>河南辉煌软件有限 公司</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2" w:right="230"/>
              <w:jc w:val="left"/>
              <w:rPr>
                <w:rFonts w:ascii="宋体" w:hAnsi="宋体" w:cs="宋体" w:eastAsia="宋体" w:hint="default"/>
                <w:sz w:val="21"/>
                <w:szCs w:val="21"/>
              </w:rPr>
            </w:pPr>
            <w:r>
              <w:rPr>
                <w:rFonts w:ascii="宋体" w:hAnsi="宋体" w:cs="宋体" w:eastAsia="宋体" w:hint="default"/>
                <w:sz w:val="21"/>
                <w:szCs w:val="21"/>
              </w:rPr>
              <w:t>郑州高 新区</w:t>
            </w:r>
          </w:p>
        </w:tc>
        <w:tc>
          <w:tcPr>
            <w:tcW w:w="264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2" w:right="41"/>
              <w:jc w:val="left"/>
              <w:rPr>
                <w:rFonts w:ascii="宋体" w:hAnsi="宋体" w:cs="宋体" w:eastAsia="宋体" w:hint="default"/>
                <w:sz w:val="21"/>
                <w:szCs w:val="21"/>
              </w:rPr>
            </w:pPr>
            <w:r>
              <w:rPr>
                <w:rFonts w:ascii="宋体" w:hAnsi="宋体" w:cs="宋体" w:eastAsia="宋体" w:hint="default"/>
                <w:sz w:val="21"/>
                <w:szCs w:val="21"/>
              </w:rPr>
              <w:t>郑州高新开发区科学大道</w:t>
            </w:r>
            <w:r>
              <w:rPr>
                <w:rFonts w:ascii="宋体" w:hAnsi="宋体" w:cs="宋体" w:eastAsia="宋体" w:hint="default"/>
                <w:spacing w:val="-52"/>
                <w:sz w:val="21"/>
                <w:szCs w:val="21"/>
              </w:rPr>
              <w:t> </w:t>
            </w:r>
            <w:r>
              <w:rPr>
                <w:rFonts w:ascii="宋体" w:hAnsi="宋体" w:cs="宋体" w:eastAsia="宋体" w:hint="default"/>
                <w:sz w:val="21"/>
                <w:szCs w:val="21"/>
              </w:rPr>
              <w:t>74 </w:t>
            </w:r>
            <w:r>
              <w:rPr>
                <w:rFonts w:ascii="宋体" w:hAnsi="宋体" w:cs="宋体" w:eastAsia="宋体" w:hint="default"/>
                <w:sz w:val="21"/>
                <w:szCs w:val="21"/>
              </w:rPr>
              <w:t>号</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软件开发、服务</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20"/>
              <w:jc w:val="right"/>
              <w:rPr>
                <w:rFonts w:ascii="宋体" w:hAnsi="宋体" w:cs="宋体" w:eastAsia="宋体" w:hint="default"/>
                <w:sz w:val="21"/>
                <w:szCs w:val="21"/>
              </w:rPr>
            </w:pPr>
            <w:r>
              <w:rPr>
                <w:rFonts w:ascii="宋体"/>
                <w:sz w:val="21"/>
              </w:rPr>
              <w:t>100.00%</w:t>
            </w:r>
          </w:p>
        </w:tc>
        <w:tc>
          <w:tcPr>
            <w:tcW w:w="568"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投资设立</w:t>
            </w:r>
          </w:p>
        </w:tc>
      </w:tr>
      <w:tr>
        <w:trPr>
          <w:trHeight w:val="714"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2" w:right="129"/>
              <w:jc w:val="left"/>
              <w:rPr>
                <w:rFonts w:ascii="宋体" w:hAnsi="宋体" w:cs="宋体" w:eastAsia="宋体" w:hint="default"/>
                <w:sz w:val="21"/>
                <w:szCs w:val="21"/>
              </w:rPr>
            </w:pPr>
            <w:r>
              <w:rPr>
                <w:rFonts w:ascii="宋体" w:hAnsi="宋体" w:cs="宋体" w:eastAsia="宋体" w:hint="default"/>
                <w:sz w:val="21"/>
                <w:szCs w:val="21"/>
              </w:rPr>
              <w:t>河南辉煌信通软件 有限公司</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2" w:right="230"/>
              <w:jc w:val="left"/>
              <w:rPr>
                <w:rFonts w:ascii="宋体" w:hAnsi="宋体" w:cs="宋体" w:eastAsia="宋体" w:hint="default"/>
                <w:sz w:val="21"/>
                <w:szCs w:val="21"/>
              </w:rPr>
            </w:pPr>
            <w:r>
              <w:rPr>
                <w:rFonts w:ascii="宋体" w:hAnsi="宋体" w:cs="宋体" w:eastAsia="宋体" w:hint="default"/>
                <w:sz w:val="21"/>
                <w:szCs w:val="21"/>
              </w:rPr>
              <w:t>郑州高 新区</w:t>
            </w:r>
          </w:p>
        </w:tc>
        <w:tc>
          <w:tcPr>
            <w:tcW w:w="2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郑州市高新区科学大道</w:t>
            </w:r>
            <w:r>
              <w:rPr>
                <w:rFonts w:ascii="宋体" w:hAnsi="宋体" w:cs="宋体" w:eastAsia="宋体" w:hint="default"/>
                <w:spacing w:val="-69"/>
                <w:sz w:val="21"/>
                <w:szCs w:val="21"/>
              </w:rPr>
              <w:t> </w:t>
            </w:r>
            <w:r>
              <w:rPr>
                <w:rFonts w:ascii="宋体" w:hAnsi="宋体" w:cs="宋体" w:eastAsia="宋体" w:hint="default"/>
                <w:sz w:val="21"/>
                <w:szCs w:val="21"/>
              </w:rPr>
              <w:t>74</w:t>
            </w:r>
            <w:r>
              <w:rPr>
                <w:rFonts w:ascii="宋体" w:hAnsi="宋体" w:cs="宋体" w:eastAsia="宋体" w:hint="default"/>
                <w:spacing w:val="-69"/>
                <w:sz w:val="21"/>
                <w:szCs w:val="21"/>
              </w:rPr>
              <w:t> </w:t>
            </w:r>
            <w:r>
              <w:rPr>
                <w:rFonts w:ascii="宋体" w:hAnsi="宋体" w:cs="宋体" w:eastAsia="宋体" w:hint="default"/>
                <w:sz w:val="21"/>
                <w:szCs w:val="21"/>
              </w:rPr>
              <w:t>号</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软件开发、服务</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20"/>
              <w:jc w:val="right"/>
              <w:rPr>
                <w:rFonts w:ascii="宋体" w:hAnsi="宋体" w:cs="宋体" w:eastAsia="宋体" w:hint="default"/>
                <w:sz w:val="21"/>
                <w:szCs w:val="21"/>
              </w:rPr>
            </w:pPr>
            <w:r>
              <w:rPr>
                <w:rFonts w:ascii="宋体"/>
                <w:sz w:val="21"/>
              </w:rPr>
              <w:t>100.00%</w:t>
            </w:r>
          </w:p>
        </w:tc>
        <w:tc>
          <w:tcPr>
            <w:tcW w:w="568"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投资设立</w:t>
            </w:r>
          </w:p>
        </w:tc>
      </w:tr>
      <w:tr>
        <w:trPr>
          <w:trHeight w:val="714"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2" w:right="129"/>
              <w:jc w:val="left"/>
              <w:rPr>
                <w:rFonts w:ascii="宋体" w:hAnsi="宋体" w:cs="宋体" w:eastAsia="宋体" w:hint="default"/>
                <w:sz w:val="21"/>
                <w:szCs w:val="21"/>
              </w:rPr>
            </w:pPr>
            <w:r>
              <w:rPr>
                <w:rFonts w:ascii="宋体" w:hAnsi="宋体" w:cs="宋体" w:eastAsia="宋体" w:hint="default"/>
                <w:sz w:val="21"/>
                <w:szCs w:val="21"/>
              </w:rPr>
              <w:t>北京全路信通软件 科技有限公司</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2" w:right="230"/>
              <w:jc w:val="left"/>
              <w:rPr>
                <w:rFonts w:ascii="宋体" w:hAnsi="宋体" w:cs="宋体" w:eastAsia="宋体" w:hint="default"/>
                <w:sz w:val="21"/>
                <w:szCs w:val="21"/>
              </w:rPr>
            </w:pPr>
            <w:r>
              <w:rPr>
                <w:rFonts w:ascii="宋体" w:hAnsi="宋体" w:cs="宋体" w:eastAsia="宋体" w:hint="default"/>
                <w:sz w:val="21"/>
                <w:szCs w:val="21"/>
              </w:rPr>
              <w:t>北京市 丰台区</w:t>
            </w:r>
          </w:p>
        </w:tc>
        <w:tc>
          <w:tcPr>
            <w:tcW w:w="2649"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46"/>
              <w:ind w:left="22" w:right="42"/>
              <w:jc w:val="left"/>
              <w:rPr>
                <w:rFonts w:ascii="宋体" w:hAnsi="宋体" w:cs="宋体" w:eastAsia="宋体" w:hint="default"/>
                <w:sz w:val="21"/>
                <w:szCs w:val="21"/>
              </w:rPr>
            </w:pPr>
            <w:r>
              <w:rPr>
                <w:rFonts w:ascii="宋体" w:hAnsi="宋体" w:cs="宋体" w:eastAsia="宋体" w:hint="default"/>
                <w:sz w:val="21"/>
                <w:szCs w:val="21"/>
              </w:rPr>
              <w:t>北京市丰台区南四环西路 </w:t>
            </w:r>
            <w:r>
              <w:rPr>
                <w:rFonts w:ascii="宋体" w:hAnsi="宋体" w:cs="宋体" w:eastAsia="宋体" w:hint="default"/>
                <w:sz w:val="21"/>
                <w:szCs w:val="21"/>
              </w:rPr>
              <w:t>188</w:t>
            </w:r>
            <w:r>
              <w:rPr>
                <w:rFonts w:ascii="宋体" w:hAnsi="宋体" w:cs="宋体" w:eastAsia="宋体" w:hint="default"/>
                <w:spacing w:val="-53"/>
                <w:sz w:val="21"/>
                <w:szCs w:val="21"/>
              </w:rPr>
              <w:t> </w:t>
            </w:r>
            <w:r>
              <w:rPr>
                <w:rFonts w:ascii="宋体" w:hAnsi="宋体" w:cs="宋体" w:eastAsia="宋体" w:hint="default"/>
                <w:sz w:val="21"/>
                <w:szCs w:val="21"/>
              </w:rPr>
              <w:t>号</w:t>
            </w:r>
            <w:r>
              <w:rPr>
                <w:rFonts w:ascii="宋体" w:hAnsi="宋体" w:cs="宋体" w:eastAsia="宋体" w:hint="default"/>
                <w:spacing w:val="-55"/>
                <w:sz w:val="21"/>
                <w:szCs w:val="21"/>
              </w:rPr>
              <w:t> </w:t>
            </w: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区</w:t>
            </w:r>
            <w:r>
              <w:rPr>
                <w:rFonts w:ascii="宋体" w:hAnsi="宋体" w:cs="宋体" w:eastAsia="宋体" w:hint="default"/>
                <w:spacing w:val="-54"/>
                <w:sz w:val="21"/>
                <w:szCs w:val="21"/>
              </w:rPr>
              <w:t> </w:t>
            </w:r>
            <w:r>
              <w:rPr>
                <w:rFonts w:ascii="宋体" w:hAnsi="宋体" w:cs="宋体" w:eastAsia="宋体" w:hint="default"/>
                <w:sz w:val="21"/>
                <w:szCs w:val="21"/>
              </w:rPr>
              <w:t>7</w:t>
            </w:r>
            <w:r>
              <w:rPr>
                <w:rFonts w:ascii="宋体" w:hAnsi="宋体" w:cs="宋体" w:eastAsia="宋体" w:hint="default"/>
                <w:spacing w:val="-54"/>
                <w:sz w:val="21"/>
                <w:szCs w:val="21"/>
              </w:rPr>
              <w:t> </w:t>
            </w:r>
            <w:r>
              <w:rPr>
                <w:rFonts w:ascii="宋体" w:hAnsi="宋体" w:cs="宋体" w:eastAsia="宋体" w:hint="default"/>
                <w:sz w:val="21"/>
                <w:szCs w:val="21"/>
              </w:rPr>
              <w:t>号楼</w:t>
            </w:r>
            <w:r>
              <w:rPr>
                <w:rFonts w:ascii="宋体" w:hAnsi="宋体" w:cs="宋体" w:eastAsia="宋体" w:hint="default"/>
                <w:spacing w:val="-54"/>
                <w:sz w:val="21"/>
                <w:szCs w:val="21"/>
              </w:rPr>
              <w:t> </w:t>
            </w:r>
            <w:r>
              <w:rPr>
                <w:rFonts w:ascii="宋体" w:hAnsi="宋体" w:cs="宋体" w:eastAsia="宋体" w:hint="default"/>
                <w:sz w:val="21"/>
                <w:szCs w:val="21"/>
              </w:rPr>
              <w:t>602</w:t>
            </w:r>
            <w:r>
              <w:rPr>
                <w:rFonts w:ascii="宋体" w:hAnsi="宋体" w:cs="宋体" w:eastAsia="宋体" w:hint="default"/>
                <w:spacing w:val="-53"/>
                <w:sz w:val="21"/>
                <w:szCs w:val="21"/>
              </w:rPr>
              <w:t> </w:t>
            </w:r>
            <w:r>
              <w:rPr>
                <w:rFonts w:ascii="宋体" w:hAnsi="宋体" w:cs="宋体" w:eastAsia="宋体" w:hint="default"/>
                <w:sz w:val="21"/>
                <w:szCs w:val="21"/>
              </w:rPr>
              <w:t>室</w:t>
            </w:r>
            <w:r>
              <w:rPr>
                <w:rFonts w:ascii="宋体" w:hAnsi="宋体" w:cs="宋体" w:eastAsia="宋体" w:hint="default"/>
                <w:sz w:val="21"/>
                <w:szCs w:val="21"/>
              </w:rPr>
              <w:t>(</w:t>
            </w:r>
            <w:r>
              <w:rPr>
                <w:rFonts w:ascii="宋体" w:hAnsi="宋体" w:cs="宋体" w:eastAsia="宋体" w:hint="default"/>
                <w:sz w:val="21"/>
                <w:szCs w:val="21"/>
              </w:rPr>
              <w:t>园</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软件开发、服务</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20"/>
              <w:jc w:val="right"/>
              <w:rPr>
                <w:rFonts w:ascii="宋体" w:hAnsi="宋体" w:cs="宋体" w:eastAsia="宋体" w:hint="default"/>
                <w:sz w:val="21"/>
                <w:szCs w:val="21"/>
              </w:rPr>
            </w:pPr>
            <w:r>
              <w:rPr>
                <w:rFonts w:ascii="宋体"/>
                <w:sz w:val="21"/>
              </w:rPr>
              <w:t>100.00%</w:t>
            </w:r>
          </w:p>
        </w:tc>
        <w:tc>
          <w:tcPr>
            <w:tcW w:w="568"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投资设立</w:t>
            </w:r>
          </w:p>
        </w:tc>
      </w:tr>
    </w:tbl>
    <w:p>
      <w:pPr>
        <w:spacing w:after="0" w:line="240" w:lineRule="auto"/>
        <w:jc w:val="left"/>
        <w:rPr>
          <w:rFonts w:ascii="宋体" w:hAnsi="宋体" w:cs="宋体" w:eastAsia="宋体" w:hint="default"/>
          <w:sz w:val="21"/>
          <w:szCs w:val="21"/>
        </w:rPr>
        <w:sectPr>
          <w:pgSz w:w="11910" w:h="16840"/>
          <w:pgMar w:header="747"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1844"/>
        <w:gridCol w:w="895"/>
        <w:gridCol w:w="2649"/>
        <w:gridCol w:w="1559"/>
        <w:gridCol w:w="993"/>
        <w:gridCol w:w="568"/>
        <w:gridCol w:w="1066"/>
      </w:tblGrid>
      <w:tr>
        <w:trPr>
          <w:trHeight w:val="362" w:hRule="exact"/>
        </w:trPr>
        <w:tc>
          <w:tcPr>
            <w:tcW w:w="1844" w:type="dxa"/>
            <w:tcBorders>
              <w:top w:val="single" w:sz="4" w:space="0" w:color="000000"/>
              <w:left w:val="single" w:sz="4" w:space="0" w:color="000000"/>
              <w:bottom w:val="single" w:sz="4" w:space="0" w:color="000000"/>
              <w:right w:val="single" w:sz="4" w:space="0" w:color="000000"/>
            </w:tcBorders>
          </w:tcPr>
          <w:p>
            <w:pPr/>
          </w:p>
        </w:tc>
        <w:tc>
          <w:tcPr>
            <w:tcW w:w="895" w:type="dxa"/>
            <w:tcBorders>
              <w:top w:val="single" w:sz="4" w:space="0" w:color="000000"/>
              <w:left w:val="single" w:sz="4" w:space="0" w:color="000000"/>
              <w:bottom w:val="single" w:sz="4" w:space="0" w:color="000000"/>
              <w:right w:val="single" w:sz="4" w:space="0" w:color="000000"/>
            </w:tcBorders>
          </w:tcPr>
          <w:p>
            <w:pPr/>
          </w:p>
        </w:tc>
        <w:tc>
          <w:tcPr>
            <w:tcW w:w="2649"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22" w:right="0"/>
              <w:jc w:val="left"/>
              <w:rPr>
                <w:rFonts w:ascii="宋体" w:hAnsi="宋体" w:cs="宋体" w:eastAsia="宋体" w:hint="default"/>
                <w:sz w:val="21"/>
                <w:szCs w:val="21"/>
              </w:rPr>
            </w:pPr>
            <w:r>
              <w:rPr>
                <w:rFonts w:ascii="宋体" w:hAnsi="宋体" w:cs="宋体" w:eastAsia="宋体" w:hint="default"/>
                <w:sz w:val="21"/>
                <w:szCs w:val="21"/>
              </w:rPr>
              <w:t>区</w:t>
            </w:r>
            <w:r>
              <w:rPr>
                <w:rFonts w:ascii="宋体" w:hAnsi="宋体" w:cs="宋体" w:eastAsia="宋体" w:hint="default"/>
                <w:sz w:val="21"/>
                <w:szCs w:val="21"/>
              </w:rPr>
              <w:t>)</w:t>
            </w:r>
          </w:p>
        </w:tc>
        <w:tc>
          <w:tcPr>
            <w:tcW w:w="1559"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73" w:lineRule="auto"/>
              <w:ind w:left="22" w:right="129"/>
              <w:jc w:val="left"/>
              <w:rPr>
                <w:rFonts w:ascii="宋体" w:hAnsi="宋体" w:cs="宋体" w:eastAsia="宋体" w:hint="default"/>
                <w:sz w:val="21"/>
                <w:szCs w:val="21"/>
              </w:rPr>
            </w:pPr>
            <w:r>
              <w:rPr>
                <w:rFonts w:ascii="宋体" w:hAnsi="宋体" w:cs="宋体" w:eastAsia="宋体" w:hint="default"/>
                <w:sz w:val="21"/>
                <w:szCs w:val="21"/>
              </w:rPr>
              <w:t>北京国铁路阳技术 有限公司</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73" w:lineRule="auto"/>
              <w:ind w:left="22" w:right="230"/>
              <w:jc w:val="left"/>
              <w:rPr>
                <w:rFonts w:ascii="宋体" w:hAnsi="宋体" w:cs="宋体" w:eastAsia="宋体" w:hint="default"/>
                <w:sz w:val="21"/>
                <w:szCs w:val="21"/>
              </w:rPr>
            </w:pPr>
            <w:r>
              <w:rPr>
                <w:rFonts w:ascii="宋体" w:hAnsi="宋体" w:cs="宋体" w:eastAsia="宋体" w:hint="default"/>
                <w:sz w:val="21"/>
                <w:szCs w:val="21"/>
              </w:rPr>
              <w:t>北京市 丰台区</w:t>
            </w:r>
          </w:p>
        </w:tc>
        <w:tc>
          <w:tcPr>
            <w:tcW w:w="264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2" w:right="42"/>
              <w:jc w:val="left"/>
              <w:rPr>
                <w:rFonts w:ascii="宋体" w:hAnsi="宋体" w:cs="宋体" w:eastAsia="宋体" w:hint="default"/>
                <w:sz w:val="21"/>
                <w:szCs w:val="21"/>
              </w:rPr>
            </w:pPr>
            <w:r>
              <w:rPr>
                <w:rFonts w:ascii="宋体" w:hAnsi="宋体" w:cs="宋体" w:eastAsia="宋体" w:hint="default"/>
                <w:sz w:val="21"/>
                <w:szCs w:val="21"/>
              </w:rPr>
              <w:t>北京市丰台区南四环西路 </w:t>
            </w:r>
            <w:r>
              <w:rPr>
                <w:rFonts w:ascii="宋体" w:hAnsi="宋体" w:cs="宋体" w:eastAsia="宋体" w:hint="default"/>
                <w:sz w:val="21"/>
                <w:szCs w:val="21"/>
              </w:rPr>
              <w:t>188</w:t>
            </w:r>
            <w:r>
              <w:rPr>
                <w:rFonts w:ascii="宋体" w:hAnsi="宋体" w:cs="宋体" w:eastAsia="宋体" w:hint="default"/>
                <w:spacing w:val="-53"/>
                <w:sz w:val="21"/>
                <w:szCs w:val="21"/>
              </w:rPr>
              <w:t> </w:t>
            </w:r>
            <w:r>
              <w:rPr>
                <w:rFonts w:ascii="宋体" w:hAnsi="宋体" w:cs="宋体" w:eastAsia="宋体" w:hint="default"/>
                <w:sz w:val="21"/>
                <w:szCs w:val="21"/>
              </w:rPr>
              <w:t>号</w:t>
            </w:r>
            <w:r>
              <w:rPr>
                <w:rFonts w:ascii="宋体" w:hAnsi="宋体" w:cs="宋体" w:eastAsia="宋体" w:hint="default"/>
                <w:spacing w:val="-55"/>
                <w:sz w:val="21"/>
                <w:szCs w:val="21"/>
              </w:rPr>
              <w:t> </w:t>
            </w: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区</w:t>
            </w:r>
            <w:r>
              <w:rPr>
                <w:rFonts w:ascii="宋体" w:hAnsi="宋体" w:cs="宋体" w:eastAsia="宋体" w:hint="default"/>
                <w:spacing w:val="-54"/>
                <w:sz w:val="21"/>
                <w:szCs w:val="21"/>
              </w:rPr>
              <w:t> </w:t>
            </w:r>
            <w:r>
              <w:rPr>
                <w:rFonts w:ascii="宋体" w:hAnsi="宋体" w:cs="宋体" w:eastAsia="宋体" w:hint="default"/>
                <w:sz w:val="21"/>
                <w:szCs w:val="21"/>
              </w:rPr>
              <w:t>7</w:t>
            </w:r>
            <w:r>
              <w:rPr>
                <w:rFonts w:ascii="宋体" w:hAnsi="宋体" w:cs="宋体" w:eastAsia="宋体" w:hint="default"/>
                <w:spacing w:val="-54"/>
                <w:sz w:val="21"/>
                <w:szCs w:val="21"/>
              </w:rPr>
              <w:t> </w:t>
            </w:r>
            <w:r>
              <w:rPr>
                <w:rFonts w:ascii="宋体" w:hAnsi="宋体" w:cs="宋体" w:eastAsia="宋体" w:hint="default"/>
                <w:sz w:val="21"/>
                <w:szCs w:val="21"/>
              </w:rPr>
              <w:t>号楼</w:t>
            </w:r>
            <w:r>
              <w:rPr>
                <w:rFonts w:ascii="宋体" w:hAnsi="宋体" w:cs="宋体" w:eastAsia="宋体" w:hint="default"/>
                <w:spacing w:val="-54"/>
                <w:sz w:val="21"/>
                <w:szCs w:val="21"/>
              </w:rPr>
              <w:t> </w:t>
            </w:r>
            <w:r>
              <w:rPr>
                <w:rFonts w:ascii="宋体" w:hAnsi="宋体" w:cs="宋体" w:eastAsia="宋体" w:hint="default"/>
                <w:sz w:val="21"/>
                <w:szCs w:val="21"/>
              </w:rPr>
              <w:t>401</w:t>
            </w:r>
            <w:r>
              <w:rPr>
                <w:rFonts w:ascii="宋体" w:hAnsi="宋体" w:cs="宋体" w:eastAsia="宋体" w:hint="default"/>
                <w:spacing w:val="-53"/>
                <w:sz w:val="21"/>
                <w:szCs w:val="21"/>
              </w:rPr>
              <w:t> </w:t>
            </w:r>
            <w:r>
              <w:rPr>
                <w:rFonts w:ascii="宋体" w:hAnsi="宋体" w:cs="宋体" w:eastAsia="宋体" w:hint="default"/>
                <w:sz w:val="21"/>
                <w:szCs w:val="21"/>
              </w:rPr>
              <w:t>室</w:t>
            </w:r>
            <w:r>
              <w:rPr>
                <w:rFonts w:ascii="宋体" w:hAnsi="宋体" w:cs="宋体" w:eastAsia="宋体" w:hint="default"/>
                <w:sz w:val="21"/>
                <w:szCs w:val="21"/>
              </w:rPr>
              <w:t>(</w:t>
            </w:r>
            <w:r>
              <w:rPr>
                <w:rFonts w:ascii="宋体" w:hAnsi="宋体" w:cs="宋体" w:eastAsia="宋体" w:hint="default"/>
                <w:sz w:val="21"/>
                <w:szCs w:val="21"/>
              </w:rPr>
              <w:t>园 区</w:t>
            </w:r>
            <w:r>
              <w:rPr>
                <w:rFonts w:ascii="宋体" w:hAnsi="宋体" w:cs="宋体" w:eastAsia="宋体" w:hint="default"/>
                <w:sz w:val="21"/>
                <w:szCs w:val="21"/>
              </w:rPr>
              <w:t>)</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25"/>
                <w:szCs w:val="25"/>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铁路信号通信</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25"/>
                <w:szCs w:val="25"/>
              </w:rPr>
            </w:pPr>
          </w:p>
          <w:p>
            <w:pPr>
              <w:pStyle w:val="TableParagraph"/>
              <w:spacing w:line="240" w:lineRule="auto"/>
              <w:ind w:right="20"/>
              <w:jc w:val="right"/>
              <w:rPr>
                <w:rFonts w:ascii="宋体" w:hAnsi="宋体" w:cs="宋体" w:eastAsia="宋体" w:hint="default"/>
                <w:sz w:val="21"/>
                <w:szCs w:val="21"/>
              </w:rPr>
            </w:pPr>
            <w:r>
              <w:rPr>
                <w:rFonts w:ascii="宋体"/>
                <w:sz w:val="21"/>
              </w:rPr>
              <w:t>100.00%</w:t>
            </w:r>
          </w:p>
        </w:tc>
        <w:tc>
          <w:tcPr>
            <w:tcW w:w="568"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25"/>
                <w:szCs w:val="25"/>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购买取得</w:t>
            </w:r>
          </w:p>
        </w:tc>
      </w:tr>
      <w:tr>
        <w:trPr>
          <w:trHeight w:val="714"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2" w:right="129"/>
              <w:jc w:val="left"/>
              <w:rPr>
                <w:rFonts w:ascii="宋体" w:hAnsi="宋体" w:cs="宋体" w:eastAsia="宋体" w:hint="default"/>
                <w:sz w:val="21"/>
                <w:szCs w:val="21"/>
              </w:rPr>
            </w:pPr>
            <w:r>
              <w:rPr>
                <w:rFonts w:ascii="宋体" w:hAnsi="宋体" w:cs="宋体" w:eastAsia="宋体" w:hint="default"/>
                <w:sz w:val="21"/>
                <w:szCs w:val="21"/>
              </w:rPr>
              <w:t>北京国铁路阳软件 有限公司</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2" w:right="230"/>
              <w:jc w:val="left"/>
              <w:rPr>
                <w:rFonts w:ascii="宋体" w:hAnsi="宋体" w:cs="宋体" w:eastAsia="宋体" w:hint="default"/>
                <w:sz w:val="21"/>
                <w:szCs w:val="21"/>
              </w:rPr>
            </w:pPr>
            <w:r>
              <w:rPr>
                <w:rFonts w:ascii="宋体" w:hAnsi="宋体" w:cs="宋体" w:eastAsia="宋体" w:hint="default"/>
                <w:sz w:val="21"/>
                <w:szCs w:val="21"/>
              </w:rPr>
              <w:t>北京市 丰台区</w:t>
            </w:r>
          </w:p>
        </w:tc>
        <w:tc>
          <w:tcPr>
            <w:tcW w:w="264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2" w:right="304"/>
              <w:jc w:val="left"/>
              <w:rPr>
                <w:rFonts w:ascii="宋体" w:hAnsi="宋体" w:cs="宋体" w:eastAsia="宋体" w:hint="default"/>
                <w:sz w:val="21"/>
                <w:szCs w:val="21"/>
              </w:rPr>
            </w:pPr>
            <w:r>
              <w:rPr>
                <w:rFonts w:ascii="宋体" w:hAnsi="宋体" w:cs="宋体" w:eastAsia="宋体" w:hint="default"/>
                <w:sz w:val="21"/>
                <w:szCs w:val="21"/>
              </w:rPr>
              <w:t>北京市丰台区南四环西路 </w:t>
            </w:r>
            <w:r>
              <w:rPr>
                <w:rFonts w:ascii="宋体" w:hAnsi="宋体" w:cs="宋体" w:eastAsia="宋体" w:hint="default"/>
                <w:sz w:val="21"/>
                <w:szCs w:val="21"/>
              </w:rPr>
              <w:t>188</w:t>
            </w:r>
            <w:r>
              <w:rPr>
                <w:rFonts w:ascii="宋体" w:hAnsi="宋体" w:cs="宋体" w:eastAsia="宋体" w:hint="default"/>
                <w:spacing w:val="-52"/>
                <w:sz w:val="21"/>
                <w:szCs w:val="21"/>
              </w:rPr>
              <w:t> </w:t>
            </w:r>
            <w:r>
              <w:rPr>
                <w:rFonts w:ascii="宋体" w:hAnsi="宋体" w:cs="宋体" w:eastAsia="宋体" w:hint="default"/>
                <w:sz w:val="21"/>
                <w:szCs w:val="21"/>
              </w:rPr>
              <w:t>号</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区</w:t>
            </w:r>
            <w:r>
              <w:rPr>
                <w:rFonts w:ascii="宋体" w:hAnsi="宋体" w:cs="宋体" w:eastAsia="宋体" w:hint="default"/>
                <w:spacing w:val="-53"/>
                <w:sz w:val="21"/>
                <w:szCs w:val="21"/>
              </w:rPr>
              <w:t> </w:t>
            </w:r>
            <w:r>
              <w:rPr>
                <w:rFonts w:ascii="宋体" w:hAnsi="宋体" w:cs="宋体" w:eastAsia="宋体" w:hint="default"/>
                <w:sz w:val="21"/>
                <w:szCs w:val="21"/>
              </w:rPr>
              <w:t>7</w:t>
            </w:r>
            <w:r>
              <w:rPr>
                <w:rFonts w:ascii="宋体" w:hAnsi="宋体" w:cs="宋体" w:eastAsia="宋体" w:hint="default"/>
                <w:spacing w:val="-53"/>
                <w:sz w:val="21"/>
                <w:szCs w:val="21"/>
              </w:rPr>
              <w:t> </w:t>
            </w:r>
            <w:r>
              <w:rPr>
                <w:rFonts w:ascii="宋体" w:hAnsi="宋体" w:cs="宋体" w:eastAsia="宋体" w:hint="default"/>
                <w:sz w:val="21"/>
                <w:szCs w:val="21"/>
              </w:rPr>
              <w:t>号楼</w:t>
            </w:r>
            <w:r>
              <w:rPr>
                <w:rFonts w:ascii="宋体" w:hAnsi="宋体" w:cs="宋体" w:eastAsia="宋体" w:hint="default"/>
                <w:spacing w:val="-53"/>
                <w:sz w:val="21"/>
                <w:szCs w:val="21"/>
              </w:rPr>
              <w:t> </w:t>
            </w:r>
            <w:r>
              <w:rPr>
                <w:rFonts w:ascii="宋体" w:hAnsi="宋体" w:cs="宋体" w:eastAsia="宋体" w:hint="default"/>
                <w:sz w:val="21"/>
                <w:szCs w:val="21"/>
              </w:rPr>
              <w:t>301</w:t>
            </w:r>
            <w:r>
              <w:rPr>
                <w:rFonts w:ascii="宋体" w:hAnsi="宋体" w:cs="宋体" w:eastAsia="宋体" w:hint="default"/>
                <w:spacing w:val="-52"/>
                <w:sz w:val="21"/>
                <w:szCs w:val="21"/>
              </w:rPr>
              <w:t> </w:t>
            </w:r>
            <w:r>
              <w:rPr>
                <w:rFonts w:ascii="宋体" w:hAnsi="宋体" w:cs="宋体" w:eastAsia="宋体" w:hint="default"/>
                <w:sz w:val="21"/>
                <w:szCs w:val="21"/>
              </w:rPr>
              <w:t>室</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软件开发、服务</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20"/>
              <w:jc w:val="right"/>
              <w:rPr>
                <w:rFonts w:ascii="宋体" w:hAnsi="宋体" w:cs="宋体" w:eastAsia="宋体" w:hint="default"/>
                <w:sz w:val="21"/>
                <w:szCs w:val="21"/>
              </w:rPr>
            </w:pPr>
            <w:r>
              <w:rPr>
                <w:rFonts w:ascii="宋体"/>
                <w:sz w:val="21"/>
              </w:rPr>
              <w:t>100.00%</w:t>
            </w:r>
          </w:p>
        </w:tc>
        <w:tc>
          <w:tcPr>
            <w:tcW w:w="568"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购买取得</w:t>
            </w:r>
          </w:p>
        </w:tc>
      </w:tr>
      <w:tr>
        <w:trPr>
          <w:trHeight w:val="714"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2" w:right="129"/>
              <w:jc w:val="left"/>
              <w:rPr>
                <w:rFonts w:ascii="宋体" w:hAnsi="宋体" w:cs="宋体" w:eastAsia="宋体" w:hint="default"/>
                <w:sz w:val="21"/>
                <w:szCs w:val="21"/>
              </w:rPr>
            </w:pPr>
            <w:r>
              <w:rPr>
                <w:rFonts w:ascii="宋体" w:hAnsi="宋体" w:cs="宋体" w:eastAsia="宋体" w:hint="default"/>
                <w:sz w:val="21"/>
                <w:szCs w:val="21"/>
              </w:rPr>
              <w:t>天津辉煌路阳科技 有限公司</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2" w:right="230"/>
              <w:jc w:val="left"/>
              <w:rPr>
                <w:rFonts w:ascii="宋体" w:hAnsi="宋体" w:cs="宋体" w:eastAsia="宋体" w:hint="default"/>
                <w:sz w:val="21"/>
                <w:szCs w:val="21"/>
              </w:rPr>
            </w:pPr>
            <w:r>
              <w:rPr>
                <w:rFonts w:ascii="宋体" w:hAnsi="宋体" w:cs="宋体" w:eastAsia="宋体" w:hint="default"/>
                <w:sz w:val="21"/>
                <w:szCs w:val="21"/>
              </w:rPr>
              <w:t>天津市 津南区</w:t>
            </w:r>
          </w:p>
        </w:tc>
        <w:tc>
          <w:tcPr>
            <w:tcW w:w="2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天津双港工业区丽港园</w:t>
            </w:r>
            <w:r>
              <w:rPr>
                <w:rFonts w:ascii="宋体" w:hAnsi="宋体" w:cs="宋体" w:eastAsia="宋体" w:hint="default"/>
                <w:spacing w:val="-69"/>
                <w:sz w:val="21"/>
                <w:szCs w:val="21"/>
              </w:rPr>
              <w:t> </w:t>
            </w:r>
            <w:r>
              <w:rPr>
                <w:rFonts w:ascii="宋体" w:hAnsi="宋体" w:cs="宋体" w:eastAsia="宋体" w:hint="default"/>
                <w:sz w:val="21"/>
                <w:szCs w:val="21"/>
              </w:rPr>
              <w:t>12</w:t>
            </w:r>
            <w:r>
              <w:rPr>
                <w:rFonts w:ascii="宋体" w:hAnsi="宋体" w:cs="宋体" w:eastAsia="宋体" w:hint="default"/>
                <w:spacing w:val="-69"/>
                <w:sz w:val="21"/>
                <w:szCs w:val="21"/>
              </w:rPr>
              <w:t> </w:t>
            </w:r>
            <w:r>
              <w:rPr>
                <w:rFonts w:ascii="宋体" w:hAnsi="宋体" w:cs="宋体" w:eastAsia="宋体" w:hint="default"/>
                <w:sz w:val="21"/>
                <w:szCs w:val="21"/>
              </w:rPr>
              <w:t>号</w:t>
            </w:r>
          </w:p>
          <w:p>
            <w:pPr>
              <w:pStyle w:val="TableParagraph"/>
              <w:spacing w:line="240" w:lineRule="auto" w:before="37"/>
              <w:ind w:left="22" w:right="0"/>
              <w:jc w:val="left"/>
              <w:rPr>
                <w:rFonts w:ascii="宋体" w:hAnsi="宋体" w:cs="宋体" w:eastAsia="宋体" w:hint="default"/>
                <w:sz w:val="21"/>
                <w:szCs w:val="21"/>
              </w:rPr>
            </w:pPr>
            <w:r>
              <w:rPr>
                <w:rFonts w:ascii="宋体"/>
                <w:sz w:val="21"/>
              </w:rPr>
              <w:t>34-210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铁路信号通信</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20"/>
              <w:jc w:val="right"/>
              <w:rPr>
                <w:rFonts w:ascii="宋体" w:hAnsi="宋体" w:cs="宋体" w:eastAsia="宋体" w:hint="default"/>
                <w:sz w:val="21"/>
                <w:szCs w:val="21"/>
              </w:rPr>
            </w:pPr>
            <w:r>
              <w:rPr>
                <w:rFonts w:ascii="宋体"/>
                <w:sz w:val="21"/>
              </w:rPr>
              <w:t>100.00%</w:t>
            </w:r>
          </w:p>
        </w:tc>
        <w:tc>
          <w:tcPr>
            <w:tcW w:w="568"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购买取得</w:t>
            </w:r>
          </w:p>
        </w:tc>
      </w:tr>
      <w:tr>
        <w:trPr>
          <w:trHeight w:val="714"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2" w:right="129"/>
              <w:jc w:val="left"/>
              <w:rPr>
                <w:rFonts w:ascii="宋体" w:hAnsi="宋体" w:cs="宋体" w:eastAsia="宋体" w:hint="default"/>
                <w:sz w:val="21"/>
                <w:szCs w:val="21"/>
              </w:rPr>
            </w:pPr>
            <w:r>
              <w:rPr>
                <w:rFonts w:ascii="宋体" w:hAnsi="宋体" w:cs="宋体" w:eastAsia="宋体" w:hint="default"/>
                <w:sz w:val="21"/>
                <w:szCs w:val="21"/>
              </w:rPr>
              <w:t>天津信通铁路电气 技术有限公司</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2" w:right="230"/>
              <w:jc w:val="left"/>
              <w:rPr>
                <w:rFonts w:ascii="宋体" w:hAnsi="宋体" w:cs="宋体" w:eastAsia="宋体" w:hint="default"/>
                <w:sz w:val="21"/>
                <w:szCs w:val="21"/>
              </w:rPr>
            </w:pPr>
            <w:r>
              <w:rPr>
                <w:rFonts w:ascii="宋体" w:hAnsi="宋体" w:cs="宋体" w:eastAsia="宋体" w:hint="default"/>
                <w:sz w:val="21"/>
                <w:szCs w:val="21"/>
              </w:rPr>
              <w:t>天津市 东丽区</w:t>
            </w:r>
          </w:p>
        </w:tc>
        <w:tc>
          <w:tcPr>
            <w:tcW w:w="2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天津市东丽区先锋东路</w:t>
            </w:r>
            <w:r>
              <w:rPr>
                <w:rFonts w:ascii="宋体" w:hAnsi="宋体" w:cs="宋体" w:eastAsia="宋体" w:hint="default"/>
                <w:spacing w:val="-69"/>
                <w:sz w:val="21"/>
                <w:szCs w:val="21"/>
              </w:rPr>
              <w:t> </w:t>
            </w:r>
            <w:r>
              <w:rPr>
                <w:rFonts w:ascii="宋体" w:hAnsi="宋体" w:cs="宋体" w:eastAsia="宋体" w:hint="default"/>
                <w:sz w:val="21"/>
                <w:szCs w:val="21"/>
              </w:rPr>
              <w:t>48</w:t>
            </w:r>
            <w:r>
              <w:rPr>
                <w:rFonts w:ascii="宋体" w:hAnsi="宋体" w:cs="宋体" w:eastAsia="宋体" w:hint="default"/>
                <w:spacing w:val="-69"/>
                <w:sz w:val="21"/>
                <w:szCs w:val="21"/>
              </w:rPr>
              <w:t> </w:t>
            </w:r>
            <w:r>
              <w:rPr>
                <w:rFonts w:ascii="宋体" w:hAnsi="宋体" w:cs="宋体" w:eastAsia="宋体" w:hint="default"/>
                <w:sz w:val="21"/>
                <w:szCs w:val="21"/>
              </w:rPr>
              <w:t>号</w:t>
            </w:r>
          </w:p>
          <w:p>
            <w:pPr>
              <w:pStyle w:val="TableParagraph"/>
              <w:spacing w:line="240" w:lineRule="auto" w:before="37"/>
              <w:ind w:left="22" w:right="0"/>
              <w:jc w:val="left"/>
              <w:rPr>
                <w:rFonts w:ascii="宋体" w:hAnsi="宋体" w:cs="宋体" w:eastAsia="宋体" w:hint="default"/>
                <w:sz w:val="21"/>
                <w:szCs w:val="21"/>
              </w:rPr>
            </w:pPr>
            <w:r>
              <w:rPr>
                <w:rFonts w:ascii="宋体"/>
                <w:sz w:val="21"/>
              </w:rPr>
              <w:t>-4</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铁路信号通信</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20"/>
              <w:jc w:val="right"/>
              <w:rPr>
                <w:rFonts w:ascii="宋体" w:hAnsi="宋体" w:cs="宋体" w:eastAsia="宋体" w:hint="default"/>
                <w:sz w:val="21"/>
                <w:szCs w:val="21"/>
              </w:rPr>
            </w:pPr>
            <w:r>
              <w:rPr>
                <w:rFonts w:ascii="宋体"/>
                <w:sz w:val="21"/>
              </w:rPr>
              <w:t>100.00%</w:t>
            </w:r>
          </w:p>
        </w:tc>
        <w:tc>
          <w:tcPr>
            <w:tcW w:w="568"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购买取得</w:t>
            </w:r>
          </w:p>
        </w:tc>
      </w:tr>
      <w:tr>
        <w:trPr>
          <w:trHeight w:val="714"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2" w:right="129"/>
              <w:jc w:val="left"/>
              <w:rPr>
                <w:rFonts w:ascii="宋体" w:hAnsi="宋体" w:cs="宋体" w:eastAsia="宋体" w:hint="default"/>
                <w:sz w:val="21"/>
                <w:szCs w:val="21"/>
              </w:rPr>
            </w:pPr>
            <w:r>
              <w:rPr>
                <w:rFonts w:ascii="宋体" w:hAnsi="宋体" w:cs="宋体" w:eastAsia="宋体" w:hint="default"/>
                <w:sz w:val="21"/>
                <w:szCs w:val="21"/>
              </w:rPr>
              <w:t>河南辉煌城轨科技 有限公司</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2" w:right="230"/>
              <w:jc w:val="left"/>
              <w:rPr>
                <w:rFonts w:ascii="宋体" w:hAnsi="宋体" w:cs="宋体" w:eastAsia="宋体" w:hint="default"/>
                <w:sz w:val="21"/>
                <w:szCs w:val="21"/>
              </w:rPr>
            </w:pPr>
            <w:r>
              <w:rPr>
                <w:rFonts w:ascii="宋体" w:hAnsi="宋体" w:cs="宋体" w:eastAsia="宋体" w:hint="default"/>
                <w:sz w:val="21"/>
                <w:szCs w:val="21"/>
              </w:rPr>
              <w:t>郑州高 新区</w:t>
            </w:r>
          </w:p>
        </w:tc>
        <w:tc>
          <w:tcPr>
            <w:tcW w:w="264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2" w:right="41"/>
              <w:jc w:val="left"/>
              <w:rPr>
                <w:rFonts w:ascii="宋体" w:hAnsi="宋体" w:cs="宋体" w:eastAsia="宋体" w:hint="default"/>
                <w:sz w:val="21"/>
                <w:szCs w:val="21"/>
              </w:rPr>
            </w:pPr>
            <w:r>
              <w:rPr>
                <w:rFonts w:ascii="宋体" w:hAnsi="宋体" w:cs="宋体" w:eastAsia="宋体" w:hint="default"/>
                <w:sz w:val="21"/>
                <w:szCs w:val="21"/>
              </w:rPr>
              <w:t>郑州高新开发区科学大道</w:t>
            </w:r>
            <w:r>
              <w:rPr>
                <w:rFonts w:ascii="宋体" w:hAnsi="宋体" w:cs="宋体" w:eastAsia="宋体" w:hint="default"/>
                <w:spacing w:val="-52"/>
                <w:sz w:val="21"/>
                <w:szCs w:val="21"/>
              </w:rPr>
              <w:t> </w:t>
            </w:r>
            <w:r>
              <w:rPr>
                <w:rFonts w:ascii="宋体" w:hAnsi="宋体" w:cs="宋体" w:eastAsia="宋体" w:hint="default"/>
                <w:sz w:val="21"/>
                <w:szCs w:val="21"/>
              </w:rPr>
              <w:t>74 </w:t>
            </w:r>
            <w:r>
              <w:rPr>
                <w:rFonts w:ascii="宋体" w:hAnsi="宋体" w:cs="宋体" w:eastAsia="宋体" w:hint="default"/>
                <w:sz w:val="21"/>
                <w:szCs w:val="21"/>
              </w:rPr>
              <w:t>号</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铁路信号通信</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20"/>
              <w:jc w:val="right"/>
              <w:rPr>
                <w:rFonts w:ascii="宋体" w:hAnsi="宋体" w:cs="宋体" w:eastAsia="宋体" w:hint="default"/>
                <w:sz w:val="21"/>
                <w:szCs w:val="21"/>
              </w:rPr>
            </w:pPr>
            <w:r>
              <w:rPr>
                <w:rFonts w:ascii="宋体"/>
                <w:sz w:val="21"/>
              </w:rPr>
              <w:t>100.00%</w:t>
            </w:r>
          </w:p>
        </w:tc>
        <w:tc>
          <w:tcPr>
            <w:tcW w:w="568"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投资设立</w:t>
            </w:r>
          </w:p>
        </w:tc>
      </w:tr>
      <w:tr>
        <w:trPr>
          <w:trHeight w:val="714"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2" w:right="129"/>
              <w:jc w:val="left"/>
              <w:rPr>
                <w:rFonts w:ascii="宋体" w:hAnsi="宋体" w:cs="宋体" w:eastAsia="宋体" w:hint="default"/>
                <w:sz w:val="21"/>
                <w:szCs w:val="21"/>
              </w:rPr>
            </w:pPr>
            <w:r>
              <w:rPr>
                <w:rFonts w:ascii="宋体" w:hAnsi="宋体" w:cs="宋体" w:eastAsia="宋体" w:hint="default"/>
                <w:sz w:val="21"/>
                <w:szCs w:val="21"/>
              </w:rPr>
              <w:t>天津智信源科技有 限公司</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2" w:right="230"/>
              <w:jc w:val="left"/>
              <w:rPr>
                <w:rFonts w:ascii="宋体" w:hAnsi="宋体" w:cs="宋体" w:eastAsia="宋体" w:hint="default"/>
                <w:sz w:val="21"/>
                <w:szCs w:val="21"/>
              </w:rPr>
            </w:pPr>
            <w:r>
              <w:rPr>
                <w:rFonts w:ascii="宋体" w:hAnsi="宋体" w:cs="宋体" w:eastAsia="宋体" w:hint="default"/>
                <w:sz w:val="21"/>
                <w:szCs w:val="21"/>
              </w:rPr>
              <w:t>天津市 津南区</w:t>
            </w:r>
          </w:p>
        </w:tc>
        <w:tc>
          <w:tcPr>
            <w:tcW w:w="264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2" w:right="94"/>
              <w:jc w:val="left"/>
              <w:rPr>
                <w:rFonts w:ascii="宋体" w:hAnsi="宋体" w:cs="宋体" w:eastAsia="宋体" w:hint="default"/>
                <w:sz w:val="21"/>
                <w:szCs w:val="21"/>
              </w:rPr>
            </w:pPr>
            <w:r>
              <w:rPr>
                <w:rFonts w:ascii="宋体" w:hAnsi="宋体" w:cs="宋体" w:eastAsia="宋体" w:hint="default"/>
                <w:sz w:val="21"/>
                <w:szCs w:val="21"/>
              </w:rPr>
              <w:t>天津市津南区双港镇双港总 部经济产业园（易）</w:t>
            </w:r>
            <w:r>
              <w:rPr>
                <w:rFonts w:ascii="宋体" w:hAnsi="宋体" w:cs="宋体" w:eastAsia="宋体" w:hint="default"/>
                <w:sz w:val="21"/>
                <w:szCs w:val="21"/>
              </w:rPr>
              <w:t>116-17</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软件开发、服务</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20"/>
              <w:jc w:val="right"/>
              <w:rPr>
                <w:rFonts w:ascii="宋体" w:hAnsi="宋体" w:cs="宋体" w:eastAsia="宋体" w:hint="default"/>
                <w:sz w:val="21"/>
                <w:szCs w:val="21"/>
              </w:rPr>
            </w:pPr>
            <w:r>
              <w:rPr>
                <w:rFonts w:ascii="宋体"/>
                <w:sz w:val="21"/>
              </w:rPr>
              <w:t>100.00%</w:t>
            </w:r>
          </w:p>
        </w:tc>
        <w:tc>
          <w:tcPr>
            <w:tcW w:w="568"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投资设立</w:t>
            </w:r>
          </w:p>
        </w:tc>
      </w:tr>
      <w:tr>
        <w:trPr>
          <w:trHeight w:val="714"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2" w:right="129"/>
              <w:jc w:val="left"/>
              <w:rPr>
                <w:rFonts w:ascii="宋体" w:hAnsi="宋体" w:cs="宋体" w:eastAsia="宋体" w:hint="default"/>
                <w:sz w:val="21"/>
                <w:szCs w:val="21"/>
              </w:rPr>
            </w:pPr>
            <w:r>
              <w:rPr>
                <w:rFonts w:ascii="宋体" w:hAnsi="宋体" w:cs="宋体" w:eastAsia="宋体" w:hint="default"/>
                <w:sz w:val="21"/>
                <w:szCs w:val="21"/>
              </w:rPr>
              <w:t>成都西南交大驱动 技术有限责任公司</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2" w:right="230"/>
              <w:jc w:val="left"/>
              <w:rPr>
                <w:rFonts w:ascii="宋体" w:hAnsi="宋体" w:cs="宋体" w:eastAsia="宋体" w:hint="default"/>
                <w:sz w:val="21"/>
                <w:szCs w:val="21"/>
              </w:rPr>
            </w:pPr>
            <w:r>
              <w:rPr>
                <w:rFonts w:ascii="宋体" w:hAnsi="宋体" w:cs="宋体" w:eastAsia="宋体" w:hint="default"/>
                <w:sz w:val="21"/>
                <w:szCs w:val="21"/>
              </w:rPr>
              <w:t>成都高 新区</w:t>
            </w:r>
          </w:p>
        </w:tc>
        <w:tc>
          <w:tcPr>
            <w:tcW w:w="2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成都高新区肖家河街</w:t>
            </w:r>
            <w:r>
              <w:rPr>
                <w:rFonts w:ascii="宋体" w:hAnsi="宋体" w:cs="宋体" w:eastAsia="宋体" w:hint="default"/>
                <w:spacing w:val="-52"/>
                <w:sz w:val="21"/>
                <w:szCs w:val="21"/>
              </w:rPr>
              <w:t> </w:t>
            </w:r>
            <w:r>
              <w:rPr>
                <w:rFonts w:ascii="宋体" w:hAnsi="宋体" w:cs="宋体" w:eastAsia="宋体" w:hint="default"/>
                <w:sz w:val="21"/>
                <w:szCs w:val="21"/>
              </w:rPr>
              <w:t>134</w:t>
            </w:r>
            <w:r>
              <w:rPr>
                <w:rFonts w:ascii="宋体" w:hAnsi="宋体" w:cs="宋体" w:eastAsia="宋体" w:hint="default"/>
                <w:spacing w:val="-52"/>
                <w:sz w:val="21"/>
                <w:szCs w:val="21"/>
              </w:rPr>
              <w:t> </w:t>
            </w:r>
            <w:r>
              <w:rPr>
                <w:rFonts w:ascii="宋体" w:hAnsi="宋体" w:cs="宋体" w:eastAsia="宋体" w:hint="default"/>
                <w:sz w:val="21"/>
                <w:szCs w:val="21"/>
              </w:rPr>
              <w:t>号</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铁路专用设备</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20"/>
              <w:jc w:val="right"/>
              <w:rPr>
                <w:rFonts w:ascii="宋体" w:hAnsi="宋体" w:cs="宋体" w:eastAsia="宋体" w:hint="default"/>
                <w:sz w:val="21"/>
                <w:szCs w:val="21"/>
              </w:rPr>
            </w:pPr>
            <w:r>
              <w:rPr>
                <w:rFonts w:ascii="宋体"/>
                <w:sz w:val="21"/>
              </w:rPr>
              <w:t>51.00%</w:t>
            </w:r>
          </w:p>
        </w:tc>
        <w:tc>
          <w:tcPr>
            <w:tcW w:w="568"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购买取得</w:t>
            </w:r>
          </w:p>
        </w:tc>
      </w:tr>
      <w:tr>
        <w:trPr>
          <w:trHeight w:val="714"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2" w:right="129"/>
              <w:jc w:val="left"/>
              <w:rPr>
                <w:rFonts w:ascii="宋体" w:hAnsi="宋体" w:cs="宋体" w:eastAsia="宋体" w:hint="default"/>
                <w:sz w:val="21"/>
                <w:szCs w:val="21"/>
              </w:rPr>
            </w:pPr>
            <w:r>
              <w:rPr>
                <w:rFonts w:ascii="宋体" w:hAnsi="宋体" w:cs="宋体" w:eastAsia="宋体" w:hint="default"/>
                <w:sz w:val="21"/>
                <w:szCs w:val="21"/>
              </w:rPr>
              <w:t>成都新一驱动科技 有限责任公司</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2" w:right="230"/>
              <w:jc w:val="left"/>
              <w:rPr>
                <w:rFonts w:ascii="宋体" w:hAnsi="宋体" w:cs="宋体" w:eastAsia="宋体" w:hint="default"/>
                <w:sz w:val="21"/>
                <w:szCs w:val="21"/>
              </w:rPr>
            </w:pPr>
            <w:r>
              <w:rPr>
                <w:rFonts w:ascii="宋体" w:hAnsi="宋体" w:cs="宋体" w:eastAsia="宋体" w:hint="default"/>
                <w:sz w:val="21"/>
                <w:szCs w:val="21"/>
              </w:rPr>
              <w:t>成都郫 都区</w:t>
            </w:r>
          </w:p>
        </w:tc>
        <w:tc>
          <w:tcPr>
            <w:tcW w:w="264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2" w:right="94"/>
              <w:jc w:val="left"/>
              <w:rPr>
                <w:rFonts w:ascii="宋体" w:hAnsi="宋体" w:cs="宋体" w:eastAsia="宋体" w:hint="default"/>
                <w:sz w:val="21"/>
                <w:szCs w:val="21"/>
              </w:rPr>
            </w:pPr>
            <w:r>
              <w:rPr>
                <w:rFonts w:ascii="宋体" w:hAnsi="宋体" w:cs="宋体" w:eastAsia="宋体" w:hint="default"/>
                <w:sz w:val="21"/>
                <w:szCs w:val="21"/>
              </w:rPr>
              <w:t>郫县成都现代工业港北区蜀 都大道北一段</w:t>
            </w:r>
            <w:r>
              <w:rPr>
                <w:rFonts w:ascii="宋体" w:hAnsi="宋体" w:cs="宋体" w:eastAsia="宋体" w:hint="default"/>
                <w:spacing w:val="-52"/>
                <w:sz w:val="21"/>
                <w:szCs w:val="21"/>
              </w:rPr>
              <w:t> </w:t>
            </w:r>
            <w:r>
              <w:rPr>
                <w:rFonts w:ascii="宋体" w:hAnsi="宋体" w:cs="宋体" w:eastAsia="宋体" w:hint="default"/>
                <w:sz w:val="21"/>
                <w:szCs w:val="21"/>
              </w:rPr>
              <w:t>1907</w:t>
            </w:r>
            <w:r>
              <w:rPr>
                <w:rFonts w:ascii="宋体" w:hAnsi="宋体" w:cs="宋体" w:eastAsia="宋体" w:hint="default"/>
                <w:spacing w:val="-53"/>
                <w:sz w:val="21"/>
                <w:szCs w:val="21"/>
              </w:rPr>
              <w:t> </w:t>
            </w:r>
            <w:r>
              <w:rPr>
                <w:rFonts w:ascii="宋体" w:hAnsi="宋体" w:cs="宋体" w:eastAsia="宋体" w:hint="default"/>
                <w:sz w:val="21"/>
                <w:szCs w:val="21"/>
              </w:rPr>
              <w:t>号</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铁路专用设备</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20"/>
              <w:jc w:val="right"/>
              <w:rPr>
                <w:rFonts w:ascii="宋体" w:hAnsi="宋体" w:cs="宋体" w:eastAsia="宋体" w:hint="default"/>
                <w:sz w:val="21"/>
                <w:szCs w:val="21"/>
              </w:rPr>
            </w:pPr>
            <w:r>
              <w:rPr>
                <w:rFonts w:ascii="宋体"/>
                <w:sz w:val="21"/>
              </w:rPr>
              <w:t>51.00%</w:t>
            </w:r>
          </w:p>
        </w:tc>
        <w:tc>
          <w:tcPr>
            <w:tcW w:w="568"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购买取得</w:t>
            </w:r>
          </w:p>
        </w:tc>
      </w:tr>
    </w:tbl>
    <w:p>
      <w:pPr>
        <w:spacing w:line="240" w:lineRule="auto" w:before="10"/>
        <w:rPr>
          <w:rFonts w:ascii="宋体" w:hAnsi="宋体" w:cs="宋体" w:eastAsia="宋体" w:hint="default"/>
          <w:b/>
          <w:bCs/>
          <w:sz w:val="4"/>
          <w:szCs w:val="4"/>
        </w:rPr>
      </w:pPr>
    </w:p>
    <w:p>
      <w:pPr>
        <w:spacing w:after="0" w:line="240" w:lineRule="auto"/>
        <w:rPr>
          <w:rFonts w:ascii="宋体" w:hAnsi="宋体" w:cs="宋体" w:eastAsia="宋体" w:hint="default"/>
          <w:sz w:val="4"/>
          <w:szCs w:val="4"/>
        </w:rPr>
        <w:sectPr>
          <w:pgSz w:w="11910" w:h="16840"/>
          <w:pgMar w:header="747" w:footer="979" w:top="1060" w:bottom="1160" w:left="980" w:right="0"/>
        </w:sectPr>
      </w:pPr>
    </w:p>
    <w:p>
      <w:pPr>
        <w:pStyle w:val="Heading2"/>
        <w:spacing w:line="240" w:lineRule="auto"/>
        <w:ind w:right="0"/>
        <w:jc w:val="left"/>
        <w:rPr>
          <w:b w:val="0"/>
          <w:bCs w:val="0"/>
        </w:rPr>
      </w:pPr>
      <w:bookmarkStart w:name="（2）重要的非全资子公司" w:id="443"/>
      <w:bookmarkEnd w:id="443"/>
      <w:r>
        <w:rPr>
          <w:b w:val="0"/>
          <w:bCs w:val="0"/>
        </w:rPr>
      </w:r>
      <w:r>
        <w:rPr>
          <w:w w:val="95"/>
        </w:rPr>
        <w:t>（</w:t>
      </w:r>
      <w:r>
        <w:rPr>
          <w:rFonts w:ascii="宋体" w:hAnsi="宋体" w:cs="宋体" w:eastAsia="宋体" w:hint="default"/>
          <w:w w:val="95"/>
        </w:rPr>
        <w:t>2</w:t>
      </w:r>
      <w:r>
        <w:rPr>
          <w:w w:val="95"/>
        </w:rPr>
        <w:t>）重要的非全资子公司</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before="162"/>
        <w:ind w:left="636" w:right="0" w:firstLine="0"/>
        <w:jc w:val="left"/>
        <w:rPr>
          <w:rFonts w:ascii="宋体" w:hAnsi="宋体" w:cs="宋体" w:eastAsia="宋体" w:hint="default"/>
          <w:sz w:val="21"/>
          <w:szCs w:val="21"/>
        </w:rPr>
      </w:pPr>
      <w:r>
        <w:rPr>
          <w:rFonts w:ascii="宋体" w:hAnsi="宋体" w:cs="宋体" w:eastAsia="宋体" w:hint="default"/>
          <w:sz w:val="21"/>
          <w:szCs w:val="21"/>
        </w:rPr>
        <w:t>单位： 元</w:t>
      </w:r>
    </w:p>
    <w:p>
      <w:pPr>
        <w:spacing w:after="0"/>
        <w:jc w:val="left"/>
        <w:rPr>
          <w:rFonts w:ascii="宋体" w:hAnsi="宋体" w:cs="宋体" w:eastAsia="宋体" w:hint="default"/>
          <w:sz w:val="21"/>
          <w:szCs w:val="21"/>
        </w:rPr>
        <w:sectPr>
          <w:type w:val="continuous"/>
          <w:pgSz w:w="11910" w:h="16840"/>
          <w:pgMar w:top="1060" w:bottom="1160" w:left="980" w:right="0"/>
          <w:cols w:num="2" w:equalWidth="0">
            <w:col w:w="3406" w:space="4806"/>
            <w:col w:w="2718"/>
          </w:cols>
        </w:sectPr>
      </w:pP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7"/>
        <w:gridCol w:w="1914"/>
        <w:gridCol w:w="1914"/>
        <w:gridCol w:w="1913"/>
        <w:gridCol w:w="1913"/>
      </w:tblGrid>
      <w:tr>
        <w:trPr>
          <w:trHeight w:val="764" w:hRule="exact"/>
        </w:trPr>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27" w:right="0"/>
              <w:jc w:val="left"/>
              <w:rPr>
                <w:rFonts w:ascii="宋体" w:hAnsi="宋体" w:cs="宋体" w:eastAsia="宋体" w:hint="default"/>
                <w:sz w:val="21"/>
                <w:szCs w:val="21"/>
              </w:rPr>
            </w:pPr>
            <w:r>
              <w:rPr>
                <w:rFonts w:ascii="宋体" w:hAnsi="宋体" w:cs="宋体" w:eastAsia="宋体" w:hint="default"/>
                <w:sz w:val="21"/>
                <w:szCs w:val="21"/>
              </w:rPr>
              <w:t>子公司名称</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1" w:right="0"/>
              <w:jc w:val="left"/>
              <w:rPr>
                <w:rFonts w:ascii="宋体" w:hAnsi="宋体" w:cs="宋体" w:eastAsia="宋体" w:hint="default"/>
                <w:sz w:val="21"/>
                <w:szCs w:val="21"/>
              </w:rPr>
            </w:pPr>
            <w:r>
              <w:rPr>
                <w:rFonts w:ascii="宋体" w:hAnsi="宋体" w:cs="宋体" w:eastAsia="宋体" w:hint="default"/>
                <w:sz w:val="21"/>
                <w:szCs w:val="21"/>
              </w:rPr>
              <w:t>少数股东持股比例</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51"/>
              <w:ind w:left="531" w:right="110" w:hanging="420"/>
              <w:jc w:val="left"/>
              <w:rPr>
                <w:rFonts w:ascii="宋体" w:hAnsi="宋体" w:cs="宋体" w:eastAsia="宋体" w:hint="default"/>
                <w:sz w:val="21"/>
                <w:szCs w:val="21"/>
              </w:rPr>
            </w:pPr>
            <w:r>
              <w:rPr>
                <w:rFonts w:ascii="宋体" w:hAnsi="宋体" w:cs="宋体" w:eastAsia="宋体" w:hint="default"/>
                <w:sz w:val="21"/>
                <w:szCs w:val="21"/>
              </w:rPr>
              <w:t>本期归属于少数股 东的损益</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51"/>
              <w:ind w:left="321" w:right="111" w:hanging="210"/>
              <w:jc w:val="left"/>
              <w:rPr>
                <w:rFonts w:ascii="宋体" w:hAnsi="宋体" w:cs="宋体" w:eastAsia="宋体" w:hint="default"/>
                <w:sz w:val="21"/>
                <w:szCs w:val="21"/>
              </w:rPr>
            </w:pPr>
            <w:r>
              <w:rPr>
                <w:rFonts w:ascii="宋体" w:hAnsi="宋体" w:cs="宋体" w:eastAsia="宋体" w:hint="default"/>
                <w:sz w:val="21"/>
                <w:szCs w:val="21"/>
              </w:rPr>
              <w:t>本期向少数股东宣 告分派的股利</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51"/>
              <w:ind w:left="741" w:right="109" w:hanging="630"/>
              <w:jc w:val="left"/>
              <w:rPr>
                <w:rFonts w:ascii="宋体" w:hAnsi="宋体" w:cs="宋体" w:eastAsia="宋体" w:hint="default"/>
                <w:sz w:val="21"/>
                <w:szCs w:val="21"/>
              </w:rPr>
            </w:pPr>
            <w:r>
              <w:rPr>
                <w:rFonts w:ascii="宋体" w:hAnsi="宋体" w:cs="宋体" w:eastAsia="宋体" w:hint="default"/>
                <w:sz w:val="21"/>
                <w:szCs w:val="21"/>
              </w:rPr>
              <w:t>期末少数股东权益 余额</w:t>
            </w:r>
          </w:p>
        </w:tc>
      </w:tr>
      <w:tr>
        <w:trPr>
          <w:trHeight w:val="714" w:hRule="exact"/>
        </w:trPr>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4"/>
              <w:jc w:val="left"/>
              <w:rPr>
                <w:rFonts w:ascii="宋体" w:hAnsi="宋体" w:cs="宋体" w:eastAsia="宋体" w:hint="default"/>
                <w:sz w:val="18"/>
                <w:szCs w:val="18"/>
              </w:rPr>
            </w:pPr>
            <w:r>
              <w:rPr>
                <w:rFonts w:ascii="宋体" w:hAnsi="宋体" w:cs="宋体" w:eastAsia="宋体" w:hint="default"/>
                <w:spacing w:val="5"/>
                <w:sz w:val="18"/>
                <w:szCs w:val="18"/>
              </w:rPr>
              <w:t>成都西南交大驱动技术</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有限责任公司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sz w:val="18"/>
              </w:rPr>
              <w:t>49.00%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sz w:val="18"/>
              </w:rPr>
              <w:t>5,403,317.95</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sz w:val="18"/>
              </w:rPr>
              <w:t>24,739,365.17</w:t>
            </w:r>
          </w:p>
        </w:tc>
      </w:tr>
    </w:tbl>
    <w:p>
      <w:pPr>
        <w:spacing w:line="240" w:lineRule="auto" w:before="10"/>
        <w:rPr>
          <w:rFonts w:ascii="宋体" w:hAnsi="宋体" w:cs="宋体" w:eastAsia="宋体" w:hint="default"/>
          <w:sz w:val="4"/>
          <w:szCs w:val="4"/>
        </w:rPr>
      </w:pPr>
    </w:p>
    <w:p>
      <w:pPr>
        <w:spacing w:after="0" w:line="240" w:lineRule="auto"/>
        <w:rPr>
          <w:rFonts w:ascii="宋体" w:hAnsi="宋体" w:cs="宋体" w:eastAsia="宋体" w:hint="default"/>
          <w:sz w:val="4"/>
          <w:szCs w:val="4"/>
        </w:rPr>
        <w:sectPr>
          <w:type w:val="continuous"/>
          <w:pgSz w:w="11910" w:h="16840"/>
          <w:pgMar w:top="1060" w:bottom="1160" w:left="980" w:right="0"/>
        </w:sectPr>
      </w:pPr>
    </w:p>
    <w:p>
      <w:pPr>
        <w:pStyle w:val="BodyText"/>
        <w:spacing w:line="240" w:lineRule="auto" w:before="26"/>
        <w:ind w:left="634" w:right="-20"/>
        <w:jc w:val="left"/>
      </w:pPr>
      <w:r>
        <w:rPr/>
        <w:t>子公司少数股东的持股比例不同于表决权比例的说明：无</w:t>
      </w:r>
    </w:p>
    <w:p>
      <w:pPr>
        <w:pStyle w:val="Heading2"/>
        <w:spacing w:line="240" w:lineRule="auto" w:before="145"/>
        <w:ind w:right="-20"/>
        <w:jc w:val="left"/>
        <w:rPr>
          <w:b w:val="0"/>
          <w:bCs w:val="0"/>
        </w:rPr>
      </w:pPr>
      <w:bookmarkStart w:name="（3）重要非全资子公司的主要财务信息" w:id="444"/>
      <w:bookmarkEnd w:id="444"/>
      <w:r>
        <w:rPr>
          <w:b w:val="0"/>
          <w:bCs w:val="0"/>
        </w:rPr>
      </w:r>
      <w:r>
        <w:rPr/>
        <w:t>（</w:t>
      </w:r>
      <w:r>
        <w:rPr>
          <w:rFonts w:ascii="宋体" w:hAnsi="宋体" w:cs="宋体" w:eastAsia="宋体" w:hint="default"/>
        </w:rPr>
        <w:t>3</w:t>
      </w:r>
      <w:r>
        <w:rPr/>
        <w:t>）重要非全资子公司的主要财务信息</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27"/>
          <w:szCs w:val="27"/>
        </w:rPr>
      </w:pPr>
    </w:p>
    <w:p>
      <w:pPr>
        <w:spacing w:before="0"/>
        <w:ind w:left="633" w:right="0" w:firstLine="0"/>
        <w:jc w:val="left"/>
        <w:rPr>
          <w:rFonts w:ascii="宋体" w:hAnsi="宋体" w:cs="宋体" w:eastAsia="宋体" w:hint="default"/>
          <w:sz w:val="21"/>
          <w:szCs w:val="21"/>
        </w:rPr>
      </w:pPr>
      <w:r>
        <w:rPr>
          <w:rFonts w:ascii="宋体" w:hAnsi="宋体" w:cs="宋体" w:eastAsia="宋体" w:hint="default"/>
          <w:sz w:val="21"/>
          <w:szCs w:val="21"/>
        </w:rPr>
        <w:t>单位： 元</w:t>
      </w:r>
    </w:p>
    <w:p>
      <w:pPr>
        <w:spacing w:after="0"/>
        <w:jc w:val="left"/>
        <w:rPr>
          <w:rFonts w:ascii="宋体" w:hAnsi="宋体" w:cs="宋体" w:eastAsia="宋体" w:hint="default"/>
          <w:sz w:val="21"/>
          <w:szCs w:val="21"/>
        </w:rPr>
        <w:sectPr>
          <w:type w:val="continuous"/>
          <w:pgSz w:w="11910" w:h="16840"/>
          <w:pgMar w:top="1060" w:bottom="1160" w:left="980" w:right="0"/>
          <w:cols w:num="2" w:equalWidth="0">
            <w:col w:w="6635" w:space="1581"/>
            <w:col w:w="2714"/>
          </w:cols>
        </w:sectPr>
      </w:pP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748"/>
        <w:gridCol w:w="725"/>
        <w:gridCol w:w="736"/>
        <w:gridCol w:w="736"/>
        <w:gridCol w:w="737"/>
        <w:gridCol w:w="735"/>
        <w:gridCol w:w="736"/>
        <w:gridCol w:w="734"/>
        <w:gridCol w:w="736"/>
        <w:gridCol w:w="735"/>
        <w:gridCol w:w="737"/>
        <w:gridCol w:w="737"/>
        <w:gridCol w:w="736"/>
      </w:tblGrid>
      <w:tr>
        <w:trPr>
          <w:trHeight w:val="206" w:hRule="exact"/>
        </w:trPr>
        <w:tc>
          <w:tcPr>
            <w:tcW w:w="748" w:type="dxa"/>
            <w:tcBorders>
              <w:top w:val="single" w:sz="4" w:space="0" w:color="000000"/>
              <w:left w:val="single" w:sz="4" w:space="0" w:color="000000"/>
              <w:bottom w:val="nil" w:sz="6" w:space="0" w:color="auto"/>
              <w:right w:val="single" w:sz="4" w:space="0" w:color="000000"/>
            </w:tcBorders>
            <w:shd w:val="clear" w:color="auto" w:fill="D2D2D2"/>
          </w:tcPr>
          <w:p>
            <w:pPr/>
          </w:p>
        </w:tc>
        <w:tc>
          <w:tcPr>
            <w:tcW w:w="4403" w:type="dxa"/>
            <w:gridSpan w:val="6"/>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7"/>
              <w:ind w:right="9"/>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4414" w:type="dxa"/>
            <w:gridSpan w:val="6"/>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7"/>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196" w:hRule="exact"/>
        </w:trPr>
        <w:tc>
          <w:tcPr>
            <w:tcW w:w="748" w:type="dxa"/>
            <w:vMerge w:val="restart"/>
            <w:tcBorders>
              <w:top w:val="nil" w:sz="6" w:space="0" w:color="auto"/>
              <w:left w:val="single" w:sz="4" w:space="0" w:color="000000"/>
              <w:right w:val="single" w:sz="4" w:space="0" w:color="000000"/>
            </w:tcBorders>
            <w:shd w:val="clear" w:color="auto" w:fill="D2D2D2"/>
          </w:tcPr>
          <w:p>
            <w:pPr>
              <w:pStyle w:val="TableParagraph"/>
              <w:spacing w:line="273" w:lineRule="auto" w:before="26"/>
              <w:ind w:left="152" w:right="58" w:hanging="105"/>
              <w:jc w:val="left"/>
              <w:rPr>
                <w:rFonts w:ascii="宋体" w:hAnsi="宋体" w:cs="宋体" w:eastAsia="宋体" w:hint="default"/>
                <w:sz w:val="21"/>
                <w:szCs w:val="21"/>
              </w:rPr>
            </w:pPr>
            <w:r>
              <w:rPr>
                <w:rFonts w:ascii="宋体" w:hAnsi="宋体" w:cs="宋体" w:eastAsia="宋体" w:hint="default"/>
                <w:sz w:val="21"/>
                <w:szCs w:val="21"/>
              </w:rPr>
              <w:t>子公司 名称</w:t>
            </w:r>
          </w:p>
        </w:tc>
        <w:tc>
          <w:tcPr>
            <w:tcW w:w="4403" w:type="dxa"/>
            <w:gridSpan w:val="6"/>
            <w:vMerge/>
            <w:tcBorders>
              <w:left w:val="single" w:sz="4" w:space="0" w:color="000000"/>
              <w:bottom w:val="single" w:sz="4" w:space="0" w:color="000000"/>
              <w:right w:val="single" w:sz="4" w:space="0" w:color="000000"/>
            </w:tcBorders>
            <w:shd w:val="clear" w:color="auto" w:fill="D2D2D2"/>
          </w:tcPr>
          <w:p>
            <w:pPr/>
          </w:p>
        </w:tc>
        <w:tc>
          <w:tcPr>
            <w:tcW w:w="4414" w:type="dxa"/>
            <w:gridSpan w:val="6"/>
            <w:vMerge/>
            <w:tcBorders>
              <w:left w:val="single" w:sz="4" w:space="0" w:color="000000"/>
              <w:bottom w:val="single" w:sz="4" w:space="0" w:color="000000"/>
              <w:right w:val="single" w:sz="4" w:space="0" w:color="000000"/>
            </w:tcBorders>
            <w:shd w:val="clear" w:color="auto" w:fill="D2D2D2"/>
          </w:tcPr>
          <w:p>
            <w:pPr/>
          </w:p>
        </w:tc>
      </w:tr>
      <w:tr>
        <w:trPr>
          <w:trHeight w:val="509" w:hRule="exact"/>
        </w:trPr>
        <w:tc>
          <w:tcPr>
            <w:tcW w:w="748" w:type="dxa"/>
            <w:vMerge/>
            <w:tcBorders>
              <w:left w:val="single" w:sz="4" w:space="0" w:color="000000"/>
              <w:bottom w:val="nil" w:sz="6" w:space="0" w:color="auto"/>
              <w:right w:val="single" w:sz="4" w:space="0" w:color="000000"/>
            </w:tcBorders>
            <w:shd w:val="clear" w:color="auto" w:fill="D2D2D2"/>
          </w:tcPr>
          <w:p>
            <w:pPr/>
          </w:p>
        </w:tc>
        <w:tc>
          <w:tcPr>
            <w:tcW w:w="725"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27"/>
              <w:ind w:left="247" w:right="47" w:hanging="210"/>
              <w:jc w:val="left"/>
              <w:rPr>
                <w:rFonts w:ascii="宋体" w:hAnsi="宋体" w:cs="宋体" w:eastAsia="宋体" w:hint="default"/>
                <w:sz w:val="21"/>
                <w:szCs w:val="21"/>
              </w:rPr>
            </w:pPr>
            <w:r>
              <w:rPr>
                <w:rFonts w:ascii="宋体" w:hAnsi="宋体" w:cs="宋体" w:eastAsia="宋体" w:hint="default"/>
                <w:sz w:val="21"/>
                <w:szCs w:val="21"/>
              </w:rPr>
              <w:t>流动资 产</w:t>
            </w:r>
          </w:p>
        </w:tc>
        <w:tc>
          <w:tcPr>
            <w:tcW w:w="736"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27"/>
              <w:ind w:left="152" w:right="47" w:hanging="105"/>
              <w:jc w:val="left"/>
              <w:rPr>
                <w:rFonts w:ascii="宋体" w:hAnsi="宋体" w:cs="宋体" w:eastAsia="宋体" w:hint="default"/>
                <w:sz w:val="21"/>
                <w:szCs w:val="21"/>
              </w:rPr>
            </w:pPr>
            <w:r>
              <w:rPr>
                <w:rFonts w:ascii="宋体" w:hAnsi="宋体" w:cs="宋体" w:eastAsia="宋体" w:hint="default"/>
                <w:sz w:val="21"/>
                <w:szCs w:val="21"/>
              </w:rPr>
              <w:t>非流动 资产</w:t>
            </w:r>
          </w:p>
        </w:tc>
        <w:tc>
          <w:tcPr>
            <w:tcW w:w="736"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27"/>
              <w:ind w:left="257" w:right="47" w:hanging="210"/>
              <w:jc w:val="left"/>
              <w:rPr>
                <w:rFonts w:ascii="宋体" w:hAnsi="宋体" w:cs="宋体" w:eastAsia="宋体" w:hint="default"/>
                <w:sz w:val="21"/>
                <w:szCs w:val="21"/>
              </w:rPr>
            </w:pPr>
            <w:r>
              <w:rPr>
                <w:rFonts w:ascii="宋体" w:hAnsi="宋体" w:cs="宋体" w:eastAsia="宋体" w:hint="default"/>
                <w:sz w:val="21"/>
                <w:szCs w:val="21"/>
              </w:rPr>
              <w:t>资产合 计</w:t>
            </w:r>
          </w:p>
        </w:tc>
        <w:tc>
          <w:tcPr>
            <w:tcW w:w="737"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27"/>
              <w:ind w:left="259" w:right="47" w:hanging="210"/>
              <w:jc w:val="left"/>
              <w:rPr>
                <w:rFonts w:ascii="宋体" w:hAnsi="宋体" w:cs="宋体" w:eastAsia="宋体" w:hint="default"/>
                <w:sz w:val="21"/>
                <w:szCs w:val="21"/>
              </w:rPr>
            </w:pPr>
            <w:r>
              <w:rPr>
                <w:rFonts w:ascii="宋体" w:hAnsi="宋体" w:cs="宋体" w:eastAsia="宋体" w:hint="default"/>
                <w:sz w:val="21"/>
                <w:szCs w:val="21"/>
              </w:rPr>
              <w:t>流动负 债</w:t>
            </w:r>
          </w:p>
        </w:tc>
        <w:tc>
          <w:tcPr>
            <w:tcW w:w="735"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27"/>
              <w:ind w:left="152" w:right="46" w:hanging="106"/>
              <w:jc w:val="left"/>
              <w:rPr>
                <w:rFonts w:ascii="宋体" w:hAnsi="宋体" w:cs="宋体" w:eastAsia="宋体" w:hint="default"/>
                <w:sz w:val="21"/>
                <w:szCs w:val="21"/>
              </w:rPr>
            </w:pPr>
            <w:r>
              <w:rPr>
                <w:rFonts w:ascii="宋体" w:hAnsi="宋体" w:cs="宋体" w:eastAsia="宋体" w:hint="default"/>
                <w:sz w:val="21"/>
                <w:szCs w:val="21"/>
              </w:rPr>
              <w:t>非流动 负债</w:t>
            </w:r>
          </w:p>
        </w:tc>
        <w:tc>
          <w:tcPr>
            <w:tcW w:w="736"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27"/>
              <w:ind w:left="256" w:right="47" w:hanging="210"/>
              <w:jc w:val="left"/>
              <w:rPr>
                <w:rFonts w:ascii="宋体" w:hAnsi="宋体" w:cs="宋体" w:eastAsia="宋体" w:hint="default"/>
                <w:sz w:val="21"/>
                <w:szCs w:val="21"/>
              </w:rPr>
            </w:pPr>
            <w:r>
              <w:rPr>
                <w:rFonts w:ascii="宋体" w:hAnsi="宋体" w:cs="宋体" w:eastAsia="宋体" w:hint="default"/>
                <w:sz w:val="21"/>
                <w:szCs w:val="21"/>
              </w:rPr>
              <w:t>负债合 计</w:t>
            </w:r>
          </w:p>
        </w:tc>
        <w:tc>
          <w:tcPr>
            <w:tcW w:w="734"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27"/>
              <w:ind w:left="256" w:right="47" w:hanging="210"/>
              <w:jc w:val="left"/>
              <w:rPr>
                <w:rFonts w:ascii="宋体" w:hAnsi="宋体" w:cs="宋体" w:eastAsia="宋体" w:hint="default"/>
                <w:sz w:val="21"/>
                <w:szCs w:val="21"/>
              </w:rPr>
            </w:pPr>
            <w:r>
              <w:rPr>
                <w:rFonts w:ascii="宋体" w:hAnsi="宋体" w:cs="宋体" w:eastAsia="宋体" w:hint="default"/>
                <w:sz w:val="21"/>
                <w:szCs w:val="21"/>
              </w:rPr>
              <w:t>流动资 产</w:t>
            </w:r>
          </w:p>
        </w:tc>
        <w:tc>
          <w:tcPr>
            <w:tcW w:w="736"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27"/>
              <w:ind w:left="152" w:right="47" w:hanging="106"/>
              <w:jc w:val="left"/>
              <w:rPr>
                <w:rFonts w:ascii="宋体" w:hAnsi="宋体" w:cs="宋体" w:eastAsia="宋体" w:hint="default"/>
                <w:sz w:val="21"/>
                <w:szCs w:val="21"/>
              </w:rPr>
            </w:pPr>
            <w:r>
              <w:rPr>
                <w:rFonts w:ascii="宋体" w:hAnsi="宋体" w:cs="宋体" w:eastAsia="宋体" w:hint="default"/>
                <w:sz w:val="21"/>
                <w:szCs w:val="21"/>
              </w:rPr>
              <w:t>非流动 资产</w:t>
            </w:r>
          </w:p>
        </w:tc>
        <w:tc>
          <w:tcPr>
            <w:tcW w:w="735"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27"/>
              <w:ind w:left="256" w:right="46" w:hanging="210"/>
              <w:jc w:val="left"/>
              <w:rPr>
                <w:rFonts w:ascii="宋体" w:hAnsi="宋体" w:cs="宋体" w:eastAsia="宋体" w:hint="default"/>
                <w:sz w:val="21"/>
                <w:szCs w:val="21"/>
              </w:rPr>
            </w:pPr>
            <w:r>
              <w:rPr>
                <w:rFonts w:ascii="宋体" w:hAnsi="宋体" w:cs="宋体" w:eastAsia="宋体" w:hint="default"/>
                <w:sz w:val="21"/>
                <w:szCs w:val="21"/>
              </w:rPr>
              <w:t>资产合 计</w:t>
            </w:r>
          </w:p>
        </w:tc>
        <w:tc>
          <w:tcPr>
            <w:tcW w:w="737"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27"/>
              <w:ind w:left="257" w:right="47" w:hanging="210"/>
              <w:jc w:val="left"/>
              <w:rPr>
                <w:rFonts w:ascii="宋体" w:hAnsi="宋体" w:cs="宋体" w:eastAsia="宋体" w:hint="default"/>
                <w:sz w:val="21"/>
                <w:szCs w:val="21"/>
              </w:rPr>
            </w:pPr>
            <w:r>
              <w:rPr>
                <w:rFonts w:ascii="宋体" w:hAnsi="宋体" w:cs="宋体" w:eastAsia="宋体" w:hint="default"/>
                <w:sz w:val="21"/>
                <w:szCs w:val="21"/>
              </w:rPr>
              <w:t>流动负 债</w:t>
            </w:r>
          </w:p>
        </w:tc>
        <w:tc>
          <w:tcPr>
            <w:tcW w:w="737"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27"/>
              <w:ind w:left="153" w:right="47" w:hanging="105"/>
              <w:jc w:val="left"/>
              <w:rPr>
                <w:rFonts w:ascii="宋体" w:hAnsi="宋体" w:cs="宋体" w:eastAsia="宋体" w:hint="default"/>
                <w:sz w:val="21"/>
                <w:szCs w:val="21"/>
              </w:rPr>
            </w:pPr>
            <w:r>
              <w:rPr>
                <w:rFonts w:ascii="宋体" w:hAnsi="宋体" w:cs="宋体" w:eastAsia="宋体" w:hint="default"/>
                <w:sz w:val="21"/>
                <w:szCs w:val="21"/>
              </w:rPr>
              <w:t>非流动 负债</w:t>
            </w:r>
          </w:p>
        </w:tc>
        <w:tc>
          <w:tcPr>
            <w:tcW w:w="736"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27"/>
              <w:ind w:left="257" w:right="47" w:hanging="210"/>
              <w:jc w:val="left"/>
              <w:rPr>
                <w:rFonts w:ascii="宋体" w:hAnsi="宋体" w:cs="宋体" w:eastAsia="宋体" w:hint="default"/>
                <w:sz w:val="21"/>
                <w:szCs w:val="21"/>
              </w:rPr>
            </w:pPr>
            <w:r>
              <w:rPr>
                <w:rFonts w:ascii="宋体" w:hAnsi="宋体" w:cs="宋体" w:eastAsia="宋体" w:hint="default"/>
                <w:sz w:val="21"/>
                <w:szCs w:val="21"/>
              </w:rPr>
              <w:t>负债合 计</w:t>
            </w:r>
          </w:p>
        </w:tc>
      </w:tr>
      <w:tr>
        <w:trPr>
          <w:trHeight w:val="205" w:hRule="exact"/>
        </w:trPr>
        <w:tc>
          <w:tcPr>
            <w:tcW w:w="748" w:type="dxa"/>
            <w:tcBorders>
              <w:top w:val="nil" w:sz="6" w:space="0" w:color="auto"/>
              <w:left w:val="single" w:sz="4" w:space="0" w:color="000000"/>
              <w:bottom w:val="single" w:sz="4" w:space="0" w:color="000000"/>
              <w:right w:val="single" w:sz="4" w:space="0" w:color="000000"/>
            </w:tcBorders>
            <w:shd w:val="clear" w:color="auto" w:fill="D2D2D2"/>
          </w:tcPr>
          <w:p>
            <w:pPr/>
          </w:p>
        </w:tc>
        <w:tc>
          <w:tcPr>
            <w:tcW w:w="725" w:type="dxa"/>
            <w:vMerge/>
            <w:tcBorders>
              <w:left w:val="single" w:sz="4" w:space="0" w:color="000000"/>
              <w:bottom w:val="single" w:sz="4" w:space="0" w:color="000000"/>
              <w:right w:val="single" w:sz="4" w:space="0" w:color="000000"/>
            </w:tcBorders>
            <w:shd w:val="clear" w:color="auto" w:fill="D2D2D2"/>
          </w:tcPr>
          <w:p>
            <w:pPr/>
          </w:p>
        </w:tc>
        <w:tc>
          <w:tcPr>
            <w:tcW w:w="736" w:type="dxa"/>
            <w:vMerge/>
            <w:tcBorders>
              <w:left w:val="single" w:sz="4" w:space="0" w:color="000000"/>
              <w:bottom w:val="single" w:sz="4" w:space="0" w:color="000000"/>
              <w:right w:val="single" w:sz="4" w:space="0" w:color="000000"/>
            </w:tcBorders>
            <w:shd w:val="clear" w:color="auto" w:fill="D2D2D2"/>
          </w:tcPr>
          <w:p>
            <w:pPr/>
          </w:p>
        </w:tc>
        <w:tc>
          <w:tcPr>
            <w:tcW w:w="736" w:type="dxa"/>
            <w:vMerge/>
            <w:tcBorders>
              <w:left w:val="single" w:sz="4" w:space="0" w:color="000000"/>
              <w:bottom w:val="single" w:sz="4" w:space="0" w:color="000000"/>
              <w:right w:val="single" w:sz="4" w:space="0" w:color="000000"/>
            </w:tcBorders>
            <w:shd w:val="clear" w:color="auto" w:fill="D2D2D2"/>
          </w:tcPr>
          <w:p>
            <w:pPr/>
          </w:p>
        </w:tc>
        <w:tc>
          <w:tcPr>
            <w:tcW w:w="737" w:type="dxa"/>
            <w:vMerge/>
            <w:tcBorders>
              <w:left w:val="single" w:sz="4" w:space="0" w:color="000000"/>
              <w:bottom w:val="single" w:sz="4" w:space="0" w:color="000000"/>
              <w:right w:val="single" w:sz="4" w:space="0" w:color="000000"/>
            </w:tcBorders>
            <w:shd w:val="clear" w:color="auto" w:fill="D2D2D2"/>
          </w:tcPr>
          <w:p>
            <w:pPr/>
          </w:p>
        </w:tc>
        <w:tc>
          <w:tcPr>
            <w:tcW w:w="735" w:type="dxa"/>
            <w:vMerge/>
            <w:tcBorders>
              <w:left w:val="single" w:sz="4" w:space="0" w:color="000000"/>
              <w:bottom w:val="single" w:sz="4" w:space="0" w:color="000000"/>
              <w:right w:val="single" w:sz="4" w:space="0" w:color="000000"/>
            </w:tcBorders>
            <w:shd w:val="clear" w:color="auto" w:fill="D2D2D2"/>
          </w:tcPr>
          <w:p>
            <w:pPr/>
          </w:p>
        </w:tc>
        <w:tc>
          <w:tcPr>
            <w:tcW w:w="736" w:type="dxa"/>
            <w:vMerge/>
            <w:tcBorders>
              <w:left w:val="single" w:sz="4" w:space="0" w:color="000000"/>
              <w:bottom w:val="single" w:sz="4" w:space="0" w:color="000000"/>
              <w:right w:val="single" w:sz="4" w:space="0" w:color="000000"/>
            </w:tcBorders>
            <w:shd w:val="clear" w:color="auto" w:fill="D2D2D2"/>
          </w:tcPr>
          <w:p>
            <w:pPr/>
          </w:p>
        </w:tc>
        <w:tc>
          <w:tcPr>
            <w:tcW w:w="734" w:type="dxa"/>
            <w:vMerge/>
            <w:tcBorders>
              <w:left w:val="single" w:sz="4" w:space="0" w:color="000000"/>
              <w:bottom w:val="single" w:sz="4" w:space="0" w:color="000000"/>
              <w:right w:val="single" w:sz="4" w:space="0" w:color="000000"/>
            </w:tcBorders>
            <w:shd w:val="clear" w:color="auto" w:fill="D2D2D2"/>
          </w:tcPr>
          <w:p>
            <w:pPr/>
          </w:p>
        </w:tc>
        <w:tc>
          <w:tcPr>
            <w:tcW w:w="736" w:type="dxa"/>
            <w:vMerge/>
            <w:tcBorders>
              <w:left w:val="single" w:sz="4" w:space="0" w:color="000000"/>
              <w:bottom w:val="single" w:sz="4" w:space="0" w:color="000000"/>
              <w:right w:val="single" w:sz="4" w:space="0" w:color="000000"/>
            </w:tcBorders>
            <w:shd w:val="clear" w:color="auto" w:fill="D2D2D2"/>
          </w:tcPr>
          <w:p>
            <w:pPr/>
          </w:p>
        </w:tc>
        <w:tc>
          <w:tcPr>
            <w:tcW w:w="735" w:type="dxa"/>
            <w:vMerge/>
            <w:tcBorders>
              <w:left w:val="single" w:sz="4" w:space="0" w:color="000000"/>
              <w:bottom w:val="single" w:sz="4" w:space="0" w:color="000000"/>
              <w:right w:val="single" w:sz="4" w:space="0" w:color="000000"/>
            </w:tcBorders>
            <w:shd w:val="clear" w:color="auto" w:fill="D2D2D2"/>
          </w:tcPr>
          <w:p>
            <w:pPr/>
          </w:p>
        </w:tc>
        <w:tc>
          <w:tcPr>
            <w:tcW w:w="737" w:type="dxa"/>
            <w:vMerge/>
            <w:tcBorders>
              <w:left w:val="single" w:sz="4" w:space="0" w:color="000000"/>
              <w:bottom w:val="single" w:sz="4" w:space="0" w:color="000000"/>
              <w:right w:val="single" w:sz="4" w:space="0" w:color="000000"/>
            </w:tcBorders>
            <w:shd w:val="clear" w:color="auto" w:fill="D2D2D2"/>
          </w:tcPr>
          <w:p>
            <w:pPr/>
          </w:p>
        </w:tc>
        <w:tc>
          <w:tcPr>
            <w:tcW w:w="737" w:type="dxa"/>
            <w:vMerge/>
            <w:tcBorders>
              <w:left w:val="single" w:sz="4" w:space="0" w:color="000000"/>
              <w:bottom w:val="single" w:sz="4" w:space="0" w:color="000000"/>
              <w:right w:val="single" w:sz="4" w:space="0" w:color="000000"/>
            </w:tcBorders>
            <w:shd w:val="clear" w:color="auto" w:fill="D2D2D2"/>
          </w:tcPr>
          <w:p>
            <w:pPr/>
          </w:p>
        </w:tc>
        <w:tc>
          <w:tcPr>
            <w:tcW w:w="736" w:type="dxa"/>
            <w:vMerge/>
            <w:tcBorders>
              <w:left w:val="single" w:sz="4" w:space="0" w:color="000000"/>
              <w:bottom w:val="single" w:sz="4" w:space="0" w:color="000000"/>
              <w:right w:val="single" w:sz="4" w:space="0" w:color="000000"/>
            </w:tcBorders>
            <w:shd w:val="clear" w:color="auto" w:fill="D2D2D2"/>
          </w:tcPr>
          <w:p>
            <w:pPr/>
          </w:p>
        </w:tc>
      </w:tr>
      <w:tr>
        <w:trPr>
          <w:trHeight w:val="474" w:hRule="exact"/>
        </w:trPr>
        <w:tc>
          <w:tcPr>
            <w:tcW w:w="748" w:type="dxa"/>
            <w:vMerge w:val="restart"/>
            <w:tcBorders>
              <w:top w:val="single" w:sz="4" w:space="0" w:color="000000"/>
              <w:left w:val="single" w:sz="4" w:space="0" w:color="000000"/>
              <w:right w:val="single" w:sz="9" w:space="0" w:color="D2D2D2"/>
            </w:tcBorders>
          </w:tcPr>
          <w:p>
            <w:pPr>
              <w:pStyle w:val="TableParagraph"/>
              <w:spacing w:line="316" w:lineRule="auto" w:before="52"/>
              <w:ind w:left="92" w:right="97"/>
              <w:jc w:val="center"/>
              <w:rPr>
                <w:rFonts w:ascii="宋体" w:hAnsi="宋体" w:cs="宋体" w:eastAsia="宋体" w:hint="default"/>
                <w:sz w:val="18"/>
                <w:szCs w:val="18"/>
              </w:rPr>
            </w:pPr>
            <w:r>
              <w:rPr>
                <w:rFonts w:ascii="宋体" w:hAnsi="宋体" w:cs="宋体" w:eastAsia="宋体" w:hint="default"/>
                <w:sz w:val="18"/>
                <w:szCs w:val="18"/>
              </w:rPr>
              <w:t>成都西 南交大 驱动技 术有限 责任公 司</w:t>
            </w:r>
          </w:p>
        </w:tc>
        <w:tc>
          <w:tcPr>
            <w:tcW w:w="725" w:type="dxa"/>
            <w:tcBorders>
              <w:top w:val="single" w:sz="4" w:space="0" w:color="000000"/>
              <w:left w:val="single" w:sz="4" w:space="0" w:color="000000"/>
              <w:bottom w:val="nil" w:sz="6" w:space="0" w:color="auto"/>
              <w:right w:val="single" w:sz="4" w:space="0" w:color="000000"/>
            </w:tcBorders>
            <w:shd w:val="clear" w:color="auto" w:fill="D2D2D2"/>
          </w:tcPr>
          <w:p>
            <w:pPr/>
          </w:p>
        </w:tc>
        <w:tc>
          <w:tcPr>
            <w:tcW w:w="736" w:type="dxa"/>
            <w:tcBorders>
              <w:top w:val="single" w:sz="4" w:space="0" w:color="000000"/>
              <w:left w:val="single" w:sz="4" w:space="0" w:color="000000"/>
              <w:bottom w:val="nil" w:sz="6" w:space="0" w:color="auto"/>
              <w:right w:val="single" w:sz="4" w:space="0" w:color="000000"/>
            </w:tcBorders>
            <w:shd w:val="clear" w:color="auto" w:fill="D2D2D2"/>
          </w:tcPr>
          <w:p>
            <w:pPr/>
          </w:p>
        </w:tc>
        <w:tc>
          <w:tcPr>
            <w:tcW w:w="736" w:type="dxa"/>
            <w:tcBorders>
              <w:top w:val="single" w:sz="4" w:space="0" w:color="000000"/>
              <w:left w:val="single" w:sz="4" w:space="0" w:color="000000"/>
              <w:bottom w:val="nil" w:sz="6" w:space="0" w:color="auto"/>
              <w:right w:val="single" w:sz="4" w:space="0" w:color="000000"/>
            </w:tcBorders>
            <w:shd w:val="clear" w:color="auto" w:fill="D2D2D2"/>
          </w:tcPr>
          <w:p>
            <w:pPr/>
          </w:p>
        </w:tc>
        <w:tc>
          <w:tcPr>
            <w:tcW w:w="737" w:type="dxa"/>
            <w:vMerge w:val="restart"/>
            <w:tcBorders>
              <w:top w:val="single" w:sz="4" w:space="0" w:color="000000"/>
              <w:left w:val="single" w:sz="4" w:space="0" w:color="000000"/>
              <w:right w:val="single" w:sz="4" w:space="0" w:color="000000"/>
            </w:tcBorders>
            <w:shd w:val="clear" w:color="auto" w:fill="D2D2D2"/>
          </w:tcPr>
          <w:p>
            <w:pPr/>
          </w:p>
        </w:tc>
        <w:tc>
          <w:tcPr>
            <w:tcW w:w="735" w:type="dxa"/>
            <w:vMerge w:val="restart"/>
            <w:tcBorders>
              <w:top w:val="single" w:sz="4" w:space="0" w:color="000000"/>
              <w:left w:val="single" w:sz="4" w:space="0" w:color="000000"/>
              <w:right w:val="single" w:sz="4" w:space="0" w:color="000000"/>
            </w:tcBorders>
            <w:shd w:val="clear" w:color="auto" w:fill="D2D2D2"/>
          </w:tcPr>
          <w:p>
            <w:pPr/>
          </w:p>
        </w:tc>
        <w:tc>
          <w:tcPr>
            <w:tcW w:w="736" w:type="dxa"/>
            <w:vMerge w:val="restart"/>
            <w:tcBorders>
              <w:top w:val="single" w:sz="4" w:space="0" w:color="000000"/>
              <w:left w:val="single" w:sz="4" w:space="0" w:color="000000"/>
              <w:right w:val="single" w:sz="4" w:space="0" w:color="000000"/>
            </w:tcBorders>
            <w:shd w:val="clear" w:color="auto" w:fill="D2D2D2"/>
          </w:tcPr>
          <w:p>
            <w:pPr/>
          </w:p>
        </w:tc>
        <w:tc>
          <w:tcPr>
            <w:tcW w:w="734" w:type="dxa"/>
            <w:vMerge w:val="restart"/>
            <w:tcBorders>
              <w:top w:val="single" w:sz="4" w:space="0" w:color="000000"/>
              <w:left w:val="single" w:sz="4" w:space="0" w:color="000000"/>
              <w:right w:val="single" w:sz="4" w:space="0" w:color="000000"/>
            </w:tcBorders>
            <w:shd w:val="clear" w:color="auto" w:fill="D2D2D2"/>
          </w:tcPr>
          <w:p>
            <w:pPr/>
          </w:p>
        </w:tc>
        <w:tc>
          <w:tcPr>
            <w:tcW w:w="736" w:type="dxa"/>
            <w:vMerge w:val="restart"/>
            <w:tcBorders>
              <w:top w:val="single" w:sz="4" w:space="0" w:color="000000"/>
              <w:left w:val="single" w:sz="4" w:space="0" w:color="000000"/>
              <w:right w:val="single" w:sz="4" w:space="0" w:color="000000"/>
            </w:tcBorders>
            <w:shd w:val="clear" w:color="auto" w:fill="D2D2D2"/>
          </w:tcPr>
          <w:p>
            <w:pPr/>
          </w:p>
        </w:tc>
        <w:tc>
          <w:tcPr>
            <w:tcW w:w="735" w:type="dxa"/>
            <w:vMerge w:val="restart"/>
            <w:tcBorders>
              <w:top w:val="single" w:sz="4" w:space="0" w:color="000000"/>
              <w:left w:val="single" w:sz="4" w:space="0" w:color="000000"/>
              <w:right w:val="single" w:sz="4" w:space="0" w:color="000000"/>
            </w:tcBorders>
            <w:shd w:val="clear" w:color="auto" w:fill="D2D2D2"/>
          </w:tcPr>
          <w:p>
            <w:pPr/>
          </w:p>
        </w:tc>
        <w:tc>
          <w:tcPr>
            <w:tcW w:w="737" w:type="dxa"/>
            <w:vMerge w:val="restart"/>
            <w:tcBorders>
              <w:top w:val="single" w:sz="4" w:space="0" w:color="000000"/>
              <w:left w:val="single" w:sz="4" w:space="0" w:color="000000"/>
              <w:right w:val="single" w:sz="4" w:space="0" w:color="000000"/>
            </w:tcBorders>
            <w:shd w:val="clear" w:color="auto" w:fill="D2D2D2"/>
          </w:tcPr>
          <w:p>
            <w:pPr/>
          </w:p>
        </w:tc>
        <w:tc>
          <w:tcPr>
            <w:tcW w:w="737" w:type="dxa"/>
            <w:vMerge w:val="restart"/>
            <w:tcBorders>
              <w:top w:val="single" w:sz="4" w:space="0" w:color="000000"/>
              <w:left w:val="single" w:sz="4" w:space="0" w:color="000000"/>
              <w:right w:val="single" w:sz="4" w:space="0" w:color="000000"/>
            </w:tcBorders>
            <w:shd w:val="clear" w:color="auto" w:fill="D2D2D2"/>
          </w:tcPr>
          <w:p>
            <w:pPr/>
          </w:p>
        </w:tc>
        <w:tc>
          <w:tcPr>
            <w:tcW w:w="736" w:type="dxa"/>
            <w:vMerge w:val="restart"/>
            <w:tcBorders>
              <w:top w:val="single" w:sz="4" w:space="0" w:color="000000"/>
              <w:left w:val="single" w:sz="4" w:space="0" w:color="000000"/>
              <w:right w:val="single" w:sz="4" w:space="0" w:color="000000"/>
            </w:tcBorders>
            <w:shd w:val="clear" w:color="auto" w:fill="D2D2D2"/>
          </w:tcPr>
          <w:p>
            <w:pPr/>
          </w:p>
        </w:tc>
      </w:tr>
      <w:tr>
        <w:trPr>
          <w:trHeight w:val="156" w:hRule="exact"/>
        </w:trPr>
        <w:tc>
          <w:tcPr>
            <w:tcW w:w="748" w:type="dxa"/>
            <w:vMerge/>
            <w:tcBorders>
              <w:left w:val="single" w:sz="4" w:space="0" w:color="000000"/>
              <w:right w:val="single" w:sz="9" w:space="0" w:color="D2D2D2"/>
            </w:tcBorders>
          </w:tcPr>
          <w:p>
            <w:pPr/>
          </w:p>
        </w:tc>
        <w:tc>
          <w:tcPr>
            <w:tcW w:w="72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6"/>
              <w:ind w:right="8"/>
              <w:jc w:val="center"/>
              <w:rPr>
                <w:rFonts w:ascii="宋体" w:hAnsi="宋体" w:cs="宋体" w:eastAsia="宋体" w:hint="default"/>
                <w:sz w:val="21"/>
                <w:szCs w:val="21"/>
              </w:rPr>
            </w:pPr>
            <w:r>
              <w:rPr>
                <w:rFonts w:ascii="宋体"/>
                <w:sz w:val="21"/>
              </w:rPr>
              <w:t>48,062</w:t>
            </w:r>
          </w:p>
          <w:p>
            <w:pPr>
              <w:pStyle w:val="TableParagraph"/>
              <w:spacing w:line="240" w:lineRule="auto" w:before="36"/>
              <w:ind w:right="8"/>
              <w:jc w:val="center"/>
              <w:rPr>
                <w:rFonts w:ascii="宋体" w:hAnsi="宋体" w:cs="宋体" w:eastAsia="宋体" w:hint="default"/>
                <w:sz w:val="21"/>
                <w:szCs w:val="21"/>
              </w:rPr>
            </w:pPr>
            <w:r>
              <w:rPr>
                <w:rFonts w:ascii="宋体"/>
                <w:sz w:val="21"/>
              </w:rPr>
              <w:t>,789.9</w:t>
            </w:r>
          </w:p>
          <w:p>
            <w:pPr>
              <w:pStyle w:val="TableParagraph"/>
              <w:spacing w:line="240" w:lineRule="auto" w:before="38"/>
              <w:ind w:right="8"/>
              <w:jc w:val="center"/>
              <w:rPr>
                <w:rFonts w:ascii="宋体" w:hAnsi="宋体" w:cs="宋体" w:eastAsia="宋体" w:hint="default"/>
                <w:sz w:val="21"/>
                <w:szCs w:val="21"/>
              </w:rPr>
            </w:pPr>
            <w:r>
              <w:rPr>
                <w:rFonts w:ascii="宋体"/>
                <w:sz w:val="21"/>
              </w:rPr>
              <w:t>9</w:t>
            </w:r>
          </w:p>
        </w:tc>
        <w:tc>
          <w:tcPr>
            <w:tcW w:w="73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sz w:val="21"/>
              </w:rPr>
              <w:t>10,721</w:t>
            </w:r>
          </w:p>
          <w:p>
            <w:pPr>
              <w:pStyle w:val="TableParagraph"/>
              <w:spacing w:line="240" w:lineRule="auto" w:before="36"/>
              <w:ind w:right="0"/>
              <w:jc w:val="center"/>
              <w:rPr>
                <w:rFonts w:ascii="宋体" w:hAnsi="宋体" w:cs="宋体" w:eastAsia="宋体" w:hint="default"/>
                <w:sz w:val="21"/>
                <w:szCs w:val="21"/>
              </w:rPr>
            </w:pPr>
            <w:r>
              <w:rPr>
                <w:rFonts w:ascii="宋体"/>
                <w:sz w:val="21"/>
              </w:rPr>
              <w:t>,758.6</w:t>
            </w:r>
          </w:p>
          <w:p>
            <w:pPr>
              <w:pStyle w:val="TableParagraph"/>
              <w:spacing w:line="240" w:lineRule="auto" w:before="38"/>
              <w:ind w:right="0"/>
              <w:jc w:val="center"/>
              <w:rPr>
                <w:rFonts w:ascii="宋体" w:hAnsi="宋体" w:cs="宋体" w:eastAsia="宋体" w:hint="default"/>
                <w:sz w:val="21"/>
                <w:szCs w:val="21"/>
              </w:rPr>
            </w:pPr>
            <w:r>
              <w:rPr>
                <w:rFonts w:ascii="宋体"/>
                <w:sz w:val="21"/>
              </w:rPr>
              <w:t>7</w:t>
            </w:r>
          </w:p>
        </w:tc>
        <w:tc>
          <w:tcPr>
            <w:tcW w:w="73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sz w:val="21"/>
              </w:rPr>
              <w:t>58,784</w:t>
            </w:r>
          </w:p>
          <w:p>
            <w:pPr>
              <w:pStyle w:val="TableParagraph"/>
              <w:spacing w:line="240" w:lineRule="auto" w:before="36"/>
              <w:ind w:right="0"/>
              <w:jc w:val="center"/>
              <w:rPr>
                <w:rFonts w:ascii="宋体" w:hAnsi="宋体" w:cs="宋体" w:eastAsia="宋体" w:hint="default"/>
                <w:sz w:val="21"/>
                <w:szCs w:val="21"/>
              </w:rPr>
            </w:pPr>
            <w:r>
              <w:rPr>
                <w:rFonts w:ascii="宋体"/>
                <w:sz w:val="21"/>
              </w:rPr>
              <w:t>,548.6</w:t>
            </w:r>
          </w:p>
          <w:p>
            <w:pPr>
              <w:pStyle w:val="TableParagraph"/>
              <w:spacing w:line="240" w:lineRule="auto" w:before="38"/>
              <w:ind w:right="0"/>
              <w:jc w:val="center"/>
              <w:rPr>
                <w:rFonts w:ascii="宋体" w:hAnsi="宋体" w:cs="宋体" w:eastAsia="宋体" w:hint="default"/>
                <w:sz w:val="21"/>
                <w:szCs w:val="21"/>
              </w:rPr>
            </w:pPr>
            <w:r>
              <w:rPr>
                <w:rFonts w:ascii="宋体"/>
                <w:sz w:val="21"/>
              </w:rPr>
              <w:t>6</w:t>
            </w:r>
          </w:p>
        </w:tc>
        <w:tc>
          <w:tcPr>
            <w:tcW w:w="737" w:type="dxa"/>
            <w:vMerge/>
            <w:tcBorders>
              <w:left w:val="single" w:sz="4" w:space="0" w:color="000000"/>
              <w:bottom w:val="nil" w:sz="6" w:space="0" w:color="auto"/>
              <w:right w:val="single" w:sz="4" w:space="0" w:color="000000"/>
            </w:tcBorders>
            <w:shd w:val="clear" w:color="auto" w:fill="D2D2D2"/>
          </w:tcPr>
          <w:p>
            <w:pPr/>
          </w:p>
        </w:tc>
        <w:tc>
          <w:tcPr>
            <w:tcW w:w="735" w:type="dxa"/>
            <w:vMerge/>
            <w:tcBorders>
              <w:left w:val="single" w:sz="4" w:space="0" w:color="000000"/>
              <w:bottom w:val="nil" w:sz="6" w:space="0" w:color="auto"/>
              <w:right w:val="single" w:sz="4" w:space="0" w:color="000000"/>
            </w:tcBorders>
            <w:shd w:val="clear" w:color="auto" w:fill="D2D2D2"/>
          </w:tcPr>
          <w:p>
            <w:pPr/>
          </w:p>
        </w:tc>
        <w:tc>
          <w:tcPr>
            <w:tcW w:w="736" w:type="dxa"/>
            <w:vMerge/>
            <w:tcBorders>
              <w:left w:val="single" w:sz="4" w:space="0" w:color="000000"/>
              <w:bottom w:val="nil" w:sz="6" w:space="0" w:color="auto"/>
              <w:right w:val="single" w:sz="4" w:space="0" w:color="000000"/>
            </w:tcBorders>
            <w:shd w:val="clear" w:color="auto" w:fill="D2D2D2"/>
          </w:tcPr>
          <w:p>
            <w:pPr/>
          </w:p>
        </w:tc>
        <w:tc>
          <w:tcPr>
            <w:tcW w:w="734" w:type="dxa"/>
            <w:vMerge/>
            <w:tcBorders>
              <w:left w:val="single" w:sz="4" w:space="0" w:color="000000"/>
              <w:right w:val="single" w:sz="4" w:space="0" w:color="000000"/>
            </w:tcBorders>
            <w:shd w:val="clear" w:color="auto" w:fill="D2D2D2"/>
          </w:tcPr>
          <w:p>
            <w:pPr/>
          </w:p>
        </w:tc>
        <w:tc>
          <w:tcPr>
            <w:tcW w:w="736" w:type="dxa"/>
            <w:vMerge/>
            <w:tcBorders>
              <w:left w:val="single" w:sz="4" w:space="0" w:color="000000"/>
              <w:right w:val="single" w:sz="4" w:space="0" w:color="000000"/>
            </w:tcBorders>
            <w:shd w:val="clear" w:color="auto" w:fill="D2D2D2"/>
          </w:tcPr>
          <w:p>
            <w:pPr/>
          </w:p>
        </w:tc>
        <w:tc>
          <w:tcPr>
            <w:tcW w:w="735" w:type="dxa"/>
            <w:vMerge/>
            <w:tcBorders>
              <w:left w:val="single" w:sz="4" w:space="0" w:color="000000"/>
              <w:right w:val="single" w:sz="4" w:space="0" w:color="000000"/>
            </w:tcBorders>
            <w:shd w:val="clear" w:color="auto" w:fill="D2D2D2"/>
          </w:tcPr>
          <w:p>
            <w:pPr/>
          </w:p>
        </w:tc>
        <w:tc>
          <w:tcPr>
            <w:tcW w:w="737" w:type="dxa"/>
            <w:vMerge/>
            <w:tcBorders>
              <w:left w:val="single" w:sz="4" w:space="0" w:color="000000"/>
              <w:right w:val="single" w:sz="4" w:space="0" w:color="000000"/>
            </w:tcBorders>
            <w:shd w:val="clear" w:color="auto" w:fill="D2D2D2"/>
          </w:tcPr>
          <w:p>
            <w:pPr/>
          </w:p>
        </w:tc>
        <w:tc>
          <w:tcPr>
            <w:tcW w:w="737" w:type="dxa"/>
            <w:vMerge/>
            <w:tcBorders>
              <w:left w:val="single" w:sz="4" w:space="0" w:color="000000"/>
              <w:right w:val="single" w:sz="4" w:space="0" w:color="000000"/>
            </w:tcBorders>
            <w:shd w:val="clear" w:color="auto" w:fill="D2D2D2"/>
          </w:tcPr>
          <w:p>
            <w:pPr/>
          </w:p>
        </w:tc>
        <w:tc>
          <w:tcPr>
            <w:tcW w:w="736" w:type="dxa"/>
            <w:vMerge/>
            <w:tcBorders>
              <w:left w:val="single" w:sz="4" w:space="0" w:color="000000"/>
              <w:right w:val="single" w:sz="4" w:space="0" w:color="000000"/>
            </w:tcBorders>
            <w:shd w:val="clear" w:color="auto" w:fill="D2D2D2"/>
          </w:tcPr>
          <w:p>
            <w:pPr/>
          </w:p>
        </w:tc>
      </w:tr>
      <w:tr>
        <w:trPr>
          <w:trHeight w:val="156" w:hRule="exact"/>
        </w:trPr>
        <w:tc>
          <w:tcPr>
            <w:tcW w:w="748" w:type="dxa"/>
            <w:vMerge/>
            <w:tcBorders>
              <w:left w:val="single" w:sz="4" w:space="0" w:color="000000"/>
              <w:right w:val="single" w:sz="9" w:space="0" w:color="D2D2D2"/>
            </w:tcBorders>
          </w:tcPr>
          <w:p>
            <w:pPr/>
          </w:p>
        </w:tc>
        <w:tc>
          <w:tcPr>
            <w:tcW w:w="725" w:type="dxa"/>
            <w:vMerge/>
            <w:tcBorders>
              <w:left w:val="single" w:sz="4" w:space="0" w:color="000000"/>
              <w:right w:val="single" w:sz="4" w:space="0" w:color="000000"/>
            </w:tcBorders>
            <w:shd w:val="clear" w:color="auto" w:fill="D2D2D2"/>
          </w:tcPr>
          <w:p>
            <w:pPr/>
          </w:p>
        </w:tc>
        <w:tc>
          <w:tcPr>
            <w:tcW w:w="736" w:type="dxa"/>
            <w:vMerge/>
            <w:tcBorders>
              <w:left w:val="single" w:sz="4" w:space="0" w:color="000000"/>
              <w:right w:val="single" w:sz="4" w:space="0" w:color="000000"/>
            </w:tcBorders>
            <w:shd w:val="clear" w:color="auto" w:fill="D2D2D2"/>
          </w:tcPr>
          <w:p>
            <w:pPr/>
          </w:p>
        </w:tc>
        <w:tc>
          <w:tcPr>
            <w:tcW w:w="736" w:type="dxa"/>
            <w:vMerge/>
            <w:tcBorders>
              <w:left w:val="single" w:sz="4" w:space="0" w:color="000000"/>
              <w:right w:val="single" w:sz="4" w:space="0" w:color="000000"/>
            </w:tcBorders>
            <w:shd w:val="clear" w:color="auto" w:fill="D2D2D2"/>
          </w:tcPr>
          <w:p>
            <w:pPr/>
          </w:p>
        </w:tc>
        <w:tc>
          <w:tcPr>
            <w:tcW w:w="73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6"/>
              <w:ind w:left="49" w:right="0"/>
              <w:jc w:val="left"/>
              <w:rPr>
                <w:rFonts w:ascii="宋体" w:hAnsi="宋体" w:cs="宋体" w:eastAsia="宋体" w:hint="default"/>
                <w:sz w:val="21"/>
                <w:szCs w:val="21"/>
              </w:rPr>
            </w:pPr>
            <w:r>
              <w:rPr>
                <w:rFonts w:ascii="宋体"/>
                <w:sz w:val="21"/>
              </w:rPr>
              <w:t>7,796,</w:t>
            </w:r>
          </w:p>
          <w:p>
            <w:pPr>
              <w:pStyle w:val="TableParagraph"/>
              <w:spacing w:line="240" w:lineRule="auto" w:before="37"/>
              <w:ind w:left="49" w:right="0"/>
              <w:jc w:val="left"/>
              <w:rPr>
                <w:rFonts w:ascii="宋体" w:hAnsi="宋体" w:cs="宋体" w:eastAsia="宋体" w:hint="default"/>
                <w:sz w:val="21"/>
                <w:szCs w:val="21"/>
              </w:rPr>
            </w:pPr>
            <w:r>
              <w:rPr>
                <w:rFonts w:ascii="宋体"/>
                <w:sz w:val="21"/>
              </w:rPr>
              <w:t>048.31</w:t>
            </w:r>
          </w:p>
        </w:tc>
        <w:tc>
          <w:tcPr>
            <w:tcW w:w="73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6"/>
              <w:ind w:right="1"/>
              <w:jc w:val="center"/>
              <w:rPr>
                <w:rFonts w:ascii="宋体" w:hAnsi="宋体" w:cs="宋体" w:eastAsia="宋体" w:hint="default"/>
                <w:sz w:val="21"/>
                <w:szCs w:val="21"/>
              </w:rPr>
            </w:pPr>
            <w:r>
              <w:rPr>
                <w:rFonts w:ascii="宋体"/>
                <w:sz w:val="21"/>
              </w:rPr>
              <w:t>500,00</w:t>
            </w:r>
          </w:p>
          <w:p>
            <w:pPr>
              <w:pStyle w:val="TableParagraph"/>
              <w:spacing w:line="240" w:lineRule="auto" w:before="37"/>
              <w:ind w:right="0"/>
              <w:jc w:val="center"/>
              <w:rPr>
                <w:rFonts w:ascii="宋体" w:hAnsi="宋体" w:cs="宋体" w:eastAsia="宋体" w:hint="default"/>
                <w:sz w:val="21"/>
                <w:szCs w:val="21"/>
              </w:rPr>
            </w:pPr>
            <w:r>
              <w:rPr>
                <w:rFonts w:ascii="宋体"/>
                <w:sz w:val="21"/>
              </w:rPr>
              <w:t>0.00</w:t>
            </w:r>
          </w:p>
        </w:tc>
        <w:tc>
          <w:tcPr>
            <w:tcW w:w="73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6"/>
              <w:ind w:left="46" w:right="0"/>
              <w:jc w:val="left"/>
              <w:rPr>
                <w:rFonts w:ascii="宋体" w:hAnsi="宋体" w:cs="宋体" w:eastAsia="宋体" w:hint="default"/>
                <w:sz w:val="21"/>
                <w:szCs w:val="21"/>
              </w:rPr>
            </w:pPr>
            <w:r>
              <w:rPr>
                <w:rFonts w:ascii="宋体"/>
                <w:sz w:val="21"/>
              </w:rPr>
              <w:t>8,296,</w:t>
            </w:r>
          </w:p>
          <w:p>
            <w:pPr>
              <w:pStyle w:val="TableParagraph"/>
              <w:spacing w:line="240" w:lineRule="auto" w:before="37"/>
              <w:ind w:left="46" w:right="0"/>
              <w:jc w:val="left"/>
              <w:rPr>
                <w:rFonts w:ascii="宋体" w:hAnsi="宋体" w:cs="宋体" w:eastAsia="宋体" w:hint="default"/>
                <w:sz w:val="21"/>
                <w:szCs w:val="21"/>
              </w:rPr>
            </w:pPr>
            <w:r>
              <w:rPr>
                <w:rFonts w:ascii="宋体"/>
                <w:sz w:val="21"/>
              </w:rPr>
              <w:t>048.31</w:t>
            </w:r>
          </w:p>
        </w:tc>
        <w:tc>
          <w:tcPr>
            <w:tcW w:w="734" w:type="dxa"/>
            <w:vMerge/>
            <w:tcBorders>
              <w:left w:val="single" w:sz="4" w:space="0" w:color="000000"/>
              <w:bottom w:val="nil" w:sz="6" w:space="0" w:color="auto"/>
              <w:right w:val="single" w:sz="4" w:space="0" w:color="000000"/>
            </w:tcBorders>
            <w:shd w:val="clear" w:color="auto" w:fill="D2D2D2"/>
          </w:tcPr>
          <w:p>
            <w:pPr/>
          </w:p>
        </w:tc>
        <w:tc>
          <w:tcPr>
            <w:tcW w:w="736" w:type="dxa"/>
            <w:vMerge/>
            <w:tcBorders>
              <w:left w:val="single" w:sz="4" w:space="0" w:color="000000"/>
              <w:bottom w:val="nil" w:sz="6" w:space="0" w:color="auto"/>
              <w:right w:val="single" w:sz="4" w:space="0" w:color="000000"/>
            </w:tcBorders>
            <w:shd w:val="clear" w:color="auto" w:fill="D2D2D2"/>
          </w:tcPr>
          <w:p>
            <w:pPr/>
          </w:p>
        </w:tc>
        <w:tc>
          <w:tcPr>
            <w:tcW w:w="735" w:type="dxa"/>
            <w:vMerge/>
            <w:tcBorders>
              <w:left w:val="single" w:sz="4" w:space="0" w:color="000000"/>
              <w:bottom w:val="nil" w:sz="6" w:space="0" w:color="auto"/>
              <w:right w:val="single" w:sz="4" w:space="0" w:color="000000"/>
            </w:tcBorders>
            <w:shd w:val="clear" w:color="auto" w:fill="D2D2D2"/>
          </w:tcPr>
          <w:p>
            <w:pPr/>
          </w:p>
        </w:tc>
        <w:tc>
          <w:tcPr>
            <w:tcW w:w="737" w:type="dxa"/>
            <w:vMerge/>
            <w:tcBorders>
              <w:left w:val="single" w:sz="4" w:space="0" w:color="000000"/>
              <w:bottom w:val="nil" w:sz="6" w:space="0" w:color="auto"/>
              <w:right w:val="single" w:sz="4" w:space="0" w:color="000000"/>
            </w:tcBorders>
            <w:shd w:val="clear" w:color="auto" w:fill="D2D2D2"/>
          </w:tcPr>
          <w:p>
            <w:pPr/>
          </w:p>
        </w:tc>
        <w:tc>
          <w:tcPr>
            <w:tcW w:w="737" w:type="dxa"/>
            <w:vMerge/>
            <w:tcBorders>
              <w:left w:val="single" w:sz="4" w:space="0" w:color="000000"/>
              <w:bottom w:val="nil" w:sz="6" w:space="0" w:color="auto"/>
              <w:right w:val="single" w:sz="4" w:space="0" w:color="000000"/>
            </w:tcBorders>
            <w:shd w:val="clear" w:color="auto" w:fill="D2D2D2"/>
          </w:tcPr>
          <w:p>
            <w:pPr/>
          </w:p>
        </w:tc>
        <w:tc>
          <w:tcPr>
            <w:tcW w:w="736" w:type="dxa"/>
            <w:vMerge/>
            <w:tcBorders>
              <w:left w:val="single" w:sz="4" w:space="0" w:color="000000"/>
              <w:bottom w:val="nil" w:sz="6" w:space="0" w:color="auto"/>
              <w:right w:val="single" w:sz="4" w:space="0" w:color="000000"/>
            </w:tcBorders>
            <w:shd w:val="clear" w:color="auto" w:fill="D2D2D2"/>
          </w:tcPr>
          <w:p>
            <w:pPr/>
          </w:p>
        </w:tc>
      </w:tr>
      <w:tr>
        <w:trPr>
          <w:trHeight w:val="391" w:hRule="exact"/>
        </w:trPr>
        <w:tc>
          <w:tcPr>
            <w:tcW w:w="748" w:type="dxa"/>
            <w:vMerge/>
            <w:tcBorders>
              <w:left w:val="single" w:sz="4" w:space="0" w:color="000000"/>
              <w:right w:val="single" w:sz="9" w:space="0" w:color="D2D2D2"/>
            </w:tcBorders>
          </w:tcPr>
          <w:p>
            <w:pPr/>
          </w:p>
        </w:tc>
        <w:tc>
          <w:tcPr>
            <w:tcW w:w="725" w:type="dxa"/>
            <w:vMerge/>
            <w:tcBorders>
              <w:left w:val="single" w:sz="4" w:space="0" w:color="000000"/>
              <w:right w:val="single" w:sz="4" w:space="0" w:color="000000"/>
            </w:tcBorders>
            <w:shd w:val="clear" w:color="auto" w:fill="D2D2D2"/>
          </w:tcPr>
          <w:p>
            <w:pPr/>
          </w:p>
        </w:tc>
        <w:tc>
          <w:tcPr>
            <w:tcW w:w="736" w:type="dxa"/>
            <w:vMerge/>
            <w:tcBorders>
              <w:left w:val="single" w:sz="4" w:space="0" w:color="000000"/>
              <w:right w:val="single" w:sz="4" w:space="0" w:color="000000"/>
            </w:tcBorders>
            <w:shd w:val="clear" w:color="auto" w:fill="D2D2D2"/>
          </w:tcPr>
          <w:p>
            <w:pPr/>
          </w:p>
        </w:tc>
        <w:tc>
          <w:tcPr>
            <w:tcW w:w="736" w:type="dxa"/>
            <w:vMerge/>
            <w:tcBorders>
              <w:left w:val="single" w:sz="4" w:space="0" w:color="000000"/>
              <w:right w:val="single" w:sz="4" w:space="0" w:color="000000"/>
            </w:tcBorders>
            <w:shd w:val="clear" w:color="auto" w:fill="D2D2D2"/>
          </w:tcPr>
          <w:p>
            <w:pPr/>
          </w:p>
        </w:tc>
        <w:tc>
          <w:tcPr>
            <w:tcW w:w="737" w:type="dxa"/>
            <w:vMerge/>
            <w:tcBorders>
              <w:left w:val="single" w:sz="4" w:space="0" w:color="000000"/>
              <w:right w:val="single" w:sz="4" w:space="0" w:color="000000"/>
            </w:tcBorders>
            <w:shd w:val="clear" w:color="auto" w:fill="D2D2D2"/>
          </w:tcPr>
          <w:p>
            <w:pPr/>
          </w:p>
        </w:tc>
        <w:tc>
          <w:tcPr>
            <w:tcW w:w="735" w:type="dxa"/>
            <w:vMerge/>
            <w:tcBorders>
              <w:left w:val="single" w:sz="4" w:space="0" w:color="000000"/>
              <w:right w:val="single" w:sz="4" w:space="0" w:color="000000"/>
            </w:tcBorders>
            <w:shd w:val="clear" w:color="auto" w:fill="D2D2D2"/>
          </w:tcPr>
          <w:p>
            <w:pPr/>
          </w:p>
        </w:tc>
        <w:tc>
          <w:tcPr>
            <w:tcW w:w="736" w:type="dxa"/>
            <w:vMerge/>
            <w:tcBorders>
              <w:left w:val="single" w:sz="4" w:space="0" w:color="000000"/>
              <w:right w:val="single" w:sz="4" w:space="0" w:color="000000"/>
            </w:tcBorders>
            <w:shd w:val="clear" w:color="auto" w:fill="D2D2D2"/>
          </w:tcPr>
          <w:p>
            <w:pPr/>
          </w:p>
        </w:tc>
        <w:tc>
          <w:tcPr>
            <w:tcW w:w="734" w:type="dxa"/>
            <w:tcBorders>
              <w:top w:val="nil" w:sz="6" w:space="0" w:color="auto"/>
              <w:left w:val="single" w:sz="4" w:space="0" w:color="000000"/>
              <w:bottom w:val="nil" w:sz="6" w:space="0" w:color="auto"/>
              <w:right w:val="single" w:sz="4" w:space="0" w:color="000000"/>
            </w:tcBorders>
            <w:shd w:val="clear" w:color="auto" w:fill="D2D2D2"/>
          </w:tcPr>
          <w:p>
            <w:pPr/>
          </w:p>
        </w:tc>
        <w:tc>
          <w:tcPr>
            <w:tcW w:w="736" w:type="dxa"/>
            <w:tcBorders>
              <w:top w:val="nil" w:sz="6" w:space="0" w:color="auto"/>
              <w:left w:val="single" w:sz="4" w:space="0" w:color="000000"/>
              <w:bottom w:val="nil" w:sz="6" w:space="0" w:color="auto"/>
              <w:right w:val="single" w:sz="4" w:space="0" w:color="000000"/>
            </w:tcBorders>
            <w:shd w:val="clear" w:color="auto" w:fill="D2D2D2"/>
          </w:tcPr>
          <w:p>
            <w:pPr/>
          </w:p>
        </w:tc>
        <w:tc>
          <w:tcPr>
            <w:tcW w:w="735" w:type="dxa"/>
            <w:tcBorders>
              <w:top w:val="nil" w:sz="6" w:space="0" w:color="auto"/>
              <w:left w:val="single" w:sz="4" w:space="0" w:color="000000"/>
              <w:bottom w:val="nil" w:sz="6" w:space="0" w:color="auto"/>
              <w:right w:val="single" w:sz="4" w:space="0" w:color="000000"/>
            </w:tcBorders>
            <w:shd w:val="clear" w:color="auto" w:fill="D2D2D2"/>
          </w:tcPr>
          <w:p>
            <w:pPr/>
          </w:p>
        </w:tc>
        <w:tc>
          <w:tcPr>
            <w:tcW w:w="737" w:type="dxa"/>
            <w:tcBorders>
              <w:top w:val="nil" w:sz="6" w:space="0" w:color="auto"/>
              <w:left w:val="single" w:sz="4" w:space="0" w:color="000000"/>
              <w:bottom w:val="nil" w:sz="6" w:space="0" w:color="auto"/>
              <w:right w:val="single" w:sz="4" w:space="0" w:color="000000"/>
            </w:tcBorders>
            <w:shd w:val="clear" w:color="auto" w:fill="D2D2D2"/>
          </w:tcPr>
          <w:p>
            <w:pPr/>
          </w:p>
        </w:tc>
        <w:tc>
          <w:tcPr>
            <w:tcW w:w="737" w:type="dxa"/>
            <w:tcBorders>
              <w:top w:val="nil" w:sz="6" w:space="0" w:color="auto"/>
              <w:left w:val="single" w:sz="4" w:space="0" w:color="000000"/>
              <w:bottom w:val="nil" w:sz="6" w:space="0" w:color="auto"/>
              <w:right w:val="single" w:sz="4" w:space="0" w:color="000000"/>
            </w:tcBorders>
            <w:shd w:val="clear" w:color="auto" w:fill="D2D2D2"/>
          </w:tcPr>
          <w:p>
            <w:pPr/>
          </w:p>
        </w:tc>
        <w:tc>
          <w:tcPr>
            <w:tcW w:w="736" w:type="dxa"/>
            <w:tcBorders>
              <w:top w:val="nil" w:sz="6" w:space="0" w:color="auto"/>
              <w:left w:val="single" w:sz="4" w:space="0" w:color="000000"/>
              <w:bottom w:val="nil" w:sz="6" w:space="0" w:color="auto"/>
              <w:right w:val="single" w:sz="4" w:space="0" w:color="000000"/>
            </w:tcBorders>
            <w:shd w:val="clear" w:color="auto" w:fill="D2D2D2"/>
          </w:tcPr>
          <w:p>
            <w:pPr/>
          </w:p>
        </w:tc>
      </w:tr>
      <w:tr>
        <w:trPr>
          <w:trHeight w:val="156" w:hRule="exact"/>
        </w:trPr>
        <w:tc>
          <w:tcPr>
            <w:tcW w:w="748" w:type="dxa"/>
            <w:vMerge/>
            <w:tcBorders>
              <w:left w:val="single" w:sz="4" w:space="0" w:color="000000"/>
              <w:right w:val="single" w:sz="9" w:space="0" w:color="D2D2D2"/>
            </w:tcBorders>
          </w:tcPr>
          <w:p>
            <w:pPr/>
          </w:p>
        </w:tc>
        <w:tc>
          <w:tcPr>
            <w:tcW w:w="725" w:type="dxa"/>
            <w:vMerge/>
            <w:tcBorders>
              <w:left w:val="single" w:sz="4" w:space="0" w:color="000000"/>
              <w:right w:val="single" w:sz="4" w:space="0" w:color="000000"/>
            </w:tcBorders>
            <w:shd w:val="clear" w:color="auto" w:fill="D2D2D2"/>
          </w:tcPr>
          <w:p>
            <w:pPr/>
          </w:p>
        </w:tc>
        <w:tc>
          <w:tcPr>
            <w:tcW w:w="736" w:type="dxa"/>
            <w:vMerge/>
            <w:tcBorders>
              <w:left w:val="single" w:sz="4" w:space="0" w:color="000000"/>
              <w:right w:val="single" w:sz="4" w:space="0" w:color="000000"/>
            </w:tcBorders>
            <w:shd w:val="clear" w:color="auto" w:fill="D2D2D2"/>
          </w:tcPr>
          <w:p>
            <w:pPr/>
          </w:p>
        </w:tc>
        <w:tc>
          <w:tcPr>
            <w:tcW w:w="736" w:type="dxa"/>
            <w:vMerge/>
            <w:tcBorders>
              <w:left w:val="single" w:sz="4" w:space="0" w:color="000000"/>
              <w:right w:val="single" w:sz="4" w:space="0" w:color="000000"/>
            </w:tcBorders>
            <w:shd w:val="clear" w:color="auto" w:fill="D2D2D2"/>
          </w:tcPr>
          <w:p>
            <w:pPr/>
          </w:p>
        </w:tc>
        <w:tc>
          <w:tcPr>
            <w:tcW w:w="737" w:type="dxa"/>
            <w:vMerge/>
            <w:tcBorders>
              <w:left w:val="single" w:sz="4" w:space="0" w:color="000000"/>
              <w:bottom w:val="nil" w:sz="6" w:space="0" w:color="auto"/>
              <w:right w:val="single" w:sz="4" w:space="0" w:color="000000"/>
            </w:tcBorders>
            <w:shd w:val="clear" w:color="auto" w:fill="D2D2D2"/>
          </w:tcPr>
          <w:p>
            <w:pPr/>
          </w:p>
        </w:tc>
        <w:tc>
          <w:tcPr>
            <w:tcW w:w="735" w:type="dxa"/>
            <w:vMerge/>
            <w:tcBorders>
              <w:left w:val="single" w:sz="4" w:space="0" w:color="000000"/>
              <w:bottom w:val="nil" w:sz="6" w:space="0" w:color="auto"/>
              <w:right w:val="single" w:sz="4" w:space="0" w:color="000000"/>
            </w:tcBorders>
            <w:shd w:val="clear" w:color="auto" w:fill="D2D2D2"/>
          </w:tcPr>
          <w:p>
            <w:pPr/>
          </w:p>
        </w:tc>
        <w:tc>
          <w:tcPr>
            <w:tcW w:w="736" w:type="dxa"/>
            <w:vMerge/>
            <w:tcBorders>
              <w:left w:val="single" w:sz="4" w:space="0" w:color="000000"/>
              <w:bottom w:val="nil" w:sz="6" w:space="0" w:color="auto"/>
              <w:right w:val="single" w:sz="4" w:space="0" w:color="000000"/>
            </w:tcBorders>
            <w:shd w:val="clear" w:color="auto" w:fill="D2D2D2"/>
          </w:tcPr>
          <w:p>
            <w:pPr/>
          </w:p>
        </w:tc>
        <w:tc>
          <w:tcPr>
            <w:tcW w:w="734" w:type="dxa"/>
            <w:vMerge w:val="restart"/>
            <w:tcBorders>
              <w:top w:val="nil" w:sz="6" w:space="0" w:color="auto"/>
              <w:left w:val="single" w:sz="4" w:space="0" w:color="000000"/>
              <w:right w:val="single" w:sz="4" w:space="0" w:color="000000"/>
            </w:tcBorders>
            <w:shd w:val="clear" w:color="auto" w:fill="D2D2D2"/>
          </w:tcPr>
          <w:p>
            <w:pPr/>
          </w:p>
        </w:tc>
        <w:tc>
          <w:tcPr>
            <w:tcW w:w="736" w:type="dxa"/>
            <w:vMerge w:val="restart"/>
            <w:tcBorders>
              <w:top w:val="nil" w:sz="6" w:space="0" w:color="auto"/>
              <w:left w:val="single" w:sz="4" w:space="0" w:color="000000"/>
              <w:right w:val="single" w:sz="4" w:space="0" w:color="000000"/>
            </w:tcBorders>
            <w:shd w:val="clear" w:color="auto" w:fill="D2D2D2"/>
          </w:tcPr>
          <w:p>
            <w:pPr/>
          </w:p>
        </w:tc>
        <w:tc>
          <w:tcPr>
            <w:tcW w:w="735" w:type="dxa"/>
            <w:vMerge w:val="restart"/>
            <w:tcBorders>
              <w:top w:val="nil" w:sz="6" w:space="0" w:color="auto"/>
              <w:left w:val="single" w:sz="4" w:space="0" w:color="000000"/>
              <w:right w:val="single" w:sz="4" w:space="0" w:color="000000"/>
            </w:tcBorders>
            <w:shd w:val="clear" w:color="auto" w:fill="D2D2D2"/>
          </w:tcPr>
          <w:p>
            <w:pPr/>
          </w:p>
        </w:tc>
        <w:tc>
          <w:tcPr>
            <w:tcW w:w="737" w:type="dxa"/>
            <w:vMerge w:val="restart"/>
            <w:tcBorders>
              <w:top w:val="nil" w:sz="6" w:space="0" w:color="auto"/>
              <w:left w:val="single" w:sz="4" w:space="0" w:color="000000"/>
              <w:right w:val="single" w:sz="4" w:space="0" w:color="000000"/>
            </w:tcBorders>
            <w:shd w:val="clear" w:color="auto" w:fill="D2D2D2"/>
          </w:tcPr>
          <w:p>
            <w:pPr/>
          </w:p>
        </w:tc>
        <w:tc>
          <w:tcPr>
            <w:tcW w:w="737" w:type="dxa"/>
            <w:vMerge w:val="restart"/>
            <w:tcBorders>
              <w:top w:val="nil" w:sz="6" w:space="0" w:color="auto"/>
              <w:left w:val="single" w:sz="4" w:space="0" w:color="000000"/>
              <w:right w:val="single" w:sz="4" w:space="0" w:color="000000"/>
            </w:tcBorders>
            <w:shd w:val="clear" w:color="auto" w:fill="D2D2D2"/>
          </w:tcPr>
          <w:p>
            <w:pPr/>
          </w:p>
        </w:tc>
        <w:tc>
          <w:tcPr>
            <w:tcW w:w="736" w:type="dxa"/>
            <w:vMerge w:val="restart"/>
            <w:tcBorders>
              <w:top w:val="nil" w:sz="6" w:space="0" w:color="auto"/>
              <w:left w:val="single" w:sz="4" w:space="0" w:color="000000"/>
              <w:right w:val="single" w:sz="4" w:space="0" w:color="000000"/>
            </w:tcBorders>
            <w:shd w:val="clear" w:color="auto" w:fill="D2D2D2"/>
          </w:tcPr>
          <w:p>
            <w:pPr/>
          </w:p>
        </w:tc>
      </w:tr>
      <w:tr>
        <w:trPr>
          <w:trHeight w:val="156" w:hRule="exact"/>
        </w:trPr>
        <w:tc>
          <w:tcPr>
            <w:tcW w:w="748" w:type="dxa"/>
            <w:vMerge/>
            <w:tcBorders>
              <w:left w:val="single" w:sz="4" w:space="0" w:color="000000"/>
              <w:right w:val="single" w:sz="9" w:space="0" w:color="D2D2D2"/>
            </w:tcBorders>
          </w:tcPr>
          <w:p>
            <w:pPr/>
          </w:p>
        </w:tc>
        <w:tc>
          <w:tcPr>
            <w:tcW w:w="725" w:type="dxa"/>
            <w:vMerge/>
            <w:tcBorders>
              <w:left w:val="single" w:sz="4" w:space="0" w:color="000000"/>
              <w:bottom w:val="nil" w:sz="6" w:space="0" w:color="auto"/>
              <w:right w:val="single" w:sz="4" w:space="0" w:color="000000"/>
            </w:tcBorders>
            <w:shd w:val="clear" w:color="auto" w:fill="D2D2D2"/>
          </w:tcPr>
          <w:p>
            <w:pPr/>
          </w:p>
        </w:tc>
        <w:tc>
          <w:tcPr>
            <w:tcW w:w="736" w:type="dxa"/>
            <w:vMerge/>
            <w:tcBorders>
              <w:left w:val="single" w:sz="4" w:space="0" w:color="000000"/>
              <w:bottom w:val="nil" w:sz="6" w:space="0" w:color="auto"/>
              <w:right w:val="single" w:sz="4" w:space="0" w:color="000000"/>
            </w:tcBorders>
            <w:shd w:val="clear" w:color="auto" w:fill="D2D2D2"/>
          </w:tcPr>
          <w:p>
            <w:pPr/>
          </w:p>
        </w:tc>
        <w:tc>
          <w:tcPr>
            <w:tcW w:w="736" w:type="dxa"/>
            <w:vMerge/>
            <w:tcBorders>
              <w:left w:val="single" w:sz="4" w:space="0" w:color="000000"/>
              <w:bottom w:val="nil" w:sz="6" w:space="0" w:color="auto"/>
              <w:right w:val="single" w:sz="4" w:space="0" w:color="000000"/>
            </w:tcBorders>
            <w:shd w:val="clear" w:color="auto" w:fill="D2D2D2"/>
          </w:tcPr>
          <w:p>
            <w:pPr/>
          </w:p>
        </w:tc>
        <w:tc>
          <w:tcPr>
            <w:tcW w:w="737" w:type="dxa"/>
            <w:vMerge w:val="restart"/>
            <w:tcBorders>
              <w:top w:val="nil" w:sz="6" w:space="0" w:color="auto"/>
              <w:left w:val="single" w:sz="4" w:space="0" w:color="000000"/>
              <w:right w:val="single" w:sz="4" w:space="0" w:color="000000"/>
            </w:tcBorders>
            <w:shd w:val="clear" w:color="auto" w:fill="D2D2D2"/>
          </w:tcPr>
          <w:p>
            <w:pPr/>
          </w:p>
        </w:tc>
        <w:tc>
          <w:tcPr>
            <w:tcW w:w="735" w:type="dxa"/>
            <w:vMerge w:val="restart"/>
            <w:tcBorders>
              <w:top w:val="nil" w:sz="6" w:space="0" w:color="auto"/>
              <w:left w:val="single" w:sz="4" w:space="0" w:color="000000"/>
              <w:right w:val="single" w:sz="4" w:space="0" w:color="000000"/>
            </w:tcBorders>
            <w:shd w:val="clear" w:color="auto" w:fill="D2D2D2"/>
          </w:tcPr>
          <w:p>
            <w:pPr/>
          </w:p>
        </w:tc>
        <w:tc>
          <w:tcPr>
            <w:tcW w:w="736" w:type="dxa"/>
            <w:vMerge w:val="restart"/>
            <w:tcBorders>
              <w:top w:val="nil" w:sz="6" w:space="0" w:color="auto"/>
              <w:left w:val="single" w:sz="4" w:space="0" w:color="000000"/>
              <w:right w:val="single" w:sz="4" w:space="0" w:color="000000"/>
            </w:tcBorders>
            <w:shd w:val="clear" w:color="auto" w:fill="D2D2D2"/>
          </w:tcPr>
          <w:p>
            <w:pPr/>
          </w:p>
        </w:tc>
        <w:tc>
          <w:tcPr>
            <w:tcW w:w="734" w:type="dxa"/>
            <w:vMerge/>
            <w:tcBorders>
              <w:left w:val="single" w:sz="4" w:space="0" w:color="000000"/>
              <w:right w:val="single" w:sz="4" w:space="0" w:color="000000"/>
            </w:tcBorders>
            <w:shd w:val="clear" w:color="auto" w:fill="D2D2D2"/>
          </w:tcPr>
          <w:p>
            <w:pPr/>
          </w:p>
        </w:tc>
        <w:tc>
          <w:tcPr>
            <w:tcW w:w="736" w:type="dxa"/>
            <w:vMerge/>
            <w:tcBorders>
              <w:left w:val="single" w:sz="4" w:space="0" w:color="000000"/>
              <w:right w:val="single" w:sz="4" w:space="0" w:color="000000"/>
            </w:tcBorders>
            <w:shd w:val="clear" w:color="auto" w:fill="D2D2D2"/>
          </w:tcPr>
          <w:p>
            <w:pPr/>
          </w:p>
        </w:tc>
        <w:tc>
          <w:tcPr>
            <w:tcW w:w="735" w:type="dxa"/>
            <w:vMerge/>
            <w:tcBorders>
              <w:left w:val="single" w:sz="4" w:space="0" w:color="000000"/>
              <w:right w:val="single" w:sz="4" w:space="0" w:color="000000"/>
            </w:tcBorders>
            <w:shd w:val="clear" w:color="auto" w:fill="D2D2D2"/>
          </w:tcPr>
          <w:p>
            <w:pPr/>
          </w:p>
        </w:tc>
        <w:tc>
          <w:tcPr>
            <w:tcW w:w="737" w:type="dxa"/>
            <w:vMerge/>
            <w:tcBorders>
              <w:left w:val="single" w:sz="4" w:space="0" w:color="000000"/>
              <w:right w:val="single" w:sz="4" w:space="0" w:color="000000"/>
            </w:tcBorders>
            <w:shd w:val="clear" w:color="auto" w:fill="D2D2D2"/>
          </w:tcPr>
          <w:p>
            <w:pPr/>
          </w:p>
        </w:tc>
        <w:tc>
          <w:tcPr>
            <w:tcW w:w="737" w:type="dxa"/>
            <w:vMerge/>
            <w:tcBorders>
              <w:left w:val="single" w:sz="4" w:space="0" w:color="000000"/>
              <w:right w:val="single" w:sz="4" w:space="0" w:color="000000"/>
            </w:tcBorders>
            <w:shd w:val="clear" w:color="auto" w:fill="D2D2D2"/>
          </w:tcPr>
          <w:p>
            <w:pPr/>
          </w:p>
        </w:tc>
        <w:tc>
          <w:tcPr>
            <w:tcW w:w="736" w:type="dxa"/>
            <w:vMerge/>
            <w:tcBorders>
              <w:left w:val="single" w:sz="4" w:space="0" w:color="000000"/>
              <w:right w:val="single" w:sz="4" w:space="0" w:color="000000"/>
            </w:tcBorders>
            <w:shd w:val="clear" w:color="auto" w:fill="D2D2D2"/>
          </w:tcPr>
          <w:p>
            <w:pPr/>
          </w:p>
        </w:tc>
      </w:tr>
      <w:tr>
        <w:trPr>
          <w:trHeight w:val="474" w:hRule="exact"/>
        </w:trPr>
        <w:tc>
          <w:tcPr>
            <w:tcW w:w="748" w:type="dxa"/>
            <w:vMerge/>
            <w:tcBorders>
              <w:left w:val="single" w:sz="4" w:space="0" w:color="000000"/>
              <w:bottom w:val="single" w:sz="4" w:space="0" w:color="000000"/>
              <w:right w:val="single" w:sz="9" w:space="0" w:color="D2D2D2"/>
            </w:tcBorders>
          </w:tcPr>
          <w:p>
            <w:pPr/>
          </w:p>
        </w:tc>
        <w:tc>
          <w:tcPr>
            <w:tcW w:w="725" w:type="dxa"/>
            <w:tcBorders>
              <w:top w:val="nil" w:sz="6" w:space="0" w:color="auto"/>
              <w:left w:val="single" w:sz="4" w:space="0" w:color="000000"/>
              <w:bottom w:val="single" w:sz="4" w:space="0" w:color="000000"/>
              <w:right w:val="single" w:sz="4" w:space="0" w:color="000000"/>
            </w:tcBorders>
            <w:shd w:val="clear" w:color="auto" w:fill="D2D2D2"/>
          </w:tcPr>
          <w:p>
            <w:pPr/>
          </w:p>
        </w:tc>
        <w:tc>
          <w:tcPr>
            <w:tcW w:w="736" w:type="dxa"/>
            <w:tcBorders>
              <w:top w:val="nil" w:sz="6" w:space="0" w:color="auto"/>
              <w:left w:val="single" w:sz="4" w:space="0" w:color="000000"/>
              <w:bottom w:val="single" w:sz="4" w:space="0" w:color="000000"/>
              <w:right w:val="single" w:sz="4" w:space="0" w:color="000000"/>
            </w:tcBorders>
            <w:shd w:val="clear" w:color="auto" w:fill="D2D2D2"/>
          </w:tcPr>
          <w:p>
            <w:pPr/>
          </w:p>
        </w:tc>
        <w:tc>
          <w:tcPr>
            <w:tcW w:w="736" w:type="dxa"/>
            <w:tcBorders>
              <w:top w:val="nil" w:sz="6" w:space="0" w:color="auto"/>
              <w:left w:val="single" w:sz="4" w:space="0" w:color="000000"/>
              <w:bottom w:val="single" w:sz="4" w:space="0" w:color="000000"/>
              <w:right w:val="single" w:sz="4" w:space="0" w:color="000000"/>
            </w:tcBorders>
            <w:shd w:val="clear" w:color="auto" w:fill="D2D2D2"/>
          </w:tcPr>
          <w:p>
            <w:pPr/>
          </w:p>
        </w:tc>
        <w:tc>
          <w:tcPr>
            <w:tcW w:w="737" w:type="dxa"/>
            <w:vMerge/>
            <w:tcBorders>
              <w:left w:val="single" w:sz="4" w:space="0" w:color="000000"/>
              <w:bottom w:val="single" w:sz="4" w:space="0" w:color="000000"/>
              <w:right w:val="single" w:sz="4" w:space="0" w:color="000000"/>
            </w:tcBorders>
            <w:shd w:val="clear" w:color="auto" w:fill="D2D2D2"/>
          </w:tcPr>
          <w:p>
            <w:pPr/>
          </w:p>
        </w:tc>
        <w:tc>
          <w:tcPr>
            <w:tcW w:w="735" w:type="dxa"/>
            <w:vMerge/>
            <w:tcBorders>
              <w:left w:val="single" w:sz="4" w:space="0" w:color="000000"/>
              <w:bottom w:val="single" w:sz="4" w:space="0" w:color="000000"/>
              <w:right w:val="single" w:sz="4" w:space="0" w:color="000000"/>
            </w:tcBorders>
            <w:shd w:val="clear" w:color="auto" w:fill="D2D2D2"/>
          </w:tcPr>
          <w:p>
            <w:pPr/>
          </w:p>
        </w:tc>
        <w:tc>
          <w:tcPr>
            <w:tcW w:w="736" w:type="dxa"/>
            <w:vMerge/>
            <w:tcBorders>
              <w:left w:val="single" w:sz="4" w:space="0" w:color="000000"/>
              <w:bottom w:val="single" w:sz="4" w:space="0" w:color="000000"/>
              <w:right w:val="single" w:sz="4" w:space="0" w:color="000000"/>
            </w:tcBorders>
            <w:shd w:val="clear" w:color="auto" w:fill="D2D2D2"/>
          </w:tcPr>
          <w:p>
            <w:pPr/>
          </w:p>
        </w:tc>
        <w:tc>
          <w:tcPr>
            <w:tcW w:w="734" w:type="dxa"/>
            <w:vMerge/>
            <w:tcBorders>
              <w:left w:val="single" w:sz="4" w:space="0" w:color="000000"/>
              <w:bottom w:val="single" w:sz="4" w:space="0" w:color="000000"/>
              <w:right w:val="single" w:sz="4" w:space="0" w:color="000000"/>
            </w:tcBorders>
            <w:shd w:val="clear" w:color="auto" w:fill="D2D2D2"/>
          </w:tcPr>
          <w:p>
            <w:pPr/>
          </w:p>
        </w:tc>
        <w:tc>
          <w:tcPr>
            <w:tcW w:w="736" w:type="dxa"/>
            <w:vMerge/>
            <w:tcBorders>
              <w:left w:val="single" w:sz="4" w:space="0" w:color="000000"/>
              <w:bottom w:val="single" w:sz="4" w:space="0" w:color="000000"/>
              <w:right w:val="single" w:sz="4" w:space="0" w:color="000000"/>
            </w:tcBorders>
            <w:shd w:val="clear" w:color="auto" w:fill="D2D2D2"/>
          </w:tcPr>
          <w:p>
            <w:pPr/>
          </w:p>
        </w:tc>
        <w:tc>
          <w:tcPr>
            <w:tcW w:w="735" w:type="dxa"/>
            <w:vMerge/>
            <w:tcBorders>
              <w:left w:val="single" w:sz="4" w:space="0" w:color="000000"/>
              <w:bottom w:val="single" w:sz="4" w:space="0" w:color="000000"/>
              <w:right w:val="single" w:sz="4" w:space="0" w:color="000000"/>
            </w:tcBorders>
            <w:shd w:val="clear" w:color="auto" w:fill="D2D2D2"/>
          </w:tcPr>
          <w:p>
            <w:pPr/>
          </w:p>
        </w:tc>
        <w:tc>
          <w:tcPr>
            <w:tcW w:w="737" w:type="dxa"/>
            <w:vMerge/>
            <w:tcBorders>
              <w:left w:val="single" w:sz="4" w:space="0" w:color="000000"/>
              <w:bottom w:val="single" w:sz="4" w:space="0" w:color="000000"/>
              <w:right w:val="single" w:sz="4" w:space="0" w:color="000000"/>
            </w:tcBorders>
            <w:shd w:val="clear" w:color="auto" w:fill="D2D2D2"/>
          </w:tcPr>
          <w:p>
            <w:pPr/>
          </w:p>
        </w:tc>
        <w:tc>
          <w:tcPr>
            <w:tcW w:w="737" w:type="dxa"/>
            <w:vMerge/>
            <w:tcBorders>
              <w:left w:val="single" w:sz="4" w:space="0" w:color="000000"/>
              <w:bottom w:val="single" w:sz="4" w:space="0" w:color="000000"/>
              <w:right w:val="single" w:sz="4" w:space="0" w:color="000000"/>
            </w:tcBorders>
            <w:shd w:val="clear" w:color="auto" w:fill="D2D2D2"/>
          </w:tcPr>
          <w:p>
            <w:pPr/>
          </w:p>
        </w:tc>
        <w:tc>
          <w:tcPr>
            <w:tcW w:w="736" w:type="dxa"/>
            <w:vMerge/>
            <w:tcBorders>
              <w:left w:val="single" w:sz="4" w:space="0" w:color="000000"/>
              <w:bottom w:val="single" w:sz="4" w:space="0" w:color="000000"/>
              <w:right w:val="single" w:sz="4" w:space="0" w:color="000000"/>
            </w:tcBorders>
            <w:shd w:val="clear" w:color="auto" w:fill="D2D2D2"/>
          </w:tcPr>
          <w:p>
            <w:pPr/>
          </w:p>
        </w:tc>
      </w:tr>
    </w:tbl>
    <w:p>
      <w:pPr>
        <w:spacing w:line="240" w:lineRule="auto" w:before="2"/>
        <w:rPr>
          <w:rFonts w:ascii="宋体" w:hAnsi="宋体" w:cs="宋体" w:eastAsia="宋体" w:hint="default"/>
          <w:sz w:val="26"/>
          <w:szCs w:val="26"/>
        </w:rPr>
      </w:pPr>
    </w:p>
    <w:p>
      <w:pPr>
        <w:spacing w:before="35"/>
        <w:ind w:left="0" w:right="1129" w:firstLine="0"/>
        <w:jc w:val="right"/>
        <w:rPr>
          <w:rFonts w:ascii="宋体" w:hAnsi="宋体" w:cs="宋体" w:eastAsia="宋体" w:hint="default"/>
          <w:sz w:val="21"/>
          <w:szCs w:val="21"/>
        </w:rPr>
      </w:pPr>
      <w:r>
        <w:rPr>
          <w:rFonts w:ascii="宋体" w:hAnsi="宋体" w:cs="宋体" w:eastAsia="宋体" w:hint="default"/>
          <w:sz w:val="21"/>
          <w:szCs w:val="21"/>
        </w:rPr>
        <w:t>单位： 元</w:t>
      </w:r>
    </w:p>
    <w:p>
      <w:pPr>
        <w:spacing w:after="0"/>
        <w:jc w:val="right"/>
        <w:rPr>
          <w:rFonts w:ascii="宋体" w:hAnsi="宋体" w:cs="宋体" w:eastAsia="宋体" w:hint="default"/>
          <w:sz w:val="21"/>
          <w:szCs w:val="21"/>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073"/>
        <w:gridCol w:w="1049"/>
        <w:gridCol w:w="1062"/>
        <w:gridCol w:w="1066"/>
        <w:gridCol w:w="1064"/>
        <w:gridCol w:w="1063"/>
        <w:gridCol w:w="1064"/>
        <w:gridCol w:w="1063"/>
        <w:gridCol w:w="1054"/>
      </w:tblGrid>
      <w:tr>
        <w:trPr>
          <w:trHeight w:val="206" w:hRule="exact"/>
        </w:trPr>
        <w:tc>
          <w:tcPr>
            <w:tcW w:w="1073" w:type="dxa"/>
            <w:tcBorders>
              <w:top w:val="single" w:sz="4" w:space="0" w:color="000000"/>
              <w:left w:val="single" w:sz="4" w:space="0" w:color="000000"/>
              <w:bottom w:val="nil" w:sz="6" w:space="0" w:color="auto"/>
              <w:right w:val="single" w:sz="4" w:space="0" w:color="000000"/>
            </w:tcBorders>
            <w:shd w:val="clear" w:color="auto" w:fill="D2D2D2"/>
          </w:tcPr>
          <w:p>
            <w:pPr/>
          </w:p>
        </w:tc>
        <w:tc>
          <w:tcPr>
            <w:tcW w:w="4242" w:type="dxa"/>
            <w:gridSpan w:val="4"/>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6"/>
              <w:ind w:right="12"/>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4244" w:type="dxa"/>
            <w:gridSpan w:val="4"/>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6"/>
              <w:ind w:left="12"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191" w:hRule="exact"/>
        </w:trPr>
        <w:tc>
          <w:tcPr>
            <w:tcW w:w="1073" w:type="dxa"/>
            <w:vMerge w:val="restart"/>
            <w:tcBorders>
              <w:top w:val="nil" w:sz="6" w:space="0" w:color="auto"/>
              <w:left w:val="single" w:sz="4" w:space="0" w:color="000000"/>
              <w:right w:val="single" w:sz="4" w:space="0" w:color="000000"/>
            </w:tcBorders>
            <w:shd w:val="clear" w:color="auto" w:fill="D2D2D2"/>
          </w:tcPr>
          <w:p>
            <w:pPr>
              <w:pStyle w:val="TableParagraph"/>
              <w:spacing w:line="273" w:lineRule="auto" w:before="26"/>
              <w:ind w:left="420" w:right="115" w:hanging="315"/>
              <w:jc w:val="left"/>
              <w:rPr>
                <w:rFonts w:ascii="宋体" w:hAnsi="宋体" w:cs="宋体" w:eastAsia="宋体" w:hint="default"/>
                <w:sz w:val="21"/>
                <w:szCs w:val="21"/>
              </w:rPr>
            </w:pPr>
            <w:r>
              <w:rPr>
                <w:rFonts w:ascii="宋体" w:hAnsi="宋体" w:cs="宋体" w:eastAsia="宋体" w:hint="default"/>
                <w:sz w:val="21"/>
                <w:szCs w:val="21"/>
              </w:rPr>
              <w:t>子公司名 称</w:t>
            </w:r>
          </w:p>
        </w:tc>
        <w:tc>
          <w:tcPr>
            <w:tcW w:w="4242" w:type="dxa"/>
            <w:gridSpan w:val="4"/>
            <w:vMerge/>
            <w:tcBorders>
              <w:left w:val="single" w:sz="4" w:space="0" w:color="000000"/>
              <w:bottom w:val="single" w:sz="4" w:space="0" w:color="000000"/>
              <w:right w:val="single" w:sz="4" w:space="0" w:color="000000"/>
            </w:tcBorders>
            <w:shd w:val="clear" w:color="auto" w:fill="D2D2D2"/>
          </w:tcPr>
          <w:p>
            <w:pPr/>
          </w:p>
        </w:tc>
        <w:tc>
          <w:tcPr>
            <w:tcW w:w="4244" w:type="dxa"/>
            <w:gridSpan w:val="4"/>
            <w:vMerge/>
            <w:tcBorders>
              <w:left w:val="single" w:sz="4" w:space="0" w:color="000000"/>
              <w:bottom w:val="single" w:sz="4" w:space="0" w:color="000000"/>
              <w:right w:val="single" w:sz="4" w:space="0" w:color="000000"/>
            </w:tcBorders>
            <w:shd w:val="clear" w:color="auto" w:fill="D2D2D2"/>
          </w:tcPr>
          <w:p>
            <w:pPr/>
          </w:p>
        </w:tc>
      </w:tr>
      <w:tr>
        <w:trPr>
          <w:trHeight w:val="166" w:hRule="exact"/>
        </w:trPr>
        <w:tc>
          <w:tcPr>
            <w:tcW w:w="1073" w:type="dxa"/>
            <w:vMerge/>
            <w:tcBorders>
              <w:left w:val="single" w:sz="4" w:space="0" w:color="000000"/>
              <w:right w:val="single" w:sz="4" w:space="0" w:color="000000"/>
            </w:tcBorders>
            <w:shd w:val="clear" w:color="auto" w:fill="D2D2D2"/>
          </w:tcPr>
          <w:p>
            <w:pPr/>
          </w:p>
        </w:tc>
        <w:tc>
          <w:tcPr>
            <w:tcW w:w="1049"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2"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6"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30"/>
              <w:ind w:left="318" w:right="106" w:hanging="210"/>
              <w:jc w:val="left"/>
              <w:rPr>
                <w:rFonts w:ascii="宋体" w:hAnsi="宋体" w:cs="宋体" w:eastAsia="宋体" w:hint="default"/>
                <w:sz w:val="21"/>
                <w:szCs w:val="21"/>
              </w:rPr>
            </w:pPr>
            <w:r>
              <w:rPr>
                <w:rFonts w:ascii="宋体" w:hAnsi="宋体" w:cs="宋体" w:eastAsia="宋体" w:hint="default"/>
                <w:sz w:val="21"/>
                <w:szCs w:val="21"/>
              </w:rPr>
              <w:t>综合收益 总额</w:t>
            </w:r>
          </w:p>
        </w:tc>
        <w:tc>
          <w:tcPr>
            <w:tcW w:w="1064"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30"/>
              <w:ind w:left="106" w:right="107"/>
              <w:jc w:val="left"/>
              <w:rPr>
                <w:rFonts w:ascii="宋体" w:hAnsi="宋体" w:cs="宋体" w:eastAsia="宋体" w:hint="default"/>
                <w:sz w:val="21"/>
                <w:szCs w:val="21"/>
              </w:rPr>
            </w:pPr>
            <w:r>
              <w:rPr>
                <w:rFonts w:ascii="宋体" w:hAnsi="宋体" w:cs="宋体" w:eastAsia="宋体" w:hint="default"/>
                <w:sz w:val="21"/>
                <w:szCs w:val="21"/>
              </w:rPr>
              <w:t>经营活动 现金流量</w:t>
            </w:r>
          </w:p>
        </w:tc>
        <w:tc>
          <w:tcPr>
            <w:tcW w:w="1063"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4"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3"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30"/>
              <w:ind w:left="315" w:right="107" w:hanging="210"/>
              <w:jc w:val="left"/>
              <w:rPr>
                <w:rFonts w:ascii="宋体" w:hAnsi="宋体" w:cs="宋体" w:eastAsia="宋体" w:hint="default"/>
                <w:sz w:val="21"/>
                <w:szCs w:val="21"/>
              </w:rPr>
            </w:pPr>
            <w:r>
              <w:rPr>
                <w:rFonts w:ascii="宋体" w:hAnsi="宋体" w:cs="宋体" w:eastAsia="宋体" w:hint="default"/>
                <w:sz w:val="21"/>
                <w:szCs w:val="21"/>
              </w:rPr>
              <w:t>综合收益 总额</w:t>
            </w:r>
          </w:p>
        </w:tc>
        <w:tc>
          <w:tcPr>
            <w:tcW w:w="1054"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30"/>
              <w:ind w:left="107" w:right="94"/>
              <w:jc w:val="left"/>
              <w:rPr>
                <w:rFonts w:ascii="宋体" w:hAnsi="宋体" w:cs="宋体" w:eastAsia="宋体" w:hint="default"/>
                <w:sz w:val="21"/>
                <w:szCs w:val="21"/>
              </w:rPr>
            </w:pPr>
            <w:r>
              <w:rPr>
                <w:rFonts w:ascii="宋体" w:hAnsi="宋体" w:cs="宋体" w:eastAsia="宋体" w:hint="default"/>
                <w:sz w:val="21"/>
                <w:szCs w:val="21"/>
              </w:rPr>
              <w:t>经营活动 现金流量</w:t>
            </w:r>
          </w:p>
        </w:tc>
      </w:tr>
      <w:tr>
        <w:trPr>
          <w:trHeight w:val="392" w:hRule="exact"/>
        </w:trPr>
        <w:tc>
          <w:tcPr>
            <w:tcW w:w="1073" w:type="dxa"/>
            <w:vMerge/>
            <w:tcBorders>
              <w:left w:val="single" w:sz="4" w:space="0" w:color="000000"/>
              <w:bottom w:val="nil" w:sz="6" w:space="0" w:color="auto"/>
              <w:right w:val="single" w:sz="4" w:space="0" w:color="000000"/>
            </w:tcBorders>
            <w:shd w:val="clear" w:color="auto" w:fill="D2D2D2"/>
          </w:tcPr>
          <w:p>
            <w:pPr/>
          </w:p>
        </w:tc>
        <w:tc>
          <w:tcPr>
            <w:tcW w:w="104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6"/>
              <w:ind w:left="94"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06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6"/>
              <w:ind w:left="211"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1066" w:type="dxa"/>
            <w:vMerge/>
            <w:tcBorders>
              <w:left w:val="single" w:sz="4" w:space="0" w:color="000000"/>
              <w:right w:val="single" w:sz="4" w:space="0" w:color="000000"/>
            </w:tcBorders>
            <w:shd w:val="clear" w:color="auto" w:fill="D2D2D2"/>
          </w:tcPr>
          <w:p>
            <w:pPr/>
          </w:p>
        </w:tc>
        <w:tc>
          <w:tcPr>
            <w:tcW w:w="1064" w:type="dxa"/>
            <w:vMerge/>
            <w:tcBorders>
              <w:left w:val="single" w:sz="4" w:space="0" w:color="000000"/>
              <w:right w:val="single" w:sz="4" w:space="0" w:color="000000"/>
            </w:tcBorders>
            <w:shd w:val="clear" w:color="auto" w:fill="D2D2D2"/>
          </w:tcPr>
          <w:p>
            <w:pPr/>
          </w:p>
        </w:tc>
        <w:tc>
          <w:tcPr>
            <w:tcW w:w="106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6"/>
              <w:ind w:left="106"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06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6"/>
              <w:ind w:left="211"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1063" w:type="dxa"/>
            <w:vMerge/>
            <w:tcBorders>
              <w:left w:val="single" w:sz="4" w:space="0" w:color="000000"/>
              <w:right w:val="single" w:sz="4" w:space="0" w:color="000000"/>
            </w:tcBorders>
            <w:shd w:val="clear" w:color="auto" w:fill="D2D2D2"/>
          </w:tcPr>
          <w:p>
            <w:pPr/>
          </w:p>
        </w:tc>
        <w:tc>
          <w:tcPr>
            <w:tcW w:w="1054" w:type="dxa"/>
            <w:vMerge/>
            <w:tcBorders>
              <w:left w:val="single" w:sz="4" w:space="0" w:color="000000"/>
              <w:right w:val="single" w:sz="4" w:space="0" w:color="000000"/>
            </w:tcBorders>
            <w:shd w:val="clear" w:color="auto" w:fill="D2D2D2"/>
          </w:tcPr>
          <w:p>
            <w:pPr/>
          </w:p>
        </w:tc>
      </w:tr>
      <w:tr>
        <w:trPr>
          <w:trHeight w:val="161" w:hRule="exact"/>
        </w:trPr>
        <w:tc>
          <w:tcPr>
            <w:tcW w:w="1073" w:type="dxa"/>
            <w:tcBorders>
              <w:top w:val="nil" w:sz="6" w:space="0" w:color="auto"/>
              <w:left w:val="single" w:sz="4" w:space="0" w:color="000000"/>
              <w:bottom w:val="single" w:sz="4" w:space="0" w:color="000000"/>
              <w:right w:val="single" w:sz="4" w:space="0" w:color="000000"/>
            </w:tcBorders>
            <w:shd w:val="clear" w:color="auto" w:fill="D2D2D2"/>
          </w:tcPr>
          <w:p>
            <w:pPr/>
          </w:p>
        </w:tc>
        <w:tc>
          <w:tcPr>
            <w:tcW w:w="1049"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2"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6" w:type="dxa"/>
            <w:vMerge/>
            <w:tcBorders>
              <w:left w:val="single" w:sz="4" w:space="0" w:color="000000"/>
              <w:bottom w:val="single" w:sz="4" w:space="0" w:color="000000"/>
              <w:right w:val="single" w:sz="4" w:space="0" w:color="000000"/>
            </w:tcBorders>
            <w:shd w:val="clear" w:color="auto" w:fill="D2D2D2"/>
          </w:tcPr>
          <w:p>
            <w:pPr/>
          </w:p>
        </w:tc>
        <w:tc>
          <w:tcPr>
            <w:tcW w:w="1064" w:type="dxa"/>
            <w:vMerge/>
            <w:tcBorders>
              <w:left w:val="single" w:sz="4" w:space="0" w:color="000000"/>
              <w:bottom w:val="single" w:sz="4" w:space="0" w:color="000000"/>
              <w:right w:val="single" w:sz="4" w:space="0" w:color="000000"/>
            </w:tcBorders>
            <w:shd w:val="clear" w:color="auto" w:fill="D2D2D2"/>
          </w:tcPr>
          <w:p>
            <w:pPr/>
          </w:p>
        </w:tc>
        <w:tc>
          <w:tcPr>
            <w:tcW w:w="1063"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4"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c>
          <w:tcPr>
            <w:tcW w:w="1054" w:type="dxa"/>
            <w:vMerge/>
            <w:tcBorders>
              <w:left w:val="single" w:sz="4" w:space="0" w:color="000000"/>
              <w:bottom w:val="single" w:sz="4" w:space="0" w:color="000000"/>
              <w:right w:val="single" w:sz="4" w:space="0" w:color="000000"/>
            </w:tcBorders>
            <w:shd w:val="clear" w:color="auto" w:fill="D2D2D2"/>
          </w:tcPr>
          <w:p>
            <w:pPr/>
          </w:p>
        </w:tc>
      </w:tr>
      <w:tr>
        <w:trPr>
          <w:trHeight w:val="317" w:hRule="exact"/>
        </w:trPr>
        <w:tc>
          <w:tcPr>
            <w:tcW w:w="1073" w:type="dxa"/>
            <w:vMerge w:val="restart"/>
            <w:tcBorders>
              <w:top w:val="single" w:sz="4" w:space="0" w:color="000000"/>
              <w:left w:val="single" w:sz="4" w:space="0" w:color="000000"/>
              <w:right w:val="single" w:sz="9" w:space="0" w:color="D2D2D2"/>
            </w:tcBorders>
          </w:tcPr>
          <w:p>
            <w:pPr>
              <w:pStyle w:val="TableParagraph"/>
              <w:spacing w:line="319" w:lineRule="auto" w:before="51"/>
              <w:ind w:left="75" w:right="78"/>
              <w:jc w:val="center"/>
              <w:rPr>
                <w:rFonts w:ascii="宋体" w:hAnsi="宋体" w:cs="宋体" w:eastAsia="宋体" w:hint="default"/>
                <w:sz w:val="18"/>
                <w:szCs w:val="18"/>
              </w:rPr>
            </w:pPr>
            <w:r>
              <w:rPr>
                <w:rFonts w:ascii="宋体" w:hAnsi="宋体" w:cs="宋体" w:eastAsia="宋体" w:hint="default"/>
                <w:sz w:val="18"/>
                <w:szCs w:val="18"/>
              </w:rPr>
              <w:t>成都西南交 大驱动技术 有限责任公 司</w:t>
            </w:r>
          </w:p>
        </w:tc>
        <w:tc>
          <w:tcPr>
            <w:tcW w:w="1049"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2"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6"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4"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3" w:type="dxa"/>
            <w:vMerge w:val="restart"/>
            <w:tcBorders>
              <w:top w:val="single" w:sz="4" w:space="0" w:color="000000"/>
              <w:left w:val="single" w:sz="4" w:space="0" w:color="000000"/>
              <w:right w:val="single" w:sz="4" w:space="0" w:color="000000"/>
            </w:tcBorders>
            <w:shd w:val="clear" w:color="auto" w:fill="D2D2D2"/>
          </w:tcPr>
          <w:p>
            <w:pPr/>
          </w:p>
        </w:tc>
        <w:tc>
          <w:tcPr>
            <w:tcW w:w="1064" w:type="dxa"/>
            <w:vMerge w:val="restart"/>
            <w:tcBorders>
              <w:top w:val="single" w:sz="4" w:space="0" w:color="000000"/>
              <w:left w:val="single" w:sz="4" w:space="0" w:color="000000"/>
              <w:right w:val="single" w:sz="4" w:space="0" w:color="000000"/>
            </w:tcBorders>
            <w:shd w:val="clear" w:color="auto" w:fill="D2D2D2"/>
          </w:tcPr>
          <w:p>
            <w:pPr/>
          </w:p>
        </w:tc>
        <w:tc>
          <w:tcPr>
            <w:tcW w:w="1063" w:type="dxa"/>
            <w:vMerge w:val="restart"/>
            <w:tcBorders>
              <w:top w:val="single" w:sz="4" w:space="0" w:color="000000"/>
              <w:left w:val="single" w:sz="4" w:space="0" w:color="000000"/>
              <w:right w:val="single" w:sz="4" w:space="0" w:color="000000"/>
            </w:tcBorders>
            <w:shd w:val="clear" w:color="auto" w:fill="D2D2D2"/>
          </w:tcPr>
          <w:p>
            <w:pPr/>
          </w:p>
        </w:tc>
        <w:tc>
          <w:tcPr>
            <w:tcW w:w="1054" w:type="dxa"/>
            <w:vMerge w:val="restart"/>
            <w:tcBorders>
              <w:top w:val="single" w:sz="4" w:space="0" w:color="000000"/>
              <w:left w:val="single" w:sz="4" w:space="0" w:color="000000"/>
              <w:right w:val="single" w:sz="4" w:space="0" w:color="000000"/>
            </w:tcBorders>
            <w:shd w:val="clear" w:color="auto" w:fill="D2D2D2"/>
          </w:tcPr>
          <w:p>
            <w:pPr/>
          </w:p>
        </w:tc>
      </w:tr>
      <w:tr>
        <w:trPr>
          <w:trHeight w:val="156" w:hRule="exact"/>
        </w:trPr>
        <w:tc>
          <w:tcPr>
            <w:tcW w:w="1073" w:type="dxa"/>
            <w:vMerge/>
            <w:tcBorders>
              <w:left w:val="single" w:sz="4" w:space="0" w:color="000000"/>
              <w:right w:val="single" w:sz="9" w:space="0" w:color="D2D2D2"/>
            </w:tcBorders>
          </w:tcPr>
          <w:p>
            <w:pPr/>
          </w:p>
        </w:tc>
        <w:tc>
          <w:tcPr>
            <w:tcW w:w="104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6"/>
              <w:ind w:right="11"/>
              <w:jc w:val="center"/>
              <w:rPr>
                <w:rFonts w:ascii="宋体" w:hAnsi="宋体" w:cs="宋体" w:eastAsia="宋体" w:hint="default"/>
                <w:sz w:val="21"/>
                <w:szCs w:val="21"/>
              </w:rPr>
            </w:pPr>
            <w:r>
              <w:rPr>
                <w:rFonts w:ascii="宋体"/>
                <w:sz w:val="21"/>
              </w:rPr>
              <w:t>39,883,94</w:t>
            </w:r>
          </w:p>
          <w:p>
            <w:pPr>
              <w:pStyle w:val="TableParagraph"/>
              <w:spacing w:line="240" w:lineRule="auto" w:before="38"/>
              <w:ind w:right="9"/>
              <w:jc w:val="center"/>
              <w:rPr>
                <w:rFonts w:ascii="宋体" w:hAnsi="宋体" w:cs="宋体" w:eastAsia="宋体" w:hint="default"/>
                <w:sz w:val="21"/>
                <w:szCs w:val="21"/>
              </w:rPr>
            </w:pPr>
            <w:r>
              <w:rPr>
                <w:rFonts w:ascii="宋体"/>
                <w:sz w:val="21"/>
              </w:rPr>
              <w:t>5.27</w:t>
            </w:r>
          </w:p>
        </w:tc>
        <w:tc>
          <w:tcPr>
            <w:tcW w:w="10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sz w:val="21"/>
              </w:rPr>
              <w:t>10,456,41</w:t>
            </w:r>
          </w:p>
          <w:p>
            <w:pPr>
              <w:pStyle w:val="TableParagraph"/>
              <w:spacing w:line="240" w:lineRule="auto" w:before="38"/>
              <w:ind w:left="1" w:right="0"/>
              <w:jc w:val="center"/>
              <w:rPr>
                <w:rFonts w:ascii="宋体" w:hAnsi="宋体" w:cs="宋体" w:eastAsia="宋体" w:hint="default"/>
                <w:sz w:val="21"/>
                <w:szCs w:val="21"/>
              </w:rPr>
            </w:pPr>
            <w:r>
              <w:rPr>
                <w:rFonts w:ascii="宋体"/>
                <w:sz w:val="21"/>
              </w:rPr>
              <w:t>0.60</w:t>
            </w:r>
          </w:p>
        </w:tc>
        <w:tc>
          <w:tcPr>
            <w:tcW w:w="106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6"/>
              <w:ind w:left="1" w:right="0"/>
              <w:jc w:val="center"/>
              <w:rPr>
                <w:rFonts w:ascii="宋体" w:hAnsi="宋体" w:cs="宋体" w:eastAsia="宋体" w:hint="default"/>
                <w:sz w:val="21"/>
                <w:szCs w:val="21"/>
              </w:rPr>
            </w:pPr>
            <w:r>
              <w:rPr>
                <w:rFonts w:ascii="宋体"/>
                <w:sz w:val="21"/>
              </w:rPr>
              <w:t>10,456,41</w:t>
            </w:r>
          </w:p>
          <w:p>
            <w:pPr>
              <w:pStyle w:val="TableParagraph"/>
              <w:spacing w:line="240" w:lineRule="auto" w:before="38"/>
              <w:ind w:right="0"/>
              <w:jc w:val="center"/>
              <w:rPr>
                <w:rFonts w:ascii="宋体" w:hAnsi="宋体" w:cs="宋体" w:eastAsia="宋体" w:hint="default"/>
                <w:sz w:val="21"/>
                <w:szCs w:val="21"/>
              </w:rPr>
            </w:pPr>
            <w:r>
              <w:rPr>
                <w:rFonts w:ascii="宋体"/>
                <w:sz w:val="21"/>
              </w:rPr>
              <w:t>0.60</w:t>
            </w:r>
          </w:p>
        </w:tc>
        <w:tc>
          <w:tcPr>
            <w:tcW w:w="106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6"/>
              <w:ind w:left="1" w:right="0"/>
              <w:jc w:val="center"/>
              <w:rPr>
                <w:rFonts w:ascii="宋体" w:hAnsi="宋体" w:cs="宋体" w:eastAsia="宋体" w:hint="default"/>
                <w:sz w:val="21"/>
                <w:szCs w:val="21"/>
              </w:rPr>
            </w:pPr>
            <w:r>
              <w:rPr>
                <w:rFonts w:ascii="宋体"/>
                <w:sz w:val="21"/>
              </w:rPr>
              <w:t>-5,550,83</w:t>
            </w:r>
          </w:p>
          <w:p>
            <w:pPr>
              <w:pStyle w:val="TableParagraph"/>
              <w:spacing w:line="240" w:lineRule="auto" w:before="38"/>
              <w:ind w:right="1"/>
              <w:jc w:val="center"/>
              <w:rPr>
                <w:rFonts w:ascii="宋体" w:hAnsi="宋体" w:cs="宋体" w:eastAsia="宋体" w:hint="default"/>
                <w:sz w:val="21"/>
                <w:szCs w:val="21"/>
              </w:rPr>
            </w:pPr>
            <w:r>
              <w:rPr>
                <w:rFonts w:ascii="宋体"/>
                <w:sz w:val="21"/>
              </w:rPr>
              <w:t>3.17</w:t>
            </w:r>
          </w:p>
        </w:tc>
        <w:tc>
          <w:tcPr>
            <w:tcW w:w="1063" w:type="dxa"/>
            <w:vMerge/>
            <w:tcBorders>
              <w:left w:val="single" w:sz="4" w:space="0" w:color="000000"/>
              <w:bottom w:val="nil" w:sz="6" w:space="0" w:color="auto"/>
              <w:right w:val="single" w:sz="4" w:space="0" w:color="000000"/>
            </w:tcBorders>
            <w:shd w:val="clear" w:color="auto" w:fill="D2D2D2"/>
          </w:tcPr>
          <w:p>
            <w:pPr/>
          </w:p>
        </w:tc>
        <w:tc>
          <w:tcPr>
            <w:tcW w:w="1064" w:type="dxa"/>
            <w:vMerge/>
            <w:tcBorders>
              <w:left w:val="single" w:sz="4" w:space="0" w:color="000000"/>
              <w:bottom w:val="nil" w:sz="6" w:space="0" w:color="auto"/>
              <w:right w:val="single" w:sz="4" w:space="0" w:color="000000"/>
            </w:tcBorders>
            <w:shd w:val="clear" w:color="auto" w:fill="D2D2D2"/>
          </w:tcPr>
          <w:p>
            <w:pPr/>
          </w:p>
        </w:tc>
        <w:tc>
          <w:tcPr>
            <w:tcW w:w="1063" w:type="dxa"/>
            <w:vMerge/>
            <w:tcBorders>
              <w:left w:val="single" w:sz="4" w:space="0" w:color="000000"/>
              <w:bottom w:val="nil" w:sz="6" w:space="0" w:color="auto"/>
              <w:right w:val="single" w:sz="4" w:space="0" w:color="000000"/>
            </w:tcBorders>
            <w:shd w:val="clear" w:color="auto" w:fill="D2D2D2"/>
          </w:tcPr>
          <w:p>
            <w:pPr/>
          </w:p>
        </w:tc>
        <w:tc>
          <w:tcPr>
            <w:tcW w:w="1054" w:type="dxa"/>
            <w:vMerge/>
            <w:tcBorders>
              <w:left w:val="single" w:sz="4" w:space="0" w:color="000000"/>
              <w:bottom w:val="nil" w:sz="6" w:space="0" w:color="auto"/>
              <w:right w:val="single" w:sz="4" w:space="0" w:color="000000"/>
            </w:tcBorders>
            <w:shd w:val="clear" w:color="auto" w:fill="D2D2D2"/>
          </w:tcPr>
          <w:p>
            <w:pPr/>
          </w:p>
        </w:tc>
      </w:tr>
      <w:tr>
        <w:trPr>
          <w:trHeight w:val="392" w:hRule="exact"/>
        </w:trPr>
        <w:tc>
          <w:tcPr>
            <w:tcW w:w="1073" w:type="dxa"/>
            <w:vMerge/>
            <w:tcBorders>
              <w:left w:val="single" w:sz="4" w:space="0" w:color="000000"/>
              <w:right w:val="single" w:sz="9" w:space="0" w:color="D2D2D2"/>
            </w:tcBorders>
          </w:tcPr>
          <w:p>
            <w:pPr/>
          </w:p>
        </w:tc>
        <w:tc>
          <w:tcPr>
            <w:tcW w:w="1049" w:type="dxa"/>
            <w:vMerge/>
            <w:tcBorders>
              <w:left w:val="single" w:sz="4" w:space="0" w:color="000000"/>
              <w:right w:val="single" w:sz="4" w:space="0" w:color="000000"/>
            </w:tcBorders>
            <w:shd w:val="clear" w:color="auto" w:fill="D2D2D2"/>
          </w:tcPr>
          <w:p>
            <w:pPr/>
          </w:p>
        </w:tc>
        <w:tc>
          <w:tcPr>
            <w:tcW w:w="1062" w:type="dxa"/>
            <w:vMerge/>
            <w:tcBorders>
              <w:left w:val="single" w:sz="4" w:space="0" w:color="000000"/>
              <w:right w:val="single" w:sz="4" w:space="0" w:color="000000"/>
            </w:tcBorders>
            <w:shd w:val="clear" w:color="auto" w:fill="D2D2D2"/>
          </w:tcPr>
          <w:p>
            <w:pPr/>
          </w:p>
        </w:tc>
        <w:tc>
          <w:tcPr>
            <w:tcW w:w="1066" w:type="dxa"/>
            <w:vMerge/>
            <w:tcBorders>
              <w:left w:val="single" w:sz="4" w:space="0" w:color="000000"/>
              <w:right w:val="single" w:sz="4" w:space="0" w:color="000000"/>
            </w:tcBorders>
            <w:shd w:val="clear" w:color="auto" w:fill="D2D2D2"/>
          </w:tcPr>
          <w:p>
            <w:pPr/>
          </w:p>
        </w:tc>
        <w:tc>
          <w:tcPr>
            <w:tcW w:w="1064" w:type="dxa"/>
            <w:vMerge/>
            <w:tcBorders>
              <w:left w:val="single" w:sz="4" w:space="0" w:color="000000"/>
              <w:right w:val="single" w:sz="4" w:space="0" w:color="000000"/>
            </w:tcBorders>
            <w:shd w:val="clear" w:color="auto" w:fill="D2D2D2"/>
          </w:tcPr>
          <w:p>
            <w:pPr/>
          </w:p>
        </w:tc>
        <w:tc>
          <w:tcPr>
            <w:tcW w:w="1063" w:type="dxa"/>
            <w:tcBorders>
              <w:top w:val="nil" w:sz="6" w:space="0" w:color="auto"/>
              <w:left w:val="single" w:sz="4" w:space="0" w:color="000000"/>
              <w:bottom w:val="nil" w:sz="6" w:space="0" w:color="auto"/>
              <w:right w:val="single" w:sz="4" w:space="0" w:color="000000"/>
            </w:tcBorders>
            <w:shd w:val="clear" w:color="auto" w:fill="D2D2D2"/>
          </w:tcPr>
          <w:p>
            <w:pPr/>
          </w:p>
        </w:tc>
        <w:tc>
          <w:tcPr>
            <w:tcW w:w="1064" w:type="dxa"/>
            <w:tcBorders>
              <w:top w:val="nil" w:sz="6" w:space="0" w:color="auto"/>
              <w:left w:val="single" w:sz="4" w:space="0" w:color="000000"/>
              <w:bottom w:val="nil" w:sz="6" w:space="0" w:color="auto"/>
              <w:right w:val="single" w:sz="4" w:space="0" w:color="000000"/>
            </w:tcBorders>
            <w:shd w:val="clear" w:color="auto" w:fill="D2D2D2"/>
          </w:tcPr>
          <w:p>
            <w:pPr/>
          </w:p>
        </w:tc>
        <w:tc>
          <w:tcPr>
            <w:tcW w:w="1063" w:type="dxa"/>
            <w:tcBorders>
              <w:top w:val="nil" w:sz="6" w:space="0" w:color="auto"/>
              <w:left w:val="single" w:sz="4" w:space="0" w:color="000000"/>
              <w:bottom w:val="nil" w:sz="6" w:space="0" w:color="auto"/>
              <w:right w:val="single" w:sz="4" w:space="0" w:color="000000"/>
            </w:tcBorders>
            <w:shd w:val="clear" w:color="auto" w:fill="D2D2D2"/>
          </w:tcPr>
          <w:p>
            <w:pPr/>
          </w:p>
        </w:tc>
        <w:tc>
          <w:tcPr>
            <w:tcW w:w="1054" w:type="dxa"/>
            <w:tcBorders>
              <w:top w:val="nil" w:sz="6" w:space="0" w:color="auto"/>
              <w:left w:val="single" w:sz="4" w:space="0" w:color="000000"/>
              <w:bottom w:val="nil" w:sz="6" w:space="0" w:color="auto"/>
              <w:right w:val="single" w:sz="4" w:space="0" w:color="000000"/>
            </w:tcBorders>
            <w:shd w:val="clear" w:color="auto" w:fill="D2D2D2"/>
          </w:tcPr>
          <w:p>
            <w:pPr/>
          </w:p>
        </w:tc>
      </w:tr>
      <w:tr>
        <w:trPr>
          <w:trHeight w:val="156" w:hRule="exact"/>
        </w:trPr>
        <w:tc>
          <w:tcPr>
            <w:tcW w:w="1073" w:type="dxa"/>
            <w:vMerge/>
            <w:tcBorders>
              <w:left w:val="single" w:sz="4" w:space="0" w:color="000000"/>
              <w:right w:val="single" w:sz="9" w:space="0" w:color="D2D2D2"/>
            </w:tcBorders>
          </w:tcPr>
          <w:p>
            <w:pPr/>
          </w:p>
        </w:tc>
        <w:tc>
          <w:tcPr>
            <w:tcW w:w="1049" w:type="dxa"/>
            <w:vMerge/>
            <w:tcBorders>
              <w:left w:val="single" w:sz="4" w:space="0" w:color="000000"/>
              <w:bottom w:val="nil" w:sz="6" w:space="0" w:color="auto"/>
              <w:right w:val="single" w:sz="4" w:space="0" w:color="000000"/>
            </w:tcBorders>
            <w:shd w:val="clear" w:color="auto" w:fill="D2D2D2"/>
          </w:tcPr>
          <w:p>
            <w:pPr/>
          </w:p>
        </w:tc>
        <w:tc>
          <w:tcPr>
            <w:tcW w:w="1062" w:type="dxa"/>
            <w:vMerge/>
            <w:tcBorders>
              <w:left w:val="single" w:sz="4" w:space="0" w:color="000000"/>
              <w:bottom w:val="nil" w:sz="6" w:space="0" w:color="auto"/>
              <w:right w:val="single" w:sz="4" w:space="0" w:color="000000"/>
            </w:tcBorders>
            <w:shd w:val="clear" w:color="auto" w:fill="D2D2D2"/>
          </w:tcPr>
          <w:p>
            <w:pPr/>
          </w:p>
        </w:tc>
        <w:tc>
          <w:tcPr>
            <w:tcW w:w="1066" w:type="dxa"/>
            <w:vMerge/>
            <w:tcBorders>
              <w:left w:val="single" w:sz="4" w:space="0" w:color="000000"/>
              <w:bottom w:val="nil" w:sz="6" w:space="0" w:color="auto"/>
              <w:right w:val="single" w:sz="4" w:space="0" w:color="000000"/>
            </w:tcBorders>
            <w:shd w:val="clear" w:color="auto" w:fill="D2D2D2"/>
          </w:tcPr>
          <w:p>
            <w:pPr/>
          </w:p>
        </w:tc>
        <w:tc>
          <w:tcPr>
            <w:tcW w:w="1064" w:type="dxa"/>
            <w:vMerge/>
            <w:tcBorders>
              <w:left w:val="single" w:sz="4" w:space="0" w:color="000000"/>
              <w:bottom w:val="nil" w:sz="6" w:space="0" w:color="auto"/>
              <w:right w:val="single" w:sz="4" w:space="0" w:color="000000"/>
            </w:tcBorders>
            <w:shd w:val="clear" w:color="auto" w:fill="D2D2D2"/>
          </w:tcPr>
          <w:p>
            <w:pPr/>
          </w:p>
        </w:tc>
        <w:tc>
          <w:tcPr>
            <w:tcW w:w="1063" w:type="dxa"/>
            <w:vMerge w:val="restart"/>
            <w:tcBorders>
              <w:top w:val="nil" w:sz="6" w:space="0" w:color="auto"/>
              <w:left w:val="single" w:sz="4" w:space="0" w:color="000000"/>
              <w:right w:val="single" w:sz="4" w:space="0" w:color="000000"/>
            </w:tcBorders>
            <w:shd w:val="clear" w:color="auto" w:fill="D2D2D2"/>
          </w:tcPr>
          <w:p>
            <w:pPr/>
          </w:p>
        </w:tc>
        <w:tc>
          <w:tcPr>
            <w:tcW w:w="1064" w:type="dxa"/>
            <w:vMerge w:val="restart"/>
            <w:tcBorders>
              <w:top w:val="nil" w:sz="6" w:space="0" w:color="auto"/>
              <w:left w:val="single" w:sz="4" w:space="0" w:color="000000"/>
              <w:right w:val="single" w:sz="4" w:space="0" w:color="000000"/>
            </w:tcBorders>
            <w:shd w:val="clear" w:color="auto" w:fill="D2D2D2"/>
          </w:tcPr>
          <w:p>
            <w:pPr/>
          </w:p>
        </w:tc>
        <w:tc>
          <w:tcPr>
            <w:tcW w:w="1063" w:type="dxa"/>
            <w:vMerge w:val="restart"/>
            <w:tcBorders>
              <w:top w:val="nil" w:sz="6" w:space="0" w:color="auto"/>
              <w:left w:val="single" w:sz="4" w:space="0" w:color="000000"/>
              <w:right w:val="single" w:sz="4" w:space="0" w:color="000000"/>
            </w:tcBorders>
            <w:shd w:val="clear" w:color="auto" w:fill="D2D2D2"/>
          </w:tcPr>
          <w:p>
            <w:pPr/>
          </w:p>
        </w:tc>
        <w:tc>
          <w:tcPr>
            <w:tcW w:w="1054" w:type="dxa"/>
            <w:vMerge w:val="restart"/>
            <w:tcBorders>
              <w:top w:val="nil" w:sz="6" w:space="0" w:color="auto"/>
              <w:left w:val="single" w:sz="4" w:space="0" w:color="000000"/>
              <w:right w:val="single" w:sz="4" w:space="0" w:color="000000"/>
            </w:tcBorders>
            <w:shd w:val="clear" w:color="auto" w:fill="D2D2D2"/>
          </w:tcPr>
          <w:p>
            <w:pPr/>
          </w:p>
        </w:tc>
      </w:tr>
      <w:tr>
        <w:trPr>
          <w:trHeight w:val="317" w:hRule="exact"/>
        </w:trPr>
        <w:tc>
          <w:tcPr>
            <w:tcW w:w="1073" w:type="dxa"/>
            <w:vMerge/>
            <w:tcBorders>
              <w:left w:val="single" w:sz="4" w:space="0" w:color="000000"/>
              <w:bottom w:val="single" w:sz="4" w:space="0" w:color="000000"/>
              <w:right w:val="single" w:sz="9" w:space="0" w:color="D2D2D2"/>
            </w:tcBorders>
          </w:tcPr>
          <w:p>
            <w:pPr/>
          </w:p>
        </w:tc>
        <w:tc>
          <w:tcPr>
            <w:tcW w:w="1049"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2"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6"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4"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c>
          <w:tcPr>
            <w:tcW w:w="1064" w:type="dxa"/>
            <w:vMerge/>
            <w:tcBorders>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c>
          <w:tcPr>
            <w:tcW w:w="1054" w:type="dxa"/>
            <w:vMerge/>
            <w:tcBorders>
              <w:left w:val="single" w:sz="4" w:space="0" w:color="000000"/>
              <w:bottom w:val="single" w:sz="4" w:space="0" w:color="000000"/>
              <w:right w:val="single" w:sz="4" w:space="0" w:color="000000"/>
            </w:tcBorders>
            <w:shd w:val="clear" w:color="auto" w:fill="D2D2D2"/>
          </w:tcPr>
          <w:p>
            <w:pPr/>
          </w:p>
        </w:tc>
      </w:tr>
    </w:tbl>
    <w:p>
      <w:pPr>
        <w:spacing w:line="240" w:lineRule="auto" w:before="10"/>
        <w:rPr>
          <w:rFonts w:ascii="宋体" w:hAnsi="宋体" w:cs="宋体" w:eastAsia="宋体" w:hint="default"/>
          <w:sz w:val="4"/>
          <w:szCs w:val="4"/>
        </w:rPr>
      </w:pPr>
    </w:p>
    <w:p>
      <w:pPr>
        <w:pStyle w:val="Heading2"/>
        <w:spacing w:line="352" w:lineRule="auto"/>
        <w:ind w:left="633" w:right="4513" w:firstLine="2"/>
        <w:jc w:val="left"/>
        <w:rPr>
          <w:rFonts w:ascii="宋体" w:hAnsi="宋体" w:cs="宋体" w:eastAsia="宋体" w:hint="default"/>
          <w:b w:val="0"/>
          <w:bCs w:val="0"/>
        </w:rPr>
      </w:pPr>
      <w:bookmarkStart w:name="（4）使用企业集团资产和清偿企业集团债务的重大限制" w:id="445"/>
      <w:bookmarkEnd w:id="445"/>
      <w:r>
        <w:rPr>
          <w:b w:val="0"/>
          <w:bCs w:val="0"/>
        </w:rPr>
      </w:r>
      <w:r>
        <w:rPr>
          <w:w w:val="95"/>
        </w:rPr>
        <w:t>（</w:t>
      </w:r>
      <w:r>
        <w:rPr>
          <w:rFonts w:ascii="宋体" w:hAnsi="宋体" w:cs="宋体" w:eastAsia="宋体" w:hint="default"/>
          <w:w w:val="95"/>
        </w:rPr>
        <w:t>4</w:t>
      </w:r>
      <w:r>
        <w:rPr>
          <w:w w:val="95"/>
        </w:rPr>
        <w:t>）使用企业集团资产和清偿企业集团债务的重大限制 </w:t>
      </w:r>
      <w:r>
        <w:rPr>
          <w:spacing w:val="41"/>
          <w:w w:val="95"/>
        </w:rPr>
        <w:t> </w:t>
      </w:r>
      <w:r>
        <w:rPr>
          <w:rFonts w:ascii="宋体" w:hAnsi="宋体" w:cs="宋体" w:eastAsia="宋体" w:hint="default"/>
          <w:b w:val="0"/>
          <w:bCs w:val="0"/>
        </w:rPr>
        <w:t>无</w:t>
      </w:r>
    </w:p>
    <w:p>
      <w:pPr>
        <w:pStyle w:val="Heading2"/>
        <w:spacing w:line="350" w:lineRule="auto" w:before="32"/>
        <w:ind w:left="633" w:right="2953" w:firstLine="2"/>
        <w:jc w:val="left"/>
        <w:rPr>
          <w:rFonts w:ascii="宋体" w:hAnsi="宋体" w:cs="宋体" w:eastAsia="宋体" w:hint="default"/>
          <w:b w:val="0"/>
          <w:bCs w:val="0"/>
        </w:rPr>
      </w:pPr>
      <w:bookmarkStart w:name="（5）向纳入合并财务报表范围的结构化主体提供的财务支持或其他支持" w:id="446"/>
      <w:bookmarkEnd w:id="446"/>
      <w:r>
        <w:rPr>
          <w:b w:val="0"/>
          <w:bCs w:val="0"/>
        </w:rPr>
      </w:r>
      <w:r>
        <w:rPr>
          <w:w w:val="95"/>
        </w:rPr>
        <w:t>（</w:t>
      </w:r>
      <w:r>
        <w:rPr>
          <w:rFonts w:ascii="宋体" w:hAnsi="宋体" w:cs="宋体" w:eastAsia="宋体" w:hint="default"/>
          <w:w w:val="95"/>
        </w:rPr>
        <w:t>5</w:t>
      </w:r>
      <w:r>
        <w:rPr>
          <w:w w:val="95"/>
        </w:rPr>
        <w:t>）向纳入合并财务报表范围的结构化主体提供的财务支持或其他支持  </w:t>
      </w:r>
      <w:r>
        <w:rPr>
          <w:spacing w:val="4"/>
          <w:w w:val="95"/>
        </w:rPr>
        <w:t> </w:t>
      </w:r>
      <w:r>
        <w:rPr>
          <w:rFonts w:ascii="宋体" w:hAnsi="宋体" w:cs="宋体" w:eastAsia="宋体" w:hint="default"/>
          <w:b w:val="0"/>
          <w:bCs w:val="0"/>
        </w:rPr>
        <w:t>无</w:t>
      </w:r>
    </w:p>
    <w:p>
      <w:pPr>
        <w:pStyle w:val="Heading2"/>
        <w:spacing w:line="240" w:lineRule="auto" w:before="209"/>
        <w:ind w:right="996"/>
        <w:jc w:val="left"/>
        <w:rPr>
          <w:b w:val="0"/>
          <w:bCs w:val="0"/>
        </w:rPr>
      </w:pPr>
      <w:bookmarkStart w:name="2、在子公司的所有者权益份额发生变化且仍控制子公司的交易" w:id="447"/>
      <w:bookmarkEnd w:id="447"/>
      <w:r>
        <w:rPr>
          <w:b w:val="0"/>
          <w:bCs w:val="0"/>
        </w:rPr>
      </w:r>
      <w:r>
        <w:rPr>
          <w:rFonts w:ascii="宋体" w:hAnsi="宋体" w:cs="宋体" w:eastAsia="宋体" w:hint="default"/>
        </w:rPr>
        <w:t>2</w:t>
      </w:r>
      <w:r>
        <w:rPr/>
        <w:t>、在子公司的所有者权益份额发生变化且仍控制子公司的交易</w:t>
      </w:r>
      <w:r>
        <w:rPr>
          <w:b w:val="0"/>
          <w:bCs w:val="0"/>
        </w:rPr>
      </w:r>
    </w:p>
    <w:p>
      <w:pPr>
        <w:spacing w:line="240" w:lineRule="auto" w:before="6"/>
        <w:rPr>
          <w:rFonts w:ascii="宋体" w:hAnsi="宋体" w:cs="宋体" w:eastAsia="宋体" w:hint="default"/>
          <w:b/>
          <w:bCs/>
          <w:sz w:val="32"/>
          <w:szCs w:val="32"/>
        </w:rPr>
      </w:pPr>
    </w:p>
    <w:p>
      <w:pPr>
        <w:pStyle w:val="Heading2"/>
        <w:spacing w:line="350" w:lineRule="auto" w:before="0"/>
        <w:ind w:left="633" w:right="4993" w:firstLine="2"/>
        <w:jc w:val="left"/>
        <w:rPr>
          <w:rFonts w:ascii="宋体" w:hAnsi="宋体" w:cs="宋体" w:eastAsia="宋体" w:hint="default"/>
          <w:b w:val="0"/>
          <w:bCs w:val="0"/>
        </w:rPr>
      </w:pPr>
      <w:bookmarkStart w:name="（1）在子公司所有者权益份额发生变化的情况说明" w:id="448"/>
      <w:bookmarkEnd w:id="448"/>
      <w:r>
        <w:rPr>
          <w:b w:val="0"/>
          <w:bCs w:val="0"/>
        </w:rPr>
      </w:r>
      <w:r>
        <w:rPr>
          <w:w w:val="95"/>
        </w:rPr>
        <w:t>（</w:t>
      </w:r>
      <w:r>
        <w:rPr>
          <w:rFonts w:ascii="宋体" w:hAnsi="宋体" w:cs="宋体" w:eastAsia="宋体" w:hint="default"/>
          <w:w w:val="95"/>
        </w:rPr>
        <w:t>1</w:t>
      </w:r>
      <w:r>
        <w:rPr>
          <w:w w:val="95"/>
        </w:rPr>
        <w:t>）在子公司所有者权益份额发生变化的情况说明 </w:t>
      </w:r>
      <w:r>
        <w:rPr>
          <w:spacing w:val="19"/>
          <w:w w:val="95"/>
        </w:rPr>
        <w:t> </w:t>
      </w:r>
      <w:r>
        <w:rPr>
          <w:rFonts w:ascii="宋体" w:hAnsi="宋体" w:cs="宋体" w:eastAsia="宋体" w:hint="default"/>
          <w:b w:val="0"/>
          <w:bCs w:val="0"/>
        </w:rPr>
        <w:t>无</w:t>
      </w:r>
    </w:p>
    <w:p>
      <w:pPr>
        <w:pStyle w:val="Heading2"/>
        <w:spacing w:line="352" w:lineRule="auto" w:before="35"/>
        <w:ind w:left="633" w:right="3645" w:firstLine="2"/>
        <w:jc w:val="left"/>
        <w:rPr>
          <w:rFonts w:ascii="宋体" w:hAnsi="宋体" w:cs="宋体" w:eastAsia="宋体" w:hint="default"/>
          <w:b w:val="0"/>
          <w:bCs w:val="0"/>
        </w:rPr>
      </w:pPr>
      <w:bookmarkStart w:name="（2）交易对于少数股东权益及归属于母公司所有者权益的影响" w:id="449"/>
      <w:bookmarkEnd w:id="449"/>
      <w:r>
        <w:rPr>
          <w:b w:val="0"/>
          <w:bCs w:val="0"/>
        </w:rPr>
      </w:r>
      <w:r>
        <w:rPr/>
        <w:t>（</w:t>
      </w:r>
      <w:r>
        <w:rPr>
          <w:rFonts w:ascii="宋体" w:hAnsi="宋体" w:cs="宋体" w:eastAsia="宋体" w:hint="default"/>
        </w:rPr>
        <w:t>2</w:t>
      </w:r>
      <w:r>
        <w:rPr/>
        <w:t>）交易对于少数股东权益及归属于母公司所有者权益的影响</w:t>
      </w:r>
      <w:r>
        <w:rPr>
          <w:spacing w:val="1"/>
          <w:w w:val="99"/>
        </w:rPr>
        <w:t> </w:t>
      </w:r>
      <w:r>
        <w:rPr>
          <w:rFonts w:ascii="宋体" w:hAnsi="宋体" w:cs="宋体" w:eastAsia="宋体" w:hint="default"/>
          <w:b w:val="0"/>
          <w:bCs w:val="0"/>
        </w:rPr>
        <w:t>无</w:t>
      </w:r>
    </w:p>
    <w:p>
      <w:pPr>
        <w:pStyle w:val="Heading2"/>
        <w:spacing w:line="240" w:lineRule="auto" w:before="206"/>
        <w:ind w:right="996"/>
        <w:jc w:val="left"/>
        <w:rPr>
          <w:b w:val="0"/>
          <w:bCs w:val="0"/>
        </w:rPr>
      </w:pPr>
      <w:bookmarkStart w:name="3、在合营安排或联营企业中的权益" w:id="450"/>
      <w:bookmarkEnd w:id="450"/>
      <w:r>
        <w:rPr>
          <w:b w:val="0"/>
          <w:bCs w:val="0"/>
        </w:rPr>
      </w:r>
      <w:r>
        <w:rPr>
          <w:rFonts w:ascii="宋体" w:hAnsi="宋体" w:cs="宋体" w:eastAsia="宋体" w:hint="default"/>
        </w:rPr>
        <w:t>3</w:t>
      </w:r>
      <w:r>
        <w:rPr/>
        <w:t>、在合营安排或联营企业中的权益</w:t>
      </w:r>
      <w:r>
        <w:rPr>
          <w:b w:val="0"/>
          <w:bCs w:val="0"/>
        </w:rPr>
      </w:r>
    </w:p>
    <w:p>
      <w:pPr>
        <w:spacing w:line="240" w:lineRule="auto" w:before="6"/>
        <w:rPr>
          <w:rFonts w:ascii="宋体" w:hAnsi="宋体" w:cs="宋体" w:eastAsia="宋体" w:hint="default"/>
          <w:b/>
          <w:bCs/>
          <w:sz w:val="32"/>
          <w:szCs w:val="32"/>
        </w:rPr>
      </w:pPr>
    </w:p>
    <w:p>
      <w:pPr>
        <w:pStyle w:val="Heading2"/>
        <w:spacing w:line="240" w:lineRule="auto" w:before="0"/>
        <w:ind w:right="996"/>
        <w:jc w:val="left"/>
        <w:rPr>
          <w:b w:val="0"/>
          <w:bCs w:val="0"/>
        </w:rPr>
      </w:pPr>
      <w:bookmarkStart w:name="（1）重要的合营企业或联营企业" w:id="451"/>
      <w:bookmarkEnd w:id="451"/>
      <w:r>
        <w:rPr>
          <w:b w:val="0"/>
          <w:bCs w:val="0"/>
        </w:rPr>
      </w:r>
      <w:r>
        <w:rPr/>
        <w:t>（</w:t>
      </w:r>
      <w:r>
        <w:rPr>
          <w:rFonts w:ascii="宋体" w:hAnsi="宋体" w:cs="宋体" w:eastAsia="宋体" w:hint="default"/>
        </w:rPr>
        <w:t>1</w:t>
      </w:r>
      <w:r>
        <w:rPr/>
        <w:t>）重要的合营企业或联营企业</w:t>
      </w:r>
      <w:r>
        <w:rPr>
          <w:b w:val="0"/>
          <w:bCs w:val="0"/>
        </w:rPr>
      </w:r>
    </w:p>
    <w:p>
      <w:pPr>
        <w:spacing w:line="240" w:lineRule="auto" w:before="6"/>
        <w:rPr>
          <w:rFonts w:ascii="宋体" w:hAnsi="宋体" w:cs="宋体" w:eastAsia="宋体" w:hint="default"/>
          <w:b/>
          <w:bCs/>
          <w:sz w:val="4"/>
          <w:szCs w:val="4"/>
        </w:rPr>
      </w:pPr>
    </w:p>
    <w:tbl>
      <w:tblPr>
        <w:tblW w:w="0" w:type="auto"/>
        <w:jc w:val="left"/>
        <w:tblInd w:w="149" w:type="dxa"/>
        <w:tblLayout w:type="fixed"/>
        <w:tblCellMar>
          <w:top w:w="0" w:type="dxa"/>
          <w:left w:w="0" w:type="dxa"/>
          <w:bottom w:w="0" w:type="dxa"/>
          <w:right w:w="0" w:type="dxa"/>
        </w:tblCellMar>
        <w:tblLook w:val="01E0"/>
      </w:tblPr>
      <w:tblGrid>
        <w:gridCol w:w="1844"/>
        <w:gridCol w:w="895"/>
        <w:gridCol w:w="2366"/>
        <w:gridCol w:w="1700"/>
        <w:gridCol w:w="851"/>
        <w:gridCol w:w="709"/>
        <w:gridCol w:w="1207"/>
      </w:tblGrid>
      <w:tr>
        <w:trPr>
          <w:trHeight w:val="402" w:hRule="exact"/>
        </w:trPr>
        <w:tc>
          <w:tcPr>
            <w:tcW w:w="184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25"/>
                <w:szCs w:val="25"/>
              </w:rPr>
            </w:pPr>
          </w:p>
          <w:p>
            <w:pPr>
              <w:pStyle w:val="TableParagraph"/>
              <w:spacing w:line="273" w:lineRule="auto"/>
              <w:ind w:left="601" w:right="76" w:hanging="526"/>
              <w:jc w:val="left"/>
              <w:rPr>
                <w:rFonts w:ascii="宋体" w:hAnsi="宋体" w:cs="宋体" w:eastAsia="宋体" w:hint="default"/>
                <w:sz w:val="21"/>
                <w:szCs w:val="21"/>
              </w:rPr>
            </w:pPr>
            <w:r>
              <w:rPr>
                <w:rFonts w:ascii="宋体" w:hAnsi="宋体" w:cs="宋体" w:eastAsia="宋体" w:hint="default"/>
                <w:sz w:val="21"/>
                <w:szCs w:val="21"/>
              </w:rPr>
              <w:t>合营企业或联营企 业名称</w:t>
            </w:r>
          </w:p>
        </w:tc>
        <w:tc>
          <w:tcPr>
            <w:tcW w:w="8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25"/>
                <w:szCs w:val="25"/>
              </w:rPr>
            </w:pPr>
          </w:p>
          <w:p>
            <w:pPr>
              <w:pStyle w:val="TableParagraph"/>
              <w:spacing w:line="273" w:lineRule="auto"/>
              <w:ind w:left="231" w:right="126" w:hanging="105"/>
              <w:jc w:val="left"/>
              <w:rPr>
                <w:rFonts w:ascii="宋体" w:hAnsi="宋体" w:cs="宋体" w:eastAsia="宋体" w:hint="default"/>
                <w:sz w:val="21"/>
                <w:szCs w:val="21"/>
              </w:rPr>
            </w:pPr>
            <w:r>
              <w:rPr>
                <w:rFonts w:ascii="宋体" w:hAnsi="宋体" w:cs="宋体" w:eastAsia="宋体" w:hint="default"/>
                <w:sz w:val="21"/>
                <w:szCs w:val="21"/>
              </w:rPr>
              <w:t>主要经 营地</w:t>
            </w:r>
          </w:p>
        </w:tc>
        <w:tc>
          <w:tcPr>
            <w:tcW w:w="2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0"/>
              <w:ind w:right="0"/>
              <w:jc w:val="left"/>
              <w:rPr>
                <w:rFonts w:ascii="宋体" w:hAnsi="宋体" w:cs="宋体" w:eastAsia="宋体" w:hint="default"/>
                <w:b/>
                <w:bCs/>
                <w:sz w:val="17"/>
                <w:szCs w:val="17"/>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注册地</w:t>
            </w:r>
          </w:p>
        </w:tc>
        <w:tc>
          <w:tcPr>
            <w:tcW w:w="170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0"/>
              <w:ind w:right="0"/>
              <w:jc w:val="left"/>
              <w:rPr>
                <w:rFonts w:ascii="宋体" w:hAnsi="宋体" w:cs="宋体" w:eastAsia="宋体" w:hint="default"/>
                <w:b/>
                <w:bCs/>
                <w:sz w:val="17"/>
                <w:szCs w:val="17"/>
              </w:rPr>
            </w:pPr>
          </w:p>
          <w:p>
            <w:pPr>
              <w:pStyle w:val="TableParagraph"/>
              <w:spacing w:line="240" w:lineRule="auto"/>
              <w:ind w:left="424" w:right="0"/>
              <w:jc w:val="left"/>
              <w:rPr>
                <w:rFonts w:ascii="宋体" w:hAnsi="宋体" w:cs="宋体" w:eastAsia="宋体" w:hint="default"/>
                <w:sz w:val="21"/>
                <w:szCs w:val="21"/>
              </w:rPr>
            </w:pPr>
            <w:r>
              <w:rPr>
                <w:rFonts w:ascii="宋体" w:hAnsi="宋体" w:cs="宋体" w:eastAsia="宋体" w:hint="default"/>
                <w:sz w:val="21"/>
                <w:szCs w:val="21"/>
              </w:rPr>
              <w:t>业务性质</w:t>
            </w:r>
          </w:p>
        </w:tc>
        <w:tc>
          <w:tcPr>
            <w:tcW w:w="156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354" w:right="0"/>
              <w:jc w:val="left"/>
              <w:rPr>
                <w:rFonts w:ascii="宋体" w:hAnsi="宋体" w:cs="宋体" w:eastAsia="宋体" w:hint="default"/>
                <w:sz w:val="21"/>
                <w:szCs w:val="21"/>
              </w:rPr>
            </w:pPr>
            <w:r>
              <w:rPr>
                <w:rFonts w:ascii="宋体" w:hAnsi="宋体" w:cs="宋体" w:eastAsia="宋体" w:hint="default"/>
                <w:sz w:val="21"/>
                <w:szCs w:val="21"/>
              </w:rPr>
              <w:t>持股比例</w:t>
            </w:r>
          </w:p>
        </w:tc>
        <w:tc>
          <w:tcPr>
            <w:tcW w:w="1207"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26"/>
              <w:ind w:left="73" w:right="72"/>
              <w:jc w:val="both"/>
              <w:rPr>
                <w:rFonts w:ascii="宋体" w:hAnsi="宋体" w:cs="宋体" w:eastAsia="宋体" w:hint="default"/>
                <w:sz w:val="21"/>
                <w:szCs w:val="21"/>
              </w:rPr>
            </w:pPr>
            <w:r>
              <w:rPr>
                <w:rFonts w:ascii="宋体" w:hAnsi="宋体" w:cs="宋体" w:eastAsia="宋体" w:hint="default"/>
                <w:sz w:val="21"/>
                <w:szCs w:val="21"/>
              </w:rPr>
              <w:t>对合营企业 或联营企业 投资的会计 处理方法</w:t>
            </w:r>
          </w:p>
        </w:tc>
      </w:tr>
      <w:tr>
        <w:trPr>
          <w:trHeight w:val="935" w:hRule="exact"/>
        </w:trPr>
        <w:tc>
          <w:tcPr>
            <w:tcW w:w="1844" w:type="dxa"/>
            <w:vMerge/>
            <w:tcBorders>
              <w:left w:val="single" w:sz="4" w:space="0" w:color="000000"/>
              <w:bottom w:val="single" w:sz="4" w:space="0" w:color="000000"/>
              <w:right w:val="single" w:sz="4" w:space="0" w:color="000000"/>
            </w:tcBorders>
            <w:shd w:val="clear" w:color="auto" w:fill="D2D2D2"/>
          </w:tcPr>
          <w:p>
            <w:pPr/>
          </w:p>
        </w:tc>
        <w:tc>
          <w:tcPr>
            <w:tcW w:w="895" w:type="dxa"/>
            <w:vMerge/>
            <w:tcBorders>
              <w:left w:val="single" w:sz="4" w:space="0" w:color="000000"/>
              <w:bottom w:val="single" w:sz="4" w:space="0" w:color="000000"/>
              <w:right w:val="single" w:sz="4" w:space="0" w:color="000000"/>
            </w:tcBorders>
            <w:shd w:val="clear" w:color="auto" w:fill="D2D2D2"/>
          </w:tcPr>
          <w:p>
            <w:pPr/>
          </w:p>
        </w:tc>
        <w:tc>
          <w:tcPr>
            <w:tcW w:w="2366" w:type="dxa"/>
            <w:vMerge/>
            <w:tcBorders>
              <w:left w:val="single" w:sz="4" w:space="0" w:color="000000"/>
              <w:bottom w:val="single" w:sz="4" w:space="0" w:color="000000"/>
              <w:right w:val="single" w:sz="4" w:space="0" w:color="000000"/>
            </w:tcBorders>
            <w:shd w:val="clear" w:color="auto" w:fill="D2D2D2"/>
          </w:tcPr>
          <w:p>
            <w:pPr/>
          </w:p>
        </w:tc>
        <w:tc>
          <w:tcPr>
            <w:tcW w:w="1700" w:type="dxa"/>
            <w:vMerge/>
            <w:tcBorders>
              <w:left w:val="single" w:sz="4" w:space="0" w:color="000000"/>
              <w:bottom w:val="single" w:sz="4" w:space="0" w:color="000000"/>
              <w:right w:val="single" w:sz="4" w:space="0" w:color="000000"/>
            </w:tcBorders>
            <w:shd w:val="clear" w:color="auto" w:fill="D2D2D2"/>
          </w:tcPr>
          <w:p>
            <w:pP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b/>
                <w:bCs/>
                <w:sz w:val="22"/>
                <w:szCs w:val="22"/>
              </w:rPr>
            </w:pPr>
          </w:p>
          <w:p>
            <w:pPr>
              <w:pStyle w:val="TableParagraph"/>
              <w:spacing w:line="240" w:lineRule="auto"/>
              <w:ind w:left="210" w:right="0"/>
              <w:jc w:val="left"/>
              <w:rPr>
                <w:rFonts w:ascii="宋体" w:hAnsi="宋体" w:cs="宋体" w:eastAsia="宋体" w:hint="default"/>
                <w:sz w:val="21"/>
                <w:szCs w:val="21"/>
              </w:rPr>
            </w:pPr>
            <w:r>
              <w:rPr>
                <w:rFonts w:ascii="宋体" w:hAnsi="宋体" w:cs="宋体" w:eastAsia="宋体" w:hint="default"/>
                <w:sz w:val="21"/>
                <w:szCs w:val="21"/>
              </w:rPr>
              <w:t>直接</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b/>
                <w:bCs/>
                <w:sz w:val="22"/>
                <w:szCs w:val="22"/>
              </w:rPr>
            </w:pPr>
          </w:p>
          <w:p>
            <w:pPr>
              <w:pStyle w:val="TableParagraph"/>
              <w:spacing w:line="240" w:lineRule="auto"/>
              <w:ind w:left="139" w:right="0"/>
              <w:jc w:val="left"/>
              <w:rPr>
                <w:rFonts w:ascii="宋体" w:hAnsi="宋体" w:cs="宋体" w:eastAsia="宋体" w:hint="default"/>
                <w:sz w:val="21"/>
                <w:szCs w:val="21"/>
              </w:rPr>
            </w:pPr>
            <w:r>
              <w:rPr>
                <w:rFonts w:ascii="宋体" w:hAnsi="宋体" w:cs="宋体" w:eastAsia="宋体" w:hint="default"/>
                <w:sz w:val="21"/>
                <w:szCs w:val="21"/>
              </w:rPr>
              <w:t>间接</w:t>
            </w:r>
          </w:p>
        </w:tc>
        <w:tc>
          <w:tcPr>
            <w:tcW w:w="1207"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7"/>
              <w:ind w:left="22" w:right="128"/>
              <w:jc w:val="left"/>
              <w:rPr>
                <w:rFonts w:ascii="宋体" w:hAnsi="宋体" w:cs="宋体" w:eastAsia="宋体" w:hint="default"/>
                <w:sz w:val="21"/>
                <w:szCs w:val="21"/>
              </w:rPr>
            </w:pPr>
            <w:r>
              <w:rPr>
                <w:rFonts w:ascii="宋体" w:hAnsi="宋体" w:cs="宋体" w:eastAsia="宋体" w:hint="default"/>
                <w:sz w:val="21"/>
                <w:szCs w:val="21"/>
              </w:rPr>
              <w:t>飞天联合</w:t>
            </w:r>
            <w:r>
              <w:rPr>
                <w:rFonts w:ascii="宋体" w:hAnsi="宋体" w:cs="宋体" w:eastAsia="宋体" w:hint="default"/>
                <w:sz w:val="21"/>
                <w:szCs w:val="21"/>
              </w:rPr>
              <w:t>(</w:t>
            </w:r>
            <w:r>
              <w:rPr>
                <w:rFonts w:ascii="宋体" w:hAnsi="宋体" w:cs="宋体" w:eastAsia="宋体" w:hint="default"/>
                <w:sz w:val="21"/>
                <w:szCs w:val="21"/>
              </w:rPr>
              <w:t>北京</w:t>
            </w:r>
            <w:r>
              <w:rPr>
                <w:rFonts w:ascii="宋体" w:hAnsi="宋体" w:cs="宋体" w:eastAsia="宋体" w:hint="default"/>
                <w:sz w:val="21"/>
                <w:szCs w:val="21"/>
              </w:rPr>
              <w:t>)</w:t>
            </w:r>
            <w:r>
              <w:rPr>
                <w:rFonts w:ascii="宋体" w:hAnsi="宋体" w:cs="宋体" w:eastAsia="宋体" w:hint="default"/>
                <w:sz w:val="21"/>
                <w:szCs w:val="21"/>
              </w:rPr>
              <w:t>系 统技术有限公司</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7"/>
              <w:ind w:left="22" w:right="230"/>
              <w:jc w:val="left"/>
              <w:rPr>
                <w:rFonts w:ascii="宋体" w:hAnsi="宋体" w:cs="宋体" w:eastAsia="宋体" w:hint="default"/>
                <w:sz w:val="21"/>
                <w:szCs w:val="21"/>
              </w:rPr>
            </w:pPr>
            <w:r>
              <w:rPr>
                <w:rFonts w:ascii="宋体" w:hAnsi="宋体" w:cs="宋体" w:eastAsia="宋体" w:hint="default"/>
                <w:sz w:val="21"/>
                <w:szCs w:val="21"/>
              </w:rPr>
              <w:t>北京市 海淀区</w:t>
            </w:r>
          </w:p>
        </w:tc>
        <w:tc>
          <w:tcPr>
            <w:tcW w:w="2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北京市海淀区东北旺西</w:t>
            </w:r>
          </w:p>
          <w:p>
            <w:pPr>
              <w:pStyle w:val="TableParagraph"/>
              <w:spacing w:line="240" w:lineRule="auto" w:before="37"/>
              <w:ind w:left="22" w:right="0"/>
              <w:jc w:val="left"/>
              <w:rPr>
                <w:rFonts w:ascii="宋体" w:hAnsi="宋体" w:cs="宋体" w:eastAsia="宋体" w:hint="default"/>
                <w:sz w:val="21"/>
                <w:szCs w:val="21"/>
              </w:rPr>
            </w:pPr>
            <w:r>
              <w:rPr>
                <w:rFonts w:ascii="宋体" w:hAnsi="宋体" w:cs="宋体" w:eastAsia="宋体" w:hint="default"/>
                <w:sz w:val="21"/>
                <w:szCs w:val="21"/>
              </w:rPr>
              <w:t>路</w:t>
            </w:r>
            <w:r>
              <w:rPr>
                <w:rFonts w:ascii="宋体" w:hAnsi="宋体" w:cs="宋体" w:eastAsia="宋体" w:hint="default"/>
                <w:spacing w:val="-61"/>
                <w:sz w:val="21"/>
                <w:szCs w:val="21"/>
              </w:rPr>
              <w:t> </w:t>
            </w:r>
            <w:r>
              <w:rPr>
                <w:rFonts w:ascii="宋体" w:hAnsi="宋体" w:cs="宋体" w:eastAsia="宋体" w:hint="default"/>
                <w:sz w:val="21"/>
                <w:szCs w:val="21"/>
              </w:rPr>
              <w:t>8</w:t>
            </w:r>
            <w:r>
              <w:rPr>
                <w:rFonts w:ascii="宋体" w:hAnsi="宋体" w:cs="宋体" w:eastAsia="宋体" w:hint="default"/>
                <w:spacing w:val="-60"/>
                <w:sz w:val="21"/>
                <w:szCs w:val="21"/>
              </w:rPr>
              <w:t> </w:t>
            </w:r>
            <w:r>
              <w:rPr>
                <w:rFonts w:ascii="宋体" w:hAnsi="宋体" w:cs="宋体" w:eastAsia="宋体" w:hint="default"/>
                <w:sz w:val="21"/>
                <w:szCs w:val="21"/>
              </w:rPr>
              <w:t>号院</w:t>
            </w:r>
            <w:r>
              <w:rPr>
                <w:rFonts w:ascii="宋体" w:hAnsi="宋体" w:cs="宋体" w:eastAsia="宋体" w:hint="default"/>
                <w:spacing w:val="-61"/>
                <w:sz w:val="21"/>
                <w:szCs w:val="21"/>
              </w:rPr>
              <w:t> </w:t>
            </w:r>
            <w:r>
              <w:rPr>
                <w:rFonts w:ascii="宋体" w:hAnsi="宋体" w:cs="宋体" w:eastAsia="宋体" w:hint="default"/>
                <w:sz w:val="21"/>
                <w:szCs w:val="21"/>
              </w:rPr>
              <w:t>39</w:t>
            </w:r>
            <w:r>
              <w:rPr>
                <w:rFonts w:ascii="宋体" w:hAnsi="宋体" w:cs="宋体" w:eastAsia="宋体" w:hint="default"/>
                <w:spacing w:val="-60"/>
                <w:sz w:val="21"/>
                <w:szCs w:val="21"/>
              </w:rPr>
              <w:t> </w:t>
            </w:r>
            <w:r>
              <w:rPr>
                <w:rFonts w:ascii="宋体" w:hAnsi="宋体" w:cs="宋体" w:eastAsia="宋体" w:hint="default"/>
                <w:sz w:val="21"/>
                <w:szCs w:val="21"/>
              </w:rPr>
              <w:t>号楼</w:t>
            </w:r>
            <w:r>
              <w:rPr>
                <w:rFonts w:ascii="宋体" w:hAnsi="宋体" w:cs="宋体" w:eastAsia="宋体" w:hint="default"/>
                <w:spacing w:val="-61"/>
                <w:sz w:val="21"/>
                <w:szCs w:val="21"/>
              </w:rPr>
              <w:t> </w:t>
            </w:r>
            <w:r>
              <w:rPr>
                <w:rFonts w:ascii="宋体" w:hAnsi="宋体" w:cs="宋体" w:eastAsia="宋体" w:hint="default"/>
                <w:sz w:val="21"/>
                <w:szCs w:val="21"/>
              </w:rPr>
              <w:t>2</w:t>
            </w:r>
            <w:r>
              <w:rPr>
                <w:rFonts w:ascii="宋体" w:hAnsi="宋体" w:cs="宋体" w:eastAsia="宋体" w:hint="default"/>
                <w:spacing w:val="-60"/>
                <w:sz w:val="21"/>
                <w:szCs w:val="21"/>
              </w:rPr>
              <w:t> </w:t>
            </w:r>
            <w:r>
              <w:rPr>
                <w:rFonts w:ascii="宋体" w:hAnsi="宋体" w:cs="宋体" w:eastAsia="宋体" w:hint="default"/>
                <w:sz w:val="21"/>
                <w:szCs w:val="21"/>
              </w:rPr>
              <w:t>层</w:t>
            </w:r>
            <w:r>
              <w:rPr>
                <w:rFonts w:ascii="宋体" w:hAnsi="宋体" w:cs="宋体" w:eastAsia="宋体" w:hint="default"/>
                <w:spacing w:val="-61"/>
                <w:sz w:val="21"/>
                <w:szCs w:val="21"/>
              </w:rPr>
              <w:t> </w:t>
            </w:r>
            <w:r>
              <w:rPr>
                <w:rFonts w:ascii="宋体" w:hAnsi="宋体" w:cs="宋体" w:eastAsia="宋体" w:hint="default"/>
                <w:sz w:val="21"/>
                <w:szCs w:val="21"/>
              </w:rPr>
              <w:t>201</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7"/>
              <w:ind w:left="22" w:right="20"/>
              <w:jc w:val="left"/>
              <w:rPr>
                <w:rFonts w:ascii="宋体" w:hAnsi="宋体" w:cs="宋体" w:eastAsia="宋体" w:hint="default"/>
                <w:sz w:val="21"/>
                <w:szCs w:val="21"/>
              </w:rPr>
            </w:pPr>
            <w:r>
              <w:rPr>
                <w:rFonts w:ascii="宋体" w:hAnsi="宋体" w:cs="宋体" w:eastAsia="宋体" w:hint="default"/>
                <w:spacing w:val="-5"/>
                <w:sz w:val="21"/>
                <w:szCs w:val="21"/>
              </w:rPr>
              <w:t>电信、广播电视和</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卫星传输服务</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3"/>
                <w:szCs w:val="13"/>
              </w:rPr>
            </w:pPr>
          </w:p>
          <w:p>
            <w:pPr>
              <w:pStyle w:val="TableParagraph"/>
              <w:spacing w:line="240" w:lineRule="auto"/>
              <w:ind w:left="188" w:right="0"/>
              <w:jc w:val="left"/>
              <w:rPr>
                <w:rFonts w:ascii="宋体" w:hAnsi="宋体" w:cs="宋体" w:eastAsia="宋体" w:hint="default"/>
                <w:sz w:val="21"/>
                <w:szCs w:val="21"/>
              </w:rPr>
            </w:pPr>
            <w:r>
              <w:rPr>
                <w:rFonts w:ascii="宋体"/>
                <w:sz w:val="21"/>
              </w:rPr>
              <w:t>23.35%</w:t>
            </w:r>
          </w:p>
        </w:tc>
        <w:tc>
          <w:tcPr>
            <w:tcW w:w="709"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权益法</w:t>
            </w:r>
          </w:p>
        </w:tc>
      </w:tr>
      <w:tr>
        <w:trPr>
          <w:trHeight w:val="715"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7"/>
              <w:ind w:left="22" w:right="129"/>
              <w:jc w:val="left"/>
              <w:rPr>
                <w:rFonts w:ascii="宋体" w:hAnsi="宋体" w:cs="宋体" w:eastAsia="宋体" w:hint="default"/>
                <w:sz w:val="21"/>
                <w:szCs w:val="21"/>
              </w:rPr>
            </w:pPr>
            <w:r>
              <w:rPr>
                <w:rFonts w:ascii="宋体" w:hAnsi="宋体" w:cs="宋体" w:eastAsia="宋体" w:hint="default"/>
                <w:sz w:val="21"/>
                <w:szCs w:val="21"/>
              </w:rPr>
              <w:t>北京赛弗网络科技 有限责任公司</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7"/>
              <w:ind w:left="22" w:right="230"/>
              <w:jc w:val="left"/>
              <w:rPr>
                <w:rFonts w:ascii="宋体" w:hAnsi="宋体" w:cs="宋体" w:eastAsia="宋体" w:hint="default"/>
                <w:sz w:val="21"/>
                <w:szCs w:val="21"/>
              </w:rPr>
            </w:pPr>
            <w:r>
              <w:rPr>
                <w:rFonts w:ascii="宋体" w:hAnsi="宋体" w:cs="宋体" w:eastAsia="宋体" w:hint="default"/>
                <w:sz w:val="21"/>
                <w:szCs w:val="21"/>
              </w:rPr>
              <w:t>北京市 海淀区</w:t>
            </w:r>
          </w:p>
        </w:tc>
        <w:tc>
          <w:tcPr>
            <w:tcW w:w="236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7"/>
              <w:ind w:left="22" w:right="231"/>
              <w:jc w:val="left"/>
              <w:rPr>
                <w:rFonts w:ascii="宋体" w:hAnsi="宋体" w:cs="宋体" w:eastAsia="宋体" w:hint="default"/>
                <w:sz w:val="21"/>
                <w:szCs w:val="21"/>
              </w:rPr>
            </w:pPr>
            <w:r>
              <w:rPr>
                <w:rFonts w:ascii="宋体" w:hAnsi="宋体" w:cs="宋体" w:eastAsia="宋体" w:hint="default"/>
                <w:sz w:val="21"/>
                <w:szCs w:val="21"/>
              </w:rPr>
              <w:t>北京市海淀区西小口路 </w:t>
            </w:r>
            <w:r>
              <w:rPr>
                <w:rFonts w:ascii="宋体" w:hAnsi="宋体" w:cs="宋体" w:eastAsia="宋体" w:hint="default"/>
                <w:sz w:val="21"/>
                <w:szCs w:val="21"/>
              </w:rPr>
              <w:t>66</w:t>
            </w:r>
            <w:r>
              <w:rPr>
                <w:rFonts w:ascii="宋体" w:hAnsi="宋体" w:cs="宋体" w:eastAsia="宋体" w:hint="default"/>
                <w:spacing w:val="-54"/>
                <w:sz w:val="21"/>
                <w:szCs w:val="21"/>
              </w:rPr>
              <w:t> </w:t>
            </w:r>
            <w:r>
              <w:rPr>
                <w:rFonts w:ascii="宋体" w:hAnsi="宋体" w:cs="宋体" w:eastAsia="宋体" w:hint="default"/>
                <w:sz w:val="21"/>
                <w:szCs w:val="21"/>
              </w:rPr>
              <w:t>号</w:t>
            </w:r>
            <w:r>
              <w:rPr>
                <w:rFonts w:ascii="宋体" w:hAnsi="宋体" w:cs="宋体" w:eastAsia="宋体" w:hint="default"/>
                <w:spacing w:val="-54"/>
                <w:sz w:val="21"/>
                <w:szCs w:val="21"/>
              </w:rPr>
              <w:t> </w:t>
            </w:r>
            <w:r>
              <w:rPr>
                <w:rFonts w:ascii="宋体" w:hAnsi="宋体" w:cs="宋体" w:eastAsia="宋体" w:hint="default"/>
                <w:sz w:val="21"/>
                <w:szCs w:val="21"/>
              </w:rPr>
              <w:t>16</w:t>
            </w:r>
            <w:r>
              <w:rPr>
                <w:rFonts w:ascii="宋体" w:hAnsi="宋体" w:cs="宋体" w:eastAsia="宋体" w:hint="default"/>
                <w:spacing w:val="-53"/>
                <w:sz w:val="21"/>
                <w:szCs w:val="21"/>
              </w:rPr>
              <w:t> </w:t>
            </w:r>
            <w:r>
              <w:rPr>
                <w:rFonts w:ascii="宋体" w:hAnsi="宋体" w:cs="宋体" w:eastAsia="宋体" w:hint="default"/>
                <w:sz w:val="21"/>
                <w:szCs w:val="21"/>
              </w:rPr>
              <w:t>幢</w:t>
            </w:r>
            <w:r>
              <w:rPr>
                <w:rFonts w:ascii="宋体" w:hAnsi="宋体" w:cs="宋体" w:eastAsia="宋体" w:hint="default"/>
                <w:spacing w:val="-54"/>
                <w:sz w:val="21"/>
                <w:szCs w:val="21"/>
              </w:rPr>
              <w:t> </w:t>
            </w:r>
            <w:r>
              <w:rPr>
                <w:rFonts w:ascii="宋体" w:hAnsi="宋体" w:cs="宋体" w:eastAsia="宋体" w:hint="default"/>
                <w:sz w:val="21"/>
                <w:szCs w:val="21"/>
              </w:rPr>
              <w:t>208</w:t>
            </w:r>
            <w:r>
              <w:rPr>
                <w:rFonts w:ascii="宋体" w:hAnsi="宋体" w:cs="宋体" w:eastAsia="宋体" w:hint="default"/>
                <w:spacing w:val="-53"/>
                <w:sz w:val="21"/>
                <w:szCs w:val="21"/>
              </w:rPr>
              <w:t> </w:t>
            </w:r>
            <w:r>
              <w:rPr>
                <w:rFonts w:ascii="宋体" w:hAnsi="宋体" w:cs="宋体" w:eastAsia="宋体" w:hint="default"/>
                <w:sz w:val="21"/>
                <w:szCs w:val="21"/>
              </w:rPr>
              <w:t>室</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7"/>
              <w:ind w:left="22" w:right="197"/>
              <w:jc w:val="left"/>
              <w:rPr>
                <w:rFonts w:ascii="宋体" w:hAnsi="宋体" w:cs="宋体" w:eastAsia="宋体" w:hint="default"/>
                <w:sz w:val="21"/>
                <w:szCs w:val="21"/>
              </w:rPr>
            </w:pPr>
            <w:r>
              <w:rPr>
                <w:rFonts w:ascii="宋体" w:hAnsi="宋体" w:cs="宋体" w:eastAsia="宋体" w:hint="default"/>
                <w:sz w:val="21"/>
                <w:szCs w:val="21"/>
              </w:rPr>
              <w:t>科技推广和应用 服务业</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3"/>
                <w:szCs w:val="13"/>
              </w:rPr>
            </w:pPr>
          </w:p>
          <w:p>
            <w:pPr>
              <w:pStyle w:val="TableParagraph"/>
              <w:spacing w:line="240" w:lineRule="auto"/>
              <w:ind w:left="188" w:right="0"/>
              <w:jc w:val="left"/>
              <w:rPr>
                <w:rFonts w:ascii="宋体" w:hAnsi="宋体" w:cs="宋体" w:eastAsia="宋体" w:hint="default"/>
                <w:sz w:val="21"/>
                <w:szCs w:val="21"/>
              </w:rPr>
            </w:pPr>
            <w:r>
              <w:rPr>
                <w:rFonts w:ascii="宋体"/>
                <w:sz w:val="21"/>
              </w:rPr>
              <w:t>33.00%</w:t>
            </w:r>
          </w:p>
        </w:tc>
        <w:tc>
          <w:tcPr>
            <w:tcW w:w="709"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权益法</w:t>
            </w:r>
          </w:p>
        </w:tc>
      </w:tr>
    </w:tbl>
    <w:p>
      <w:pPr>
        <w:spacing w:line="240" w:lineRule="auto" w:before="10"/>
        <w:rPr>
          <w:rFonts w:ascii="宋体" w:hAnsi="宋体" w:cs="宋体" w:eastAsia="宋体" w:hint="default"/>
          <w:b/>
          <w:bCs/>
          <w:sz w:val="4"/>
          <w:szCs w:val="4"/>
        </w:rPr>
      </w:pPr>
    </w:p>
    <w:p>
      <w:pPr>
        <w:pStyle w:val="BodyText"/>
        <w:spacing w:line="350" w:lineRule="auto" w:before="26"/>
        <w:ind w:left="633" w:right="1153"/>
        <w:jc w:val="left"/>
      </w:pPr>
      <w:r>
        <w:rPr/>
        <w:t>在合营企业或联营企业的持股比例不同于表决权比例的说明：无 持有</w:t>
      </w:r>
      <w:r>
        <w:rPr>
          <w:rFonts w:ascii="宋体" w:hAnsi="宋体" w:cs="宋体" w:eastAsia="宋体" w:hint="default"/>
        </w:rPr>
        <w:t>20%</w:t>
      </w:r>
      <w:r>
        <w:rPr/>
        <w:t>以下表决权但具有重大影响，或者持有</w:t>
      </w:r>
      <w:r>
        <w:rPr>
          <w:rFonts w:ascii="宋体" w:hAnsi="宋体" w:cs="宋体" w:eastAsia="宋体" w:hint="default"/>
        </w:rPr>
        <w:t>20%</w:t>
      </w:r>
      <w:r>
        <w:rPr/>
        <w:t>或以上表决权但不具有重大影响的依</w:t>
      </w:r>
    </w:p>
    <w:p>
      <w:pPr>
        <w:pStyle w:val="BodyText"/>
        <w:spacing w:line="240" w:lineRule="auto" w:before="35"/>
        <w:ind w:right="996"/>
        <w:jc w:val="left"/>
      </w:pPr>
      <w:r>
        <w:rPr/>
        <w:t>据：无</w:t>
      </w:r>
    </w:p>
    <w:p>
      <w:pPr>
        <w:pStyle w:val="Heading2"/>
        <w:spacing w:line="350" w:lineRule="auto" w:before="147"/>
        <w:ind w:left="633" w:right="6673" w:firstLine="2"/>
        <w:jc w:val="left"/>
        <w:rPr>
          <w:rFonts w:ascii="宋体" w:hAnsi="宋体" w:cs="宋体" w:eastAsia="宋体" w:hint="default"/>
          <w:b w:val="0"/>
          <w:bCs w:val="0"/>
        </w:rPr>
      </w:pPr>
      <w:bookmarkStart w:name="（2）重要合营企业的主要财务信息" w:id="452"/>
      <w:bookmarkEnd w:id="452"/>
      <w:r>
        <w:rPr>
          <w:b w:val="0"/>
          <w:bCs w:val="0"/>
        </w:rPr>
      </w:r>
      <w:r>
        <w:rPr>
          <w:w w:val="95"/>
        </w:rPr>
        <w:t>（</w:t>
      </w:r>
      <w:r>
        <w:rPr>
          <w:rFonts w:ascii="宋体" w:hAnsi="宋体" w:cs="宋体" w:eastAsia="宋体" w:hint="default"/>
          <w:w w:val="95"/>
        </w:rPr>
        <w:t>2</w:t>
      </w:r>
      <w:r>
        <w:rPr>
          <w:w w:val="95"/>
        </w:rPr>
        <w:t>）重要合营企业的主要财务信息</w:t>
      </w:r>
      <w:r>
        <w:rPr>
          <w:spacing w:val="56"/>
          <w:w w:val="95"/>
        </w:rPr>
        <w:t> </w:t>
      </w:r>
      <w:r>
        <w:rPr>
          <w:rFonts w:ascii="宋体" w:hAnsi="宋体" w:cs="宋体" w:eastAsia="宋体" w:hint="default"/>
          <w:b w:val="0"/>
          <w:bCs w:val="0"/>
        </w:rPr>
        <w:t>无</w:t>
      </w:r>
    </w:p>
    <w:p>
      <w:pPr>
        <w:spacing w:after="0" w:line="350" w:lineRule="auto"/>
        <w:jc w:val="left"/>
        <w:rPr>
          <w:rFonts w:ascii="宋体" w:hAnsi="宋体" w:cs="宋体" w:eastAsia="宋体" w:hint="default"/>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747" w:footer="979" w:top="1060" w:bottom="1160" w:left="980" w:right="0"/>
        </w:sectPr>
      </w:pPr>
    </w:p>
    <w:p>
      <w:pPr>
        <w:pStyle w:val="Heading2"/>
        <w:spacing w:line="240" w:lineRule="auto" w:before="199"/>
        <w:ind w:right="0"/>
        <w:jc w:val="left"/>
        <w:rPr>
          <w:b w:val="0"/>
          <w:bCs w:val="0"/>
        </w:rPr>
      </w:pPr>
      <w:bookmarkStart w:name="（3）重要联营企业的主要财务信息" w:id="453"/>
      <w:bookmarkEnd w:id="453"/>
      <w:r>
        <w:rPr>
          <w:b w:val="0"/>
          <w:bCs w:val="0"/>
        </w:rPr>
      </w:r>
      <w:r>
        <w:rPr>
          <w:w w:val="95"/>
        </w:rPr>
        <w:t>（</w:t>
      </w:r>
      <w:r>
        <w:rPr>
          <w:rFonts w:ascii="宋体" w:hAnsi="宋体" w:cs="宋体" w:eastAsia="宋体" w:hint="default"/>
          <w:w w:val="95"/>
        </w:rPr>
        <w:t>3</w:t>
      </w:r>
      <w:r>
        <w:rPr>
          <w:w w:val="95"/>
        </w:rPr>
        <w:t>）重要联营企业的主要财务信息</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8"/>
        <w:rPr>
          <w:rFonts w:ascii="宋体" w:hAnsi="宋体" w:cs="宋体" w:eastAsia="宋体" w:hint="default"/>
          <w:b/>
          <w:bCs/>
          <w:sz w:val="25"/>
          <w:szCs w:val="25"/>
        </w:rPr>
      </w:pPr>
    </w:p>
    <w:p>
      <w:pPr>
        <w:spacing w:before="0"/>
        <w:ind w:left="636" w:right="0" w:firstLine="0"/>
        <w:jc w:val="left"/>
        <w:rPr>
          <w:rFonts w:ascii="宋体" w:hAnsi="宋体" w:cs="宋体" w:eastAsia="宋体" w:hint="default"/>
          <w:sz w:val="21"/>
          <w:szCs w:val="21"/>
        </w:rPr>
      </w:pPr>
      <w:r>
        <w:rPr>
          <w:rFonts w:ascii="宋体" w:hAnsi="宋体" w:cs="宋体" w:eastAsia="宋体" w:hint="default"/>
          <w:sz w:val="21"/>
          <w:szCs w:val="21"/>
        </w:rPr>
        <w:t>单位： 元</w:t>
      </w:r>
    </w:p>
    <w:p>
      <w:pPr>
        <w:spacing w:after="0"/>
        <w:jc w:val="left"/>
        <w:rPr>
          <w:rFonts w:ascii="宋体" w:hAnsi="宋体" w:cs="宋体" w:eastAsia="宋体" w:hint="default"/>
          <w:sz w:val="21"/>
          <w:szCs w:val="21"/>
        </w:rPr>
        <w:sectPr>
          <w:type w:val="continuous"/>
          <w:pgSz w:w="11910" w:h="16840"/>
          <w:pgMar w:top="1060" w:bottom="1160" w:left="980" w:right="0"/>
          <w:cols w:num="2" w:equalWidth="0">
            <w:col w:w="4369" w:space="3843"/>
            <w:col w:w="2718"/>
          </w:cols>
        </w:sectPr>
      </w:pPr>
    </w:p>
    <w:p>
      <w:pPr>
        <w:spacing w:line="240" w:lineRule="auto" w:before="0"/>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92"/>
        <w:gridCol w:w="1926"/>
        <w:gridCol w:w="1914"/>
        <w:gridCol w:w="1914"/>
        <w:gridCol w:w="1914"/>
      </w:tblGrid>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84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922"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w:t>
            </w:r>
            <w:r>
              <w:rPr>
                <w:rFonts w:ascii="宋体" w:hAnsi="宋体" w:cs="宋体" w:eastAsia="宋体" w:hint="default"/>
                <w:sz w:val="21"/>
                <w:szCs w:val="21"/>
              </w:rPr>
              <w:t>本期发生额</w:t>
            </w:r>
          </w:p>
        </w:tc>
        <w:tc>
          <w:tcPr>
            <w:tcW w:w="382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910"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w:t>
            </w:r>
            <w:r>
              <w:rPr>
                <w:rFonts w:ascii="宋体" w:hAnsi="宋体" w:cs="宋体" w:eastAsia="宋体" w:hint="default"/>
                <w:sz w:val="21"/>
                <w:szCs w:val="21"/>
              </w:rPr>
              <w:t>上期发生额</w:t>
            </w:r>
          </w:p>
        </w:tc>
      </w:tr>
      <w:tr>
        <w:trPr>
          <w:trHeight w:val="161" w:hRule="exact"/>
        </w:trPr>
        <w:tc>
          <w:tcPr>
            <w:tcW w:w="1892" w:type="dxa"/>
            <w:tcBorders>
              <w:top w:val="single" w:sz="4" w:space="0" w:color="000000"/>
              <w:left w:val="single" w:sz="4" w:space="0" w:color="000000"/>
              <w:bottom w:val="nil" w:sz="6" w:space="0" w:color="auto"/>
              <w:right w:val="single" w:sz="4" w:space="0" w:color="000000"/>
            </w:tcBorders>
            <w:shd w:val="clear" w:color="auto" w:fill="D2D2D2"/>
          </w:tcPr>
          <w:p>
            <w:pPr/>
          </w:p>
        </w:tc>
        <w:tc>
          <w:tcPr>
            <w:tcW w:w="1926"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26"/>
              <w:ind w:left="227" w:right="111" w:hanging="105"/>
              <w:jc w:val="left"/>
              <w:rPr>
                <w:rFonts w:ascii="宋体" w:hAnsi="宋体" w:cs="宋体" w:eastAsia="宋体" w:hint="default"/>
                <w:sz w:val="21"/>
                <w:szCs w:val="21"/>
              </w:rPr>
            </w:pPr>
            <w:r>
              <w:rPr>
                <w:rFonts w:ascii="宋体" w:hAnsi="宋体" w:cs="宋体" w:eastAsia="宋体" w:hint="default"/>
                <w:sz w:val="21"/>
                <w:szCs w:val="21"/>
              </w:rPr>
              <w:t>飞天联合</w:t>
            </w:r>
            <w:r>
              <w:rPr>
                <w:rFonts w:ascii="宋体" w:hAnsi="宋体" w:cs="宋体" w:eastAsia="宋体" w:hint="default"/>
                <w:sz w:val="21"/>
                <w:szCs w:val="21"/>
              </w:rPr>
              <w:t>(</w:t>
            </w:r>
            <w:r>
              <w:rPr>
                <w:rFonts w:ascii="宋体" w:hAnsi="宋体" w:cs="宋体" w:eastAsia="宋体" w:hint="default"/>
                <w:sz w:val="21"/>
                <w:szCs w:val="21"/>
              </w:rPr>
              <w:t>北京</w:t>
            </w:r>
            <w:r>
              <w:rPr>
                <w:rFonts w:ascii="宋体" w:hAnsi="宋体" w:cs="宋体" w:eastAsia="宋体" w:hint="default"/>
                <w:sz w:val="21"/>
                <w:szCs w:val="21"/>
              </w:rPr>
              <w:t>)</w:t>
            </w:r>
            <w:r>
              <w:rPr>
                <w:rFonts w:ascii="宋体" w:hAnsi="宋体" w:cs="宋体" w:eastAsia="宋体" w:hint="default"/>
                <w:sz w:val="21"/>
                <w:szCs w:val="21"/>
              </w:rPr>
              <w:t>系 统技术有限公司</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26"/>
              <w:ind w:left="321" w:right="110" w:hanging="210"/>
              <w:jc w:val="left"/>
              <w:rPr>
                <w:rFonts w:ascii="宋体" w:hAnsi="宋体" w:cs="宋体" w:eastAsia="宋体" w:hint="default"/>
                <w:sz w:val="21"/>
                <w:szCs w:val="21"/>
              </w:rPr>
            </w:pPr>
            <w:r>
              <w:rPr>
                <w:rFonts w:ascii="宋体" w:hAnsi="宋体" w:cs="宋体" w:eastAsia="宋体" w:hint="default"/>
                <w:sz w:val="21"/>
                <w:szCs w:val="21"/>
              </w:rPr>
              <w:t>北京赛弗网络科技 有限责任公司</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26"/>
              <w:ind w:left="215" w:right="110" w:hanging="105"/>
              <w:jc w:val="left"/>
              <w:rPr>
                <w:rFonts w:ascii="宋体" w:hAnsi="宋体" w:cs="宋体" w:eastAsia="宋体" w:hint="default"/>
                <w:sz w:val="21"/>
                <w:szCs w:val="21"/>
              </w:rPr>
            </w:pPr>
            <w:r>
              <w:rPr>
                <w:rFonts w:ascii="宋体" w:hAnsi="宋体" w:cs="宋体" w:eastAsia="宋体" w:hint="default"/>
                <w:sz w:val="21"/>
                <w:szCs w:val="21"/>
              </w:rPr>
              <w:t>飞天联合</w:t>
            </w:r>
            <w:r>
              <w:rPr>
                <w:rFonts w:ascii="宋体" w:hAnsi="宋体" w:cs="宋体" w:eastAsia="宋体" w:hint="default"/>
                <w:sz w:val="21"/>
                <w:szCs w:val="21"/>
              </w:rPr>
              <w:t>(</w:t>
            </w:r>
            <w:r>
              <w:rPr>
                <w:rFonts w:ascii="宋体" w:hAnsi="宋体" w:cs="宋体" w:eastAsia="宋体" w:hint="default"/>
                <w:sz w:val="21"/>
                <w:szCs w:val="21"/>
              </w:rPr>
              <w:t>北京</w:t>
            </w:r>
            <w:r>
              <w:rPr>
                <w:rFonts w:ascii="宋体" w:hAnsi="宋体" w:cs="宋体" w:eastAsia="宋体" w:hint="default"/>
                <w:sz w:val="21"/>
                <w:szCs w:val="21"/>
              </w:rPr>
              <w:t>)</w:t>
            </w:r>
            <w:r>
              <w:rPr>
                <w:rFonts w:ascii="宋体" w:hAnsi="宋体" w:cs="宋体" w:eastAsia="宋体" w:hint="default"/>
                <w:sz w:val="21"/>
                <w:szCs w:val="21"/>
              </w:rPr>
              <w:t>系 统技术有限公司</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26"/>
              <w:ind w:left="321" w:right="110" w:hanging="210"/>
              <w:jc w:val="left"/>
              <w:rPr>
                <w:rFonts w:ascii="宋体" w:hAnsi="宋体" w:cs="宋体" w:eastAsia="宋体" w:hint="default"/>
                <w:sz w:val="21"/>
                <w:szCs w:val="21"/>
              </w:rPr>
            </w:pPr>
            <w:r>
              <w:rPr>
                <w:rFonts w:ascii="宋体" w:hAnsi="宋体" w:cs="宋体" w:eastAsia="宋体" w:hint="default"/>
                <w:sz w:val="21"/>
                <w:szCs w:val="21"/>
              </w:rPr>
              <w:t>北京赛弗网络科技 有限责任公司</w:t>
            </w:r>
          </w:p>
        </w:tc>
      </w:tr>
      <w:tr>
        <w:trPr>
          <w:trHeight w:val="392" w:hRule="exact"/>
        </w:trPr>
        <w:tc>
          <w:tcPr>
            <w:tcW w:w="1892" w:type="dxa"/>
            <w:tcBorders>
              <w:top w:val="nil" w:sz="6" w:space="0" w:color="auto"/>
              <w:left w:val="single" w:sz="4" w:space="0" w:color="000000"/>
              <w:bottom w:val="nil" w:sz="6" w:space="0" w:color="auto"/>
              <w:right w:val="single" w:sz="4" w:space="0" w:color="000000"/>
            </w:tcBorders>
            <w:shd w:val="clear" w:color="auto" w:fill="D2D2D2"/>
          </w:tcPr>
          <w:p>
            <w:pPr/>
          </w:p>
        </w:tc>
        <w:tc>
          <w:tcPr>
            <w:tcW w:w="1926"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r>
      <w:tr>
        <w:trPr>
          <w:trHeight w:val="161" w:hRule="exact"/>
        </w:trPr>
        <w:tc>
          <w:tcPr>
            <w:tcW w:w="189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26"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流动资产</w:t>
            </w:r>
          </w:p>
        </w:tc>
        <w:tc>
          <w:tcPr>
            <w:tcW w:w="192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68,971,755.83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11,502,957.86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57,826,971.43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22,904,404.76</w:t>
            </w:r>
          </w:p>
        </w:tc>
      </w:tr>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非流动资产</w:t>
            </w:r>
          </w:p>
        </w:tc>
        <w:tc>
          <w:tcPr>
            <w:tcW w:w="192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74,569,412.71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18,070,995.15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52,017,362.57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18,541,590.24</w:t>
            </w:r>
          </w:p>
        </w:tc>
      </w:tr>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资产合计</w:t>
            </w:r>
          </w:p>
        </w:tc>
        <w:tc>
          <w:tcPr>
            <w:tcW w:w="192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143,541,168.54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29,573,953.01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109,844,334.00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41,445,995.00</w:t>
            </w:r>
          </w:p>
        </w:tc>
      </w:tr>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流动负债</w:t>
            </w:r>
          </w:p>
        </w:tc>
        <w:tc>
          <w:tcPr>
            <w:tcW w:w="192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41,473,866.64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2,123,964.35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15,516,492.82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-1,465.47</w:t>
            </w:r>
          </w:p>
        </w:tc>
      </w:tr>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非流动负债</w:t>
            </w:r>
          </w:p>
        </w:tc>
        <w:tc>
          <w:tcPr>
            <w:tcW w:w="192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2,929,796.69</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3,310,161.35</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负债合计</w:t>
            </w:r>
          </w:p>
        </w:tc>
        <w:tc>
          <w:tcPr>
            <w:tcW w:w="192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44,403,663.33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2,123,964.35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2"/>
              <w:jc w:val="right"/>
              <w:rPr>
                <w:rFonts w:ascii="宋体" w:hAnsi="宋体" w:cs="宋体" w:eastAsia="宋体" w:hint="default"/>
                <w:sz w:val="21"/>
                <w:szCs w:val="21"/>
              </w:rPr>
            </w:pPr>
            <w:r>
              <w:rPr>
                <w:rFonts w:ascii="宋体"/>
                <w:spacing w:val="-1"/>
                <w:sz w:val="21"/>
              </w:rPr>
              <w:t>18,826,654.17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-1,465.47</w:t>
            </w:r>
          </w:p>
        </w:tc>
      </w:tr>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少数股东权益</w:t>
            </w:r>
          </w:p>
        </w:tc>
        <w:tc>
          <w:tcPr>
            <w:tcW w:w="192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1,142,461.85</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11" w:right="188"/>
              <w:jc w:val="left"/>
              <w:rPr>
                <w:rFonts w:ascii="宋体" w:hAnsi="宋体" w:cs="宋体" w:eastAsia="宋体" w:hint="default"/>
                <w:sz w:val="21"/>
                <w:szCs w:val="21"/>
              </w:rPr>
            </w:pPr>
            <w:r>
              <w:rPr>
                <w:rFonts w:ascii="宋体" w:hAnsi="宋体" w:cs="宋体" w:eastAsia="宋体" w:hint="default"/>
                <w:sz w:val="21"/>
                <w:szCs w:val="21"/>
              </w:rPr>
              <w:t>归属于母公司股东 权益</w:t>
            </w:r>
          </w:p>
        </w:tc>
        <w:tc>
          <w:tcPr>
            <w:tcW w:w="192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1"/>
              <w:jc w:val="right"/>
              <w:rPr>
                <w:rFonts w:ascii="宋体" w:hAnsi="宋体" w:cs="宋体" w:eastAsia="宋体" w:hint="default"/>
                <w:sz w:val="21"/>
                <w:szCs w:val="21"/>
              </w:rPr>
            </w:pPr>
            <w:r>
              <w:rPr>
                <w:rFonts w:ascii="宋体"/>
                <w:sz w:val="21"/>
              </w:rPr>
              <w:t>97,995,043.36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1"/>
              <w:jc w:val="right"/>
              <w:rPr>
                <w:rFonts w:ascii="宋体" w:hAnsi="宋体" w:cs="宋体" w:eastAsia="宋体" w:hint="default"/>
                <w:sz w:val="21"/>
                <w:szCs w:val="21"/>
              </w:rPr>
            </w:pPr>
            <w:r>
              <w:rPr>
                <w:rFonts w:ascii="宋体"/>
                <w:sz w:val="21"/>
              </w:rPr>
              <w:t>27,449,988.66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1"/>
              <w:jc w:val="right"/>
              <w:rPr>
                <w:rFonts w:ascii="宋体" w:hAnsi="宋体" w:cs="宋体" w:eastAsia="宋体" w:hint="default"/>
                <w:sz w:val="21"/>
                <w:szCs w:val="21"/>
              </w:rPr>
            </w:pPr>
            <w:r>
              <w:rPr>
                <w:rFonts w:ascii="宋体"/>
                <w:sz w:val="21"/>
              </w:rPr>
              <w:t>91,017,679.83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1"/>
              <w:jc w:val="right"/>
              <w:rPr>
                <w:rFonts w:ascii="宋体" w:hAnsi="宋体" w:cs="宋体" w:eastAsia="宋体" w:hint="default"/>
                <w:sz w:val="21"/>
                <w:szCs w:val="21"/>
              </w:rPr>
            </w:pPr>
            <w:r>
              <w:rPr>
                <w:rFonts w:ascii="宋体"/>
                <w:sz w:val="21"/>
              </w:rPr>
              <w:t>41,447,460.47</w:t>
            </w:r>
          </w:p>
        </w:tc>
      </w:tr>
      <w:tr>
        <w:trPr>
          <w:trHeight w:val="714"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11" w:right="188"/>
              <w:jc w:val="left"/>
              <w:rPr>
                <w:rFonts w:ascii="宋体" w:hAnsi="宋体" w:cs="宋体" w:eastAsia="宋体" w:hint="default"/>
                <w:sz w:val="21"/>
                <w:szCs w:val="21"/>
              </w:rPr>
            </w:pPr>
            <w:r>
              <w:rPr>
                <w:rFonts w:ascii="宋体" w:hAnsi="宋体" w:cs="宋体" w:eastAsia="宋体" w:hint="default"/>
                <w:sz w:val="21"/>
                <w:szCs w:val="21"/>
              </w:rPr>
              <w:t>按持股比例计算的 净资产份额</w:t>
            </w:r>
          </w:p>
        </w:tc>
        <w:tc>
          <w:tcPr>
            <w:tcW w:w="192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1"/>
              <w:jc w:val="right"/>
              <w:rPr>
                <w:rFonts w:ascii="宋体" w:hAnsi="宋体" w:cs="宋体" w:eastAsia="宋体" w:hint="default"/>
                <w:sz w:val="21"/>
                <w:szCs w:val="21"/>
              </w:rPr>
            </w:pPr>
            <w:r>
              <w:rPr>
                <w:rFonts w:ascii="宋体"/>
                <w:sz w:val="21"/>
              </w:rPr>
              <w:t>22,880,078.71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0"/>
              <w:jc w:val="right"/>
              <w:rPr>
                <w:rFonts w:ascii="宋体" w:hAnsi="宋体" w:cs="宋体" w:eastAsia="宋体" w:hint="default"/>
                <w:sz w:val="21"/>
                <w:szCs w:val="21"/>
              </w:rPr>
            </w:pPr>
            <w:r>
              <w:rPr>
                <w:rFonts w:ascii="宋体"/>
                <w:sz w:val="21"/>
              </w:rPr>
              <w:t>9,058,496.26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1"/>
              <w:jc w:val="right"/>
              <w:rPr>
                <w:rFonts w:ascii="宋体" w:hAnsi="宋体" w:cs="宋体" w:eastAsia="宋体" w:hint="default"/>
                <w:sz w:val="21"/>
                <w:szCs w:val="21"/>
              </w:rPr>
            </w:pPr>
            <w:r>
              <w:rPr>
                <w:rFonts w:ascii="宋体"/>
                <w:sz w:val="21"/>
              </w:rPr>
              <w:t>21,250,989.92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1"/>
              <w:jc w:val="right"/>
              <w:rPr>
                <w:rFonts w:ascii="宋体" w:hAnsi="宋体" w:cs="宋体" w:eastAsia="宋体" w:hint="default"/>
                <w:sz w:val="21"/>
                <w:szCs w:val="21"/>
              </w:rPr>
            </w:pPr>
            <w:r>
              <w:rPr>
                <w:rFonts w:ascii="宋体"/>
                <w:sz w:val="21"/>
              </w:rPr>
              <w:t>13,677,661.96</w:t>
            </w:r>
          </w:p>
        </w:tc>
      </w:tr>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商誉</w:t>
            </w:r>
          </w:p>
        </w:tc>
        <w:tc>
          <w:tcPr>
            <w:tcW w:w="192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50,218,491.29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1,314,361.25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60,331,124.82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69,023,489.67</w:t>
            </w:r>
          </w:p>
        </w:tc>
      </w:tr>
      <w:tr>
        <w:trPr>
          <w:trHeight w:val="714"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11" w:right="188"/>
              <w:jc w:val="left"/>
              <w:rPr>
                <w:rFonts w:ascii="宋体" w:hAnsi="宋体" w:cs="宋体" w:eastAsia="宋体" w:hint="default"/>
                <w:sz w:val="21"/>
                <w:szCs w:val="21"/>
              </w:rPr>
            </w:pPr>
            <w:r>
              <w:rPr>
                <w:rFonts w:ascii="宋体" w:hAnsi="宋体" w:cs="宋体" w:eastAsia="宋体" w:hint="default"/>
                <w:sz w:val="21"/>
                <w:szCs w:val="21"/>
              </w:rPr>
              <w:t>对联营企业权益投 资的账面价值</w:t>
            </w:r>
          </w:p>
        </w:tc>
        <w:tc>
          <w:tcPr>
            <w:tcW w:w="192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1"/>
              <w:jc w:val="right"/>
              <w:rPr>
                <w:rFonts w:ascii="宋体" w:hAnsi="宋体" w:cs="宋体" w:eastAsia="宋体" w:hint="default"/>
                <w:sz w:val="21"/>
                <w:szCs w:val="21"/>
              </w:rPr>
            </w:pPr>
            <w:r>
              <w:rPr>
                <w:rFonts w:ascii="宋体"/>
                <w:sz w:val="21"/>
              </w:rPr>
              <w:t>73,098,570.01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1"/>
              <w:jc w:val="right"/>
              <w:rPr>
                <w:rFonts w:ascii="宋体" w:hAnsi="宋体" w:cs="宋体" w:eastAsia="宋体" w:hint="default"/>
                <w:sz w:val="21"/>
                <w:szCs w:val="21"/>
              </w:rPr>
            </w:pPr>
            <w:r>
              <w:rPr>
                <w:rFonts w:ascii="宋体"/>
                <w:sz w:val="21"/>
              </w:rPr>
              <w:t>10,372,857.51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1"/>
              <w:jc w:val="right"/>
              <w:rPr>
                <w:rFonts w:ascii="宋体" w:hAnsi="宋体" w:cs="宋体" w:eastAsia="宋体" w:hint="default"/>
                <w:sz w:val="21"/>
                <w:szCs w:val="21"/>
              </w:rPr>
            </w:pPr>
            <w:r>
              <w:rPr>
                <w:rFonts w:ascii="宋体"/>
                <w:sz w:val="21"/>
              </w:rPr>
              <w:t>81,582,114.74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1"/>
              <w:jc w:val="right"/>
              <w:rPr>
                <w:rFonts w:ascii="宋体" w:hAnsi="宋体" w:cs="宋体" w:eastAsia="宋体" w:hint="default"/>
                <w:sz w:val="21"/>
                <w:szCs w:val="21"/>
              </w:rPr>
            </w:pPr>
            <w:r>
              <w:rPr>
                <w:rFonts w:ascii="宋体"/>
                <w:sz w:val="21"/>
              </w:rPr>
              <w:t>82,701,151.63</w:t>
            </w:r>
          </w:p>
        </w:tc>
      </w:tr>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92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11,733,205.65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6,108,090.55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13,474,371.12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3,111,162.30</w:t>
            </w:r>
          </w:p>
        </w:tc>
      </w:tr>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192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pacing w:val="-1"/>
                <w:sz w:val="21"/>
              </w:rPr>
              <w:t>-36,824,349.84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pacing w:val="-1"/>
                <w:sz w:val="21"/>
              </w:rPr>
              <w:t>-19,476,471.81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pacing w:val="-1"/>
                <w:sz w:val="21"/>
              </w:rPr>
              <w:t>-29,268,847.22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pacing w:val="-1"/>
                <w:sz w:val="21"/>
              </w:rPr>
              <w:t>-22,949,071.41</w:t>
            </w:r>
          </w:p>
        </w:tc>
      </w:tr>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综合收益总额</w:t>
            </w:r>
          </w:p>
        </w:tc>
        <w:tc>
          <w:tcPr>
            <w:tcW w:w="192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pacing w:val="-1"/>
                <w:sz w:val="21"/>
              </w:rPr>
              <w:t>-36,824,349.84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pacing w:val="-1"/>
                <w:sz w:val="21"/>
              </w:rPr>
              <w:t>-19,476,471.81</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type w:val="continuous"/>
          <w:pgSz w:w="11910" w:h="16840"/>
          <w:pgMar w:top="1060" w:bottom="1160" w:left="980" w:right="0"/>
        </w:sectPr>
      </w:pPr>
    </w:p>
    <w:p>
      <w:pPr>
        <w:pStyle w:val="Heading2"/>
        <w:spacing w:line="350" w:lineRule="auto"/>
        <w:ind w:left="633" w:right="2196" w:firstLine="2"/>
        <w:jc w:val="left"/>
        <w:rPr>
          <w:rFonts w:ascii="宋体" w:hAnsi="宋体" w:cs="宋体" w:eastAsia="宋体" w:hint="default"/>
          <w:b w:val="0"/>
          <w:bCs w:val="0"/>
        </w:rPr>
      </w:pPr>
      <w:bookmarkStart w:name="（4）不重要的合营企业和联营企业的汇总财务信息" w:id="454"/>
      <w:bookmarkEnd w:id="454"/>
      <w:r>
        <w:rPr>
          <w:b w:val="0"/>
          <w:bCs w:val="0"/>
        </w:rPr>
      </w:r>
      <w:r>
        <w:rPr>
          <w:w w:val="95"/>
        </w:rPr>
        <w:t>（</w:t>
      </w:r>
      <w:r>
        <w:rPr>
          <w:rFonts w:ascii="宋体" w:hAnsi="宋体" w:cs="宋体" w:eastAsia="宋体" w:hint="default"/>
          <w:w w:val="95"/>
        </w:rPr>
        <w:t>4</w:t>
      </w:r>
      <w:r>
        <w:rPr>
          <w:w w:val="95"/>
        </w:rPr>
        <w:t>）不重要的合营企业和联营企业的汇总财务信息 </w:t>
      </w:r>
      <w:r>
        <w:rPr>
          <w:spacing w:val="19"/>
          <w:w w:val="95"/>
        </w:rPr>
        <w:t> </w:t>
      </w:r>
      <w:r>
        <w:rPr>
          <w:rFonts w:ascii="宋体" w:hAnsi="宋体" w:cs="宋体" w:eastAsia="宋体" w:hint="default"/>
          <w:b w:val="0"/>
          <w:bCs w:val="0"/>
        </w:rPr>
        <w:t>无</w:t>
      </w:r>
    </w:p>
    <w:p>
      <w:pPr>
        <w:pStyle w:val="Heading2"/>
        <w:spacing w:line="352" w:lineRule="auto" w:before="35"/>
        <w:ind w:left="633" w:right="136" w:firstLine="2"/>
        <w:jc w:val="left"/>
        <w:rPr>
          <w:rFonts w:ascii="宋体" w:hAnsi="宋体" w:cs="宋体" w:eastAsia="宋体" w:hint="default"/>
          <w:b w:val="0"/>
          <w:bCs w:val="0"/>
        </w:rPr>
      </w:pPr>
      <w:bookmarkStart w:name="（5）合营企业或联营企业向本公司转移资金的能力存在重大限制的说明" w:id="455"/>
      <w:bookmarkEnd w:id="455"/>
      <w:r>
        <w:rPr>
          <w:b w:val="0"/>
          <w:bCs w:val="0"/>
        </w:rPr>
      </w:r>
      <w:r>
        <w:rPr>
          <w:w w:val="95"/>
        </w:rPr>
        <w:t>（</w:t>
      </w:r>
      <w:r>
        <w:rPr>
          <w:rFonts w:ascii="宋体" w:hAnsi="宋体" w:cs="宋体" w:eastAsia="宋体" w:hint="default"/>
          <w:w w:val="95"/>
        </w:rPr>
        <w:t>5</w:t>
      </w:r>
      <w:r>
        <w:rPr>
          <w:w w:val="95"/>
        </w:rPr>
        <w:t>）合营企业或联营企业向本公司转移资金的能力存在重大限制的说明  </w:t>
      </w:r>
      <w:r>
        <w:rPr>
          <w:spacing w:val="5"/>
          <w:w w:val="95"/>
        </w:rPr>
        <w:t> </w:t>
      </w:r>
      <w:r>
        <w:rPr>
          <w:spacing w:val="5"/>
          <w:w w:val="95"/>
        </w:rPr>
      </w:r>
      <w:r>
        <w:rPr>
          <w:rFonts w:ascii="宋体" w:hAnsi="宋体" w:cs="宋体" w:eastAsia="宋体" w:hint="default"/>
          <w:b w:val="0"/>
          <w:bCs w:val="0"/>
        </w:rPr>
        <w:t>无</w:t>
      </w:r>
    </w:p>
    <w:p>
      <w:pPr>
        <w:pStyle w:val="Heading2"/>
        <w:spacing w:line="240" w:lineRule="auto" w:before="32"/>
        <w:ind w:right="2196"/>
        <w:jc w:val="left"/>
        <w:rPr>
          <w:b w:val="0"/>
          <w:bCs w:val="0"/>
        </w:rPr>
      </w:pPr>
      <w:bookmarkStart w:name="（6）合营企业或联营企业发生的超额亏损" w:id="456"/>
      <w:bookmarkEnd w:id="456"/>
      <w:r>
        <w:rPr>
          <w:b w:val="0"/>
          <w:bCs w:val="0"/>
        </w:rPr>
      </w:r>
      <w:r>
        <w:rPr/>
        <w:t>（</w:t>
      </w:r>
      <w:r>
        <w:rPr>
          <w:rFonts w:ascii="宋体" w:hAnsi="宋体" w:cs="宋体" w:eastAsia="宋体" w:hint="default"/>
        </w:rPr>
        <w:t>6</w:t>
      </w:r>
      <w:r>
        <w:rPr/>
        <w:t>）合营企业或联营企业发生的超额亏损</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before="169"/>
        <w:ind w:left="587" w:right="0" w:firstLine="0"/>
        <w:jc w:val="left"/>
        <w:rPr>
          <w:rFonts w:ascii="宋体" w:hAnsi="宋体" w:cs="宋体" w:eastAsia="宋体" w:hint="default"/>
          <w:sz w:val="21"/>
          <w:szCs w:val="21"/>
        </w:rPr>
      </w:pPr>
      <w:r>
        <w:rPr>
          <w:rFonts w:ascii="宋体" w:hAnsi="宋体" w:cs="宋体" w:eastAsia="宋体" w:hint="default"/>
          <w:sz w:val="21"/>
          <w:szCs w:val="21"/>
        </w:rPr>
        <w:t>单位： 元</w:t>
      </w:r>
    </w:p>
    <w:p>
      <w:pPr>
        <w:spacing w:after="0"/>
        <w:jc w:val="left"/>
        <w:rPr>
          <w:rFonts w:ascii="宋体" w:hAnsi="宋体" w:cs="宋体" w:eastAsia="宋体" w:hint="default"/>
          <w:sz w:val="21"/>
          <w:szCs w:val="21"/>
        </w:rPr>
        <w:sectPr>
          <w:type w:val="continuous"/>
          <w:pgSz w:w="11910" w:h="16840"/>
          <w:pgMar w:top="1060" w:bottom="1160" w:left="980" w:right="0"/>
          <w:cols w:num="2" w:equalWidth="0">
            <w:col w:w="8222" w:space="40"/>
            <w:col w:w="2668"/>
          </w:cols>
        </w:sectPr>
      </w:pP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1"/>
        <w:gridCol w:w="2392"/>
        <w:gridCol w:w="2392"/>
        <w:gridCol w:w="2394"/>
      </w:tblGrid>
      <w:tr>
        <w:trPr>
          <w:trHeight w:val="714"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34" w:right="0"/>
              <w:jc w:val="left"/>
              <w:rPr>
                <w:rFonts w:ascii="宋体" w:hAnsi="宋体" w:cs="宋体" w:eastAsia="宋体" w:hint="default"/>
                <w:sz w:val="21"/>
                <w:szCs w:val="21"/>
              </w:rPr>
            </w:pPr>
            <w:r>
              <w:rPr>
                <w:rFonts w:ascii="宋体" w:hAnsi="宋体" w:cs="宋体" w:eastAsia="宋体" w:hint="default"/>
                <w:sz w:val="21"/>
                <w:szCs w:val="21"/>
              </w:rPr>
              <w:t>合营企业或联营企业名称</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980" w:right="34" w:hanging="945"/>
              <w:jc w:val="left"/>
              <w:rPr>
                <w:rFonts w:ascii="宋体" w:hAnsi="宋体" w:cs="宋体" w:eastAsia="宋体" w:hint="default"/>
                <w:sz w:val="21"/>
                <w:szCs w:val="21"/>
              </w:rPr>
            </w:pPr>
            <w:r>
              <w:rPr>
                <w:rFonts w:ascii="宋体" w:hAnsi="宋体" w:cs="宋体" w:eastAsia="宋体" w:hint="default"/>
                <w:sz w:val="21"/>
                <w:szCs w:val="21"/>
              </w:rPr>
              <w:t>累积未确认前期累计认的 损失</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350" w:right="34" w:hanging="315"/>
              <w:jc w:val="left"/>
              <w:rPr>
                <w:rFonts w:ascii="宋体" w:hAnsi="宋体" w:cs="宋体" w:eastAsia="宋体" w:hint="default"/>
                <w:sz w:val="21"/>
                <w:szCs w:val="21"/>
              </w:rPr>
            </w:pPr>
            <w:r>
              <w:rPr>
                <w:rFonts w:ascii="宋体" w:hAnsi="宋体" w:cs="宋体" w:eastAsia="宋体" w:hint="default"/>
                <w:sz w:val="21"/>
                <w:szCs w:val="21"/>
              </w:rPr>
              <w:t>本期未确认的损失（或本 期分享的净利润）</w:t>
            </w:r>
          </w:p>
        </w:tc>
        <w:tc>
          <w:tcPr>
            <w:tcW w:w="2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37" w:right="0"/>
              <w:jc w:val="left"/>
              <w:rPr>
                <w:rFonts w:ascii="宋体" w:hAnsi="宋体" w:cs="宋体" w:eastAsia="宋体" w:hint="default"/>
                <w:sz w:val="21"/>
                <w:szCs w:val="21"/>
              </w:rPr>
            </w:pPr>
            <w:r>
              <w:rPr>
                <w:rFonts w:ascii="宋体" w:hAnsi="宋体" w:cs="宋体" w:eastAsia="宋体" w:hint="default"/>
                <w:sz w:val="21"/>
                <w:szCs w:val="21"/>
              </w:rPr>
              <w:t>本期末累积未确认的损失</w:t>
            </w:r>
          </w:p>
        </w:tc>
      </w:tr>
    </w:tbl>
    <w:p>
      <w:pPr>
        <w:spacing w:line="240" w:lineRule="auto" w:before="10"/>
        <w:rPr>
          <w:rFonts w:ascii="宋体" w:hAnsi="宋体" w:cs="宋体" w:eastAsia="宋体" w:hint="default"/>
          <w:sz w:val="4"/>
          <w:szCs w:val="4"/>
        </w:rPr>
      </w:pPr>
    </w:p>
    <w:p>
      <w:pPr>
        <w:pStyle w:val="Heading2"/>
        <w:spacing w:line="352" w:lineRule="auto"/>
        <w:ind w:left="633" w:right="6192" w:firstLine="2"/>
        <w:jc w:val="left"/>
        <w:rPr>
          <w:rFonts w:ascii="宋体" w:hAnsi="宋体" w:cs="宋体" w:eastAsia="宋体" w:hint="default"/>
          <w:b w:val="0"/>
          <w:bCs w:val="0"/>
        </w:rPr>
      </w:pPr>
      <w:bookmarkStart w:name="（7）与合营企业投资相关的未确认承诺" w:id="457"/>
      <w:bookmarkEnd w:id="457"/>
      <w:r>
        <w:rPr>
          <w:b w:val="0"/>
          <w:bCs w:val="0"/>
        </w:rPr>
      </w:r>
      <w:r>
        <w:rPr>
          <w:w w:val="95"/>
        </w:rPr>
        <w:t>（</w:t>
      </w:r>
      <w:r>
        <w:rPr>
          <w:rFonts w:ascii="宋体" w:hAnsi="宋体" w:cs="宋体" w:eastAsia="宋体" w:hint="default"/>
          <w:w w:val="95"/>
        </w:rPr>
        <w:t>7</w:t>
      </w:r>
      <w:r>
        <w:rPr>
          <w:w w:val="95"/>
        </w:rPr>
        <w:t>）与合营企业投资相关的未确认承诺</w:t>
      </w:r>
      <w:r>
        <w:rPr>
          <w:spacing w:val="79"/>
          <w:w w:val="95"/>
        </w:rPr>
        <w:t> </w:t>
      </w:r>
      <w:r>
        <w:rPr>
          <w:rFonts w:ascii="宋体" w:hAnsi="宋体" w:cs="宋体" w:eastAsia="宋体" w:hint="default"/>
          <w:b w:val="0"/>
          <w:bCs w:val="0"/>
        </w:rPr>
        <w:t>无</w:t>
      </w:r>
    </w:p>
    <w:p>
      <w:pPr>
        <w:spacing w:after="0" w:line="352" w:lineRule="auto"/>
        <w:jc w:val="left"/>
        <w:rPr>
          <w:rFonts w:ascii="宋体" w:hAnsi="宋体" w:cs="宋体" w:eastAsia="宋体" w:hint="default"/>
        </w:rPr>
        <w:sectPr>
          <w:type w:val="continuous"/>
          <w:pgSz w:w="11910" w:h="16840"/>
          <w:pgMar w:top="1060" w:bottom="1160" w:left="980" w:right="0"/>
        </w:sectPr>
      </w:pPr>
    </w:p>
    <w:p>
      <w:pPr>
        <w:spacing w:line="240" w:lineRule="auto" w:before="0"/>
        <w:rPr>
          <w:rFonts w:ascii="宋体" w:hAnsi="宋体" w:cs="宋体" w:eastAsia="宋体" w:hint="default"/>
          <w:sz w:val="20"/>
          <w:szCs w:val="20"/>
        </w:rPr>
      </w:pPr>
    </w:p>
    <w:p>
      <w:pPr>
        <w:pStyle w:val="Heading2"/>
        <w:spacing w:line="350" w:lineRule="auto" w:before="199"/>
        <w:ind w:left="633" w:right="5232" w:firstLine="2"/>
        <w:jc w:val="left"/>
        <w:rPr>
          <w:rFonts w:ascii="宋体" w:hAnsi="宋体" w:cs="宋体" w:eastAsia="宋体" w:hint="default"/>
          <w:b w:val="0"/>
          <w:bCs w:val="0"/>
        </w:rPr>
      </w:pPr>
      <w:bookmarkStart w:name="（8）与合营企业或联营企业投资相关的或有负债" w:id="458"/>
      <w:bookmarkEnd w:id="458"/>
      <w:r>
        <w:rPr>
          <w:b w:val="0"/>
          <w:bCs w:val="0"/>
        </w:rPr>
      </w:r>
      <w:r>
        <w:rPr>
          <w:w w:val="95"/>
        </w:rPr>
        <w:t>（</w:t>
      </w:r>
      <w:r>
        <w:rPr>
          <w:rFonts w:ascii="宋体" w:hAnsi="宋体" w:cs="宋体" w:eastAsia="宋体" w:hint="default"/>
          <w:w w:val="95"/>
        </w:rPr>
        <w:t>8</w:t>
      </w:r>
      <w:r>
        <w:rPr>
          <w:w w:val="95"/>
        </w:rPr>
        <w:t>）与合营企业或联营企业投资相关的或有负债 </w:t>
      </w:r>
      <w:r>
        <w:rPr>
          <w:spacing w:val="8"/>
          <w:w w:val="95"/>
        </w:rPr>
        <w:t> </w:t>
      </w:r>
      <w:r>
        <w:rPr>
          <w:rFonts w:ascii="宋体" w:hAnsi="宋体" w:cs="宋体" w:eastAsia="宋体" w:hint="default"/>
          <w:b w:val="0"/>
          <w:bCs w:val="0"/>
        </w:rPr>
        <w:t>无</w:t>
      </w:r>
    </w:p>
    <w:p>
      <w:pPr>
        <w:pStyle w:val="Heading2"/>
        <w:spacing w:line="564" w:lineRule="auto" w:before="209"/>
        <w:ind w:left="633" w:right="8222" w:firstLine="2"/>
        <w:jc w:val="left"/>
        <w:rPr>
          <w:rFonts w:ascii="宋体" w:hAnsi="宋体" w:cs="宋体" w:eastAsia="宋体" w:hint="default"/>
          <w:b w:val="0"/>
          <w:bCs w:val="0"/>
        </w:rPr>
      </w:pPr>
      <w:bookmarkStart w:name="4、重要的共同经营" w:id="459"/>
      <w:bookmarkEnd w:id="459"/>
      <w:r>
        <w:rPr>
          <w:b w:val="0"/>
          <w:bCs w:val="0"/>
        </w:rPr>
      </w:r>
      <w:r>
        <w:rPr>
          <w:rFonts w:ascii="宋体" w:hAnsi="宋体" w:cs="宋体" w:eastAsia="宋体" w:hint="default"/>
        </w:rPr>
        <w:t>4</w:t>
      </w:r>
      <w:r>
        <w:rPr/>
        <w:t>、重要的共同经营</w:t>
      </w:r>
      <w:r>
        <w:rPr>
          <w:w w:val="99"/>
        </w:rPr>
        <w:t> </w:t>
      </w:r>
      <w:r>
        <w:rPr>
          <w:rFonts w:ascii="宋体" w:hAnsi="宋体" w:cs="宋体" w:eastAsia="宋体" w:hint="default"/>
          <w:b w:val="0"/>
          <w:bCs w:val="0"/>
        </w:rPr>
        <w:t>无</w:t>
      </w:r>
    </w:p>
    <w:p>
      <w:pPr>
        <w:pStyle w:val="Heading2"/>
        <w:spacing w:line="308" w:lineRule="exact" w:before="0"/>
        <w:ind w:right="996"/>
        <w:jc w:val="left"/>
        <w:rPr>
          <w:b w:val="0"/>
          <w:bCs w:val="0"/>
        </w:rPr>
      </w:pPr>
      <w:bookmarkStart w:name="5、在未纳入合并财务报表范围的结构化主体中的权益" w:id="460"/>
      <w:bookmarkEnd w:id="460"/>
      <w:r>
        <w:rPr>
          <w:b w:val="0"/>
          <w:bCs w:val="0"/>
        </w:rPr>
      </w:r>
      <w:r>
        <w:rPr>
          <w:rFonts w:ascii="宋体" w:hAnsi="宋体" w:cs="宋体" w:eastAsia="宋体" w:hint="default"/>
        </w:rPr>
        <w:t>5</w:t>
      </w:r>
      <w:r>
        <w:rPr/>
        <w:t>、在未纳入合并财务报表范围的结构化主体中的权益</w:t>
      </w:r>
      <w:r>
        <w:rPr>
          <w:b w:val="0"/>
          <w:bCs w:val="0"/>
        </w:rPr>
      </w:r>
    </w:p>
    <w:p>
      <w:pPr>
        <w:spacing w:line="240" w:lineRule="auto" w:before="6"/>
        <w:rPr>
          <w:rFonts w:ascii="宋体" w:hAnsi="宋体" w:cs="宋体" w:eastAsia="宋体" w:hint="default"/>
          <w:b/>
          <w:bCs/>
          <w:sz w:val="32"/>
          <w:szCs w:val="32"/>
        </w:rPr>
      </w:pPr>
    </w:p>
    <w:p>
      <w:pPr>
        <w:pStyle w:val="BodyText"/>
        <w:spacing w:line="482" w:lineRule="auto" w:before="0"/>
        <w:ind w:left="636" w:right="4513" w:hanging="3"/>
        <w:jc w:val="left"/>
        <w:rPr>
          <w:rFonts w:ascii="宋体" w:hAnsi="宋体" w:cs="宋体" w:eastAsia="宋体" w:hint="default"/>
        </w:rPr>
      </w:pPr>
      <w:r>
        <w:rPr/>
        <w:t>未纳入合并财务报表范围的结构化主体的相关说明：无 </w:t>
      </w:r>
      <w:bookmarkStart w:name="6、其他" w:id="461"/>
      <w:bookmarkEnd w:id="461"/>
      <w:r>
        <w:rPr/>
      </w:r>
      <w:r>
        <w:rPr>
          <w:rFonts w:ascii="宋体" w:hAnsi="宋体" w:cs="宋体" w:eastAsia="宋体" w:hint="default"/>
          <w:b/>
          <w:bCs/>
        </w:rPr>
        <w:t>6</w:t>
      </w:r>
      <w:r>
        <w:rPr>
          <w:rFonts w:ascii="宋体" w:hAnsi="宋体" w:cs="宋体" w:eastAsia="宋体" w:hint="default"/>
          <w:b/>
          <w:bCs/>
        </w:rPr>
        <w:t>、其他</w:t>
      </w:r>
      <w:r>
        <w:rPr>
          <w:rFonts w:ascii="宋体" w:hAnsi="宋体" w:cs="宋体" w:eastAsia="宋体" w:hint="default"/>
        </w:rPr>
      </w:r>
    </w:p>
    <w:p>
      <w:pPr>
        <w:pStyle w:val="Heading2"/>
        <w:spacing w:line="487" w:lineRule="auto" w:before="182"/>
        <w:ind w:left="153" w:right="7981" w:firstLine="480"/>
        <w:jc w:val="left"/>
        <w:rPr>
          <w:b w:val="0"/>
          <w:bCs w:val="0"/>
        </w:rPr>
      </w:pPr>
      <w:r>
        <w:rPr>
          <w:rFonts w:ascii="宋体" w:hAnsi="宋体" w:cs="宋体" w:eastAsia="宋体" w:hint="default"/>
          <w:b w:val="0"/>
          <w:bCs w:val="0"/>
        </w:rPr>
        <w:t>无 </w:t>
      </w:r>
      <w:bookmarkStart w:name="十、与金融工具相关的风险" w:id="462"/>
      <w:bookmarkEnd w:id="462"/>
      <w:r>
        <w:rPr>
          <w:rFonts w:ascii="宋体" w:hAnsi="宋体" w:cs="宋体" w:eastAsia="宋体" w:hint="default"/>
          <w:b w:val="0"/>
          <w:bCs w:val="0"/>
        </w:rPr>
      </w:r>
      <w:r>
        <w:rPr>
          <w:w w:val="95"/>
        </w:rPr>
        <w:t>十、与金融工具相关的风险</w:t>
      </w:r>
      <w:r>
        <w:rPr>
          <w:b w:val="0"/>
          <w:bCs w:val="0"/>
        </w:rPr>
      </w:r>
    </w:p>
    <w:p>
      <w:pPr>
        <w:pStyle w:val="BodyText"/>
        <w:spacing w:line="350" w:lineRule="auto" w:before="176"/>
        <w:ind w:right="1169" w:firstLine="480"/>
        <w:jc w:val="both"/>
      </w:pPr>
      <w:r>
        <w:rPr/>
        <w:t>本公司的经营活动会面临各种金融风险：信用风险、流动风险和市场风险（主要为汇率 风险和利率风险）。本公司整体的风险管理计划针对金融市场的不可预见性，力求减少对本 公司财务业绩的潜在不利影响。</w:t>
      </w:r>
    </w:p>
    <w:p>
      <w:pPr>
        <w:pStyle w:val="BodyText"/>
        <w:spacing w:line="350" w:lineRule="auto"/>
        <w:ind w:left="633" w:right="1153"/>
        <w:jc w:val="left"/>
      </w:pPr>
      <w:r>
        <w:rPr/>
        <w:t>（一）信用风险 本公司的信用风险主要来自货币资金、应收票据、应收账款、其他应收款等。管理层已</w:t>
      </w:r>
    </w:p>
    <w:p>
      <w:pPr>
        <w:pStyle w:val="BodyText"/>
        <w:spacing w:line="352" w:lineRule="auto" w:before="35"/>
        <w:ind w:left="633" w:right="1153" w:hanging="480"/>
        <w:jc w:val="left"/>
      </w:pPr>
      <w:r>
        <w:rPr/>
        <w:t>制定适当的信用政策，并且不断监察这些信用风险的敞口。 本公司持有的货币资金，主要存放于国有控股银行和其他大中型商业银行等金融机构，</w:t>
      </w:r>
    </w:p>
    <w:p>
      <w:pPr>
        <w:pStyle w:val="BodyText"/>
        <w:spacing w:line="350" w:lineRule="auto" w:before="32"/>
        <w:ind w:right="1153"/>
        <w:jc w:val="left"/>
      </w:pPr>
      <w:r>
        <w:rPr/>
        <w:t>管理层认为这些商业银行具备较高信誉和资产状况，不存在重大的信用风险，不会产生因对 方单位违约而导致的任何重大损失。</w:t>
      </w:r>
    </w:p>
    <w:p>
      <w:pPr>
        <w:pStyle w:val="BodyText"/>
        <w:spacing w:line="350" w:lineRule="auto"/>
        <w:ind w:right="1169" w:firstLine="480"/>
        <w:jc w:val="both"/>
      </w:pPr>
      <w:r>
        <w:rPr/>
        <w:t>对于应收账款、其他应收款和应收票据，本公司设定相关政策以控制信用风险敞口。本 公司基于对客户的财务状况、从第三方获取担保的可能性、信用记录及其它因素诸如目前市 场状况等评估客户的信用资质并设置相应信用期。本公司会定期对客户信用记录进行监控， 对于信用记录不良的客户，本公司会采用书面催款、缩短信用期或取消信用期等方式，以确 保本公司的整体信用风险在可控的范围内。</w:t>
      </w:r>
    </w:p>
    <w:p>
      <w:pPr>
        <w:pStyle w:val="BodyText"/>
        <w:spacing w:line="352" w:lineRule="auto" w:before="35"/>
        <w:ind w:right="1130" w:firstLine="480"/>
        <w:jc w:val="both"/>
      </w:pPr>
      <w:r>
        <w:rPr>
          <w:spacing w:val="-5"/>
        </w:rPr>
        <w:t>截止</w:t>
      </w:r>
      <w:r>
        <w:rPr>
          <w:rFonts w:ascii="宋体" w:hAnsi="宋体" w:cs="宋体" w:eastAsia="宋体" w:hint="default"/>
          <w:spacing w:val="-5"/>
        </w:rPr>
        <w:t>2017</w:t>
      </w:r>
      <w:r>
        <w:rPr>
          <w:spacing w:val="-5"/>
        </w:rPr>
        <w:t>年</w:t>
      </w:r>
      <w:r>
        <w:rPr>
          <w:rFonts w:ascii="宋体" w:hAnsi="宋体" w:cs="宋体" w:eastAsia="宋体" w:hint="default"/>
          <w:spacing w:val="-5"/>
        </w:rPr>
        <w:t>12</w:t>
      </w:r>
      <w:r>
        <w:rPr>
          <w:spacing w:val="-5"/>
        </w:rPr>
        <w:t>月</w:t>
      </w:r>
      <w:r>
        <w:rPr>
          <w:rFonts w:ascii="宋体" w:hAnsi="宋体" w:cs="宋体" w:eastAsia="宋体" w:hint="default"/>
          <w:spacing w:val="-5"/>
        </w:rPr>
        <w:t>31</w:t>
      </w:r>
      <w:r>
        <w:rPr>
          <w:spacing w:val="-5"/>
        </w:rPr>
        <w:t>日，本公司的前五大客户的应收款占本公司应收款项总额</w:t>
      </w:r>
      <w:r>
        <w:rPr>
          <w:rFonts w:ascii="宋体" w:hAnsi="宋体" w:cs="宋体" w:eastAsia="宋体" w:hint="default"/>
          <w:spacing w:val="-5"/>
        </w:rPr>
        <w:t>16.08%</w:t>
      </w:r>
      <w:r>
        <w:rPr>
          <w:spacing w:val="-5"/>
        </w:rPr>
        <w:t>（</w:t>
      </w:r>
      <w:r>
        <w:rPr>
          <w:rFonts w:ascii="宋体" w:hAnsi="宋体" w:cs="宋体" w:eastAsia="宋体" w:hint="default"/>
          <w:spacing w:val="-5"/>
        </w:rPr>
        <w:t>2016</w:t>
      </w:r>
      <w:r>
        <w:rPr>
          <w:rFonts w:ascii="宋体" w:hAnsi="宋体" w:cs="宋体" w:eastAsia="宋体" w:hint="default"/>
        </w:rPr>
        <w:t> </w:t>
      </w:r>
      <w:r>
        <w:rPr/>
        <w:t>年为</w:t>
      </w:r>
      <w:r>
        <w:rPr>
          <w:rFonts w:ascii="宋体" w:hAnsi="宋体" w:cs="宋体" w:eastAsia="宋体" w:hint="default"/>
        </w:rPr>
        <w:t>13.2%</w:t>
      </w:r>
      <w:r>
        <w:rPr/>
        <w:t>）。</w:t>
      </w:r>
    </w:p>
    <w:p>
      <w:pPr>
        <w:pStyle w:val="BodyText"/>
        <w:spacing w:line="240" w:lineRule="auto" w:before="32"/>
        <w:ind w:left="633" w:right="996"/>
        <w:jc w:val="left"/>
        <w:rPr>
          <w:rFonts w:ascii="宋体" w:hAnsi="宋体" w:cs="宋体" w:eastAsia="宋体" w:hint="default"/>
        </w:rPr>
      </w:pPr>
      <w:r>
        <w:rPr/>
        <w:t>本公司所承受的最大信用风险敞口为资产负债表中每项金融资产</w:t>
      </w:r>
      <w:r>
        <w:rPr>
          <w:rFonts w:ascii="宋体" w:hAnsi="宋体" w:cs="宋体" w:eastAsia="宋体" w:hint="default"/>
        </w:rPr>
        <w:t>(</w:t>
      </w:r>
      <w:r>
        <w:rPr/>
        <w:t>包括衍生金融工具</w:t>
      </w:r>
      <w:r>
        <w:rPr>
          <w:rFonts w:ascii="宋体" w:hAnsi="宋体" w:cs="宋体" w:eastAsia="宋体" w:hint="default"/>
        </w:rPr>
        <w:t>)</w:t>
      </w:r>
    </w:p>
    <w:p>
      <w:pPr>
        <w:spacing w:after="0" w:line="240" w:lineRule="auto"/>
        <w:jc w:val="left"/>
        <w:rPr>
          <w:rFonts w:ascii="宋体" w:hAnsi="宋体" w:cs="宋体" w:eastAsia="宋体" w:hint="default"/>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240" w:lineRule="auto" w:before="199"/>
        <w:ind w:right="996"/>
        <w:jc w:val="left"/>
      </w:pPr>
      <w:r>
        <w:rPr/>
        <w:t>的账面金额。本公司没有提供任何其他可能令本公司承受信用风险的担保。</w:t>
      </w:r>
    </w:p>
    <w:p>
      <w:pPr>
        <w:pStyle w:val="BodyText"/>
        <w:spacing w:line="352" w:lineRule="auto" w:before="145"/>
        <w:ind w:left="633" w:right="1273"/>
        <w:jc w:val="left"/>
      </w:pPr>
      <w:r>
        <w:rPr/>
        <w:t>（二）流动性风险 流动性风险是指本公司无法及时获得充足资金</w:t>
      </w:r>
      <w:r>
        <w:rPr>
          <w:rFonts w:ascii="宋体" w:hAnsi="宋体" w:cs="宋体" w:eastAsia="宋体" w:hint="default"/>
        </w:rPr>
        <w:t>,</w:t>
      </w:r>
      <w:r>
        <w:rPr/>
        <w:t>满足业务发展需要或偿付到期债务以及</w:t>
      </w:r>
    </w:p>
    <w:p>
      <w:pPr>
        <w:pStyle w:val="BodyText"/>
        <w:spacing w:line="350" w:lineRule="auto" w:before="33"/>
        <w:ind w:left="633" w:right="1153" w:hanging="480"/>
        <w:jc w:val="left"/>
      </w:pPr>
      <w:r>
        <w:rPr/>
        <w:t>其他支付义务的风险。 本公司财务部门持续监控公司短期和长期的资金需求，以确保维持充裕的现金储备；同</w:t>
      </w:r>
    </w:p>
    <w:p>
      <w:pPr>
        <w:pStyle w:val="BodyText"/>
        <w:spacing w:line="350" w:lineRule="auto"/>
        <w:ind w:right="1153"/>
        <w:jc w:val="left"/>
      </w:pPr>
      <w:r>
        <w:rPr/>
        <w:t>时持续监控是否符合借款协议的规定，从主要金融机构获得提供足够备用资金的承诺，以满 足短期和长期的资金需求。</w:t>
      </w:r>
    </w:p>
    <w:p>
      <w:pPr>
        <w:pStyle w:val="BodyText"/>
        <w:spacing w:line="352" w:lineRule="auto" w:before="35"/>
        <w:ind w:left="154" w:right="1152" w:firstLine="480"/>
        <w:jc w:val="left"/>
      </w:pPr>
      <w:r>
        <w:rPr/>
        <w:pict>
          <v:shape style="position:absolute;margin-left:61.560001pt;margin-top:43.365623pt;width:472.5pt;height:300.8pt;mso-position-horizontal-relative:page;mso-position-vertical-relative:paragraph;z-index:196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378"/>
                    <w:gridCol w:w="1782"/>
                    <w:gridCol w:w="1842"/>
                    <w:gridCol w:w="1985"/>
                    <w:gridCol w:w="709"/>
                    <w:gridCol w:w="708"/>
                    <w:gridCol w:w="1031"/>
                  </w:tblGrid>
                  <w:tr>
                    <w:trPr>
                      <w:trHeight w:val="342" w:hRule="exact"/>
                    </w:trPr>
                    <w:tc>
                      <w:tcPr>
                        <w:tcW w:w="1378" w:type="dxa"/>
                        <w:vMerge w:val="restart"/>
                        <w:tcBorders>
                          <w:top w:val="single" w:sz="4" w:space="0" w:color="000000"/>
                          <w:left w:val="single" w:sz="4" w:space="0" w:color="000000"/>
                          <w:right w:val="single" w:sz="4"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8058" w:type="dxa"/>
                        <w:gridSpan w:val="6"/>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342" w:hRule="exact"/>
                    </w:trPr>
                    <w:tc>
                      <w:tcPr>
                        <w:tcW w:w="1378" w:type="dxa"/>
                        <w:vMerge/>
                        <w:tcBorders>
                          <w:left w:val="single" w:sz="4" w:space="0" w:color="000000"/>
                          <w:bottom w:val="single" w:sz="4" w:space="0" w:color="000000"/>
                          <w:right w:val="single" w:sz="4" w:space="0" w:color="000000"/>
                        </w:tcBorders>
                      </w:tcPr>
                      <w:p>
                        <w:pPr/>
                      </w:p>
                    </w:tc>
                    <w:tc>
                      <w:tcPr>
                        <w:tcW w:w="1782"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65" w:right="0"/>
                          <w:jc w:val="left"/>
                          <w:rPr>
                            <w:rFonts w:ascii="宋体" w:hAnsi="宋体" w:cs="宋体" w:eastAsia="宋体" w:hint="default"/>
                            <w:sz w:val="21"/>
                            <w:szCs w:val="21"/>
                          </w:rPr>
                        </w:pPr>
                        <w:r>
                          <w:rPr>
                            <w:rFonts w:ascii="宋体" w:hAnsi="宋体" w:cs="宋体" w:eastAsia="宋体" w:hint="default"/>
                            <w:sz w:val="21"/>
                            <w:szCs w:val="21"/>
                          </w:rPr>
                          <w:t>账面净值</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95" w:right="0"/>
                          <w:jc w:val="left"/>
                          <w:rPr>
                            <w:rFonts w:ascii="宋体" w:hAnsi="宋体" w:cs="宋体" w:eastAsia="宋体" w:hint="default"/>
                            <w:sz w:val="21"/>
                            <w:szCs w:val="21"/>
                          </w:rPr>
                        </w:pPr>
                        <w:r>
                          <w:rPr>
                            <w:rFonts w:ascii="宋体" w:hAnsi="宋体" w:cs="宋体" w:eastAsia="宋体" w:hint="default"/>
                            <w:sz w:val="21"/>
                            <w:szCs w:val="21"/>
                          </w:rPr>
                          <w:t>账面原值</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620"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年以内</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86" w:right="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z w:val="21"/>
                            <w:szCs w:val="21"/>
                          </w:rPr>
                          <w:t>年</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86" w:right="0"/>
                          <w:jc w:val="left"/>
                          <w:rPr>
                            <w:rFonts w:ascii="宋体" w:hAnsi="宋体" w:cs="宋体" w:eastAsia="宋体" w:hint="default"/>
                            <w:sz w:val="21"/>
                            <w:szCs w:val="21"/>
                          </w:rPr>
                        </w:pPr>
                        <w:r>
                          <w:rPr>
                            <w:rFonts w:ascii="宋体" w:hAnsi="宋体" w:cs="宋体" w:eastAsia="宋体" w:hint="default"/>
                            <w:sz w:val="21"/>
                            <w:szCs w:val="21"/>
                          </w:rPr>
                          <w:t>2-5</w:t>
                        </w:r>
                        <w:r>
                          <w:rPr>
                            <w:rFonts w:ascii="宋体" w:hAnsi="宋体" w:cs="宋体" w:eastAsia="宋体" w:hint="default"/>
                            <w:sz w:val="21"/>
                            <w:szCs w:val="21"/>
                          </w:rPr>
                          <w:t>年</w:t>
                        </w:r>
                      </w:p>
                    </w:tc>
                    <w:tc>
                      <w:tcPr>
                        <w:tcW w:w="1031"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142"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z w:val="21"/>
                            <w:szCs w:val="21"/>
                          </w:rPr>
                          <w:t>年以上</w:t>
                        </w:r>
                      </w:p>
                    </w:tc>
                  </w:tr>
                  <w:tr>
                    <w:trPr>
                      <w:trHeight w:val="342" w:hRule="exact"/>
                    </w:trPr>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1782"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4"/>
                          <w:jc w:val="right"/>
                          <w:rPr>
                            <w:rFonts w:ascii="宋体" w:hAnsi="宋体" w:cs="宋体" w:eastAsia="宋体" w:hint="default"/>
                            <w:sz w:val="21"/>
                            <w:szCs w:val="21"/>
                          </w:rPr>
                        </w:pPr>
                        <w:r>
                          <w:rPr>
                            <w:rFonts w:ascii="宋体"/>
                            <w:sz w:val="21"/>
                          </w:rPr>
                          <w:t>888,934,246.92</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4"/>
                          <w:jc w:val="right"/>
                          <w:rPr>
                            <w:rFonts w:ascii="宋体" w:hAnsi="宋体" w:cs="宋体" w:eastAsia="宋体" w:hint="default"/>
                            <w:sz w:val="21"/>
                            <w:szCs w:val="21"/>
                          </w:rPr>
                        </w:pPr>
                        <w:r>
                          <w:rPr>
                            <w:rFonts w:ascii="宋体"/>
                            <w:sz w:val="21"/>
                          </w:rPr>
                          <w:t>888,934,246.92</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3"/>
                          <w:jc w:val="right"/>
                          <w:rPr>
                            <w:rFonts w:ascii="宋体" w:hAnsi="宋体" w:cs="宋体" w:eastAsia="宋体" w:hint="default"/>
                            <w:sz w:val="21"/>
                            <w:szCs w:val="21"/>
                          </w:rPr>
                        </w:pPr>
                        <w:r>
                          <w:rPr>
                            <w:rFonts w:ascii="宋体"/>
                            <w:sz w:val="21"/>
                          </w:rPr>
                          <w:t>888,934,246.92</w:t>
                        </w: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031"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1782"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3"/>
                          <w:jc w:val="right"/>
                          <w:rPr>
                            <w:rFonts w:ascii="宋体" w:hAnsi="宋体" w:cs="宋体" w:eastAsia="宋体" w:hint="default"/>
                            <w:sz w:val="21"/>
                            <w:szCs w:val="21"/>
                          </w:rPr>
                        </w:pPr>
                        <w:r>
                          <w:rPr>
                            <w:rFonts w:ascii="宋体"/>
                            <w:sz w:val="21"/>
                          </w:rPr>
                          <w:t>30,643,134.07</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3"/>
                          <w:jc w:val="right"/>
                          <w:rPr>
                            <w:rFonts w:ascii="宋体" w:hAnsi="宋体" w:cs="宋体" w:eastAsia="宋体" w:hint="default"/>
                            <w:sz w:val="21"/>
                            <w:szCs w:val="21"/>
                          </w:rPr>
                        </w:pPr>
                        <w:r>
                          <w:rPr>
                            <w:rFonts w:ascii="宋体"/>
                            <w:sz w:val="21"/>
                          </w:rPr>
                          <w:t>30,643,134.07</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2"/>
                          <w:jc w:val="right"/>
                          <w:rPr>
                            <w:rFonts w:ascii="宋体" w:hAnsi="宋体" w:cs="宋体" w:eastAsia="宋体" w:hint="default"/>
                            <w:sz w:val="21"/>
                            <w:szCs w:val="21"/>
                          </w:rPr>
                        </w:pPr>
                        <w:r>
                          <w:rPr>
                            <w:rFonts w:ascii="宋体"/>
                            <w:sz w:val="21"/>
                          </w:rPr>
                          <w:t>30,643,134.07</w:t>
                        </w: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031"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782"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2"/>
                          <w:jc w:val="right"/>
                          <w:rPr>
                            <w:rFonts w:ascii="宋体" w:hAnsi="宋体" w:cs="宋体" w:eastAsia="宋体" w:hint="default"/>
                            <w:sz w:val="21"/>
                            <w:szCs w:val="21"/>
                          </w:rPr>
                        </w:pPr>
                        <w:r>
                          <w:rPr>
                            <w:rFonts w:ascii="宋体"/>
                            <w:sz w:val="21"/>
                          </w:rPr>
                          <w:t>567,489,218.42</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3"/>
                          <w:jc w:val="right"/>
                          <w:rPr>
                            <w:rFonts w:ascii="宋体" w:hAnsi="宋体" w:cs="宋体" w:eastAsia="宋体" w:hint="default"/>
                            <w:sz w:val="21"/>
                            <w:szCs w:val="21"/>
                          </w:rPr>
                        </w:pPr>
                        <w:r>
                          <w:rPr>
                            <w:rFonts w:ascii="宋体"/>
                            <w:sz w:val="21"/>
                          </w:rPr>
                          <w:t>674,670,353.86</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3"/>
                          <w:jc w:val="right"/>
                          <w:rPr>
                            <w:rFonts w:ascii="宋体" w:hAnsi="宋体" w:cs="宋体" w:eastAsia="宋体" w:hint="default"/>
                            <w:sz w:val="21"/>
                            <w:szCs w:val="21"/>
                          </w:rPr>
                        </w:pPr>
                        <w:r>
                          <w:rPr>
                            <w:rFonts w:ascii="宋体"/>
                            <w:sz w:val="21"/>
                          </w:rPr>
                          <w:t>674,670,353.86</w:t>
                        </w: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031"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782"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4"/>
                          <w:jc w:val="right"/>
                          <w:rPr>
                            <w:rFonts w:ascii="宋体" w:hAnsi="宋体" w:cs="宋体" w:eastAsia="宋体" w:hint="default"/>
                            <w:sz w:val="21"/>
                            <w:szCs w:val="21"/>
                          </w:rPr>
                        </w:pPr>
                        <w:r>
                          <w:rPr>
                            <w:rFonts w:ascii="宋体"/>
                            <w:spacing w:val="-1"/>
                            <w:sz w:val="21"/>
                          </w:rPr>
                          <w:t>23,550,638.98</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5"/>
                          <w:jc w:val="right"/>
                          <w:rPr>
                            <w:rFonts w:ascii="宋体" w:hAnsi="宋体" w:cs="宋体" w:eastAsia="宋体" w:hint="default"/>
                            <w:sz w:val="21"/>
                            <w:szCs w:val="21"/>
                          </w:rPr>
                        </w:pPr>
                        <w:r>
                          <w:rPr>
                            <w:rFonts w:ascii="宋体"/>
                            <w:spacing w:val="-1"/>
                            <w:sz w:val="21"/>
                          </w:rPr>
                          <w:t>24,979,179.75</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3"/>
                          <w:jc w:val="right"/>
                          <w:rPr>
                            <w:rFonts w:ascii="宋体" w:hAnsi="宋体" w:cs="宋体" w:eastAsia="宋体" w:hint="default"/>
                            <w:sz w:val="21"/>
                            <w:szCs w:val="21"/>
                          </w:rPr>
                        </w:pPr>
                        <w:r>
                          <w:rPr>
                            <w:rFonts w:ascii="宋体"/>
                            <w:spacing w:val="-1"/>
                            <w:sz w:val="21"/>
                          </w:rPr>
                          <w:t>24,979,179.75</w:t>
                        </w: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031"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 w:right="0"/>
                          <w:jc w:val="left"/>
                          <w:rPr>
                            <w:rFonts w:ascii="宋体" w:hAnsi="宋体" w:cs="宋体" w:eastAsia="宋体" w:hint="default"/>
                            <w:sz w:val="21"/>
                            <w:szCs w:val="21"/>
                          </w:rPr>
                        </w:pPr>
                        <w:r>
                          <w:rPr>
                            <w:rFonts w:ascii="宋体" w:hAnsi="宋体" w:cs="宋体" w:eastAsia="宋体" w:hint="default"/>
                            <w:sz w:val="21"/>
                            <w:szCs w:val="21"/>
                          </w:rPr>
                          <w:t>金融资产小计</w:t>
                        </w:r>
                      </w:p>
                    </w:tc>
                    <w:tc>
                      <w:tcPr>
                        <w:tcW w:w="1782"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4"/>
                          <w:jc w:val="right"/>
                          <w:rPr>
                            <w:rFonts w:ascii="宋体" w:hAnsi="宋体" w:cs="宋体" w:eastAsia="宋体" w:hint="default"/>
                            <w:sz w:val="21"/>
                            <w:szCs w:val="21"/>
                          </w:rPr>
                        </w:pPr>
                        <w:r>
                          <w:rPr>
                            <w:rFonts w:ascii="宋体"/>
                            <w:sz w:val="21"/>
                          </w:rPr>
                          <w:t>1,510,617,238.39</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4"/>
                          <w:jc w:val="right"/>
                          <w:rPr>
                            <w:rFonts w:ascii="宋体" w:hAnsi="宋体" w:cs="宋体" w:eastAsia="宋体" w:hint="default"/>
                            <w:sz w:val="21"/>
                            <w:szCs w:val="21"/>
                          </w:rPr>
                        </w:pPr>
                        <w:r>
                          <w:rPr>
                            <w:rFonts w:ascii="宋体"/>
                            <w:sz w:val="21"/>
                          </w:rPr>
                          <w:t>1,619,226,914.60</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3"/>
                          <w:jc w:val="right"/>
                          <w:rPr>
                            <w:rFonts w:ascii="宋体" w:hAnsi="宋体" w:cs="宋体" w:eastAsia="宋体" w:hint="default"/>
                            <w:sz w:val="21"/>
                            <w:szCs w:val="21"/>
                          </w:rPr>
                        </w:pPr>
                        <w:r>
                          <w:rPr>
                            <w:rFonts w:ascii="宋体"/>
                            <w:sz w:val="21"/>
                          </w:rPr>
                          <w:t>1,619,226,914.60</w:t>
                        </w: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031"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1782"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4"/>
                          <w:jc w:val="right"/>
                          <w:rPr>
                            <w:rFonts w:ascii="宋体" w:hAnsi="宋体" w:cs="宋体" w:eastAsia="宋体" w:hint="default"/>
                            <w:sz w:val="21"/>
                            <w:szCs w:val="21"/>
                          </w:rPr>
                        </w:pPr>
                        <w:r>
                          <w:rPr>
                            <w:rFonts w:ascii="宋体"/>
                            <w:spacing w:val="-1"/>
                            <w:sz w:val="21"/>
                          </w:rPr>
                          <w:t>99,563,440.79</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5"/>
                          <w:jc w:val="right"/>
                          <w:rPr>
                            <w:rFonts w:ascii="宋体" w:hAnsi="宋体" w:cs="宋体" w:eastAsia="宋体" w:hint="default"/>
                            <w:sz w:val="21"/>
                            <w:szCs w:val="21"/>
                          </w:rPr>
                        </w:pPr>
                        <w:r>
                          <w:rPr>
                            <w:rFonts w:ascii="宋体"/>
                            <w:spacing w:val="-1"/>
                            <w:sz w:val="21"/>
                          </w:rPr>
                          <w:t>99,563,440.79</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3"/>
                          <w:jc w:val="right"/>
                          <w:rPr>
                            <w:rFonts w:ascii="宋体" w:hAnsi="宋体" w:cs="宋体" w:eastAsia="宋体" w:hint="default"/>
                            <w:sz w:val="21"/>
                            <w:szCs w:val="21"/>
                          </w:rPr>
                        </w:pPr>
                        <w:r>
                          <w:rPr>
                            <w:rFonts w:ascii="宋体"/>
                            <w:spacing w:val="-1"/>
                            <w:sz w:val="21"/>
                          </w:rPr>
                          <w:t>99,563,440.79</w:t>
                        </w: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031"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1782"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2"/>
                          <w:jc w:val="right"/>
                          <w:rPr>
                            <w:rFonts w:ascii="宋体" w:hAnsi="宋体" w:cs="宋体" w:eastAsia="宋体" w:hint="default"/>
                            <w:sz w:val="21"/>
                            <w:szCs w:val="21"/>
                          </w:rPr>
                        </w:pPr>
                        <w:r>
                          <w:rPr>
                            <w:rFonts w:ascii="宋体"/>
                            <w:sz w:val="21"/>
                          </w:rPr>
                          <w:t>208,504,797.03</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3"/>
                          <w:jc w:val="right"/>
                          <w:rPr>
                            <w:rFonts w:ascii="宋体" w:hAnsi="宋体" w:cs="宋体" w:eastAsia="宋体" w:hint="default"/>
                            <w:sz w:val="21"/>
                            <w:szCs w:val="21"/>
                          </w:rPr>
                        </w:pPr>
                        <w:r>
                          <w:rPr>
                            <w:rFonts w:ascii="宋体"/>
                            <w:sz w:val="21"/>
                          </w:rPr>
                          <w:t>208,504,797.03</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3"/>
                          <w:jc w:val="right"/>
                          <w:rPr>
                            <w:rFonts w:ascii="宋体" w:hAnsi="宋体" w:cs="宋体" w:eastAsia="宋体" w:hint="default"/>
                            <w:sz w:val="21"/>
                            <w:szCs w:val="21"/>
                          </w:rPr>
                        </w:pPr>
                        <w:r>
                          <w:rPr>
                            <w:rFonts w:ascii="宋体"/>
                            <w:sz w:val="21"/>
                          </w:rPr>
                          <w:t>208,504,797.03</w:t>
                        </w: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031"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1782"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4"/>
                          <w:jc w:val="right"/>
                          <w:rPr>
                            <w:rFonts w:ascii="宋体" w:hAnsi="宋体" w:cs="宋体" w:eastAsia="宋体" w:hint="default"/>
                            <w:sz w:val="21"/>
                            <w:szCs w:val="21"/>
                          </w:rPr>
                        </w:pPr>
                        <w:r>
                          <w:rPr>
                            <w:rFonts w:ascii="宋体"/>
                            <w:spacing w:val="-1"/>
                            <w:sz w:val="21"/>
                          </w:rPr>
                          <w:t>6,513,653.83</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4"/>
                          <w:jc w:val="right"/>
                          <w:rPr>
                            <w:rFonts w:ascii="宋体" w:hAnsi="宋体" w:cs="宋体" w:eastAsia="宋体" w:hint="default"/>
                            <w:sz w:val="21"/>
                            <w:szCs w:val="21"/>
                          </w:rPr>
                        </w:pPr>
                        <w:r>
                          <w:rPr>
                            <w:rFonts w:ascii="宋体"/>
                            <w:spacing w:val="-1"/>
                            <w:sz w:val="21"/>
                          </w:rPr>
                          <w:t>6,513,653.83</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3"/>
                          <w:jc w:val="right"/>
                          <w:rPr>
                            <w:rFonts w:ascii="宋体" w:hAnsi="宋体" w:cs="宋体" w:eastAsia="宋体" w:hint="default"/>
                            <w:sz w:val="21"/>
                            <w:szCs w:val="21"/>
                          </w:rPr>
                        </w:pPr>
                        <w:r>
                          <w:rPr>
                            <w:rFonts w:ascii="宋体"/>
                            <w:spacing w:val="-1"/>
                            <w:sz w:val="21"/>
                          </w:rPr>
                          <w:t>6,513,653.83</w:t>
                        </w: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031" w:type="dxa"/>
                        <w:tcBorders>
                          <w:top w:val="single" w:sz="4" w:space="0" w:color="000000"/>
                          <w:left w:val="single" w:sz="4" w:space="0" w:color="000000"/>
                          <w:bottom w:val="single" w:sz="4" w:space="0" w:color="000000"/>
                          <w:right w:val="single" w:sz="4" w:space="0" w:color="000000"/>
                        </w:tcBorders>
                      </w:tcPr>
                      <w:p>
                        <w:pPr/>
                      </w:p>
                    </w:tc>
                  </w:tr>
                  <w:tr>
                    <w:trPr>
                      <w:trHeight w:val="966" w:hRule="exact"/>
                    </w:trPr>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1782"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4"/>
                          <w:jc w:val="right"/>
                          <w:rPr>
                            <w:rFonts w:ascii="宋体" w:hAnsi="宋体" w:cs="宋体" w:eastAsia="宋体" w:hint="default"/>
                            <w:sz w:val="21"/>
                            <w:szCs w:val="21"/>
                          </w:rPr>
                        </w:pPr>
                        <w:r>
                          <w:rPr>
                            <w:rFonts w:ascii="宋体"/>
                            <w:spacing w:val="-1"/>
                            <w:sz w:val="21"/>
                          </w:rPr>
                          <w:t>127,000,000.00</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3"/>
                          <w:jc w:val="right"/>
                          <w:rPr>
                            <w:rFonts w:ascii="宋体" w:hAnsi="宋体" w:cs="宋体" w:eastAsia="宋体" w:hint="default"/>
                            <w:sz w:val="21"/>
                            <w:szCs w:val="21"/>
                          </w:rPr>
                        </w:pPr>
                        <w:r>
                          <w:rPr>
                            <w:rFonts w:ascii="宋体"/>
                            <w:spacing w:val="-1"/>
                            <w:sz w:val="21"/>
                          </w:rPr>
                          <w:t>127,000,000.00</w:t>
                        </w:r>
                      </w:p>
                    </w:tc>
                    <w:tc>
                      <w:tcPr>
                        <w:tcW w:w="1985"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 w:right="0"/>
                          <w:jc w:val="left"/>
                          <w:rPr>
                            <w:rFonts w:ascii="宋体" w:hAnsi="宋体" w:cs="宋体" w:eastAsia="宋体" w:hint="default"/>
                            <w:sz w:val="21"/>
                            <w:szCs w:val="21"/>
                          </w:rPr>
                        </w:pPr>
                        <w:r>
                          <w:rPr>
                            <w:rFonts w:ascii="宋体"/>
                            <w:sz w:val="21"/>
                          </w:rPr>
                          <w:t>127,00</w:t>
                        </w:r>
                      </w:p>
                      <w:p>
                        <w:pPr>
                          <w:pStyle w:val="TableParagraph"/>
                          <w:spacing w:line="240" w:lineRule="auto" w:before="37"/>
                          <w:ind w:left="4" w:right="0"/>
                          <w:jc w:val="left"/>
                          <w:rPr>
                            <w:rFonts w:ascii="宋体" w:hAnsi="宋体" w:cs="宋体" w:eastAsia="宋体" w:hint="default"/>
                            <w:sz w:val="21"/>
                            <w:szCs w:val="21"/>
                          </w:rPr>
                        </w:pPr>
                        <w:r>
                          <w:rPr>
                            <w:rFonts w:ascii="宋体"/>
                            <w:sz w:val="21"/>
                          </w:rPr>
                          <w:t>0,000.</w:t>
                        </w:r>
                      </w:p>
                      <w:p>
                        <w:pPr>
                          <w:pStyle w:val="TableParagraph"/>
                          <w:spacing w:line="240" w:lineRule="auto" w:before="37"/>
                          <w:ind w:left="4" w:right="0"/>
                          <w:jc w:val="left"/>
                          <w:rPr>
                            <w:rFonts w:ascii="宋体" w:hAnsi="宋体" w:cs="宋体" w:eastAsia="宋体" w:hint="default"/>
                            <w:sz w:val="21"/>
                            <w:szCs w:val="21"/>
                          </w:rPr>
                        </w:pPr>
                        <w:r>
                          <w:rPr>
                            <w:rFonts w:ascii="宋体"/>
                            <w:sz w:val="21"/>
                          </w:rPr>
                          <w:t>00</w:t>
                        </w:r>
                      </w:p>
                    </w:tc>
                    <w:tc>
                      <w:tcPr>
                        <w:tcW w:w="1031" w:type="dxa"/>
                        <w:tcBorders>
                          <w:top w:val="single" w:sz="4" w:space="0" w:color="000000"/>
                          <w:left w:val="single" w:sz="4" w:space="0" w:color="000000"/>
                          <w:bottom w:val="single" w:sz="4" w:space="0" w:color="000000"/>
                          <w:right w:val="single" w:sz="4" w:space="0" w:color="000000"/>
                        </w:tcBorders>
                      </w:tcPr>
                      <w:p>
                        <w:pPr/>
                      </w:p>
                    </w:tc>
                  </w:tr>
                  <w:tr>
                    <w:trPr>
                      <w:trHeight w:val="654" w:hRule="exact"/>
                    </w:trPr>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4" w:right="5"/>
                          <w:jc w:val="left"/>
                          <w:rPr>
                            <w:rFonts w:ascii="宋体" w:hAnsi="宋体" w:cs="宋体" w:eastAsia="宋体" w:hint="default"/>
                            <w:sz w:val="21"/>
                            <w:szCs w:val="21"/>
                          </w:rPr>
                        </w:pPr>
                        <w:r>
                          <w:rPr>
                            <w:rFonts w:ascii="宋体" w:hAnsi="宋体" w:cs="宋体" w:eastAsia="宋体" w:hint="default"/>
                            <w:spacing w:val="15"/>
                            <w:sz w:val="21"/>
                            <w:szCs w:val="21"/>
                          </w:rPr>
                          <w:t>一年内到期的</w:t>
                        </w:r>
                        <w:r>
                          <w:rPr>
                            <w:rFonts w:ascii="宋体" w:hAnsi="宋体" w:cs="宋体" w:eastAsia="宋体" w:hint="default"/>
                            <w:sz w:val="21"/>
                            <w:szCs w:val="21"/>
                          </w:rPr>
                          <w:t> 非流动负债</w:t>
                        </w:r>
                      </w:p>
                    </w:tc>
                    <w:tc>
                      <w:tcPr>
                        <w:tcW w:w="1782"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4"/>
                          <w:jc w:val="right"/>
                          <w:rPr>
                            <w:rFonts w:ascii="宋体" w:hAnsi="宋体" w:cs="宋体" w:eastAsia="宋体" w:hint="default"/>
                            <w:sz w:val="21"/>
                            <w:szCs w:val="21"/>
                          </w:rPr>
                        </w:pPr>
                        <w:r>
                          <w:rPr>
                            <w:rFonts w:ascii="宋体"/>
                            <w:sz w:val="21"/>
                          </w:rPr>
                          <w:t>263,859,109.30</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4"/>
                          <w:jc w:val="right"/>
                          <w:rPr>
                            <w:rFonts w:ascii="宋体" w:hAnsi="宋体" w:cs="宋体" w:eastAsia="宋体" w:hint="default"/>
                            <w:sz w:val="21"/>
                            <w:szCs w:val="21"/>
                          </w:rPr>
                        </w:pPr>
                        <w:r>
                          <w:rPr>
                            <w:rFonts w:ascii="宋体"/>
                            <w:sz w:val="21"/>
                          </w:rPr>
                          <w:t>263,859,109.30</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3"/>
                          <w:jc w:val="right"/>
                          <w:rPr>
                            <w:rFonts w:ascii="宋体" w:hAnsi="宋体" w:cs="宋体" w:eastAsia="宋体" w:hint="default"/>
                            <w:sz w:val="21"/>
                            <w:szCs w:val="21"/>
                          </w:rPr>
                        </w:pPr>
                        <w:r>
                          <w:rPr>
                            <w:rFonts w:ascii="宋体"/>
                            <w:sz w:val="21"/>
                          </w:rPr>
                          <w:t>263,859,109.30</w:t>
                        </w: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031" w:type="dxa"/>
                        <w:tcBorders>
                          <w:top w:val="single" w:sz="4" w:space="0" w:color="000000"/>
                          <w:left w:val="single" w:sz="4" w:space="0" w:color="000000"/>
                          <w:bottom w:val="single" w:sz="4" w:space="0" w:color="000000"/>
                          <w:right w:val="single" w:sz="4" w:space="0" w:color="000000"/>
                        </w:tcBorders>
                      </w:tcPr>
                      <w:p>
                        <w:pPr/>
                      </w:p>
                    </w:tc>
                  </w:tr>
                  <w:tr>
                    <w:trPr>
                      <w:trHeight w:val="966" w:hRule="exact"/>
                    </w:trPr>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 w:right="0"/>
                          <w:jc w:val="left"/>
                          <w:rPr>
                            <w:rFonts w:ascii="宋体" w:hAnsi="宋体" w:cs="宋体" w:eastAsia="宋体" w:hint="default"/>
                            <w:sz w:val="21"/>
                            <w:szCs w:val="21"/>
                          </w:rPr>
                        </w:pPr>
                        <w:r>
                          <w:rPr>
                            <w:rFonts w:ascii="宋体" w:hAnsi="宋体" w:cs="宋体" w:eastAsia="宋体" w:hint="default"/>
                            <w:sz w:val="21"/>
                            <w:szCs w:val="21"/>
                          </w:rPr>
                          <w:t>金融负债小计</w:t>
                        </w:r>
                      </w:p>
                    </w:tc>
                    <w:tc>
                      <w:tcPr>
                        <w:tcW w:w="1782"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2"/>
                          <w:jc w:val="right"/>
                          <w:rPr>
                            <w:rFonts w:ascii="宋体" w:hAnsi="宋体" w:cs="宋体" w:eastAsia="宋体" w:hint="default"/>
                            <w:sz w:val="21"/>
                            <w:szCs w:val="21"/>
                          </w:rPr>
                        </w:pPr>
                        <w:r>
                          <w:rPr>
                            <w:rFonts w:ascii="宋体"/>
                            <w:sz w:val="21"/>
                          </w:rPr>
                          <w:t>705,441,000.95</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3"/>
                          <w:jc w:val="right"/>
                          <w:rPr>
                            <w:rFonts w:ascii="宋体" w:hAnsi="宋体" w:cs="宋体" w:eastAsia="宋体" w:hint="default"/>
                            <w:sz w:val="21"/>
                            <w:szCs w:val="21"/>
                          </w:rPr>
                        </w:pPr>
                        <w:r>
                          <w:rPr>
                            <w:rFonts w:ascii="宋体"/>
                            <w:sz w:val="21"/>
                          </w:rPr>
                          <w:t>705,441,000.95</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3"/>
                          <w:jc w:val="right"/>
                          <w:rPr>
                            <w:rFonts w:ascii="宋体" w:hAnsi="宋体" w:cs="宋体" w:eastAsia="宋体" w:hint="default"/>
                            <w:sz w:val="21"/>
                            <w:szCs w:val="21"/>
                          </w:rPr>
                        </w:pPr>
                        <w:r>
                          <w:rPr>
                            <w:rFonts w:ascii="宋体"/>
                            <w:sz w:val="21"/>
                          </w:rPr>
                          <w:t>578,441,000.95</w:t>
                        </w: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 w:right="0"/>
                          <w:jc w:val="left"/>
                          <w:rPr>
                            <w:rFonts w:ascii="宋体" w:hAnsi="宋体" w:cs="宋体" w:eastAsia="宋体" w:hint="default"/>
                            <w:sz w:val="21"/>
                            <w:szCs w:val="21"/>
                          </w:rPr>
                        </w:pPr>
                        <w:r>
                          <w:rPr>
                            <w:rFonts w:ascii="宋体"/>
                            <w:sz w:val="21"/>
                          </w:rPr>
                          <w:t>127,00</w:t>
                        </w:r>
                      </w:p>
                      <w:p>
                        <w:pPr>
                          <w:pStyle w:val="TableParagraph"/>
                          <w:spacing w:line="240" w:lineRule="auto" w:before="37"/>
                          <w:ind w:left="4" w:right="0"/>
                          <w:jc w:val="left"/>
                          <w:rPr>
                            <w:rFonts w:ascii="宋体" w:hAnsi="宋体" w:cs="宋体" w:eastAsia="宋体" w:hint="default"/>
                            <w:sz w:val="21"/>
                            <w:szCs w:val="21"/>
                          </w:rPr>
                        </w:pPr>
                        <w:r>
                          <w:rPr>
                            <w:rFonts w:ascii="宋体"/>
                            <w:sz w:val="21"/>
                          </w:rPr>
                          <w:t>0,000.</w:t>
                        </w:r>
                      </w:p>
                      <w:p>
                        <w:pPr>
                          <w:pStyle w:val="TableParagraph"/>
                          <w:spacing w:line="240" w:lineRule="auto" w:before="37"/>
                          <w:ind w:left="4" w:right="0"/>
                          <w:jc w:val="left"/>
                          <w:rPr>
                            <w:rFonts w:ascii="宋体" w:hAnsi="宋体" w:cs="宋体" w:eastAsia="宋体" w:hint="default"/>
                            <w:sz w:val="21"/>
                            <w:szCs w:val="21"/>
                          </w:rPr>
                        </w:pPr>
                        <w:r>
                          <w:rPr>
                            <w:rFonts w:ascii="宋体"/>
                            <w:sz w:val="21"/>
                          </w:rPr>
                          <w:t>00</w:t>
                        </w:r>
                      </w:p>
                    </w:tc>
                    <w:tc>
                      <w:tcPr>
                        <w:tcW w:w="1031" w:type="dxa"/>
                        <w:tcBorders>
                          <w:top w:val="single" w:sz="4" w:space="0" w:color="000000"/>
                          <w:left w:val="single" w:sz="4" w:space="0" w:color="000000"/>
                          <w:bottom w:val="single" w:sz="4" w:space="0" w:color="000000"/>
                          <w:right w:val="single" w:sz="4" w:space="0" w:color="000000"/>
                        </w:tcBorders>
                      </w:tcPr>
                      <w:p>
                        <w:pPr/>
                      </w:p>
                    </w:tc>
                  </w:tr>
                </w:tbl>
                <w:p>
                  <w:pPr/>
                </w:p>
              </w:txbxContent>
            </v:textbox>
            <w10:wrap type="none"/>
          </v:shape>
        </w:pict>
      </w:r>
      <w:r>
        <w:rPr/>
        <w:t>截止</w:t>
      </w:r>
      <w:r>
        <w:rPr>
          <w:rFonts w:ascii="宋体" w:hAnsi="宋体" w:cs="宋体" w:eastAsia="宋体" w:hint="default"/>
        </w:rPr>
        <w:t>2017</w:t>
      </w:r>
      <w:r>
        <w:rPr/>
        <w:t>年</w:t>
      </w:r>
      <w:r>
        <w:rPr>
          <w:rFonts w:ascii="宋体" w:hAnsi="宋体" w:cs="宋体" w:eastAsia="宋体" w:hint="default"/>
        </w:rPr>
        <w:t>12</w:t>
      </w:r>
      <w:r>
        <w:rPr/>
        <w:t>月</w:t>
      </w:r>
      <w:r>
        <w:rPr>
          <w:rFonts w:ascii="宋体" w:hAnsi="宋体" w:cs="宋体" w:eastAsia="宋体" w:hint="default"/>
        </w:rPr>
        <w:t>31</w:t>
      </w:r>
      <w:r>
        <w:rPr/>
        <w:t>日，本公司各项金融资产及金融负债以未折现的合同现金流量按到期 日列示如下：</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spacing w:before="35"/>
        <w:ind w:left="574" w:right="996" w:firstLine="0"/>
        <w:jc w:val="left"/>
        <w:rPr>
          <w:rFonts w:ascii="宋体" w:hAnsi="宋体" w:cs="宋体" w:eastAsia="宋体" w:hint="default"/>
          <w:sz w:val="21"/>
          <w:szCs w:val="21"/>
        </w:rPr>
      </w:pPr>
      <w:r>
        <w:rPr>
          <w:rFonts w:ascii="宋体" w:hAnsi="宋体" w:cs="宋体" w:eastAsia="宋体" w:hint="default"/>
          <w:sz w:val="21"/>
          <w:szCs w:val="21"/>
        </w:rPr>
        <w:t>续：</w:t>
      </w:r>
    </w:p>
    <w:p>
      <w:pPr>
        <w:spacing w:line="240" w:lineRule="auto" w:before="13"/>
        <w:rPr>
          <w:rFonts w:ascii="宋体" w:hAnsi="宋体" w:cs="宋体" w:eastAsia="宋体" w:hint="default"/>
          <w:sz w:val="3"/>
          <w:szCs w:val="3"/>
        </w:rPr>
      </w:pPr>
    </w:p>
    <w:tbl>
      <w:tblPr>
        <w:tblW w:w="0" w:type="auto"/>
        <w:jc w:val="left"/>
        <w:tblInd w:w="218" w:type="dxa"/>
        <w:tblLayout w:type="fixed"/>
        <w:tblCellMar>
          <w:top w:w="0" w:type="dxa"/>
          <w:left w:w="0" w:type="dxa"/>
          <w:bottom w:w="0" w:type="dxa"/>
          <w:right w:w="0" w:type="dxa"/>
        </w:tblCellMar>
        <w:tblLook w:val="01E0"/>
      </w:tblPr>
      <w:tblGrid>
        <w:gridCol w:w="1242"/>
        <w:gridCol w:w="1950"/>
        <w:gridCol w:w="1842"/>
        <w:gridCol w:w="1985"/>
        <w:gridCol w:w="709"/>
        <w:gridCol w:w="708"/>
        <w:gridCol w:w="1062"/>
      </w:tblGrid>
      <w:tr>
        <w:trPr>
          <w:trHeight w:val="342" w:hRule="exact"/>
        </w:trPr>
        <w:tc>
          <w:tcPr>
            <w:tcW w:w="1242" w:type="dxa"/>
            <w:vMerge w:val="restart"/>
            <w:tcBorders>
              <w:top w:val="single" w:sz="4" w:space="0" w:color="000000"/>
              <w:left w:val="single" w:sz="4" w:space="0" w:color="000000"/>
              <w:right w:val="single" w:sz="4" w:space="0" w:color="000000"/>
            </w:tcBorders>
          </w:tcPr>
          <w:p>
            <w:pPr>
              <w:pStyle w:val="TableParagraph"/>
              <w:spacing w:line="271" w:lineRule="exact"/>
              <w:ind w:left="406"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8257" w:type="dxa"/>
            <w:gridSpan w:val="6"/>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342" w:hRule="exact"/>
        </w:trPr>
        <w:tc>
          <w:tcPr>
            <w:tcW w:w="1242" w:type="dxa"/>
            <w:vMerge/>
            <w:tcBorders>
              <w:left w:val="single" w:sz="4" w:space="0" w:color="000000"/>
              <w:bottom w:val="single" w:sz="4" w:space="0" w:color="000000"/>
              <w:right w:val="single" w:sz="4" w:space="0" w:color="000000"/>
            </w:tcBorders>
          </w:tcPr>
          <w:p>
            <w:pPr/>
          </w:p>
        </w:tc>
        <w:tc>
          <w:tcPr>
            <w:tcW w:w="195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549" w:right="0"/>
              <w:jc w:val="left"/>
              <w:rPr>
                <w:rFonts w:ascii="宋体" w:hAnsi="宋体" w:cs="宋体" w:eastAsia="宋体" w:hint="default"/>
                <w:sz w:val="21"/>
                <w:szCs w:val="21"/>
              </w:rPr>
            </w:pPr>
            <w:r>
              <w:rPr>
                <w:rFonts w:ascii="宋体" w:hAnsi="宋体" w:cs="宋体" w:eastAsia="宋体" w:hint="default"/>
                <w:sz w:val="21"/>
                <w:szCs w:val="21"/>
              </w:rPr>
              <w:t>账面净值</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95" w:right="0"/>
              <w:jc w:val="left"/>
              <w:rPr>
                <w:rFonts w:ascii="宋体" w:hAnsi="宋体" w:cs="宋体" w:eastAsia="宋体" w:hint="default"/>
                <w:sz w:val="21"/>
                <w:szCs w:val="21"/>
              </w:rPr>
            </w:pPr>
            <w:r>
              <w:rPr>
                <w:rFonts w:ascii="宋体" w:hAnsi="宋体" w:cs="宋体" w:eastAsia="宋体" w:hint="default"/>
                <w:sz w:val="21"/>
                <w:szCs w:val="21"/>
              </w:rPr>
              <w:t>账面原值</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620"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年以内</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86" w:right="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z w:val="21"/>
                <w:szCs w:val="21"/>
              </w:rPr>
              <w:t>年</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86" w:right="0"/>
              <w:jc w:val="left"/>
              <w:rPr>
                <w:rFonts w:ascii="宋体" w:hAnsi="宋体" w:cs="宋体" w:eastAsia="宋体" w:hint="default"/>
                <w:sz w:val="21"/>
                <w:szCs w:val="21"/>
              </w:rPr>
            </w:pPr>
            <w:r>
              <w:rPr>
                <w:rFonts w:ascii="宋体" w:hAnsi="宋体" w:cs="宋体" w:eastAsia="宋体" w:hint="default"/>
                <w:sz w:val="21"/>
                <w:szCs w:val="21"/>
              </w:rPr>
              <w:t>2-5</w:t>
            </w:r>
            <w:r>
              <w:rPr>
                <w:rFonts w:ascii="宋体" w:hAnsi="宋体" w:cs="宋体" w:eastAsia="宋体" w:hint="default"/>
                <w:sz w:val="21"/>
                <w:szCs w:val="21"/>
              </w:rPr>
              <w:t>年</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158"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z w:val="21"/>
                <w:szCs w:val="21"/>
              </w:rPr>
              <w:t>年以上</w:t>
            </w:r>
          </w:p>
        </w:tc>
      </w:tr>
      <w:tr>
        <w:trPr>
          <w:trHeight w:val="342" w:hRule="exact"/>
        </w:trPr>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6"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195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2"/>
              <w:jc w:val="right"/>
              <w:rPr>
                <w:rFonts w:ascii="宋体" w:hAnsi="宋体" w:cs="宋体" w:eastAsia="宋体" w:hint="default"/>
                <w:sz w:val="21"/>
                <w:szCs w:val="21"/>
              </w:rPr>
            </w:pPr>
            <w:r>
              <w:rPr>
                <w:rFonts w:ascii="宋体"/>
                <w:sz w:val="21"/>
              </w:rPr>
              <w:t>832,087,230.65</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3"/>
              <w:jc w:val="right"/>
              <w:rPr>
                <w:rFonts w:ascii="宋体" w:hAnsi="宋体" w:cs="宋体" w:eastAsia="宋体" w:hint="default"/>
                <w:sz w:val="21"/>
                <w:szCs w:val="21"/>
              </w:rPr>
            </w:pPr>
            <w:r>
              <w:rPr>
                <w:rFonts w:ascii="宋体"/>
                <w:sz w:val="21"/>
              </w:rPr>
              <w:t>832,087,230.65</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3"/>
              <w:jc w:val="right"/>
              <w:rPr>
                <w:rFonts w:ascii="宋体" w:hAnsi="宋体" w:cs="宋体" w:eastAsia="宋体" w:hint="default"/>
                <w:sz w:val="21"/>
                <w:szCs w:val="21"/>
              </w:rPr>
            </w:pPr>
            <w:r>
              <w:rPr>
                <w:rFonts w:ascii="宋体"/>
                <w:spacing w:val="-1"/>
                <w:sz w:val="21"/>
              </w:rPr>
              <w:t>832,087,230.65</w:t>
            </w:r>
            <w:r>
              <w:rPr>
                <w:rFonts w:ascii="宋体"/>
                <w:sz w:val="21"/>
              </w:rPr>
            </w: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6"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195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3"/>
              <w:jc w:val="right"/>
              <w:rPr>
                <w:rFonts w:ascii="宋体" w:hAnsi="宋体" w:cs="宋体" w:eastAsia="宋体" w:hint="default"/>
                <w:sz w:val="21"/>
                <w:szCs w:val="21"/>
              </w:rPr>
            </w:pPr>
            <w:r>
              <w:rPr>
                <w:rFonts w:ascii="宋体"/>
                <w:sz w:val="21"/>
              </w:rPr>
              <w:t>29,432,253.60</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3"/>
              <w:jc w:val="right"/>
              <w:rPr>
                <w:rFonts w:ascii="宋体" w:hAnsi="宋体" w:cs="宋体" w:eastAsia="宋体" w:hint="default"/>
                <w:sz w:val="21"/>
                <w:szCs w:val="21"/>
              </w:rPr>
            </w:pPr>
            <w:r>
              <w:rPr>
                <w:rFonts w:ascii="宋体"/>
                <w:sz w:val="21"/>
              </w:rPr>
              <w:t>29,432,253.60</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2"/>
              <w:jc w:val="right"/>
              <w:rPr>
                <w:rFonts w:ascii="宋体" w:hAnsi="宋体" w:cs="宋体" w:eastAsia="宋体" w:hint="default"/>
                <w:sz w:val="21"/>
                <w:szCs w:val="21"/>
              </w:rPr>
            </w:pPr>
            <w:r>
              <w:rPr>
                <w:rFonts w:ascii="宋体"/>
                <w:sz w:val="21"/>
              </w:rPr>
              <w:t>29,432,253.60</w:t>
            </w: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6"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95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2"/>
              <w:jc w:val="right"/>
              <w:rPr>
                <w:rFonts w:ascii="宋体" w:hAnsi="宋体" w:cs="宋体" w:eastAsia="宋体" w:hint="default"/>
                <w:sz w:val="21"/>
                <w:szCs w:val="21"/>
              </w:rPr>
            </w:pPr>
            <w:r>
              <w:rPr>
                <w:rFonts w:ascii="宋体"/>
                <w:sz w:val="21"/>
              </w:rPr>
              <w:t>465,789,583.70</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3"/>
              <w:jc w:val="right"/>
              <w:rPr>
                <w:rFonts w:ascii="宋体" w:hAnsi="宋体" w:cs="宋体" w:eastAsia="宋体" w:hint="default"/>
                <w:sz w:val="21"/>
                <w:szCs w:val="21"/>
              </w:rPr>
            </w:pPr>
            <w:r>
              <w:rPr>
                <w:rFonts w:ascii="宋体"/>
                <w:sz w:val="21"/>
              </w:rPr>
              <w:t>558,878,547.75</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3"/>
              <w:jc w:val="right"/>
              <w:rPr>
                <w:rFonts w:ascii="宋体" w:hAnsi="宋体" w:cs="宋体" w:eastAsia="宋体" w:hint="default"/>
                <w:sz w:val="21"/>
                <w:szCs w:val="21"/>
              </w:rPr>
            </w:pPr>
            <w:r>
              <w:rPr>
                <w:rFonts w:ascii="宋体"/>
                <w:sz w:val="21"/>
              </w:rPr>
              <w:t>558,878,547.75</w:t>
            </w: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6"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95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3"/>
              <w:jc w:val="right"/>
              <w:rPr>
                <w:rFonts w:ascii="宋体" w:hAnsi="宋体" w:cs="宋体" w:eastAsia="宋体" w:hint="default"/>
                <w:sz w:val="21"/>
                <w:szCs w:val="21"/>
              </w:rPr>
            </w:pPr>
            <w:r>
              <w:rPr>
                <w:rFonts w:ascii="宋体"/>
                <w:sz w:val="21"/>
              </w:rPr>
              <w:t>18,569,968.54</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3"/>
              <w:jc w:val="right"/>
              <w:rPr>
                <w:rFonts w:ascii="宋体" w:hAnsi="宋体" w:cs="宋体" w:eastAsia="宋体" w:hint="default"/>
                <w:sz w:val="21"/>
                <w:szCs w:val="21"/>
              </w:rPr>
            </w:pPr>
            <w:r>
              <w:rPr>
                <w:rFonts w:ascii="宋体"/>
                <w:sz w:val="21"/>
              </w:rPr>
              <w:t>19,768,157.97</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2"/>
              <w:jc w:val="right"/>
              <w:rPr>
                <w:rFonts w:ascii="宋体" w:hAnsi="宋体" w:cs="宋体" w:eastAsia="宋体" w:hint="default"/>
                <w:sz w:val="21"/>
                <w:szCs w:val="21"/>
              </w:rPr>
            </w:pPr>
            <w:r>
              <w:rPr>
                <w:rFonts w:ascii="宋体"/>
                <w:sz w:val="21"/>
              </w:rPr>
              <w:t>19,768,157.97</w:t>
            </w: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06"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95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2"/>
              <w:jc w:val="right"/>
              <w:rPr>
                <w:rFonts w:ascii="宋体" w:hAnsi="宋体" w:cs="宋体" w:eastAsia="宋体" w:hint="default"/>
                <w:sz w:val="21"/>
                <w:szCs w:val="21"/>
              </w:rPr>
            </w:pPr>
            <w:r>
              <w:rPr>
                <w:rFonts w:ascii="宋体"/>
                <w:sz w:val="21"/>
              </w:rPr>
              <w:t>1,345,879,036.49</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3"/>
              <w:jc w:val="right"/>
              <w:rPr>
                <w:rFonts w:ascii="宋体" w:hAnsi="宋体" w:cs="宋体" w:eastAsia="宋体" w:hint="default"/>
                <w:sz w:val="21"/>
                <w:szCs w:val="21"/>
              </w:rPr>
            </w:pPr>
            <w:r>
              <w:rPr>
                <w:rFonts w:ascii="宋体"/>
                <w:sz w:val="21"/>
              </w:rPr>
              <w:t>1,440,166,189.97</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3"/>
              <w:jc w:val="right"/>
              <w:rPr>
                <w:rFonts w:ascii="宋体" w:hAnsi="宋体" w:cs="宋体" w:eastAsia="宋体" w:hint="default"/>
                <w:sz w:val="21"/>
                <w:szCs w:val="21"/>
              </w:rPr>
            </w:pPr>
            <w:r>
              <w:rPr>
                <w:rFonts w:ascii="宋体"/>
                <w:sz w:val="21"/>
              </w:rPr>
              <w:t>1,440,166,189.97</w:t>
            </w: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6"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195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5"/>
              <w:jc w:val="right"/>
              <w:rPr>
                <w:rFonts w:ascii="宋体" w:hAnsi="宋体" w:cs="宋体" w:eastAsia="宋体" w:hint="default"/>
                <w:sz w:val="21"/>
                <w:szCs w:val="21"/>
              </w:rPr>
            </w:pPr>
            <w:r>
              <w:rPr>
                <w:rFonts w:ascii="宋体"/>
                <w:sz w:val="21"/>
              </w:rPr>
              <w:t>933,692.00</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5"/>
              <w:jc w:val="right"/>
              <w:rPr>
                <w:rFonts w:ascii="宋体" w:hAnsi="宋体" w:cs="宋体" w:eastAsia="宋体" w:hint="default"/>
                <w:sz w:val="21"/>
                <w:szCs w:val="21"/>
              </w:rPr>
            </w:pPr>
            <w:r>
              <w:rPr>
                <w:rFonts w:ascii="宋体"/>
                <w:sz w:val="21"/>
              </w:rPr>
              <w:t>933,692.00</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2"/>
              <w:jc w:val="right"/>
              <w:rPr>
                <w:rFonts w:ascii="宋体" w:hAnsi="宋体" w:cs="宋体" w:eastAsia="宋体" w:hint="default"/>
                <w:sz w:val="21"/>
                <w:szCs w:val="21"/>
              </w:rPr>
            </w:pPr>
            <w:r>
              <w:rPr>
                <w:rFonts w:ascii="宋体"/>
                <w:sz w:val="21"/>
              </w:rPr>
              <w:t>933,692.00</w:t>
            </w: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r>
      <w:tr>
        <w:trPr>
          <w:trHeight w:val="343" w:hRule="exact"/>
        </w:trPr>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6"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195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2"/>
              <w:jc w:val="right"/>
              <w:rPr>
                <w:rFonts w:ascii="宋体" w:hAnsi="宋体" w:cs="宋体" w:eastAsia="宋体" w:hint="default"/>
                <w:sz w:val="21"/>
                <w:szCs w:val="21"/>
              </w:rPr>
            </w:pPr>
            <w:r>
              <w:rPr>
                <w:rFonts w:ascii="宋体"/>
                <w:sz w:val="21"/>
              </w:rPr>
              <w:t>204,386,328.83</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3"/>
              <w:jc w:val="right"/>
              <w:rPr>
                <w:rFonts w:ascii="宋体" w:hAnsi="宋体" w:cs="宋体" w:eastAsia="宋体" w:hint="default"/>
                <w:sz w:val="21"/>
                <w:szCs w:val="21"/>
              </w:rPr>
            </w:pPr>
            <w:r>
              <w:rPr>
                <w:rFonts w:ascii="宋体"/>
                <w:sz w:val="21"/>
              </w:rPr>
              <w:t>204,386,328.83</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3"/>
              <w:jc w:val="right"/>
              <w:rPr>
                <w:rFonts w:ascii="宋体" w:hAnsi="宋体" w:cs="宋体" w:eastAsia="宋体" w:hint="default"/>
                <w:sz w:val="21"/>
                <w:szCs w:val="21"/>
              </w:rPr>
            </w:pPr>
            <w:r>
              <w:rPr>
                <w:rFonts w:ascii="宋体"/>
                <w:sz w:val="21"/>
              </w:rPr>
              <w:t>204,386,328.83</w:t>
            </w: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218" w:type="dxa"/>
        <w:tblLayout w:type="fixed"/>
        <w:tblCellMar>
          <w:top w:w="0" w:type="dxa"/>
          <w:left w:w="0" w:type="dxa"/>
          <w:bottom w:w="0" w:type="dxa"/>
          <w:right w:w="0" w:type="dxa"/>
        </w:tblCellMar>
        <w:tblLook w:val="01E0"/>
      </w:tblPr>
      <w:tblGrid>
        <w:gridCol w:w="1242"/>
        <w:gridCol w:w="1950"/>
        <w:gridCol w:w="1842"/>
        <w:gridCol w:w="1985"/>
        <w:gridCol w:w="709"/>
        <w:gridCol w:w="708"/>
        <w:gridCol w:w="1062"/>
      </w:tblGrid>
      <w:tr>
        <w:trPr>
          <w:trHeight w:val="342" w:hRule="exact"/>
        </w:trPr>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6"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195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2"/>
              <w:jc w:val="right"/>
              <w:rPr>
                <w:rFonts w:ascii="宋体" w:hAnsi="宋体" w:cs="宋体" w:eastAsia="宋体" w:hint="default"/>
                <w:sz w:val="21"/>
                <w:szCs w:val="21"/>
              </w:rPr>
            </w:pPr>
            <w:r>
              <w:rPr>
                <w:rFonts w:ascii="宋体"/>
                <w:sz w:val="21"/>
              </w:rPr>
              <w:t>3,046,902.10</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2"/>
              <w:jc w:val="right"/>
              <w:rPr>
                <w:rFonts w:ascii="宋体" w:hAnsi="宋体" w:cs="宋体" w:eastAsia="宋体" w:hint="default"/>
                <w:sz w:val="21"/>
                <w:szCs w:val="21"/>
              </w:rPr>
            </w:pPr>
            <w:r>
              <w:rPr>
                <w:rFonts w:ascii="宋体"/>
                <w:sz w:val="21"/>
              </w:rPr>
              <w:t>3,046,902.10</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3"/>
              <w:jc w:val="right"/>
              <w:rPr>
                <w:rFonts w:ascii="宋体" w:hAnsi="宋体" w:cs="宋体" w:eastAsia="宋体" w:hint="default"/>
                <w:sz w:val="21"/>
                <w:szCs w:val="21"/>
              </w:rPr>
            </w:pPr>
            <w:r>
              <w:rPr>
                <w:rFonts w:ascii="宋体"/>
                <w:sz w:val="21"/>
              </w:rPr>
              <w:t>3,046,902.10</w:t>
            </w: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6"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195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2"/>
              <w:jc w:val="right"/>
              <w:rPr>
                <w:rFonts w:ascii="宋体" w:hAnsi="宋体" w:cs="宋体" w:eastAsia="宋体" w:hint="default"/>
                <w:sz w:val="21"/>
                <w:szCs w:val="21"/>
              </w:rPr>
            </w:pPr>
            <w:r>
              <w:rPr>
                <w:rFonts w:ascii="宋体"/>
                <w:sz w:val="21"/>
              </w:rPr>
              <w:t>142,413,508.96</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3"/>
              <w:jc w:val="right"/>
              <w:rPr>
                <w:rFonts w:ascii="宋体" w:hAnsi="宋体" w:cs="宋体" w:eastAsia="宋体" w:hint="default"/>
                <w:sz w:val="21"/>
                <w:szCs w:val="21"/>
              </w:rPr>
            </w:pPr>
            <w:r>
              <w:rPr>
                <w:rFonts w:ascii="宋体"/>
                <w:sz w:val="21"/>
              </w:rPr>
              <w:t>142,413,508.96</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3"/>
              <w:jc w:val="right"/>
              <w:rPr>
                <w:rFonts w:ascii="宋体" w:hAnsi="宋体" w:cs="宋体" w:eastAsia="宋体" w:hint="default"/>
                <w:sz w:val="21"/>
                <w:szCs w:val="21"/>
              </w:rPr>
            </w:pPr>
            <w:r>
              <w:rPr>
                <w:rFonts w:ascii="宋体"/>
                <w:sz w:val="21"/>
              </w:rPr>
              <w:t>142,413,508.96</w:t>
            </w: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6" w:right="0"/>
              <w:jc w:val="left"/>
              <w:rPr>
                <w:rFonts w:ascii="宋体" w:hAnsi="宋体" w:cs="宋体" w:eastAsia="宋体" w:hint="default"/>
                <w:sz w:val="21"/>
                <w:szCs w:val="21"/>
              </w:rPr>
            </w:pPr>
            <w:r>
              <w:rPr>
                <w:rFonts w:ascii="宋体" w:hAnsi="宋体" w:cs="宋体" w:eastAsia="宋体" w:hint="default"/>
                <w:sz w:val="21"/>
                <w:szCs w:val="21"/>
              </w:rPr>
              <w:t>应付债券</w:t>
            </w:r>
          </w:p>
        </w:tc>
        <w:tc>
          <w:tcPr>
            <w:tcW w:w="195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4"/>
              <w:jc w:val="right"/>
              <w:rPr>
                <w:rFonts w:ascii="宋体" w:hAnsi="宋体" w:cs="宋体" w:eastAsia="宋体" w:hint="default"/>
                <w:sz w:val="21"/>
                <w:szCs w:val="21"/>
              </w:rPr>
            </w:pPr>
            <w:r>
              <w:rPr>
                <w:rFonts w:ascii="宋体"/>
                <w:spacing w:val="-1"/>
                <w:sz w:val="21"/>
              </w:rPr>
              <w:t>249,048,721.03</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4"/>
              <w:jc w:val="right"/>
              <w:rPr>
                <w:rFonts w:ascii="宋体" w:hAnsi="宋体" w:cs="宋体" w:eastAsia="宋体" w:hint="default"/>
                <w:sz w:val="21"/>
                <w:szCs w:val="21"/>
              </w:rPr>
            </w:pPr>
            <w:r>
              <w:rPr>
                <w:rFonts w:ascii="宋体"/>
                <w:spacing w:val="-1"/>
                <w:sz w:val="21"/>
              </w:rPr>
              <w:t>249,048,721.03</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3"/>
              <w:jc w:val="right"/>
              <w:rPr>
                <w:rFonts w:ascii="宋体" w:hAnsi="宋体" w:cs="宋体" w:eastAsia="宋体" w:hint="default"/>
                <w:sz w:val="21"/>
                <w:szCs w:val="21"/>
              </w:rPr>
            </w:pPr>
            <w:r>
              <w:rPr>
                <w:rFonts w:ascii="宋体"/>
                <w:spacing w:val="-1"/>
                <w:sz w:val="21"/>
              </w:rPr>
              <w:t>249,048,721.03</w:t>
            </w: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06"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95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2"/>
              <w:jc w:val="right"/>
              <w:rPr>
                <w:rFonts w:ascii="宋体" w:hAnsi="宋体" w:cs="宋体" w:eastAsia="宋体" w:hint="default"/>
                <w:sz w:val="21"/>
                <w:szCs w:val="21"/>
              </w:rPr>
            </w:pPr>
            <w:r>
              <w:rPr>
                <w:rFonts w:ascii="宋体"/>
                <w:sz w:val="21"/>
              </w:rPr>
              <w:t>599,829,152.92</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3"/>
              <w:jc w:val="right"/>
              <w:rPr>
                <w:rFonts w:ascii="宋体" w:hAnsi="宋体" w:cs="宋体" w:eastAsia="宋体" w:hint="default"/>
                <w:sz w:val="21"/>
                <w:szCs w:val="21"/>
              </w:rPr>
            </w:pPr>
            <w:r>
              <w:rPr>
                <w:rFonts w:ascii="宋体"/>
                <w:spacing w:val="-1"/>
                <w:sz w:val="21"/>
              </w:rPr>
              <w:t>599,829,152.92</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3"/>
              <w:jc w:val="right"/>
              <w:rPr>
                <w:rFonts w:ascii="宋体" w:hAnsi="宋体" w:cs="宋体" w:eastAsia="宋体" w:hint="default"/>
                <w:sz w:val="21"/>
                <w:szCs w:val="21"/>
              </w:rPr>
            </w:pPr>
            <w:r>
              <w:rPr>
                <w:rFonts w:ascii="宋体"/>
                <w:sz w:val="21"/>
              </w:rPr>
              <w:t>599,829,152.92</w:t>
            </w: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0"/>
        <w:rPr>
          <w:rFonts w:ascii="宋体" w:hAnsi="宋体" w:cs="宋体" w:eastAsia="宋体" w:hint="default"/>
          <w:sz w:val="4"/>
          <w:szCs w:val="4"/>
        </w:rPr>
      </w:pPr>
    </w:p>
    <w:p>
      <w:pPr>
        <w:pStyle w:val="BodyText"/>
        <w:spacing w:line="352" w:lineRule="auto" w:before="26"/>
        <w:ind w:left="634" w:right="8592"/>
        <w:jc w:val="left"/>
      </w:pPr>
      <w:r>
        <w:rPr/>
        <w:t>（三）市场风险 汇率风险</w:t>
      </w:r>
    </w:p>
    <w:p>
      <w:pPr>
        <w:pStyle w:val="BodyText"/>
        <w:spacing w:line="350" w:lineRule="auto" w:before="32"/>
        <w:ind w:left="633" w:right="4033"/>
        <w:jc w:val="left"/>
      </w:pPr>
      <w:r>
        <w:rPr/>
        <w:t>本公司的主要经营位于中国境内，主要业务以人民币结算。 利率风险</w:t>
      </w:r>
    </w:p>
    <w:p>
      <w:pPr>
        <w:pStyle w:val="BodyText"/>
        <w:spacing w:line="350" w:lineRule="auto"/>
        <w:ind w:right="1170" w:firstLine="480"/>
        <w:jc w:val="both"/>
      </w:pPr>
      <w:r>
        <w:rPr/>
        <w:t>本公司的利率风险主要产生于银行借款等。浮动利率的金融负债使本公司面临现金流量 利率风险，固定利率的金融负债使本公司面临公允价值利率风险。本公司根据当时的市场环 境来决定固定利率及浮动利率合同的相对比例。</w:t>
      </w:r>
    </w:p>
    <w:p>
      <w:pPr>
        <w:pStyle w:val="BodyText"/>
        <w:spacing w:line="350" w:lineRule="auto"/>
        <w:ind w:left="154" w:right="1170" w:firstLine="480"/>
        <w:jc w:val="both"/>
      </w:pPr>
      <w:r>
        <w:rPr/>
        <w:t>本公司财务部门持续监控公司利率水平。利率上升会增加新增带息债务的成本以及本公 司尚未付清的以浮动利率计息的带息债务的利息支出，并对本公司的财务业绩产生一定的不 利影响，管理层会依据最新的市场状况及时做出调整。</w:t>
      </w:r>
    </w:p>
    <w:p>
      <w:pPr>
        <w:pStyle w:val="BodyText"/>
        <w:spacing w:line="240" w:lineRule="auto"/>
        <w:ind w:left="633" w:right="996"/>
        <w:jc w:val="left"/>
      </w:pPr>
      <w:r>
        <w:rPr/>
        <w:t>（</w:t>
      </w:r>
      <w:r>
        <w:rPr>
          <w:rFonts w:ascii="宋体" w:hAnsi="宋体" w:cs="宋体" w:eastAsia="宋体" w:hint="default"/>
        </w:rPr>
        <w:t>1</w:t>
      </w:r>
      <w:r>
        <w:rPr/>
        <w:t>）本年度公司无利率互换安排。</w:t>
      </w:r>
    </w:p>
    <w:p>
      <w:pPr>
        <w:pStyle w:val="BodyText"/>
        <w:spacing w:line="350" w:lineRule="auto" w:before="145"/>
        <w:ind w:right="1033" w:firstLine="480"/>
        <w:jc w:val="left"/>
      </w:pPr>
      <w:r>
        <w:rPr/>
        <w:t>（</w:t>
      </w:r>
      <w:r>
        <w:rPr>
          <w:rFonts w:ascii="宋体" w:hAnsi="宋体" w:cs="宋体" w:eastAsia="宋体" w:hint="default"/>
        </w:rPr>
        <w:t>2</w:t>
      </w:r>
      <w:r>
        <w:rPr/>
        <w:t>）截止</w:t>
      </w:r>
      <w:r>
        <w:rPr>
          <w:rFonts w:ascii="宋体" w:hAnsi="宋体" w:cs="宋体" w:eastAsia="宋体" w:hint="default"/>
        </w:rPr>
        <w:t>2017</w:t>
      </w:r>
      <w:r>
        <w:rPr/>
        <w:t>年</w:t>
      </w:r>
      <w:r>
        <w:rPr>
          <w:rFonts w:ascii="宋体" w:hAnsi="宋体" w:cs="宋体" w:eastAsia="宋体" w:hint="default"/>
        </w:rPr>
        <w:t>12</w:t>
      </w:r>
      <w:r>
        <w:rPr/>
        <w:t>月</w:t>
      </w:r>
      <w:r>
        <w:rPr>
          <w:rFonts w:ascii="宋体" w:hAnsi="宋体" w:cs="宋体" w:eastAsia="宋体" w:hint="default"/>
        </w:rPr>
        <w:t>31</w:t>
      </w:r>
      <w:r>
        <w:rPr/>
        <w:t>日，本公司长短期带息债务主要为人民币计价的固定利率合同， 合计金额为</w:t>
      </w:r>
      <w:r>
        <w:rPr>
          <w:rFonts w:ascii="宋体" w:hAnsi="宋体" w:cs="宋体" w:eastAsia="宋体" w:hint="default"/>
        </w:rPr>
        <w:t>276,563,440.79</w:t>
      </w:r>
      <w:r>
        <w:rPr/>
        <w:t>元。</w:t>
      </w:r>
    </w:p>
    <w:p>
      <w:pPr>
        <w:pStyle w:val="BodyText"/>
        <w:spacing w:line="350" w:lineRule="auto"/>
        <w:ind w:left="634" w:right="1152"/>
        <w:jc w:val="left"/>
      </w:pPr>
      <w:r>
        <w:rPr/>
        <w:t>（</w:t>
      </w:r>
      <w:r>
        <w:rPr>
          <w:rFonts w:ascii="宋体" w:hAnsi="宋体" w:cs="宋体" w:eastAsia="宋体" w:hint="default"/>
        </w:rPr>
        <w:t>3</w:t>
      </w:r>
      <w:r>
        <w:rPr/>
        <w:t>）敏感性分析： 截止</w:t>
      </w:r>
      <w:r>
        <w:rPr>
          <w:rFonts w:ascii="宋体" w:hAnsi="宋体" w:cs="宋体" w:eastAsia="宋体" w:hint="default"/>
        </w:rPr>
        <w:t>2017</w:t>
      </w:r>
      <w:r>
        <w:rPr/>
        <w:t>年</w:t>
      </w:r>
      <w:r>
        <w:rPr>
          <w:rFonts w:ascii="宋体" w:hAnsi="宋体" w:cs="宋体" w:eastAsia="宋体" w:hint="default"/>
        </w:rPr>
        <w:t>12</w:t>
      </w:r>
      <w:r>
        <w:rPr/>
        <w:t>月</w:t>
      </w:r>
      <w:r>
        <w:rPr>
          <w:rFonts w:ascii="宋体" w:hAnsi="宋体" w:cs="宋体" w:eastAsia="宋体" w:hint="default"/>
        </w:rPr>
        <w:t>31</w:t>
      </w:r>
      <w:r>
        <w:rPr/>
        <w:t>日，因本公司长短期带息债务主要为人民币计价的固定利率合同，而</w:t>
      </w:r>
    </w:p>
    <w:p>
      <w:pPr>
        <w:pStyle w:val="BodyText"/>
        <w:spacing w:line="352" w:lineRule="auto" w:before="35"/>
        <w:ind w:left="634" w:right="1152" w:hanging="480"/>
        <w:jc w:val="left"/>
      </w:pPr>
      <w:r>
        <w:rPr/>
        <w:t>其他因素保持不变，对本公司的净利润无影响。 上述敏感性分析假定在资产负债表日已发生利率变动，并且已应用于本公司所有按浮动</w:t>
      </w:r>
    </w:p>
    <w:p>
      <w:pPr>
        <w:spacing w:line="484" w:lineRule="auto" w:before="32"/>
        <w:ind w:left="154" w:right="8113" w:firstLine="0"/>
        <w:jc w:val="left"/>
        <w:rPr>
          <w:rFonts w:ascii="宋体" w:hAnsi="宋体" w:cs="宋体" w:eastAsia="宋体" w:hint="default"/>
          <w:sz w:val="24"/>
          <w:szCs w:val="24"/>
        </w:rPr>
      </w:pPr>
      <w:r>
        <w:rPr>
          <w:rFonts w:ascii="宋体" w:hAnsi="宋体" w:cs="宋体" w:eastAsia="宋体" w:hint="default"/>
          <w:sz w:val="24"/>
          <w:szCs w:val="24"/>
        </w:rPr>
        <w:t>利率获得的借款。 </w:t>
      </w:r>
      <w:bookmarkStart w:name="十一、公允价值的披露" w:id="463"/>
      <w:bookmarkEnd w:id="463"/>
      <w:r>
        <w:rPr>
          <w:rFonts w:ascii="宋体" w:hAnsi="宋体" w:cs="宋体" w:eastAsia="宋体" w:hint="default"/>
          <w:sz w:val="24"/>
          <w:szCs w:val="24"/>
        </w:rPr>
      </w:r>
      <w:r>
        <w:rPr>
          <w:rFonts w:ascii="宋体" w:hAnsi="宋体" w:cs="宋体" w:eastAsia="宋体" w:hint="default"/>
          <w:b/>
          <w:bCs/>
          <w:w w:val="95"/>
          <w:sz w:val="24"/>
          <w:szCs w:val="24"/>
        </w:rPr>
        <w:t>十一、公允价值的披露</w:t>
      </w:r>
      <w:r>
        <w:rPr>
          <w:rFonts w:ascii="宋体" w:hAnsi="宋体" w:cs="宋体" w:eastAsia="宋体" w:hint="default"/>
          <w:sz w:val="24"/>
          <w:szCs w:val="24"/>
        </w:rPr>
      </w:r>
    </w:p>
    <w:p>
      <w:pPr>
        <w:pStyle w:val="Heading2"/>
        <w:spacing w:line="352" w:lineRule="auto" w:before="179"/>
        <w:ind w:left="634" w:right="5232" w:firstLine="2"/>
        <w:jc w:val="left"/>
        <w:rPr>
          <w:rFonts w:ascii="宋体" w:hAnsi="宋体" w:cs="宋体" w:eastAsia="宋体" w:hint="default"/>
          <w:b w:val="0"/>
          <w:bCs w:val="0"/>
        </w:rPr>
      </w:pPr>
      <w:bookmarkStart w:name="1、以公允价值计量的资产和负债的期末公允价值" w:id="464"/>
      <w:bookmarkEnd w:id="464"/>
      <w:r>
        <w:rPr>
          <w:b w:val="0"/>
          <w:bCs w:val="0"/>
        </w:rPr>
      </w:r>
      <w:r>
        <w:rPr>
          <w:rFonts w:ascii="宋体" w:hAnsi="宋体" w:cs="宋体" w:eastAsia="宋体" w:hint="default"/>
          <w:w w:val="95"/>
        </w:rPr>
        <w:t>1</w:t>
      </w:r>
      <w:r>
        <w:rPr>
          <w:w w:val="95"/>
        </w:rPr>
        <w:t>、以公允价值计量的资产和负债的期末公允价值 </w:t>
      </w:r>
      <w:r>
        <w:rPr>
          <w:spacing w:val="7"/>
          <w:w w:val="95"/>
        </w:rPr>
        <w:t> </w:t>
      </w:r>
      <w:r>
        <w:rPr>
          <w:rFonts w:ascii="宋体" w:hAnsi="宋体" w:cs="宋体" w:eastAsia="宋体" w:hint="default"/>
          <w:b w:val="0"/>
          <w:bCs w:val="0"/>
        </w:rPr>
        <w:t>无</w:t>
      </w:r>
    </w:p>
    <w:p>
      <w:pPr>
        <w:pStyle w:val="Heading2"/>
        <w:spacing w:line="350" w:lineRule="auto" w:before="32"/>
        <w:ind w:left="633" w:right="4153" w:firstLine="2"/>
        <w:jc w:val="left"/>
        <w:rPr>
          <w:rFonts w:ascii="宋体" w:hAnsi="宋体" w:cs="宋体" w:eastAsia="宋体" w:hint="default"/>
          <w:b w:val="0"/>
          <w:bCs w:val="0"/>
        </w:rPr>
      </w:pPr>
      <w:bookmarkStart w:name="2、持续和非持续第一层次公允价值计量项目市价的确定依据" w:id="465"/>
      <w:bookmarkEnd w:id="465"/>
      <w:r>
        <w:rPr>
          <w:b w:val="0"/>
          <w:bCs w:val="0"/>
        </w:rPr>
      </w:r>
      <w:r>
        <w:rPr>
          <w:rFonts w:ascii="宋体" w:hAnsi="宋体" w:cs="宋体" w:eastAsia="宋体" w:hint="default"/>
          <w:w w:val="95"/>
        </w:rPr>
        <w:t>2</w:t>
      </w:r>
      <w:r>
        <w:rPr>
          <w:w w:val="95"/>
        </w:rPr>
        <w:t>、持续和非持续第一层次公允价值计量项目市价的确定依据 </w:t>
      </w:r>
      <w:r>
        <w:rPr>
          <w:spacing w:val="66"/>
          <w:w w:val="95"/>
        </w:rPr>
        <w:t> </w:t>
      </w:r>
      <w:r>
        <w:rPr>
          <w:spacing w:val="66"/>
          <w:w w:val="95"/>
        </w:rPr>
      </w:r>
      <w:r>
        <w:rPr>
          <w:rFonts w:ascii="宋体" w:hAnsi="宋体" w:cs="宋体" w:eastAsia="宋体" w:hint="default"/>
          <w:b w:val="0"/>
          <w:bCs w:val="0"/>
        </w:rPr>
        <w:t>无</w:t>
      </w:r>
    </w:p>
    <w:p>
      <w:pPr>
        <w:pStyle w:val="Heading2"/>
        <w:spacing w:line="350" w:lineRule="auto" w:before="36"/>
        <w:ind w:left="153" w:right="1141" w:firstLine="482"/>
        <w:jc w:val="both"/>
        <w:rPr>
          <w:b w:val="0"/>
          <w:bCs w:val="0"/>
        </w:rPr>
      </w:pPr>
      <w:bookmarkStart w:name="3、持续和非持续第二层次公允价值计量项目，采用的估值技术和重要参数的定性及定量信" w:id="466"/>
      <w:bookmarkEnd w:id="466"/>
      <w:r>
        <w:rPr>
          <w:b w:val="0"/>
          <w:bCs w:val="0"/>
        </w:rPr>
      </w:r>
      <w:r>
        <w:rPr>
          <w:rFonts w:ascii="宋体" w:hAnsi="宋体" w:cs="宋体" w:eastAsia="宋体" w:hint="default"/>
          <w:spacing w:val="3"/>
          <w:w w:val="95"/>
        </w:rPr>
        <w:t>3</w:t>
      </w:r>
      <w:r>
        <w:rPr>
          <w:spacing w:val="3"/>
          <w:w w:val="95"/>
        </w:rPr>
        <w:t>、持续和非持续第二层次公允价值计量项目，采用的估值技术和重要参数的定性及定</w:t>
      </w:r>
      <w:r>
        <w:rPr>
          <w:w w:val="99"/>
        </w:rPr>
        <w:t> </w:t>
      </w:r>
      <w:r>
        <w:rPr/>
        <w:t>量信息</w:t>
      </w:r>
      <w:r>
        <w:rPr>
          <w:b w:val="0"/>
          <w:bCs w:val="0"/>
        </w:rPr>
      </w:r>
    </w:p>
    <w:p>
      <w:pPr>
        <w:pStyle w:val="BodyText"/>
        <w:spacing w:line="240" w:lineRule="auto" w:before="35"/>
        <w:ind w:left="633" w:right="996"/>
        <w:jc w:val="left"/>
      </w:pPr>
      <w:r>
        <w:rPr/>
        <w:t>无</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Heading2"/>
        <w:spacing w:line="350" w:lineRule="auto" w:before="199"/>
        <w:ind w:left="153" w:right="996" w:firstLine="482"/>
        <w:jc w:val="left"/>
        <w:rPr>
          <w:b w:val="0"/>
          <w:bCs w:val="0"/>
        </w:rPr>
      </w:pPr>
      <w:bookmarkStart w:name="4、持续和非持续第三层次公允价值计量项目，采用的估值技术和重要参数的定性及定量信" w:id="467"/>
      <w:bookmarkEnd w:id="467"/>
      <w:r>
        <w:rPr>
          <w:b w:val="0"/>
          <w:bCs w:val="0"/>
        </w:rPr>
      </w:r>
      <w:r>
        <w:rPr>
          <w:rFonts w:ascii="宋体" w:hAnsi="宋体" w:cs="宋体" w:eastAsia="宋体" w:hint="default"/>
          <w:spacing w:val="3"/>
          <w:w w:val="95"/>
        </w:rPr>
        <w:t>4</w:t>
      </w:r>
      <w:r>
        <w:rPr>
          <w:spacing w:val="3"/>
          <w:w w:val="95"/>
        </w:rPr>
        <w:t>、持续和非持续第三层次公允价值计量项目，采用的估值技术和重要参数的定性及定</w:t>
      </w:r>
      <w:r>
        <w:rPr>
          <w:w w:val="99"/>
        </w:rPr>
        <w:t> </w:t>
      </w:r>
      <w:r>
        <w:rPr/>
        <w:t>量信息</w:t>
      </w:r>
      <w:r>
        <w:rPr>
          <w:b w:val="0"/>
          <w:bCs w:val="0"/>
        </w:rPr>
      </w:r>
    </w:p>
    <w:p>
      <w:pPr>
        <w:pStyle w:val="Heading2"/>
        <w:spacing w:line="350" w:lineRule="auto" w:before="36"/>
        <w:ind w:right="996" w:hanging="3"/>
        <w:jc w:val="left"/>
        <w:rPr>
          <w:b w:val="0"/>
          <w:bCs w:val="0"/>
        </w:rPr>
      </w:pPr>
      <w:r>
        <w:rPr>
          <w:rFonts w:ascii="宋体" w:hAnsi="宋体" w:cs="宋体" w:eastAsia="宋体" w:hint="default"/>
          <w:b w:val="0"/>
          <w:bCs w:val="0"/>
        </w:rPr>
        <w:t>无 </w:t>
      </w:r>
      <w:bookmarkStart w:name="5、持续的第三层次公允价值计量项目，期初与期末账面价值间的调节信息及不可观察参数" w:id="468"/>
      <w:bookmarkEnd w:id="468"/>
      <w:r>
        <w:rPr>
          <w:rFonts w:ascii="宋体" w:hAnsi="宋体" w:cs="宋体" w:eastAsia="宋体" w:hint="default"/>
          <w:b w:val="0"/>
          <w:bCs w:val="0"/>
        </w:rPr>
      </w:r>
      <w:r>
        <w:rPr>
          <w:rFonts w:ascii="宋体" w:hAnsi="宋体" w:cs="宋体" w:eastAsia="宋体" w:hint="default"/>
          <w:spacing w:val="3"/>
          <w:w w:val="95"/>
        </w:rPr>
        <w:t>5</w:t>
      </w:r>
      <w:r>
        <w:rPr>
          <w:spacing w:val="3"/>
          <w:w w:val="95"/>
        </w:rPr>
        <w:t>、持续的第三层次公允价值计量项目，期初与期末账面价值间的调节信息及不可观察</w:t>
      </w:r>
      <w:r>
        <w:rPr>
          <w:b w:val="0"/>
          <w:bCs w:val="0"/>
          <w:spacing w:val="3"/>
        </w:rPr>
      </w:r>
    </w:p>
    <w:p>
      <w:pPr>
        <w:pStyle w:val="Heading2"/>
        <w:spacing w:line="352" w:lineRule="auto" w:before="35"/>
        <w:ind w:left="633" w:right="9066" w:hanging="480"/>
        <w:jc w:val="left"/>
        <w:rPr>
          <w:rFonts w:ascii="宋体" w:hAnsi="宋体" w:cs="宋体" w:eastAsia="宋体" w:hint="default"/>
          <w:b w:val="0"/>
          <w:bCs w:val="0"/>
        </w:rPr>
      </w:pPr>
      <w:r>
        <w:rPr/>
        <w:t>参数敏感性分析</w:t>
      </w:r>
      <w:r>
        <w:rPr>
          <w:w w:val="99"/>
        </w:rPr>
        <w:t> </w:t>
      </w:r>
      <w:r>
        <w:rPr>
          <w:rFonts w:ascii="宋体" w:hAnsi="宋体" w:cs="宋体" w:eastAsia="宋体" w:hint="default"/>
          <w:b w:val="0"/>
          <w:bCs w:val="0"/>
        </w:rPr>
        <w:t>无</w:t>
      </w:r>
    </w:p>
    <w:p>
      <w:pPr>
        <w:pStyle w:val="Heading2"/>
        <w:spacing w:line="350" w:lineRule="auto" w:before="32"/>
        <w:ind w:left="153" w:right="996" w:firstLine="482"/>
        <w:jc w:val="left"/>
        <w:rPr>
          <w:b w:val="0"/>
          <w:bCs w:val="0"/>
        </w:rPr>
      </w:pPr>
      <w:bookmarkStart w:name="6、持续的公允价值计量项目，本期内发生各层级之间转换的，转换的原因及确定转换时点" w:id="469"/>
      <w:bookmarkEnd w:id="469"/>
      <w:r>
        <w:rPr>
          <w:b w:val="0"/>
          <w:bCs w:val="0"/>
        </w:rPr>
      </w:r>
      <w:r>
        <w:rPr>
          <w:rFonts w:ascii="宋体" w:hAnsi="宋体" w:cs="宋体" w:eastAsia="宋体" w:hint="default"/>
          <w:spacing w:val="3"/>
          <w:w w:val="95"/>
        </w:rPr>
        <w:t>6</w:t>
      </w:r>
      <w:r>
        <w:rPr>
          <w:spacing w:val="3"/>
          <w:w w:val="95"/>
        </w:rPr>
        <w:t>、持续的公允价值计量项目，本期内发生各层级之间转换的，转换的原因及确定转换</w:t>
      </w:r>
      <w:r>
        <w:rPr>
          <w:w w:val="99"/>
        </w:rPr>
        <w:t> </w:t>
      </w:r>
      <w:r>
        <w:rPr/>
        <w:t>时点的政策</w:t>
      </w:r>
      <w:r>
        <w:rPr>
          <w:b w:val="0"/>
          <w:bCs w:val="0"/>
        </w:rPr>
      </w:r>
    </w:p>
    <w:p>
      <w:pPr>
        <w:pStyle w:val="Heading2"/>
        <w:spacing w:line="350" w:lineRule="auto" w:before="36"/>
        <w:ind w:left="633" w:right="5953"/>
        <w:jc w:val="left"/>
        <w:rPr>
          <w:rFonts w:ascii="宋体" w:hAnsi="宋体" w:cs="宋体" w:eastAsia="宋体" w:hint="default"/>
          <w:b w:val="0"/>
          <w:bCs w:val="0"/>
        </w:rPr>
      </w:pPr>
      <w:r>
        <w:rPr>
          <w:rFonts w:ascii="宋体" w:hAnsi="宋体" w:cs="宋体" w:eastAsia="宋体" w:hint="default"/>
          <w:b w:val="0"/>
          <w:bCs w:val="0"/>
        </w:rPr>
        <w:t>无 </w:t>
      </w:r>
      <w:bookmarkStart w:name="7、本期内发生的估值技术变更及变更原因" w:id="470"/>
      <w:bookmarkEnd w:id="470"/>
      <w:r>
        <w:rPr>
          <w:rFonts w:ascii="宋体" w:hAnsi="宋体" w:cs="宋体" w:eastAsia="宋体" w:hint="default"/>
          <w:b w:val="0"/>
          <w:bCs w:val="0"/>
        </w:rPr>
      </w:r>
      <w:r>
        <w:rPr>
          <w:rFonts w:ascii="宋体" w:hAnsi="宋体" w:cs="宋体" w:eastAsia="宋体" w:hint="default"/>
          <w:w w:val="95"/>
        </w:rPr>
        <w:t>7</w:t>
      </w:r>
      <w:r>
        <w:rPr>
          <w:w w:val="95"/>
        </w:rPr>
        <w:t>、本期内发生的估值技术变更及变更原因</w:t>
      </w:r>
      <w:r>
        <w:rPr>
          <w:spacing w:val="91"/>
          <w:w w:val="95"/>
        </w:rPr>
        <w:t> </w:t>
      </w:r>
      <w:r>
        <w:rPr>
          <w:rFonts w:ascii="宋体" w:hAnsi="宋体" w:cs="宋体" w:eastAsia="宋体" w:hint="default"/>
          <w:b w:val="0"/>
          <w:bCs w:val="0"/>
        </w:rPr>
        <w:t>无</w:t>
      </w:r>
    </w:p>
    <w:p>
      <w:pPr>
        <w:pStyle w:val="Heading2"/>
        <w:spacing w:line="350" w:lineRule="auto" w:before="36"/>
        <w:ind w:left="633" w:right="4153" w:firstLine="2"/>
        <w:jc w:val="left"/>
        <w:rPr>
          <w:rFonts w:ascii="宋体" w:hAnsi="宋体" w:cs="宋体" w:eastAsia="宋体" w:hint="default"/>
          <w:b w:val="0"/>
          <w:bCs w:val="0"/>
        </w:rPr>
      </w:pPr>
      <w:bookmarkStart w:name="8、不以公允价值计量的金融资产和金融负债的公允价值情况" w:id="471"/>
      <w:bookmarkEnd w:id="471"/>
      <w:r>
        <w:rPr>
          <w:b w:val="0"/>
          <w:bCs w:val="0"/>
        </w:rPr>
      </w:r>
      <w:r>
        <w:rPr>
          <w:rFonts w:ascii="宋体" w:hAnsi="宋体" w:cs="宋体" w:eastAsia="宋体" w:hint="default"/>
          <w:w w:val="95"/>
        </w:rPr>
        <w:t>8</w:t>
      </w:r>
      <w:r>
        <w:rPr>
          <w:w w:val="95"/>
        </w:rPr>
        <w:t>、不以公允价值计量的金融资产和金融负债的公允价值情况 </w:t>
      </w:r>
      <w:r>
        <w:rPr>
          <w:spacing w:val="69"/>
          <w:w w:val="95"/>
        </w:rPr>
        <w:t> </w:t>
      </w:r>
      <w:r>
        <w:rPr>
          <w:spacing w:val="69"/>
          <w:w w:val="95"/>
        </w:rPr>
      </w:r>
      <w:r>
        <w:rPr>
          <w:rFonts w:ascii="宋体" w:hAnsi="宋体" w:cs="宋体" w:eastAsia="宋体" w:hint="default"/>
          <w:b w:val="0"/>
          <w:bCs w:val="0"/>
        </w:rPr>
        <w:t>无</w:t>
      </w:r>
    </w:p>
    <w:p>
      <w:pPr>
        <w:pStyle w:val="Heading2"/>
        <w:spacing w:line="352" w:lineRule="auto" w:before="35"/>
        <w:ind w:left="633" w:right="9427" w:firstLine="2"/>
        <w:jc w:val="left"/>
        <w:rPr>
          <w:rFonts w:ascii="宋体" w:hAnsi="宋体" w:cs="宋体" w:eastAsia="宋体" w:hint="default"/>
          <w:b w:val="0"/>
          <w:bCs w:val="0"/>
        </w:rPr>
      </w:pPr>
      <w:bookmarkStart w:name="9、其他" w:id="472"/>
      <w:bookmarkEnd w:id="472"/>
      <w:r>
        <w:rPr>
          <w:b w:val="0"/>
          <w:bCs w:val="0"/>
        </w:rPr>
      </w:r>
      <w:r>
        <w:rPr>
          <w:rFonts w:ascii="宋体" w:hAnsi="宋体" w:cs="宋体" w:eastAsia="宋体" w:hint="default"/>
        </w:rPr>
        <w:t>9</w:t>
      </w:r>
      <w:r>
        <w:rPr/>
        <w:t>、其他</w:t>
      </w:r>
      <w:r>
        <w:rPr>
          <w:spacing w:val="1"/>
          <w:w w:val="99"/>
        </w:rPr>
        <w:t> </w:t>
      </w:r>
      <w:r>
        <w:rPr>
          <w:rFonts w:ascii="宋体" w:hAnsi="宋体" w:cs="宋体" w:eastAsia="宋体" w:hint="default"/>
          <w:b w:val="0"/>
          <w:bCs w:val="0"/>
        </w:rPr>
        <w:t>无</w:t>
      </w:r>
    </w:p>
    <w:p>
      <w:pPr>
        <w:pStyle w:val="Heading2"/>
        <w:spacing w:line="240" w:lineRule="auto" w:before="208"/>
        <w:ind w:left="153" w:right="996"/>
        <w:jc w:val="left"/>
        <w:rPr>
          <w:b w:val="0"/>
          <w:bCs w:val="0"/>
        </w:rPr>
      </w:pPr>
      <w:bookmarkStart w:name="十二、关联方及关联交易" w:id="473"/>
      <w:bookmarkEnd w:id="473"/>
      <w:r>
        <w:rPr>
          <w:b w:val="0"/>
          <w:bCs w:val="0"/>
        </w:rPr>
      </w:r>
      <w:r>
        <w:rPr/>
        <w:t>十二、关联方及关联交易</w:t>
      </w:r>
      <w:r>
        <w:rPr>
          <w:b w:val="0"/>
          <w:bCs w:val="0"/>
        </w:rPr>
      </w:r>
    </w:p>
    <w:p>
      <w:pPr>
        <w:spacing w:line="240" w:lineRule="auto" w:before="5"/>
        <w:rPr>
          <w:rFonts w:ascii="宋体" w:hAnsi="宋体" w:cs="宋体" w:eastAsia="宋体" w:hint="default"/>
          <w:b/>
          <w:bCs/>
          <w:sz w:val="32"/>
          <w:szCs w:val="32"/>
        </w:rPr>
      </w:pPr>
    </w:p>
    <w:p>
      <w:pPr>
        <w:pStyle w:val="Heading2"/>
        <w:spacing w:line="352" w:lineRule="auto" w:before="0"/>
        <w:ind w:left="633" w:right="7741" w:firstLine="2"/>
        <w:jc w:val="left"/>
        <w:rPr>
          <w:b w:val="0"/>
          <w:bCs w:val="0"/>
        </w:rPr>
      </w:pPr>
      <w:bookmarkStart w:name="1、本企业的母公司情况" w:id="474"/>
      <w:bookmarkEnd w:id="474"/>
      <w:r>
        <w:rPr>
          <w:b w:val="0"/>
          <w:bCs w:val="0"/>
        </w:rPr>
      </w:r>
      <w:r>
        <w:rPr>
          <w:rFonts w:ascii="宋体" w:hAnsi="宋体" w:cs="宋体" w:eastAsia="宋体" w:hint="default"/>
        </w:rPr>
        <w:t>1</w:t>
      </w:r>
      <w:r>
        <w:rPr/>
        <w:t>、本企业的母公司情况</w:t>
      </w:r>
      <w:r>
        <w:rPr>
          <w:w w:val="99"/>
        </w:rPr>
        <w:t> </w:t>
      </w:r>
      <w:r>
        <w:rPr>
          <w:rFonts w:ascii="宋体" w:hAnsi="宋体" w:cs="宋体" w:eastAsia="宋体" w:hint="default"/>
          <w:b w:val="0"/>
          <w:bCs w:val="0"/>
        </w:rPr>
        <w:t>无 </w:t>
      </w:r>
      <w:bookmarkStart w:name="2、本企业的子公司情况" w:id="475"/>
      <w:bookmarkEnd w:id="475"/>
      <w:r>
        <w:rPr>
          <w:rFonts w:ascii="宋体" w:hAnsi="宋体" w:cs="宋体" w:eastAsia="宋体" w:hint="default"/>
          <w:b w:val="0"/>
          <w:bCs w:val="0"/>
        </w:rPr>
      </w:r>
      <w:r>
        <w:rPr>
          <w:rFonts w:ascii="宋体" w:hAnsi="宋体" w:cs="宋体" w:eastAsia="宋体" w:hint="default"/>
        </w:rPr>
        <w:t>2</w:t>
      </w:r>
      <w:r>
        <w:rPr/>
        <w:t>、本企业的子公司情况</w:t>
      </w:r>
      <w:r>
        <w:rPr>
          <w:b w:val="0"/>
          <w:bCs w:val="0"/>
        </w:rPr>
      </w:r>
    </w:p>
    <w:p>
      <w:pPr>
        <w:spacing w:line="352" w:lineRule="auto" w:before="32"/>
        <w:ind w:left="633" w:right="5473" w:firstLine="0"/>
        <w:jc w:val="left"/>
        <w:rPr>
          <w:rFonts w:ascii="宋体" w:hAnsi="宋体" w:cs="宋体" w:eastAsia="宋体" w:hint="default"/>
          <w:sz w:val="24"/>
          <w:szCs w:val="24"/>
        </w:rPr>
      </w:pPr>
      <w:r>
        <w:rPr>
          <w:rFonts w:ascii="宋体" w:hAnsi="宋体" w:cs="宋体" w:eastAsia="宋体" w:hint="default"/>
          <w:sz w:val="24"/>
          <w:szCs w:val="24"/>
        </w:rPr>
        <w:t>本企业子公司的情况详见在子公司中的权益。 </w:t>
      </w:r>
      <w:bookmarkStart w:name="3、本企业合营和联营企业情况" w:id="476"/>
      <w:bookmarkEnd w:id="476"/>
      <w:r>
        <w:rPr>
          <w:rFonts w:ascii="宋体" w:hAnsi="宋体" w:cs="宋体" w:eastAsia="宋体" w:hint="default"/>
          <w:sz w:val="24"/>
          <w:szCs w:val="24"/>
        </w:rPr>
      </w:r>
      <w:r>
        <w:rPr>
          <w:rFonts w:ascii="宋体" w:hAnsi="宋体" w:cs="宋体" w:eastAsia="宋体" w:hint="default"/>
          <w:b/>
          <w:bCs/>
          <w:sz w:val="24"/>
          <w:szCs w:val="24"/>
        </w:rPr>
        <w:t>3</w:t>
      </w:r>
      <w:r>
        <w:rPr>
          <w:rFonts w:ascii="宋体" w:hAnsi="宋体" w:cs="宋体" w:eastAsia="宋体" w:hint="default"/>
          <w:b/>
          <w:bCs/>
          <w:sz w:val="24"/>
          <w:szCs w:val="24"/>
        </w:rPr>
        <w:t>、本企业合营和联营企业情况</w:t>
      </w:r>
      <w:r>
        <w:rPr>
          <w:rFonts w:ascii="宋体" w:hAnsi="宋体" w:cs="宋体" w:eastAsia="宋体" w:hint="default"/>
          <w:b/>
          <w:bCs/>
          <w:w w:val="99"/>
          <w:sz w:val="24"/>
          <w:szCs w:val="24"/>
        </w:rPr>
        <w:t> </w:t>
      </w:r>
      <w:r>
        <w:rPr>
          <w:rFonts w:ascii="宋体" w:hAnsi="宋体" w:cs="宋体" w:eastAsia="宋体" w:hint="default"/>
          <w:sz w:val="24"/>
          <w:szCs w:val="24"/>
        </w:rPr>
        <w:t>本企业重要的合营或联营企业。</w:t>
      </w:r>
    </w:p>
    <w:p>
      <w:pPr>
        <w:pStyle w:val="BodyText"/>
        <w:spacing w:line="350" w:lineRule="auto" w:before="32"/>
        <w:ind w:right="1153" w:firstLine="480"/>
        <w:jc w:val="left"/>
      </w:pPr>
      <w:r>
        <w:rPr/>
        <w:pict>
          <v:shape style="position:absolute;margin-left:56.459999pt;margin-top:43.21563pt;width:479.2pt;height:60.8pt;mso-position-horizontal-relative:page;mso-position-vertical-relative:paragraph;z-index:198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821"/>
                    <w:gridCol w:w="4748"/>
                  </w:tblGrid>
                  <w:tr>
                    <w:trPr>
                      <w:trHeight w:val="402" w:hRule="exact"/>
                    </w:trPr>
                    <w:tc>
                      <w:tcPr>
                        <w:tcW w:w="48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459" w:right="0"/>
                          <w:jc w:val="left"/>
                          <w:rPr>
                            <w:rFonts w:ascii="宋体" w:hAnsi="宋体" w:cs="宋体" w:eastAsia="宋体" w:hint="default"/>
                            <w:sz w:val="21"/>
                            <w:szCs w:val="21"/>
                          </w:rPr>
                        </w:pPr>
                        <w:r>
                          <w:rPr>
                            <w:rFonts w:ascii="宋体" w:hAnsi="宋体" w:cs="宋体" w:eastAsia="宋体" w:hint="default"/>
                            <w:sz w:val="21"/>
                            <w:szCs w:val="21"/>
                          </w:rPr>
                          <w:t>合营或联营企业名称</w:t>
                        </w:r>
                      </w:p>
                    </w:tc>
                    <w:tc>
                      <w:tcPr>
                        <w:tcW w:w="47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与本企业关系</w:t>
                        </w:r>
                      </w:p>
                    </w:tc>
                  </w:tr>
                  <w:tr>
                    <w:trPr>
                      <w:trHeight w:val="402" w:hRule="exact"/>
                    </w:trPr>
                    <w:tc>
                      <w:tcPr>
                        <w:tcW w:w="4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飞天联合</w:t>
                        </w:r>
                        <w:r>
                          <w:rPr>
                            <w:rFonts w:ascii="宋体" w:hAnsi="宋体" w:cs="宋体" w:eastAsia="宋体" w:hint="default"/>
                            <w:sz w:val="21"/>
                            <w:szCs w:val="21"/>
                          </w:rPr>
                          <w:t>(</w:t>
                        </w:r>
                        <w:r>
                          <w:rPr>
                            <w:rFonts w:ascii="宋体" w:hAnsi="宋体" w:cs="宋体" w:eastAsia="宋体" w:hint="default"/>
                            <w:sz w:val="21"/>
                            <w:szCs w:val="21"/>
                          </w:rPr>
                          <w:t>北京</w:t>
                        </w:r>
                        <w:r>
                          <w:rPr>
                            <w:rFonts w:ascii="宋体" w:hAnsi="宋体" w:cs="宋体" w:eastAsia="宋体" w:hint="default"/>
                            <w:sz w:val="21"/>
                            <w:szCs w:val="21"/>
                          </w:rPr>
                          <w:t>)</w:t>
                        </w:r>
                        <w:r>
                          <w:rPr>
                            <w:rFonts w:ascii="宋体" w:hAnsi="宋体" w:cs="宋体" w:eastAsia="宋体" w:hint="default"/>
                            <w:sz w:val="21"/>
                            <w:szCs w:val="21"/>
                          </w:rPr>
                          <w:t>系统技术有限公司</w:t>
                        </w:r>
                      </w:p>
                    </w:tc>
                    <w:tc>
                      <w:tcPr>
                        <w:tcW w:w="4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本公司的参股公司</w:t>
                        </w:r>
                      </w:p>
                    </w:tc>
                  </w:tr>
                  <w:tr>
                    <w:trPr>
                      <w:trHeight w:val="402" w:hRule="exact"/>
                    </w:trPr>
                    <w:tc>
                      <w:tcPr>
                        <w:tcW w:w="4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北京赛弗网络科技有限责任公司</w:t>
                        </w:r>
                      </w:p>
                    </w:tc>
                    <w:tc>
                      <w:tcPr>
                        <w:tcW w:w="4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本公司的参股公司</w:t>
                        </w:r>
                      </w:p>
                    </w:tc>
                  </w:tr>
                </w:tbl>
                <w:p>
                  <w:pPr/>
                </w:p>
              </w:txbxContent>
            </v:textbox>
            <w10:wrap type="none"/>
          </v:shape>
        </w:pict>
      </w:r>
      <w:r>
        <w:rPr/>
        <w:t>本期与本公司发生关联方交易，或前期与本公司发生关联方交易形成余额的其他合营或 联营企业情况如下：</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350" w:lineRule="auto" w:before="205"/>
        <w:ind w:left="633" w:right="1153" w:firstLine="2"/>
        <w:jc w:val="left"/>
        <w:rPr>
          <w:rFonts w:ascii="宋体" w:hAnsi="宋体" w:cs="宋体" w:eastAsia="宋体" w:hint="default"/>
          <w:sz w:val="24"/>
          <w:szCs w:val="24"/>
        </w:rPr>
      </w:pPr>
      <w:bookmarkStart w:name="4、其他关联方情况" w:id="477"/>
      <w:bookmarkEnd w:id="477"/>
      <w:r>
        <w:rPr/>
      </w:r>
      <w:r>
        <w:rPr>
          <w:rFonts w:ascii="宋体" w:hAnsi="宋体" w:cs="宋体" w:eastAsia="宋体" w:hint="default"/>
          <w:b/>
          <w:bCs/>
          <w:sz w:val="24"/>
          <w:szCs w:val="24"/>
        </w:rPr>
        <w:t>4</w:t>
      </w:r>
      <w:r>
        <w:rPr>
          <w:rFonts w:ascii="宋体" w:hAnsi="宋体" w:cs="宋体" w:eastAsia="宋体" w:hint="default"/>
          <w:b/>
          <w:bCs/>
          <w:sz w:val="24"/>
          <w:szCs w:val="24"/>
        </w:rPr>
        <w:t>、其他关联方情况</w:t>
      </w:r>
      <w:r>
        <w:rPr>
          <w:rFonts w:ascii="宋体" w:hAnsi="宋体" w:cs="宋体" w:eastAsia="宋体" w:hint="default"/>
          <w:b/>
          <w:bCs/>
          <w:w w:val="99"/>
          <w:sz w:val="24"/>
          <w:szCs w:val="24"/>
        </w:rPr>
        <w:t> </w:t>
      </w:r>
      <w:r>
        <w:rPr>
          <w:rFonts w:ascii="宋体" w:hAnsi="宋体" w:cs="宋体" w:eastAsia="宋体" w:hint="default"/>
          <w:sz w:val="24"/>
          <w:szCs w:val="24"/>
        </w:rPr>
        <w:t>北京智慧图科技有限责任公司，深圳丰图辉煌基金管理中心</w:t>
      </w:r>
      <w:r>
        <w:rPr>
          <w:rFonts w:ascii="宋体" w:hAnsi="宋体" w:cs="宋体" w:eastAsia="宋体" w:hint="default"/>
          <w:sz w:val="24"/>
          <w:szCs w:val="24"/>
        </w:rPr>
        <w:t>(</w:t>
      </w:r>
      <w:r>
        <w:rPr>
          <w:rFonts w:ascii="宋体" w:hAnsi="宋体" w:cs="宋体" w:eastAsia="宋体" w:hint="default"/>
          <w:sz w:val="24"/>
          <w:szCs w:val="24"/>
        </w:rPr>
        <w:t>有限合伙</w:t>
      </w:r>
      <w:r>
        <w:rPr>
          <w:rFonts w:ascii="宋体" w:hAnsi="宋体" w:cs="宋体" w:eastAsia="宋体" w:hint="default"/>
          <w:sz w:val="24"/>
          <w:szCs w:val="24"/>
        </w:rPr>
        <w:t>)</w:t>
      </w:r>
      <w:r>
        <w:rPr>
          <w:rFonts w:ascii="宋体" w:hAnsi="宋体" w:cs="宋体" w:eastAsia="宋体" w:hint="default"/>
          <w:sz w:val="24"/>
          <w:szCs w:val="24"/>
        </w:rPr>
        <w:t>，北京七彩通达</w:t>
      </w:r>
    </w:p>
    <w:p>
      <w:pPr>
        <w:spacing w:after="0" w:line="350" w:lineRule="auto"/>
        <w:jc w:val="left"/>
        <w:rPr>
          <w:rFonts w:ascii="宋体" w:hAnsi="宋体" w:cs="宋体" w:eastAsia="宋体" w:hint="default"/>
          <w:sz w:val="24"/>
          <w:szCs w:val="24"/>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747" w:footer="979" w:top="1060" w:bottom="1160" w:left="980" w:right="0"/>
        </w:sectPr>
      </w:pPr>
    </w:p>
    <w:p>
      <w:pPr>
        <w:spacing w:line="350" w:lineRule="auto" w:before="199"/>
        <w:ind w:left="636" w:right="-19" w:hanging="483"/>
        <w:jc w:val="left"/>
        <w:rPr>
          <w:rFonts w:ascii="宋体" w:hAnsi="宋体" w:cs="宋体" w:eastAsia="宋体" w:hint="default"/>
          <w:sz w:val="24"/>
          <w:szCs w:val="24"/>
        </w:rPr>
      </w:pPr>
      <w:r>
        <w:rPr>
          <w:rFonts w:ascii="宋体" w:hAnsi="宋体" w:cs="宋体" w:eastAsia="宋体" w:hint="default"/>
          <w:sz w:val="24"/>
          <w:szCs w:val="24"/>
        </w:rPr>
        <w:t>传媒股份有限公司为公司参股公司，与本公司构成关联关系。 </w:t>
      </w:r>
      <w:bookmarkStart w:name="5、关联交易情况" w:id="478"/>
      <w:bookmarkEnd w:id="478"/>
      <w:r>
        <w:rPr>
          <w:rFonts w:ascii="宋体" w:hAnsi="宋体" w:cs="宋体" w:eastAsia="宋体" w:hint="default"/>
          <w:sz w:val="24"/>
          <w:szCs w:val="24"/>
        </w:rPr>
      </w:r>
      <w:r>
        <w:rPr>
          <w:rFonts w:ascii="宋体" w:hAnsi="宋体" w:cs="宋体" w:eastAsia="宋体" w:hint="default"/>
          <w:b/>
          <w:bCs/>
          <w:sz w:val="24"/>
          <w:szCs w:val="24"/>
        </w:rPr>
        <w:t>5</w:t>
      </w:r>
      <w:r>
        <w:rPr>
          <w:rFonts w:ascii="宋体" w:hAnsi="宋体" w:cs="宋体" w:eastAsia="宋体" w:hint="default"/>
          <w:b/>
          <w:bCs/>
          <w:sz w:val="24"/>
          <w:szCs w:val="24"/>
        </w:rPr>
        <w:t>、关联交易情况</w:t>
      </w:r>
      <w:r>
        <w:rPr>
          <w:rFonts w:ascii="宋体" w:hAnsi="宋体" w:cs="宋体" w:eastAsia="宋体" w:hint="default"/>
          <w:sz w:val="24"/>
          <w:szCs w:val="24"/>
        </w:rPr>
      </w:r>
    </w:p>
    <w:p>
      <w:pPr>
        <w:pStyle w:val="Heading2"/>
        <w:spacing w:line="350" w:lineRule="auto" w:before="36"/>
        <w:ind w:left="633" w:right="1299" w:firstLine="2"/>
        <w:jc w:val="left"/>
        <w:rPr>
          <w:rFonts w:ascii="宋体" w:hAnsi="宋体" w:cs="宋体" w:eastAsia="宋体" w:hint="default"/>
          <w:b w:val="0"/>
          <w:bCs w:val="0"/>
        </w:rPr>
      </w:pPr>
      <w:bookmarkStart w:name="（1）购销商品、提供和接受劳务的关联交易" w:id="479"/>
      <w:bookmarkEnd w:id="479"/>
      <w:r>
        <w:rPr>
          <w:b w:val="0"/>
          <w:bCs w:val="0"/>
        </w:rPr>
      </w:r>
      <w:r>
        <w:rPr>
          <w:w w:val="95"/>
        </w:rPr>
        <w:t>（</w:t>
      </w:r>
      <w:r>
        <w:rPr>
          <w:rFonts w:ascii="宋体" w:hAnsi="宋体" w:cs="宋体" w:eastAsia="宋体" w:hint="default"/>
          <w:w w:val="95"/>
        </w:rPr>
        <w:t>1</w:t>
      </w:r>
      <w:r>
        <w:rPr>
          <w:w w:val="95"/>
        </w:rPr>
        <w:t>）购销商品、提供和接受劳务的关联交易</w:t>
      </w:r>
      <w:r>
        <w:rPr>
          <w:spacing w:val="101"/>
          <w:w w:val="95"/>
        </w:rPr>
        <w:t> </w:t>
      </w:r>
      <w:r>
        <w:rPr>
          <w:rFonts w:ascii="宋体" w:hAnsi="宋体" w:cs="宋体" w:eastAsia="宋体" w:hint="default"/>
          <w:b w:val="0"/>
          <w:bCs w:val="0"/>
        </w:rPr>
        <w:t>无</w:t>
      </w:r>
    </w:p>
    <w:p>
      <w:pPr>
        <w:pStyle w:val="Heading2"/>
        <w:spacing w:line="352" w:lineRule="auto" w:before="35"/>
        <w:ind w:left="633" w:right="1065" w:firstLine="2"/>
        <w:jc w:val="left"/>
        <w:rPr>
          <w:rFonts w:ascii="宋体" w:hAnsi="宋体" w:cs="宋体" w:eastAsia="宋体" w:hint="default"/>
          <w:b w:val="0"/>
          <w:bCs w:val="0"/>
        </w:rPr>
      </w:pPr>
      <w:bookmarkStart w:name="（2）关联受托管理/承包及委托管理/出包情况" w:id="480"/>
      <w:bookmarkEnd w:id="480"/>
      <w:r>
        <w:rPr>
          <w:b w:val="0"/>
          <w:bCs w:val="0"/>
        </w:rPr>
      </w:r>
      <w:r>
        <w:rPr>
          <w:w w:val="95"/>
        </w:rPr>
        <w:t>（</w:t>
      </w:r>
      <w:r>
        <w:rPr>
          <w:rFonts w:ascii="宋体" w:hAnsi="宋体" w:cs="宋体" w:eastAsia="宋体" w:hint="default"/>
          <w:w w:val="95"/>
        </w:rPr>
        <w:t>2</w:t>
      </w:r>
      <w:r>
        <w:rPr>
          <w:w w:val="95"/>
        </w:rPr>
        <w:t>）关联受托管理</w:t>
      </w:r>
      <w:r>
        <w:rPr>
          <w:rFonts w:ascii="宋体" w:hAnsi="宋体" w:cs="宋体" w:eastAsia="宋体" w:hint="default"/>
          <w:w w:val="95"/>
        </w:rPr>
        <w:t>/</w:t>
      </w:r>
      <w:r>
        <w:rPr>
          <w:w w:val="95"/>
        </w:rPr>
        <w:t>承包及委托管理</w:t>
      </w:r>
      <w:r>
        <w:rPr>
          <w:rFonts w:ascii="宋体" w:hAnsi="宋体" w:cs="宋体" w:eastAsia="宋体" w:hint="default"/>
          <w:w w:val="95"/>
        </w:rPr>
        <w:t>/</w:t>
      </w:r>
      <w:r>
        <w:rPr>
          <w:w w:val="95"/>
        </w:rPr>
        <w:t>出包情况 </w:t>
      </w:r>
      <w:r>
        <w:rPr>
          <w:spacing w:val="1"/>
          <w:w w:val="95"/>
        </w:rPr>
        <w:t> </w:t>
      </w:r>
      <w:r>
        <w:rPr>
          <w:rFonts w:ascii="宋体" w:hAnsi="宋体" w:cs="宋体" w:eastAsia="宋体" w:hint="default"/>
          <w:b w:val="0"/>
          <w:bCs w:val="0"/>
        </w:rPr>
        <w:t>无</w:t>
      </w:r>
    </w:p>
    <w:p>
      <w:pPr>
        <w:pStyle w:val="Heading2"/>
        <w:spacing w:line="350" w:lineRule="auto" w:before="32"/>
        <w:ind w:left="633" w:right="3930" w:firstLine="2"/>
        <w:jc w:val="left"/>
        <w:rPr>
          <w:rFonts w:ascii="宋体" w:hAnsi="宋体" w:cs="宋体" w:eastAsia="宋体" w:hint="default"/>
          <w:b w:val="0"/>
          <w:bCs w:val="0"/>
        </w:rPr>
      </w:pPr>
      <w:bookmarkStart w:name="（3）关联租赁情况" w:id="481"/>
      <w:bookmarkEnd w:id="481"/>
      <w:r>
        <w:rPr>
          <w:b w:val="0"/>
          <w:bCs w:val="0"/>
        </w:rPr>
      </w:r>
      <w:r>
        <w:rPr/>
        <w:t>（</w:t>
      </w:r>
      <w:r>
        <w:rPr>
          <w:rFonts w:ascii="宋体" w:hAnsi="宋体" w:cs="宋体" w:eastAsia="宋体" w:hint="default"/>
        </w:rPr>
        <w:t>3</w:t>
      </w:r>
      <w:r>
        <w:rPr/>
        <w:t>）关联租赁情况</w:t>
      </w:r>
      <w:r>
        <w:rPr>
          <w:w w:val="99"/>
        </w:rPr>
        <w:t> </w:t>
      </w:r>
      <w:r>
        <w:rPr>
          <w:rFonts w:ascii="宋体" w:hAnsi="宋体" w:cs="宋体" w:eastAsia="宋体" w:hint="default"/>
          <w:b w:val="0"/>
          <w:bCs w:val="0"/>
        </w:rPr>
        <w:t>无</w:t>
      </w:r>
    </w:p>
    <w:p>
      <w:pPr>
        <w:pStyle w:val="Heading2"/>
        <w:spacing w:line="350" w:lineRule="auto" w:before="36"/>
        <w:ind w:left="633" w:right="3930" w:firstLine="2"/>
        <w:jc w:val="left"/>
        <w:rPr>
          <w:rFonts w:ascii="宋体" w:hAnsi="宋体" w:cs="宋体" w:eastAsia="宋体" w:hint="default"/>
          <w:b w:val="0"/>
          <w:bCs w:val="0"/>
        </w:rPr>
      </w:pPr>
      <w:bookmarkStart w:name="（4）关联担保情况" w:id="482"/>
      <w:bookmarkEnd w:id="482"/>
      <w:r>
        <w:rPr>
          <w:b w:val="0"/>
          <w:bCs w:val="0"/>
        </w:rPr>
      </w:r>
      <w:r>
        <w:rPr/>
        <w:t>（</w:t>
      </w:r>
      <w:r>
        <w:rPr>
          <w:rFonts w:ascii="宋体" w:hAnsi="宋体" w:cs="宋体" w:eastAsia="宋体" w:hint="default"/>
        </w:rPr>
        <w:t>4</w:t>
      </w:r>
      <w:r>
        <w:rPr/>
        <w:t>）关联担保情况</w:t>
      </w:r>
      <w:r>
        <w:rPr>
          <w:w w:val="99"/>
        </w:rPr>
        <w:t> </w:t>
      </w:r>
      <w:r>
        <w:rPr>
          <w:rFonts w:ascii="宋体" w:hAnsi="宋体" w:cs="宋体" w:eastAsia="宋体" w:hint="default"/>
          <w:b w:val="0"/>
          <w:bCs w:val="0"/>
        </w:rPr>
        <w:t>无</w:t>
      </w:r>
    </w:p>
    <w:p>
      <w:pPr>
        <w:pStyle w:val="Heading2"/>
        <w:spacing w:line="352" w:lineRule="auto" w:before="35"/>
        <w:ind w:left="633" w:right="3604" w:firstLine="2"/>
        <w:jc w:val="left"/>
        <w:rPr>
          <w:rFonts w:ascii="宋体" w:hAnsi="宋体" w:cs="宋体" w:eastAsia="宋体" w:hint="default"/>
          <w:b w:val="0"/>
          <w:bCs w:val="0"/>
        </w:rPr>
      </w:pPr>
      <w:bookmarkStart w:name="（5）关联方资金拆借" w:id="483"/>
      <w:bookmarkEnd w:id="483"/>
      <w:r>
        <w:rPr>
          <w:b w:val="0"/>
          <w:bCs w:val="0"/>
        </w:rPr>
      </w:r>
      <w:r>
        <w:rPr>
          <w:w w:val="95"/>
        </w:rPr>
        <w:t>（</w:t>
      </w:r>
      <w:r>
        <w:rPr>
          <w:rFonts w:ascii="宋体" w:hAnsi="宋体" w:cs="宋体" w:eastAsia="宋体" w:hint="default"/>
          <w:w w:val="95"/>
        </w:rPr>
        <w:t>5</w:t>
      </w:r>
      <w:r>
        <w:rPr>
          <w:w w:val="95"/>
        </w:rPr>
        <w:t>）关联方资金拆借</w:t>
      </w:r>
      <w:r>
        <w:rPr>
          <w:spacing w:val="-10"/>
          <w:w w:val="95"/>
        </w:rPr>
        <w:t> </w:t>
      </w:r>
      <w:r>
        <w:rPr>
          <w:rFonts w:ascii="宋体" w:hAnsi="宋体" w:cs="宋体" w:eastAsia="宋体" w:hint="default"/>
          <w:b w:val="0"/>
          <w:bCs w:val="0"/>
        </w:rPr>
        <w:t>无</w:t>
      </w:r>
    </w:p>
    <w:p>
      <w:pPr>
        <w:pStyle w:val="Heading2"/>
        <w:spacing w:line="240" w:lineRule="auto" w:before="32"/>
        <w:ind w:right="-20"/>
        <w:jc w:val="left"/>
        <w:rPr>
          <w:b w:val="0"/>
          <w:bCs w:val="0"/>
        </w:rPr>
      </w:pPr>
      <w:bookmarkStart w:name="（6）关联方资产转让、债务重组情况" w:id="484"/>
      <w:bookmarkEnd w:id="484"/>
      <w:r>
        <w:rPr>
          <w:b w:val="0"/>
          <w:bCs w:val="0"/>
        </w:rPr>
      </w:r>
      <w:r>
        <w:rPr/>
        <w:t>（</w:t>
      </w:r>
      <w:r>
        <w:rPr>
          <w:rFonts w:ascii="宋体" w:hAnsi="宋体" w:cs="宋体" w:eastAsia="宋体" w:hint="default"/>
        </w:rPr>
        <w:t>6</w:t>
      </w:r>
      <w:r>
        <w:rPr/>
        <w:t>）关联方资产转让、债务重组情况</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27"/>
          <w:szCs w:val="27"/>
        </w:rPr>
      </w:pPr>
    </w:p>
    <w:p>
      <w:pPr>
        <w:spacing w:before="0"/>
        <w:ind w:left="153" w:right="0" w:firstLine="0"/>
        <w:jc w:val="left"/>
        <w:rPr>
          <w:rFonts w:ascii="宋体" w:hAnsi="宋体" w:cs="宋体" w:eastAsia="宋体" w:hint="default"/>
          <w:sz w:val="21"/>
          <w:szCs w:val="21"/>
        </w:rPr>
      </w:pPr>
      <w:r>
        <w:rPr>
          <w:rFonts w:ascii="宋体" w:hAnsi="宋体" w:cs="宋体" w:eastAsia="宋体" w:hint="default"/>
          <w:sz w:val="21"/>
          <w:szCs w:val="21"/>
        </w:rPr>
        <w:t>单位： 元</w:t>
      </w:r>
    </w:p>
    <w:p>
      <w:pPr>
        <w:spacing w:after="0"/>
        <w:jc w:val="left"/>
        <w:rPr>
          <w:rFonts w:ascii="宋体" w:hAnsi="宋体" w:cs="宋体" w:eastAsia="宋体" w:hint="default"/>
          <w:sz w:val="21"/>
          <w:szCs w:val="21"/>
        </w:rPr>
        <w:sectPr>
          <w:type w:val="continuous"/>
          <w:pgSz w:w="11910" w:h="16840"/>
          <w:pgMar w:top="1060" w:bottom="1160" w:left="980" w:right="0"/>
          <w:cols w:num="2" w:equalWidth="0">
            <w:col w:w="6635" w:space="2061"/>
            <w:col w:w="2234"/>
          </w:cols>
        </w:sectPr>
      </w:pP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关联方</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561" w:right="0"/>
              <w:jc w:val="left"/>
              <w:rPr>
                <w:rFonts w:ascii="宋体" w:hAnsi="宋体" w:cs="宋体" w:eastAsia="宋体" w:hint="default"/>
                <w:sz w:val="21"/>
                <w:szCs w:val="21"/>
              </w:rPr>
            </w:pPr>
            <w:r>
              <w:rPr>
                <w:rFonts w:ascii="宋体" w:hAnsi="宋体" w:cs="宋体" w:eastAsia="宋体" w:hint="default"/>
                <w:sz w:val="21"/>
                <w:szCs w:val="21"/>
              </w:rPr>
              <w:t>关联交易内容</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665"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666"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bl>
    <w:p>
      <w:pPr>
        <w:spacing w:line="240" w:lineRule="auto" w:before="10"/>
        <w:rPr>
          <w:rFonts w:ascii="宋体" w:hAnsi="宋体" w:cs="宋体" w:eastAsia="宋体" w:hint="default"/>
          <w:sz w:val="4"/>
          <w:szCs w:val="4"/>
        </w:rPr>
      </w:pPr>
    </w:p>
    <w:p>
      <w:pPr>
        <w:spacing w:after="0" w:line="240" w:lineRule="auto"/>
        <w:rPr>
          <w:rFonts w:ascii="宋体" w:hAnsi="宋体" w:cs="宋体" w:eastAsia="宋体" w:hint="default"/>
          <w:sz w:val="4"/>
          <w:szCs w:val="4"/>
        </w:rPr>
        <w:sectPr>
          <w:type w:val="continuous"/>
          <w:pgSz w:w="11910" w:h="16840"/>
          <w:pgMar w:top="1060" w:bottom="1160" w:left="980" w:right="0"/>
        </w:sectPr>
      </w:pPr>
    </w:p>
    <w:p>
      <w:pPr>
        <w:pStyle w:val="Heading2"/>
        <w:spacing w:line="240" w:lineRule="auto"/>
        <w:ind w:right="0"/>
        <w:jc w:val="left"/>
        <w:rPr>
          <w:b w:val="0"/>
          <w:bCs w:val="0"/>
        </w:rPr>
      </w:pPr>
      <w:bookmarkStart w:name="（7）关键管理人员报酬" w:id="485"/>
      <w:bookmarkEnd w:id="485"/>
      <w:r>
        <w:rPr>
          <w:b w:val="0"/>
          <w:bCs w:val="0"/>
        </w:rPr>
      </w:r>
      <w:r>
        <w:rPr>
          <w:w w:val="95"/>
        </w:rPr>
        <w:t>（</w:t>
      </w:r>
      <w:r>
        <w:rPr>
          <w:rFonts w:ascii="宋体" w:hAnsi="宋体" w:cs="宋体" w:eastAsia="宋体" w:hint="default"/>
          <w:w w:val="95"/>
        </w:rPr>
        <w:t>7</w:t>
      </w:r>
      <w:r>
        <w:rPr>
          <w:w w:val="95"/>
        </w:rPr>
        <w:t>）关键管理人员报酬</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before="163"/>
        <w:ind w:left="636" w:right="0" w:firstLine="0"/>
        <w:jc w:val="left"/>
        <w:rPr>
          <w:rFonts w:ascii="宋体" w:hAnsi="宋体" w:cs="宋体" w:eastAsia="宋体" w:hint="default"/>
          <w:sz w:val="21"/>
          <w:szCs w:val="21"/>
        </w:rPr>
      </w:pPr>
      <w:r>
        <w:rPr>
          <w:rFonts w:ascii="宋体" w:hAnsi="宋体" w:cs="宋体" w:eastAsia="宋体" w:hint="default"/>
          <w:sz w:val="21"/>
          <w:szCs w:val="21"/>
        </w:rPr>
        <w:t>单位： 元</w:t>
      </w:r>
    </w:p>
    <w:p>
      <w:pPr>
        <w:spacing w:after="0"/>
        <w:jc w:val="left"/>
        <w:rPr>
          <w:rFonts w:ascii="宋体" w:hAnsi="宋体" w:cs="宋体" w:eastAsia="宋体" w:hint="default"/>
          <w:sz w:val="21"/>
          <w:szCs w:val="21"/>
        </w:rPr>
        <w:sectPr>
          <w:type w:val="continuous"/>
          <w:pgSz w:w="11910" w:h="16840"/>
          <w:pgMar w:top="1060" w:bottom="1160" w:left="980" w:right="0"/>
          <w:cols w:num="2" w:equalWidth="0">
            <w:col w:w="3165" w:space="5047"/>
            <w:col w:w="2718"/>
          </w:cols>
        </w:sectPr>
      </w:pP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1"/>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关键管理人员薪酬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898" w:right="0"/>
              <w:jc w:val="left"/>
              <w:rPr>
                <w:rFonts w:ascii="宋体" w:hAnsi="宋体" w:cs="宋体" w:eastAsia="宋体" w:hint="default"/>
                <w:sz w:val="21"/>
                <w:szCs w:val="21"/>
              </w:rPr>
            </w:pPr>
            <w:r>
              <w:rPr>
                <w:rFonts w:ascii="宋体"/>
                <w:sz w:val="21"/>
              </w:rPr>
              <w:t>2,919,100.00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900" w:right="0"/>
              <w:jc w:val="left"/>
              <w:rPr>
                <w:rFonts w:ascii="宋体" w:hAnsi="宋体" w:cs="宋体" w:eastAsia="宋体" w:hint="default"/>
                <w:sz w:val="21"/>
                <w:szCs w:val="21"/>
              </w:rPr>
            </w:pPr>
            <w:r>
              <w:rPr>
                <w:rFonts w:ascii="宋体"/>
                <w:sz w:val="21"/>
              </w:rPr>
              <w:t>3,416,400.00</w:t>
            </w:r>
          </w:p>
        </w:tc>
      </w:tr>
    </w:tbl>
    <w:p>
      <w:pPr>
        <w:spacing w:line="240" w:lineRule="auto" w:before="10"/>
        <w:rPr>
          <w:rFonts w:ascii="宋体" w:hAnsi="宋体" w:cs="宋体" w:eastAsia="宋体" w:hint="default"/>
          <w:sz w:val="4"/>
          <w:szCs w:val="4"/>
        </w:rPr>
      </w:pPr>
    </w:p>
    <w:p>
      <w:pPr>
        <w:spacing w:line="350" w:lineRule="auto" w:before="26"/>
        <w:ind w:left="633" w:right="1153" w:firstLine="2"/>
        <w:jc w:val="left"/>
        <w:rPr>
          <w:rFonts w:ascii="宋体" w:hAnsi="宋体" w:cs="宋体" w:eastAsia="宋体" w:hint="default"/>
          <w:sz w:val="24"/>
          <w:szCs w:val="24"/>
        </w:rPr>
      </w:pPr>
      <w:bookmarkStart w:name="（8）其他关联交易" w:id="486"/>
      <w:bookmarkEnd w:id="486"/>
      <w:r>
        <w:rPr/>
      </w:r>
      <w:r>
        <w:rPr>
          <w:rFonts w:ascii="宋体" w:hAnsi="宋体" w:cs="宋体" w:eastAsia="宋体" w:hint="default"/>
          <w:b/>
          <w:bCs/>
          <w:sz w:val="24"/>
          <w:szCs w:val="24"/>
        </w:rPr>
        <w:t>（</w:t>
      </w:r>
      <w:r>
        <w:rPr>
          <w:rFonts w:ascii="宋体" w:hAnsi="宋体" w:cs="宋体" w:eastAsia="宋体" w:hint="default"/>
          <w:b/>
          <w:bCs/>
          <w:sz w:val="24"/>
          <w:szCs w:val="24"/>
        </w:rPr>
        <w:t>8</w:t>
      </w:r>
      <w:r>
        <w:rPr>
          <w:rFonts w:ascii="宋体" w:hAnsi="宋体" w:cs="宋体" w:eastAsia="宋体" w:hint="default"/>
          <w:b/>
          <w:bCs/>
          <w:sz w:val="24"/>
          <w:szCs w:val="24"/>
        </w:rPr>
        <w:t>）其他关联交易</w:t>
      </w:r>
      <w:r>
        <w:rPr>
          <w:rFonts w:ascii="宋体" w:hAnsi="宋体" w:cs="宋体" w:eastAsia="宋体" w:hint="default"/>
          <w:b/>
          <w:bCs/>
          <w:spacing w:val="1"/>
          <w:w w:val="99"/>
          <w:sz w:val="24"/>
          <w:szCs w:val="24"/>
        </w:rPr>
        <w:t> </w:t>
      </w:r>
      <w:r>
        <w:rPr>
          <w:rFonts w:ascii="宋体" w:hAnsi="宋体" w:cs="宋体" w:eastAsia="宋体" w:hint="default"/>
          <w:sz w:val="24"/>
          <w:szCs w:val="24"/>
        </w:rPr>
        <w:t>存在控制关系且已纳入本公司合并财务报表范围的子公司，其相互间交易及母子公司交</w:t>
      </w:r>
    </w:p>
    <w:p>
      <w:pPr>
        <w:pStyle w:val="BodyText"/>
        <w:spacing w:line="240" w:lineRule="auto" w:before="35"/>
        <w:ind w:right="996"/>
        <w:jc w:val="left"/>
      </w:pPr>
      <w:r>
        <w:rPr/>
        <w:t>易已作抵销。</w:t>
      </w:r>
    </w:p>
    <w:p>
      <w:pPr>
        <w:pStyle w:val="Heading2"/>
        <w:spacing w:line="240" w:lineRule="auto" w:before="146"/>
        <w:ind w:right="996"/>
        <w:jc w:val="left"/>
        <w:rPr>
          <w:b w:val="0"/>
          <w:bCs w:val="0"/>
        </w:rPr>
      </w:pPr>
      <w:bookmarkStart w:name="6、关联方应收应付款项" w:id="487"/>
      <w:bookmarkEnd w:id="487"/>
      <w:r>
        <w:rPr>
          <w:b w:val="0"/>
          <w:bCs w:val="0"/>
        </w:rPr>
      </w:r>
      <w:r>
        <w:rPr>
          <w:rFonts w:ascii="宋体" w:hAnsi="宋体" w:cs="宋体" w:eastAsia="宋体" w:hint="default"/>
        </w:rPr>
        <w:t>6</w:t>
      </w:r>
      <w:r>
        <w:rPr/>
        <w:t>、关联方应收应付款项</w:t>
      </w:r>
      <w:r>
        <w:rPr>
          <w:b w:val="0"/>
          <w:bCs w:val="0"/>
        </w:rPr>
      </w:r>
    </w:p>
    <w:p>
      <w:pPr>
        <w:pStyle w:val="Heading2"/>
        <w:spacing w:line="350" w:lineRule="auto" w:before="145"/>
        <w:ind w:left="633" w:right="8704" w:firstLine="2"/>
        <w:jc w:val="left"/>
        <w:rPr>
          <w:rFonts w:ascii="宋体" w:hAnsi="宋体" w:cs="宋体" w:eastAsia="宋体" w:hint="default"/>
          <w:b w:val="0"/>
          <w:bCs w:val="0"/>
        </w:rPr>
      </w:pPr>
      <w:bookmarkStart w:name="（1）应收项目" w:id="488"/>
      <w:bookmarkEnd w:id="488"/>
      <w:r>
        <w:rPr>
          <w:b w:val="0"/>
          <w:bCs w:val="0"/>
        </w:rPr>
      </w:r>
      <w:r>
        <w:rPr/>
        <w:t>（</w:t>
      </w:r>
      <w:r>
        <w:rPr>
          <w:rFonts w:ascii="宋体" w:hAnsi="宋体" w:cs="宋体" w:eastAsia="宋体" w:hint="default"/>
        </w:rPr>
        <w:t>1</w:t>
      </w:r>
      <w:r>
        <w:rPr/>
        <w:t>）应收项目</w:t>
      </w:r>
      <w:r>
        <w:rPr>
          <w:w w:val="99"/>
        </w:rPr>
        <w:t> </w:t>
      </w:r>
      <w:r>
        <w:rPr>
          <w:rFonts w:ascii="宋体" w:hAnsi="宋体" w:cs="宋体" w:eastAsia="宋体" w:hint="default"/>
          <w:b w:val="0"/>
          <w:bCs w:val="0"/>
        </w:rPr>
        <w:t>无</w:t>
      </w:r>
    </w:p>
    <w:p>
      <w:pPr>
        <w:pStyle w:val="Heading2"/>
        <w:spacing w:line="350" w:lineRule="auto" w:before="36"/>
        <w:ind w:left="633" w:right="8704" w:firstLine="2"/>
        <w:jc w:val="left"/>
        <w:rPr>
          <w:b w:val="0"/>
          <w:bCs w:val="0"/>
        </w:rPr>
      </w:pPr>
      <w:bookmarkStart w:name="（2）应付项目" w:id="489"/>
      <w:bookmarkEnd w:id="489"/>
      <w:r>
        <w:rPr>
          <w:b w:val="0"/>
          <w:bCs w:val="0"/>
        </w:rPr>
      </w:r>
      <w:r>
        <w:rPr/>
        <w:t>（</w:t>
      </w:r>
      <w:r>
        <w:rPr>
          <w:rFonts w:ascii="宋体" w:hAnsi="宋体" w:cs="宋体" w:eastAsia="宋体" w:hint="default"/>
        </w:rPr>
        <w:t>2</w:t>
      </w:r>
      <w:r>
        <w:rPr/>
        <w:t>）应付项目</w:t>
      </w:r>
      <w:r>
        <w:rPr>
          <w:w w:val="99"/>
        </w:rPr>
        <w:t> </w:t>
      </w:r>
      <w:r>
        <w:rPr>
          <w:rFonts w:ascii="宋体" w:hAnsi="宋体" w:cs="宋体" w:eastAsia="宋体" w:hint="default"/>
          <w:b w:val="0"/>
          <w:bCs w:val="0"/>
        </w:rPr>
        <w:t>无 </w:t>
      </w:r>
      <w:bookmarkStart w:name="7、关联方承诺" w:id="490"/>
      <w:bookmarkEnd w:id="490"/>
      <w:r>
        <w:rPr>
          <w:rFonts w:ascii="宋体" w:hAnsi="宋体" w:cs="宋体" w:eastAsia="宋体" w:hint="default"/>
          <w:b w:val="0"/>
          <w:bCs w:val="0"/>
        </w:rPr>
      </w:r>
      <w:r>
        <w:rPr>
          <w:rFonts w:ascii="宋体" w:hAnsi="宋体" w:cs="宋体" w:eastAsia="宋体" w:hint="default"/>
        </w:rPr>
        <w:t>7</w:t>
      </w:r>
      <w:r>
        <w:rPr/>
        <w:t>、关联方承诺</w:t>
      </w:r>
      <w:r>
        <w:rPr>
          <w:b w:val="0"/>
          <w:bCs w:val="0"/>
        </w:rPr>
      </w:r>
    </w:p>
    <w:p>
      <w:pPr>
        <w:pStyle w:val="BodyText"/>
        <w:spacing w:line="350" w:lineRule="auto"/>
        <w:ind w:right="1153" w:firstLine="480"/>
        <w:jc w:val="left"/>
      </w:pPr>
      <w:r>
        <w:rPr/>
        <w:t>西南交大驱动承诺其</w:t>
      </w:r>
      <w:r>
        <w:rPr>
          <w:rFonts w:ascii="宋体" w:hAnsi="宋体" w:cs="宋体" w:eastAsia="宋体" w:hint="default"/>
        </w:rPr>
        <w:t>2017</w:t>
      </w:r>
      <w:r>
        <w:rPr/>
        <w:t>年度和</w:t>
      </w:r>
      <w:r>
        <w:rPr>
          <w:rFonts w:ascii="宋体" w:hAnsi="宋体" w:cs="宋体" w:eastAsia="宋体" w:hint="default"/>
        </w:rPr>
        <w:t>2018</w:t>
      </w:r>
      <w:r>
        <w:rPr/>
        <w:t>年度的净利润不低于</w:t>
      </w:r>
      <w:r>
        <w:rPr>
          <w:rFonts w:ascii="宋体" w:hAnsi="宋体" w:cs="宋体" w:eastAsia="宋体" w:hint="default"/>
        </w:rPr>
        <w:t>1,107</w:t>
      </w:r>
      <w:r>
        <w:rPr/>
        <w:t>万元、</w:t>
      </w:r>
      <w:r>
        <w:rPr>
          <w:rFonts w:ascii="宋体" w:hAnsi="宋体" w:cs="宋体" w:eastAsia="宋体" w:hint="default"/>
        </w:rPr>
        <w:t>1,439</w:t>
      </w:r>
      <w:r>
        <w:rPr/>
        <w:t>万元，在补 偿期内某一年度当期期末实际净利润低于当期期末承诺净利润，将以现金方式向辉煌科技进</w:t>
      </w:r>
    </w:p>
    <w:p>
      <w:pPr>
        <w:spacing w:after="0" w:line="350" w:lineRule="auto"/>
        <w:jc w:val="left"/>
        <w:sectPr>
          <w:type w:val="continuous"/>
          <w:pgSz w:w="11910" w:h="16840"/>
          <w:pgMar w:top="1060" w:bottom="1160" w:left="980" w:right="0"/>
        </w:sectPr>
      </w:pPr>
    </w:p>
    <w:p>
      <w:pPr>
        <w:spacing w:line="240" w:lineRule="auto" w:before="0"/>
        <w:rPr>
          <w:rFonts w:ascii="宋体" w:hAnsi="宋体" w:cs="宋体" w:eastAsia="宋体" w:hint="default"/>
          <w:sz w:val="20"/>
          <w:szCs w:val="20"/>
        </w:rPr>
      </w:pPr>
    </w:p>
    <w:p>
      <w:pPr>
        <w:pStyle w:val="BodyText"/>
        <w:spacing w:line="240" w:lineRule="auto" w:before="199"/>
        <w:ind w:right="996"/>
        <w:jc w:val="left"/>
      </w:pPr>
      <w:r>
        <w:rPr/>
        <w:t>行业绩补偿。</w:t>
      </w:r>
    </w:p>
    <w:p>
      <w:pPr>
        <w:pStyle w:val="Heading2"/>
        <w:spacing w:line="240" w:lineRule="auto" w:before="145"/>
        <w:ind w:right="996"/>
        <w:jc w:val="left"/>
        <w:rPr>
          <w:b w:val="0"/>
          <w:bCs w:val="0"/>
        </w:rPr>
      </w:pPr>
      <w:bookmarkStart w:name="8、其他" w:id="491"/>
      <w:bookmarkEnd w:id="491"/>
      <w:r>
        <w:rPr>
          <w:b w:val="0"/>
          <w:bCs w:val="0"/>
        </w:rPr>
      </w:r>
      <w:r>
        <w:rPr>
          <w:rFonts w:ascii="宋体" w:hAnsi="宋体" w:cs="宋体" w:eastAsia="宋体" w:hint="default"/>
        </w:rPr>
        <w:t>8</w:t>
      </w:r>
      <w:r>
        <w:rPr/>
        <w:t>、其他</w:t>
      </w:r>
      <w:r>
        <w:rPr>
          <w:b w:val="0"/>
          <w:bCs w:val="0"/>
        </w:rPr>
      </w:r>
    </w:p>
    <w:p>
      <w:pPr>
        <w:spacing w:before="163"/>
        <w:ind w:left="1000" w:right="996"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1</w:t>
      </w:r>
      <w:r>
        <w:rPr>
          <w:rFonts w:ascii="宋体" w:hAnsi="宋体" w:cs="宋体" w:eastAsia="宋体" w:hint="default"/>
          <w:b/>
          <w:bCs/>
          <w:sz w:val="21"/>
          <w:szCs w:val="21"/>
        </w:rPr>
        <w:t>）关联关系：持股</w:t>
      </w:r>
      <w:r>
        <w:rPr>
          <w:rFonts w:ascii="宋体" w:hAnsi="宋体" w:cs="宋体" w:eastAsia="宋体" w:hint="default"/>
          <w:b/>
          <w:bCs/>
          <w:sz w:val="21"/>
          <w:szCs w:val="21"/>
        </w:rPr>
        <w:t>5%</w:t>
      </w:r>
      <w:r>
        <w:rPr>
          <w:rFonts w:ascii="宋体" w:hAnsi="宋体" w:cs="宋体" w:eastAsia="宋体" w:hint="default"/>
          <w:b/>
          <w:bCs/>
          <w:sz w:val="21"/>
          <w:szCs w:val="21"/>
        </w:rPr>
        <w:t>以上的自然人股东情况</w:t>
      </w:r>
      <w:r>
        <w:rPr>
          <w:rFonts w:ascii="宋体" w:hAnsi="宋体" w:cs="宋体" w:eastAsia="宋体" w:hint="default"/>
          <w:sz w:val="21"/>
          <w:szCs w:val="21"/>
        </w:rPr>
      </w:r>
    </w:p>
    <w:p>
      <w:pPr>
        <w:spacing w:line="240" w:lineRule="auto" w:before="13"/>
        <w:rPr>
          <w:rFonts w:ascii="宋体" w:hAnsi="宋体" w:cs="宋体" w:eastAsia="宋体" w:hint="default"/>
          <w:b/>
          <w:bCs/>
          <w:sz w:val="3"/>
          <w:szCs w:val="3"/>
        </w:rPr>
      </w:pPr>
    </w:p>
    <w:tbl>
      <w:tblPr>
        <w:tblW w:w="0" w:type="auto"/>
        <w:jc w:val="left"/>
        <w:tblInd w:w="149" w:type="dxa"/>
        <w:tblLayout w:type="fixed"/>
        <w:tblCellMar>
          <w:top w:w="0" w:type="dxa"/>
          <w:left w:w="0" w:type="dxa"/>
          <w:bottom w:w="0" w:type="dxa"/>
          <w:right w:w="0" w:type="dxa"/>
        </w:tblCellMar>
        <w:tblLook w:val="01E0"/>
      </w:tblPr>
      <w:tblGrid>
        <w:gridCol w:w="1634"/>
        <w:gridCol w:w="1712"/>
        <w:gridCol w:w="2184"/>
        <w:gridCol w:w="1842"/>
        <w:gridCol w:w="2126"/>
      </w:tblGrid>
      <w:tr>
        <w:trPr>
          <w:trHeight w:val="342" w:hRule="exact"/>
        </w:trPr>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1"/>
              <w:jc w:val="center"/>
              <w:rPr>
                <w:rFonts w:ascii="宋体" w:hAnsi="宋体" w:cs="宋体" w:eastAsia="宋体" w:hint="default"/>
                <w:sz w:val="21"/>
                <w:szCs w:val="21"/>
              </w:rPr>
            </w:pPr>
            <w:r>
              <w:rPr>
                <w:rFonts w:ascii="宋体" w:hAnsi="宋体" w:cs="宋体" w:eastAsia="宋体" w:hint="default"/>
                <w:sz w:val="21"/>
                <w:szCs w:val="21"/>
              </w:rPr>
              <w:t>股东名称</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1"/>
              <w:jc w:val="center"/>
              <w:rPr>
                <w:rFonts w:ascii="宋体" w:hAnsi="宋体" w:cs="宋体" w:eastAsia="宋体" w:hint="default"/>
                <w:sz w:val="21"/>
                <w:szCs w:val="21"/>
              </w:rPr>
            </w:pPr>
            <w:r>
              <w:rPr>
                <w:rFonts w:ascii="宋体" w:hAnsi="宋体" w:cs="宋体" w:eastAsia="宋体" w:hint="default"/>
                <w:sz w:val="21"/>
                <w:szCs w:val="21"/>
              </w:rPr>
              <w:t>性质</w:t>
            </w:r>
          </w:p>
        </w:tc>
        <w:tc>
          <w:tcPr>
            <w:tcW w:w="2184"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1"/>
              <w:jc w:val="center"/>
              <w:rPr>
                <w:rFonts w:ascii="宋体" w:hAnsi="宋体" w:cs="宋体" w:eastAsia="宋体" w:hint="default"/>
                <w:sz w:val="21"/>
                <w:szCs w:val="21"/>
              </w:rPr>
            </w:pPr>
            <w:r>
              <w:rPr>
                <w:rFonts w:ascii="宋体" w:hAnsi="宋体" w:cs="宋体" w:eastAsia="宋体" w:hint="default"/>
                <w:sz w:val="21"/>
                <w:szCs w:val="21"/>
              </w:rPr>
              <w:t>持股总数</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0"/>
              <w:jc w:val="center"/>
              <w:rPr>
                <w:rFonts w:ascii="宋体" w:hAnsi="宋体" w:cs="宋体" w:eastAsia="宋体" w:hint="default"/>
                <w:sz w:val="21"/>
                <w:szCs w:val="21"/>
              </w:rPr>
            </w:pPr>
            <w:r>
              <w:rPr>
                <w:rFonts w:ascii="宋体" w:hAnsi="宋体" w:cs="宋体" w:eastAsia="宋体" w:hint="default"/>
                <w:sz w:val="21"/>
                <w:szCs w:val="21"/>
              </w:rPr>
              <w:t>持股比例（</w:t>
            </w:r>
            <w:r>
              <w:rPr>
                <w:rFonts w:ascii="宋体" w:hAnsi="宋体" w:cs="宋体" w:eastAsia="宋体" w:hint="default"/>
                <w:sz w:val="21"/>
                <w:szCs w:val="21"/>
              </w:rPr>
              <w:t>%</w:t>
            </w:r>
            <w:r>
              <w:rPr>
                <w:rFonts w:ascii="宋体" w:hAnsi="宋体" w:cs="宋体" w:eastAsia="宋体" w:hint="default"/>
                <w:sz w:val="21"/>
                <w:szCs w:val="21"/>
              </w:rPr>
              <w:t>）</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1" w:right="0"/>
              <w:jc w:val="center"/>
              <w:rPr>
                <w:rFonts w:ascii="宋体" w:hAnsi="宋体" w:cs="宋体" w:eastAsia="宋体" w:hint="default"/>
                <w:sz w:val="21"/>
                <w:szCs w:val="21"/>
              </w:rPr>
            </w:pPr>
            <w:r>
              <w:rPr>
                <w:rFonts w:ascii="宋体" w:hAnsi="宋体" w:cs="宋体" w:eastAsia="宋体" w:hint="default"/>
                <w:sz w:val="21"/>
                <w:szCs w:val="21"/>
              </w:rPr>
              <w:t>表决权比例（</w:t>
            </w:r>
            <w:r>
              <w:rPr>
                <w:rFonts w:ascii="宋体" w:hAnsi="宋体" w:cs="宋体" w:eastAsia="宋体" w:hint="default"/>
                <w:sz w:val="21"/>
                <w:szCs w:val="21"/>
              </w:rPr>
              <w:t>%</w:t>
            </w:r>
            <w:r>
              <w:rPr>
                <w:rFonts w:ascii="宋体" w:hAnsi="宋体" w:cs="宋体" w:eastAsia="宋体" w:hint="default"/>
                <w:sz w:val="21"/>
                <w:szCs w:val="21"/>
              </w:rPr>
              <w:t>）</w:t>
            </w:r>
          </w:p>
        </w:tc>
      </w:tr>
      <w:tr>
        <w:trPr>
          <w:trHeight w:val="342" w:hRule="exact"/>
        </w:trPr>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1"/>
              <w:jc w:val="center"/>
              <w:rPr>
                <w:rFonts w:ascii="宋体" w:hAnsi="宋体" w:cs="宋体" w:eastAsia="宋体" w:hint="default"/>
                <w:sz w:val="21"/>
                <w:szCs w:val="21"/>
              </w:rPr>
            </w:pPr>
            <w:r>
              <w:rPr>
                <w:rFonts w:ascii="宋体" w:hAnsi="宋体" w:cs="宋体" w:eastAsia="宋体" w:hint="default"/>
                <w:sz w:val="21"/>
                <w:szCs w:val="21"/>
              </w:rPr>
              <w:t>李海鹰</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0"/>
              <w:jc w:val="center"/>
              <w:rPr>
                <w:rFonts w:ascii="宋体" w:hAnsi="宋体" w:cs="宋体" w:eastAsia="宋体" w:hint="default"/>
                <w:sz w:val="21"/>
                <w:szCs w:val="21"/>
              </w:rPr>
            </w:pPr>
            <w:r>
              <w:rPr>
                <w:rFonts w:ascii="宋体" w:hAnsi="宋体" w:cs="宋体" w:eastAsia="宋体" w:hint="default"/>
                <w:sz w:val="21"/>
                <w:szCs w:val="21"/>
              </w:rPr>
              <w:t>自然人</w:t>
            </w:r>
          </w:p>
        </w:tc>
        <w:tc>
          <w:tcPr>
            <w:tcW w:w="2184"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0"/>
              <w:jc w:val="center"/>
              <w:rPr>
                <w:rFonts w:ascii="宋体" w:hAnsi="宋体" w:cs="宋体" w:eastAsia="宋体" w:hint="default"/>
                <w:sz w:val="21"/>
                <w:szCs w:val="21"/>
              </w:rPr>
            </w:pPr>
            <w:r>
              <w:rPr>
                <w:rFonts w:ascii="宋体"/>
                <w:sz w:val="21"/>
              </w:rPr>
              <w:t>47,492,300.00</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0"/>
              <w:jc w:val="center"/>
              <w:rPr>
                <w:rFonts w:ascii="宋体" w:hAnsi="宋体" w:cs="宋体" w:eastAsia="宋体" w:hint="default"/>
                <w:sz w:val="21"/>
                <w:szCs w:val="21"/>
              </w:rPr>
            </w:pPr>
            <w:r>
              <w:rPr>
                <w:rFonts w:ascii="宋体"/>
                <w:sz w:val="21"/>
              </w:rPr>
              <w:t>12.61</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0"/>
              <w:jc w:val="center"/>
              <w:rPr>
                <w:rFonts w:ascii="宋体" w:hAnsi="宋体" w:cs="宋体" w:eastAsia="宋体" w:hint="default"/>
                <w:sz w:val="21"/>
                <w:szCs w:val="21"/>
              </w:rPr>
            </w:pPr>
            <w:r>
              <w:rPr>
                <w:rFonts w:ascii="宋体"/>
                <w:sz w:val="21"/>
              </w:rPr>
              <w:t>12.61</w:t>
            </w:r>
          </w:p>
        </w:tc>
      </w:tr>
      <w:tr>
        <w:trPr>
          <w:trHeight w:val="342" w:hRule="exact"/>
        </w:trPr>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1"/>
              <w:jc w:val="center"/>
              <w:rPr>
                <w:rFonts w:ascii="宋体" w:hAnsi="宋体" w:cs="宋体" w:eastAsia="宋体" w:hint="default"/>
                <w:sz w:val="21"/>
                <w:szCs w:val="21"/>
              </w:rPr>
            </w:pPr>
            <w:r>
              <w:rPr>
                <w:rFonts w:ascii="宋体" w:hAnsi="宋体" w:cs="宋体" w:eastAsia="宋体" w:hint="default"/>
                <w:sz w:val="21"/>
                <w:szCs w:val="21"/>
              </w:rPr>
              <w:t>谢春生</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0"/>
              <w:jc w:val="center"/>
              <w:rPr>
                <w:rFonts w:ascii="宋体" w:hAnsi="宋体" w:cs="宋体" w:eastAsia="宋体" w:hint="default"/>
                <w:sz w:val="21"/>
                <w:szCs w:val="21"/>
              </w:rPr>
            </w:pPr>
            <w:r>
              <w:rPr>
                <w:rFonts w:ascii="宋体" w:hAnsi="宋体" w:cs="宋体" w:eastAsia="宋体" w:hint="default"/>
                <w:sz w:val="21"/>
                <w:szCs w:val="21"/>
              </w:rPr>
              <w:t>自然人</w:t>
            </w:r>
          </w:p>
        </w:tc>
        <w:tc>
          <w:tcPr>
            <w:tcW w:w="2184"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0"/>
              <w:jc w:val="center"/>
              <w:rPr>
                <w:rFonts w:ascii="宋体" w:hAnsi="宋体" w:cs="宋体" w:eastAsia="宋体" w:hint="default"/>
                <w:sz w:val="21"/>
                <w:szCs w:val="21"/>
              </w:rPr>
            </w:pPr>
            <w:r>
              <w:rPr>
                <w:rFonts w:ascii="宋体"/>
                <w:sz w:val="21"/>
              </w:rPr>
              <w:t>22,168,000.00</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1"/>
              <w:jc w:val="center"/>
              <w:rPr>
                <w:rFonts w:ascii="宋体" w:hAnsi="宋体" w:cs="宋体" w:eastAsia="宋体" w:hint="default"/>
                <w:sz w:val="21"/>
                <w:szCs w:val="21"/>
              </w:rPr>
            </w:pPr>
            <w:r>
              <w:rPr>
                <w:rFonts w:ascii="宋体"/>
                <w:sz w:val="21"/>
              </w:rPr>
              <w:t>5.89</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0"/>
              <w:jc w:val="center"/>
              <w:rPr>
                <w:rFonts w:ascii="宋体" w:hAnsi="宋体" w:cs="宋体" w:eastAsia="宋体" w:hint="default"/>
                <w:sz w:val="21"/>
                <w:szCs w:val="21"/>
              </w:rPr>
            </w:pPr>
            <w:r>
              <w:rPr>
                <w:rFonts w:ascii="宋体"/>
                <w:sz w:val="21"/>
              </w:rPr>
              <w:t>5.89</w:t>
            </w:r>
          </w:p>
        </w:tc>
      </w:tr>
    </w:tbl>
    <w:p>
      <w:pPr>
        <w:spacing w:line="240" w:lineRule="auto" w:before="2"/>
        <w:rPr>
          <w:rFonts w:ascii="宋体" w:hAnsi="宋体" w:cs="宋体" w:eastAsia="宋体" w:hint="default"/>
          <w:b/>
          <w:bCs/>
          <w:sz w:val="18"/>
          <w:szCs w:val="18"/>
        </w:rPr>
      </w:pPr>
    </w:p>
    <w:p>
      <w:pPr>
        <w:pStyle w:val="Heading2"/>
        <w:spacing w:line="240" w:lineRule="auto"/>
        <w:ind w:left="154" w:right="996"/>
        <w:jc w:val="left"/>
        <w:rPr>
          <w:b w:val="0"/>
          <w:bCs w:val="0"/>
        </w:rPr>
      </w:pPr>
      <w:bookmarkStart w:name="十三、股份支付" w:id="492"/>
      <w:bookmarkEnd w:id="492"/>
      <w:r>
        <w:rPr>
          <w:b w:val="0"/>
          <w:bCs w:val="0"/>
        </w:rPr>
      </w:r>
      <w:r>
        <w:rPr/>
        <w:t>十三、股份支付</w:t>
      </w:r>
      <w:r>
        <w:rPr>
          <w:b w:val="0"/>
          <w:bCs w:val="0"/>
        </w:rPr>
      </w:r>
    </w:p>
    <w:p>
      <w:pPr>
        <w:spacing w:line="240" w:lineRule="auto" w:before="5"/>
        <w:rPr>
          <w:rFonts w:ascii="宋体" w:hAnsi="宋体" w:cs="宋体" w:eastAsia="宋体" w:hint="default"/>
          <w:b/>
          <w:bCs/>
          <w:sz w:val="32"/>
          <w:szCs w:val="32"/>
        </w:rPr>
      </w:pPr>
    </w:p>
    <w:p>
      <w:pPr>
        <w:pStyle w:val="Heading2"/>
        <w:spacing w:line="240" w:lineRule="auto" w:before="0"/>
        <w:ind w:right="996"/>
        <w:jc w:val="left"/>
        <w:rPr>
          <w:b w:val="0"/>
          <w:bCs w:val="0"/>
        </w:rPr>
      </w:pPr>
      <w:bookmarkStart w:name="1、股份支付总体情况" w:id="493"/>
      <w:bookmarkEnd w:id="493"/>
      <w:r>
        <w:rPr>
          <w:b w:val="0"/>
          <w:bCs w:val="0"/>
        </w:rPr>
      </w:r>
      <w:r>
        <w:rPr>
          <w:rFonts w:ascii="宋体" w:hAnsi="宋体" w:cs="宋体" w:eastAsia="宋体" w:hint="default"/>
        </w:rPr>
        <w:t>1</w:t>
      </w:r>
      <w:r>
        <w:rPr/>
        <w:t>、股份支付总体情况</w:t>
      </w:r>
      <w:r>
        <w:rPr>
          <w:b w:val="0"/>
          <w:bCs w:val="0"/>
        </w:rPr>
      </w:r>
    </w:p>
    <w:p>
      <w:pPr>
        <w:spacing w:line="352" w:lineRule="auto" w:before="145"/>
        <w:ind w:left="636" w:right="6192" w:hanging="3"/>
        <w:jc w:val="left"/>
        <w:rPr>
          <w:rFonts w:ascii="宋体" w:hAnsi="宋体" w:cs="宋体" w:eastAsia="宋体" w:hint="default"/>
          <w:sz w:val="24"/>
          <w:szCs w:val="24"/>
        </w:rPr>
      </w:pPr>
      <w:r>
        <w:rPr>
          <w:rFonts w:ascii="宋体" w:hAnsi="宋体" w:cs="宋体" w:eastAsia="宋体" w:hint="default"/>
          <w:sz w:val="24"/>
          <w:szCs w:val="24"/>
        </w:rPr>
        <w:t>□ 适用 √ 不适用 </w:t>
      </w:r>
      <w:bookmarkStart w:name="2、以权益结算的股份支付情况" w:id="494"/>
      <w:bookmarkEnd w:id="494"/>
      <w:r>
        <w:rPr>
          <w:rFonts w:ascii="宋体" w:hAnsi="宋体" w:cs="宋体" w:eastAsia="宋体" w:hint="default"/>
          <w:sz w:val="24"/>
          <w:szCs w:val="24"/>
        </w:rPr>
      </w:r>
      <w:r>
        <w:rPr>
          <w:rFonts w:ascii="宋体" w:hAnsi="宋体" w:cs="宋体" w:eastAsia="宋体" w:hint="default"/>
          <w:b/>
          <w:bCs/>
          <w:w w:val="95"/>
          <w:sz w:val="24"/>
          <w:szCs w:val="24"/>
        </w:rPr>
        <w:t>2</w:t>
      </w:r>
      <w:r>
        <w:rPr>
          <w:rFonts w:ascii="宋体" w:hAnsi="宋体" w:cs="宋体" w:eastAsia="宋体" w:hint="default"/>
          <w:b/>
          <w:bCs/>
          <w:w w:val="95"/>
          <w:sz w:val="24"/>
          <w:szCs w:val="24"/>
        </w:rPr>
        <w:t>、以权益结算的股份支付情况</w:t>
      </w:r>
      <w:r>
        <w:rPr>
          <w:rFonts w:ascii="宋体" w:hAnsi="宋体" w:cs="宋体" w:eastAsia="宋体" w:hint="default"/>
          <w:sz w:val="24"/>
          <w:szCs w:val="24"/>
        </w:rPr>
      </w:r>
    </w:p>
    <w:p>
      <w:pPr>
        <w:spacing w:line="350" w:lineRule="auto" w:before="32"/>
        <w:ind w:left="636" w:right="6192" w:hanging="3"/>
        <w:jc w:val="left"/>
        <w:rPr>
          <w:rFonts w:ascii="宋体" w:hAnsi="宋体" w:cs="宋体" w:eastAsia="宋体" w:hint="default"/>
          <w:sz w:val="24"/>
          <w:szCs w:val="24"/>
        </w:rPr>
      </w:pPr>
      <w:r>
        <w:rPr>
          <w:rFonts w:ascii="宋体" w:hAnsi="宋体" w:cs="宋体" w:eastAsia="宋体" w:hint="default"/>
          <w:sz w:val="24"/>
          <w:szCs w:val="24"/>
        </w:rPr>
        <w:t>□ 适用 √ 不适用 </w:t>
      </w:r>
      <w:bookmarkStart w:name="3、以现金结算的股份支付情况" w:id="495"/>
      <w:bookmarkEnd w:id="495"/>
      <w:r>
        <w:rPr>
          <w:rFonts w:ascii="宋体" w:hAnsi="宋体" w:cs="宋体" w:eastAsia="宋体" w:hint="default"/>
          <w:sz w:val="24"/>
          <w:szCs w:val="24"/>
        </w:rPr>
      </w:r>
      <w:r>
        <w:rPr>
          <w:rFonts w:ascii="宋体" w:hAnsi="宋体" w:cs="宋体" w:eastAsia="宋体" w:hint="default"/>
          <w:b/>
          <w:bCs/>
          <w:w w:val="95"/>
          <w:sz w:val="24"/>
          <w:szCs w:val="24"/>
        </w:rPr>
        <w:t>3</w:t>
      </w:r>
      <w:r>
        <w:rPr>
          <w:rFonts w:ascii="宋体" w:hAnsi="宋体" w:cs="宋体" w:eastAsia="宋体" w:hint="default"/>
          <w:b/>
          <w:bCs/>
          <w:w w:val="95"/>
          <w:sz w:val="24"/>
          <w:szCs w:val="24"/>
        </w:rPr>
        <w:t>、以现金结算的股份支付情况</w:t>
      </w:r>
      <w:r>
        <w:rPr>
          <w:rFonts w:ascii="宋体" w:hAnsi="宋体" w:cs="宋体" w:eastAsia="宋体" w:hint="default"/>
          <w:sz w:val="24"/>
          <w:szCs w:val="24"/>
        </w:rPr>
      </w:r>
    </w:p>
    <w:p>
      <w:pPr>
        <w:spacing w:line="350" w:lineRule="auto" w:before="36"/>
        <w:ind w:left="633" w:right="7020" w:firstLine="0"/>
        <w:jc w:val="left"/>
        <w:rPr>
          <w:rFonts w:ascii="宋体" w:hAnsi="宋体" w:cs="宋体" w:eastAsia="宋体" w:hint="default"/>
          <w:sz w:val="24"/>
          <w:szCs w:val="24"/>
        </w:rPr>
      </w:pPr>
      <w:r>
        <w:rPr>
          <w:rFonts w:ascii="宋体" w:hAnsi="宋体" w:cs="宋体" w:eastAsia="宋体" w:hint="default"/>
          <w:sz w:val="24"/>
          <w:szCs w:val="24"/>
        </w:rPr>
        <w:t>□ 适用 √ 不适用 </w:t>
      </w:r>
      <w:bookmarkStart w:name="4、股份支付的修改、终止情况" w:id="496"/>
      <w:bookmarkEnd w:id="496"/>
      <w:r>
        <w:rPr>
          <w:rFonts w:ascii="宋体" w:hAnsi="宋体" w:cs="宋体" w:eastAsia="宋体" w:hint="default"/>
          <w:sz w:val="24"/>
          <w:szCs w:val="24"/>
        </w:rPr>
      </w:r>
      <w:r>
        <w:rPr>
          <w:rFonts w:ascii="宋体" w:hAnsi="宋体" w:cs="宋体" w:eastAsia="宋体" w:hint="default"/>
          <w:b/>
          <w:bCs/>
          <w:sz w:val="24"/>
          <w:szCs w:val="24"/>
        </w:rPr>
        <w:t>4</w:t>
      </w:r>
      <w:r>
        <w:rPr>
          <w:rFonts w:ascii="宋体" w:hAnsi="宋体" w:cs="宋体" w:eastAsia="宋体" w:hint="default"/>
          <w:b/>
          <w:bCs/>
          <w:sz w:val="24"/>
          <w:szCs w:val="24"/>
        </w:rPr>
        <w:t>、股份支付的修改、终止情况</w:t>
      </w:r>
      <w:r>
        <w:rPr>
          <w:rFonts w:ascii="宋体" w:hAnsi="宋体" w:cs="宋体" w:eastAsia="宋体" w:hint="default"/>
          <w:b/>
          <w:bCs/>
          <w:w w:val="99"/>
          <w:sz w:val="24"/>
          <w:szCs w:val="24"/>
        </w:rPr>
        <w:t> </w:t>
      </w:r>
      <w:r>
        <w:rPr>
          <w:rFonts w:ascii="宋体" w:hAnsi="宋体" w:cs="宋体" w:eastAsia="宋体" w:hint="default"/>
          <w:sz w:val="24"/>
          <w:szCs w:val="24"/>
        </w:rPr>
        <w:t>无</w:t>
      </w:r>
    </w:p>
    <w:p>
      <w:pPr>
        <w:pStyle w:val="Heading2"/>
        <w:spacing w:line="350" w:lineRule="auto" w:before="36"/>
        <w:ind w:left="633" w:right="9427" w:firstLine="2"/>
        <w:jc w:val="left"/>
        <w:rPr>
          <w:rFonts w:ascii="宋体" w:hAnsi="宋体" w:cs="宋体" w:eastAsia="宋体" w:hint="default"/>
          <w:b w:val="0"/>
          <w:bCs w:val="0"/>
        </w:rPr>
      </w:pPr>
      <w:bookmarkStart w:name="5、其他" w:id="497"/>
      <w:bookmarkEnd w:id="497"/>
      <w:r>
        <w:rPr>
          <w:b w:val="0"/>
          <w:bCs w:val="0"/>
        </w:rPr>
      </w:r>
      <w:r>
        <w:rPr>
          <w:rFonts w:ascii="宋体" w:hAnsi="宋体" w:cs="宋体" w:eastAsia="宋体" w:hint="default"/>
        </w:rPr>
        <w:t>5</w:t>
      </w:r>
      <w:r>
        <w:rPr/>
        <w:t>、其他</w:t>
      </w:r>
      <w:r>
        <w:rPr>
          <w:spacing w:val="1"/>
          <w:w w:val="99"/>
        </w:rPr>
        <w:t> </w:t>
      </w:r>
      <w:r>
        <w:rPr>
          <w:rFonts w:ascii="宋体" w:hAnsi="宋体" w:cs="宋体" w:eastAsia="宋体" w:hint="default"/>
          <w:b w:val="0"/>
          <w:bCs w:val="0"/>
        </w:rPr>
        <w:t>无</w:t>
      </w:r>
    </w:p>
    <w:p>
      <w:pPr>
        <w:pStyle w:val="Heading2"/>
        <w:spacing w:line="240" w:lineRule="auto" w:before="210"/>
        <w:ind w:left="153" w:right="996"/>
        <w:jc w:val="left"/>
        <w:rPr>
          <w:b w:val="0"/>
          <w:bCs w:val="0"/>
        </w:rPr>
      </w:pPr>
      <w:bookmarkStart w:name="十四、承诺及或有事项" w:id="498"/>
      <w:bookmarkEnd w:id="498"/>
      <w:r>
        <w:rPr>
          <w:b w:val="0"/>
          <w:bCs w:val="0"/>
        </w:rPr>
      </w:r>
      <w:r>
        <w:rPr/>
        <w:t>十四、承诺及或有事项</w:t>
      </w:r>
      <w:r>
        <w:rPr>
          <w:b w:val="0"/>
          <w:bCs w:val="0"/>
        </w:rPr>
      </w:r>
    </w:p>
    <w:p>
      <w:pPr>
        <w:spacing w:line="240" w:lineRule="auto" w:before="5"/>
        <w:rPr>
          <w:rFonts w:ascii="宋体" w:hAnsi="宋体" w:cs="宋体" w:eastAsia="宋体" w:hint="default"/>
          <w:b/>
          <w:bCs/>
          <w:sz w:val="32"/>
          <w:szCs w:val="32"/>
        </w:rPr>
      </w:pPr>
    </w:p>
    <w:p>
      <w:pPr>
        <w:spacing w:line="352" w:lineRule="auto" w:before="0"/>
        <w:ind w:left="633" w:right="7153" w:firstLine="2"/>
        <w:jc w:val="left"/>
        <w:rPr>
          <w:rFonts w:ascii="宋体" w:hAnsi="宋体" w:cs="宋体" w:eastAsia="宋体" w:hint="default"/>
          <w:sz w:val="24"/>
          <w:szCs w:val="24"/>
        </w:rPr>
      </w:pPr>
      <w:bookmarkStart w:name="1、重要承诺事项" w:id="499"/>
      <w:bookmarkEnd w:id="499"/>
      <w:r>
        <w:rPr/>
      </w:r>
      <w:r>
        <w:rPr>
          <w:rFonts w:ascii="宋体" w:hAnsi="宋体" w:cs="宋体" w:eastAsia="宋体" w:hint="default"/>
          <w:b/>
          <w:bCs/>
          <w:sz w:val="24"/>
          <w:szCs w:val="24"/>
        </w:rPr>
        <w:t>1</w:t>
      </w:r>
      <w:r>
        <w:rPr>
          <w:rFonts w:ascii="宋体" w:hAnsi="宋体" w:cs="宋体" w:eastAsia="宋体" w:hint="default"/>
          <w:b/>
          <w:bCs/>
          <w:sz w:val="24"/>
          <w:szCs w:val="24"/>
        </w:rPr>
        <w:t>、重要承诺事项</w:t>
      </w:r>
      <w:r>
        <w:rPr>
          <w:rFonts w:ascii="宋体" w:hAnsi="宋体" w:cs="宋体" w:eastAsia="宋体" w:hint="default"/>
          <w:b/>
          <w:bCs/>
          <w:w w:val="99"/>
          <w:sz w:val="24"/>
          <w:szCs w:val="24"/>
        </w:rPr>
        <w:t> </w:t>
      </w:r>
      <w:r>
        <w:rPr>
          <w:rFonts w:ascii="宋体" w:hAnsi="宋体" w:cs="宋体" w:eastAsia="宋体" w:hint="default"/>
          <w:sz w:val="24"/>
          <w:szCs w:val="24"/>
        </w:rPr>
        <w:t>资产负债表日存在的重要承诺</w:t>
      </w:r>
    </w:p>
    <w:p>
      <w:pPr>
        <w:pStyle w:val="BodyText"/>
        <w:spacing w:line="352" w:lineRule="auto" w:before="32"/>
        <w:ind w:right="1289" w:firstLine="480"/>
        <w:jc w:val="both"/>
      </w:pPr>
      <w:r>
        <w:rPr/>
        <w:t>本公司</w:t>
      </w:r>
      <w:r>
        <w:rPr>
          <w:rFonts w:ascii="宋体" w:hAnsi="宋体" w:cs="宋体" w:eastAsia="宋体" w:hint="default"/>
        </w:rPr>
        <w:t>2017</w:t>
      </w:r>
      <w:r>
        <w:rPr/>
        <w:t>年</w:t>
      </w:r>
      <w:r>
        <w:rPr>
          <w:rFonts w:ascii="宋体" w:hAnsi="宋体" w:cs="宋体" w:eastAsia="宋体" w:hint="default"/>
        </w:rPr>
        <w:t>4</w:t>
      </w:r>
      <w:r>
        <w:rPr/>
        <w:t>月</w:t>
      </w:r>
      <w:r>
        <w:rPr>
          <w:rFonts w:ascii="宋体" w:hAnsi="宋体" w:cs="宋体" w:eastAsia="宋体" w:hint="default"/>
        </w:rPr>
        <w:t>21</w:t>
      </w:r>
      <w:r>
        <w:rPr/>
        <w:t>日与中国民生银行股份有限公司郑州分行签订合同编号为公借贷字 第</w:t>
      </w:r>
      <w:r>
        <w:rPr>
          <w:rFonts w:ascii="宋体" w:hAnsi="宋体" w:cs="宋体" w:eastAsia="宋体" w:hint="default"/>
        </w:rPr>
        <w:t>ZH1700000043153</w:t>
      </w:r>
      <w:r>
        <w:rPr/>
        <w:t>号的并购贷款借款合同，借款金额为</w:t>
      </w:r>
      <w:r>
        <w:rPr>
          <w:rFonts w:ascii="宋体" w:hAnsi="宋体" w:cs="宋体" w:eastAsia="宋体" w:hint="default"/>
        </w:rPr>
        <w:t>2,700.00</w:t>
      </w:r>
      <w:r>
        <w:rPr/>
        <w:t>万元人民币，借款期限为 </w:t>
      </w:r>
      <w:r>
        <w:rPr>
          <w:rFonts w:ascii="宋体" w:hAnsi="宋体" w:cs="宋体" w:eastAsia="宋体" w:hint="default"/>
        </w:rPr>
        <w:t>2017</w:t>
      </w:r>
      <w:r>
        <w:rPr/>
        <w:t>年</w:t>
      </w:r>
      <w:r>
        <w:rPr>
          <w:rFonts w:ascii="宋体" w:hAnsi="宋体" w:cs="宋体" w:eastAsia="宋体" w:hint="default"/>
        </w:rPr>
        <w:t>4</w:t>
      </w:r>
      <w:r>
        <w:rPr/>
        <w:t>月</w:t>
      </w:r>
      <w:r>
        <w:rPr>
          <w:rFonts w:ascii="宋体" w:hAnsi="宋体" w:cs="宋体" w:eastAsia="宋体" w:hint="default"/>
        </w:rPr>
        <w:t>21</w:t>
      </w:r>
      <w:r>
        <w:rPr/>
        <w:t>日至</w:t>
      </w:r>
      <w:r>
        <w:rPr>
          <w:rFonts w:ascii="宋体" w:hAnsi="宋体" w:cs="宋体" w:eastAsia="宋体" w:hint="default"/>
        </w:rPr>
        <w:t>2020</w:t>
      </w:r>
      <w:r>
        <w:rPr/>
        <w:t>年</w:t>
      </w:r>
      <w:r>
        <w:rPr>
          <w:rFonts w:ascii="宋体" w:hAnsi="宋体" w:cs="宋体" w:eastAsia="宋体" w:hint="default"/>
        </w:rPr>
        <w:t>4</w:t>
      </w:r>
      <w:r>
        <w:rPr/>
        <w:t>月</w:t>
      </w:r>
      <w:r>
        <w:rPr>
          <w:rFonts w:ascii="宋体" w:hAnsi="宋体" w:cs="宋体" w:eastAsia="宋体" w:hint="default"/>
        </w:rPr>
        <w:t>17</w:t>
      </w:r>
      <w:r>
        <w:rPr/>
        <w:t>日，还款方式为到期一次还本。合同约定利息采用基准利率</w:t>
      </w:r>
    </w:p>
    <w:p>
      <w:pPr>
        <w:pStyle w:val="BodyText"/>
        <w:spacing w:line="352" w:lineRule="auto" w:before="32"/>
        <w:ind w:right="1129"/>
        <w:jc w:val="left"/>
      </w:pPr>
      <w:r>
        <w:rPr>
          <w:rFonts w:ascii="宋体" w:hAnsi="宋体" w:cs="宋体" w:eastAsia="宋体" w:hint="default"/>
          <w:spacing w:val="-2"/>
        </w:rPr>
        <w:t>4.75%</w:t>
      </w:r>
      <w:r>
        <w:rPr>
          <w:spacing w:val="-2"/>
        </w:rPr>
        <w:t>上浮</w:t>
      </w:r>
      <w:r>
        <w:rPr>
          <w:rFonts w:ascii="宋体" w:hAnsi="宋体" w:cs="宋体" w:eastAsia="宋体" w:hint="default"/>
          <w:spacing w:val="-2"/>
        </w:rPr>
        <w:t>5.2%</w:t>
      </w:r>
      <w:r>
        <w:rPr>
          <w:spacing w:val="-2"/>
        </w:rPr>
        <w:t>后的固定利率，年利率为</w:t>
      </w:r>
      <w:r>
        <w:rPr>
          <w:rFonts w:ascii="宋体" w:hAnsi="宋体" w:cs="宋体" w:eastAsia="宋体" w:hint="default"/>
          <w:spacing w:val="-2"/>
        </w:rPr>
        <w:t>4.997%</w:t>
      </w:r>
      <w:r>
        <w:rPr>
          <w:spacing w:val="-2"/>
        </w:rPr>
        <w:t>。该笔借款由河南辉煌科技股份有限公司以对</w:t>
      </w:r>
      <w:r>
        <w:rPr>
          <w:spacing w:val="-106"/>
        </w:rPr>
        <w:t> </w:t>
      </w:r>
      <w:r>
        <w:rPr>
          <w:spacing w:val="-106"/>
        </w:rPr>
      </w:r>
      <w:r>
        <w:rPr/>
        <w:t>成都西南交大驱动技术有限公司</w:t>
      </w:r>
      <w:r>
        <w:rPr>
          <w:rFonts w:ascii="宋体" w:hAnsi="宋体" w:cs="宋体" w:eastAsia="宋体" w:hint="default"/>
        </w:rPr>
        <w:t>51%</w:t>
      </w:r>
      <w:r>
        <w:rPr/>
        <w:t>的股权作为质押物，最高额质押合同编号为 </w:t>
      </w:r>
      <w:r>
        <w:rPr>
          <w:rFonts w:ascii="宋体" w:hAnsi="宋体" w:cs="宋体" w:eastAsia="宋体" w:hint="default"/>
        </w:rPr>
        <w:t>DB1700000032666</w:t>
      </w:r>
      <w:r>
        <w:rPr/>
        <w:t>号。</w:t>
      </w:r>
    </w:p>
    <w:p>
      <w:pPr>
        <w:pStyle w:val="Heading2"/>
        <w:spacing w:line="240" w:lineRule="auto" w:before="33"/>
        <w:ind w:right="996"/>
        <w:jc w:val="left"/>
        <w:rPr>
          <w:b w:val="0"/>
          <w:bCs w:val="0"/>
        </w:rPr>
      </w:pPr>
      <w:bookmarkStart w:name="2、或有事项" w:id="500"/>
      <w:bookmarkEnd w:id="500"/>
      <w:r>
        <w:rPr>
          <w:b w:val="0"/>
          <w:bCs w:val="0"/>
        </w:rPr>
      </w:r>
      <w:r>
        <w:rPr>
          <w:rFonts w:ascii="宋体" w:hAnsi="宋体" w:cs="宋体" w:eastAsia="宋体" w:hint="default"/>
        </w:rPr>
        <w:t>2</w:t>
      </w:r>
      <w:r>
        <w:rPr/>
        <w:t>、或有事项</w:t>
      </w:r>
      <w:r>
        <w:rPr>
          <w:b w:val="0"/>
          <w:bCs w:val="0"/>
        </w:rPr>
      </w:r>
    </w:p>
    <w:p>
      <w:pPr>
        <w:spacing w:line="352" w:lineRule="auto" w:before="145"/>
        <w:ind w:left="633" w:right="3073" w:firstLine="2"/>
        <w:jc w:val="left"/>
        <w:rPr>
          <w:rFonts w:ascii="宋体" w:hAnsi="宋体" w:cs="宋体" w:eastAsia="宋体" w:hint="default"/>
          <w:sz w:val="24"/>
          <w:szCs w:val="24"/>
        </w:rPr>
      </w:pPr>
      <w:bookmarkStart w:name="（1）资产负债表日存在的重要或有事项" w:id="501"/>
      <w:bookmarkEnd w:id="501"/>
      <w:r>
        <w:rPr/>
      </w:r>
      <w:r>
        <w:rPr>
          <w:rFonts w:ascii="宋体" w:hAnsi="宋体" w:cs="宋体" w:eastAsia="宋体" w:hint="default"/>
          <w:b/>
          <w:bCs/>
          <w:sz w:val="24"/>
          <w:szCs w:val="24"/>
        </w:rPr>
        <w:t>（</w:t>
      </w:r>
      <w:r>
        <w:rPr>
          <w:rFonts w:ascii="宋体" w:hAnsi="宋体" w:cs="宋体" w:eastAsia="宋体" w:hint="default"/>
          <w:b/>
          <w:bCs/>
          <w:sz w:val="24"/>
          <w:szCs w:val="24"/>
        </w:rPr>
        <w:t>1</w:t>
      </w:r>
      <w:r>
        <w:rPr>
          <w:rFonts w:ascii="宋体" w:hAnsi="宋体" w:cs="宋体" w:eastAsia="宋体" w:hint="default"/>
          <w:b/>
          <w:bCs/>
          <w:sz w:val="24"/>
          <w:szCs w:val="24"/>
        </w:rPr>
        <w:t>）资产负债表日存在的重要或有事项</w:t>
      </w:r>
      <w:r>
        <w:rPr>
          <w:rFonts w:ascii="宋体" w:hAnsi="宋体" w:cs="宋体" w:eastAsia="宋体" w:hint="default"/>
          <w:b/>
          <w:bCs/>
          <w:w w:val="99"/>
          <w:sz w:val="24"/>
          <w:szCs w:val="24"/>
        </w:rPr>
        <w:t> </w:t>
      </w:r>
      <w:r>
        <w:rPr>
          <w:rFonts w:ascii="宋体" w:hAnsi="宋体" w:cs="宋体" w:eastAsia="宋体" w:hint="default"/>
          <w:sz w:val="24"/>
          <w:szCs w:val="24"/>
        </w:rPr>
        <w:t>截止</w:t>
      </w:r>
      <w:r>
        <w:rPr>
          <w:rFonts w:ascii="宋体" w:hAnsi="宋体" w:cs="宋体" w:eastAsia="宋体" w:hint="default"/>
          <w:sz w:val="24"/>
          <w:szCs w:val="24"/>
        </w:rPr>
        <w:t>2017</w:t>
      </w:r>
      <w:r>
        <w:rPr>
          <w:rFonts w:ascii="宋体" w:hAnsi="宋体" w:cs="宋体" w:eastAsia="宋体" w:hint="default"/>
          <w:sz w:val="24"/>
          <w:szCs w:val="24"/>
        </w:rPr>
        <w:t>年</w:t>
      </w:r>
      <w:r>
        <w:rPr>
          <w:rFonts w:ascii="宋体" w:hAnsi="宋体" w:cs="宋体" w:eastAsia="宋体" w:hint="default"/>
          <w:sz w:val="24"/>
          <w:szCs w:val="24"/>
        </w:rPr>
        <w:t>12</w:t>
      </w:r>
      <w:r>
        <w:rPr>
          <w:rFonts w:ascii="宋体" w:hAnsi="宋体" w:cs="宋体" w:eastAsia="宋体" w:hint="default"/>
          <w:sz w:val="24"/>
          <w:szCs w:val="24"/>
        </w:rPr>
        <w:t>月</w:t>
      </w:r>
      <w:r>
        <w:rPr>
          <w:rFonts w:ascii="宋体" w:hAnsi="宋体" w:cs="宋体" w:eastAsia="宋体" w:hint="default"/>
          <w:sz w:val="24"/>
          <w:szCs w:val="24"/>
        </w:rPr>
        <w:t>31</w:t>
      </w:r>
      <w:r>
        <w:rPr>
          <w:rFonts w:ascii="宋体" w:hAnsi="宋体" w:cs="宋体" w:eastAsia="宋体" w:hint="default"/>
          <w:sz w:val="24"/>
          <w:szCs w:val="24"/>
        </w:rPr>
        <w:t>日，本公司无其他应披露未披露的重要或有事项。</w:t>
      </w:r>
    </w:p>
    <w:p>
      <w:pPr>
        <w:spacing w:after="0" w:line="352" w:lineRule="auto"/>
        <w:jc w:val="left"/>
        <w:rPr>
          <w:rFonts w:ascii="宋体" w:hAnsi="宋体" w:cs="宋体" w:eastAsia="宋体" w:hint="default"/>
          <w:sz w:val="24"/>
          <w:szCs w:val="24"/>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350" w:lineRule="auto" w:before="199"/>
        <w:ind w:left="633" w:right="996" w:firstLine="2"/>
        <w:jc w:val="left"/>
        <w:rPr>
          <w:rFonts w:ascii="宋体" w:hAnsi="宋体" w:cs="宋体" w:eastAsia="宋体" w:hint="default"/>
          <w:sz w:val="24"/>
          <w:szCs w:val="24"/>
        </w:rPr>
      </w:pPr>
      <w:bookmarkStart w:name="（2）公司没有需要披露的重要或有事项，也应予以说明" w:id="502"/>
      <w:bookmarkEnd w:id="502"/>
      <w:r>
        <w:rPr/>
      </w:r>
      <w:r>
        <w:rPr>
          <w:rFonts w:ascii="宋体" w:hAnsi="宋体" w:cs="宋体" w:eastAsia="宋体" w:hint="default"/>
          <w:b/>
          <w:bCs/>
          <w:w w:val="95"/>
          <w:sz w:val="24"/>
          <w:szCs w:val="24"/>
        </w:rPr>
        <w:t>（</w:t>
      </w:r>
      <w:r>
        <w:rPr>
          <w:rFonts w:ascii="宋体" w:hAnsi="宋体" w:cs="宋体" w:eastAsia="宋体" w:hint="default"/>
          <w:b/>
          <w:bCs/>
          <w:w w:val="95"/>
          <w:sz w:val="24"/>
          <w:szCs w:val="24"/>
        </w:rPr>
        <w:t>2</w:t>
      </w:r>
      <w:r>
        <w:rPr>
          <w:rFonts w:ascii="宋体" w:hAnsi="宋体" w:cs="宋体" w:eastAsia="宋体" w:hint="default"/>
          <w:b/>
          <w:bCs/>
          <w:w w:val="95"/>
          <w:sz w:val="24"/>
          <w:szCs w:val="24"/>
        </w:rPr>
        <w:t>）公司没有需要披露的重要或有事项，也应予以说明</w:t>
      </w:r>
      <w:r>
        <w:rPr>
          <w:rFonts w:ascii="宋体" w:hAnsi="宋体" w:cs="宋体" w:eastAsia="宋体" w:hint="default"/>
          <w:b/>
          <w:bCs/>
          <w:spacing w:val="43"/>
          <w:w w:val="95"/>
          <w:sz w:val="24"/>
          <w:szCs w:val="24"/>
        </w:rPr>
        <w:t> </w:t>
      </w:r>
      <w:r>
        <w:rPr>
          <w:rFonts w:ascii="宋体" w:hAnsi="宋体" w:cs="宋体" w:eastAsia="宋体" w:hint="default"/>
          <w:b/>
          <w:bCs/>
          <w:spacing w:val="43"/>
          <w:w w:val="95"/>
          <w:sz w:val="24"/>
          <w:szCs w:val="24"/>
        </w:rPr>
      </w:r>
      <w:r>
        <w:rPr>
          <w:rFonts w:ascii="宋体" w:hAnsi="宋体" w:cs="宋体" w:eastAsia="宋体" w:hint="default"/>
          <w:sz w:val="24"/>
          <w:szCs w:val="24"/>
        </w:rPr>
        <w:t>公司不存在需要披露的重要或有事项。</w:t>
      </w:r>
    </w:p>
    <w:p>
      <w:pPr>
        <w:pStyle w:val="Heading2"/>
        <w:spacing w:line="350" w:lineRule="auto" w:before="36"/>
        <w:ind w:left="633" w:right="9427" w:firstLine="2"/>
        <w:jc w:val="left"/>
        <w:rPr>
          <w:rFonts w:ascii="宋体" w:hAnsi="宋体" w:cs="宋体" w:eastAsia="宋体" w:hint="default"/>
          <w:b w:val="0"/>
          <w:bCs w:val="0"/>
        </w:rPr>
      </w:pPr>
      <w:bookmarkStart w:name="3、其他" w:id="503"/>
      <w:bookmarkEnd w:id="503"/>
      <w:r>
        <w:rPr>
          <w:b w:val="0"/>
          <w:bCs w:val="0"/>
        </w:rPr>
      </w:r>
      <w:r>
        <w:rPr>
          <w:rFonts w:ascii="宋体" w:hAnsi="宋体" w:cs="宋体" w:eastAsia="宋体" w:hint="default"/>
        </w:rPr>
        <w:t>3</w:t>
      </w:r>
      <w:r>
        <w:rPr/>
        <w:t>、其他</w:t>
      </w:r>
      <w:r>
        <w:rPr>
          <w:spacing w:val="1"/>
          <w:w w:val="99"/>
        </w:rPr>
        <w:t> </w:t>
      </w:r>
      <w:r>
        <w:rPr>
          <w:rFonts w:ascii="宋体" w:hAnsi="宋体" w:cs="宋体" w:eastAsia="宋体" w:hint="default"/>
          <w:b w:val="0"/>
          <w:bCs w:val="0"/>
        </w:rPr>
        <w:t>无</w:t>
      </w:r>
    </w:p>
    <w:p>
      <w:pPr>
        <w:pStyle w:val="Heading2"/>
        <w:spacing w:line="240" w:lineRule="auto" w:before="210"/>
        <w:ind w:left="153" w:right="996"/>
        <w:jc w:val="left"/>
        <w:rPr>
          <w:b w:val="0"/>
          <w:bCs w:val="0"/>
        </w:rPr>
      </w:pPr>
      <w:bookmarkStart w:name="十五、资产负债表日后事项" w:id="504"/>
      <w:bookmarkEnd w:id="504"/>
      <w:r>
        <w:rPr>
          <w:b w:val="0"/>
          <w:bCs w:val="0"/>
        </w:rPr>
      </w:r>
      <w:r>
        <w:rPr/>
        <w:t>十五、资产负债表日后事项</w:t>
      </w:r>
      <w:r>
        <w:rPr>
          <w:b w:val="0"/>
          <w:bCs w:val="0"/>
        </w:rPr>
      </w:r>
    </w:p>
    <w:p>
      <w:pPr>
        <w:spacing w:line="240" w:lineRule="auto" w:before="5"/>
        <w:rPr>
          <w:rFonts w:ascii="宋体" w:hAnsi="宋体" w:cs="宋体" w:eastAsia="宋体" w:hint="default"/>
          <w:b/>
          <w:bCs/>
          <w:sz w:val="32"/>
          <w:szCs w:val="32"/>
        </w:rPr>
      </w:pPr>
    </w:p>
    <w:p>
      <w:pPr>
        <w:pStyle w:val="Heading2"/>
        <w:spacing w:line="352" w:lineRule="auto" w:before="0"/>
        <w:ind w:left="633" w:right="7982" w:firstLine="2"/>
        <w:jc w:val="left"/>
        <w:rPr>
          <w:rFonts w:ascii="宋体" w:hAnsi="宋体" w:cs="宋体" w:eastAsia="宋体" w:hint="default"/>
          <w:b w:val="0"/>
          <w:bCs w:val="0"/>
        </w:rPr>
      </w:pPr>
      <w:bookmarkStart w:name="1、重要的非调整事项" w:id="505"/>
      <w:bookmarkEnd w:id="505"/>
      <w:r>
        <w:rPr>
          <w:b w:val="0"/>
          <w:bCs w:val="0"/>
        </w:rPr>
      </w:r>
      <w:r>
        <w:rPr>
          <w:rFonts w:ascii="宋体" w:hAnsi="宋体" w:cs="宋体" w:eastAsia="宋体" w:hint="default"/>
        </w:rPr>
        <w:t>1</w:t>
      </w:r>
      <w:r>
        <w:rPr/>
        <w:t>、重要的非调整事项</w:t>
      </w:r>
      <w:r>
        <w:rPr>
          <w:w w:val="99"/>
        </w:rPr>
        <w:t> </w:t>
      </w:r>
      <w:r>
        <w:rPr>
          <w:rFonts w:ascii="宋体" w:hAnsi="宋体" w:cs="宋体" w:eastAsia="宋体" w:hint="default"/>
          <w:b w:val="0"/>
          <w:bCs w:val="0"/>
        </w:rPr>
        <w:t>无</w:t>
      </w:r>
    </w:p>
    <w:p>
      <w:pPr>
        <w:pStyle w:val="Heading2"/>
        <w:spacing w:line="350" w:lineRule="auto" w:before="32"/>
        <w:ind w:left="633" w:right="8463" w:firstLine="2"/>
        <w:jc w:val="left"/>
        <w:rPr>
          <w:rFonts w:ascii="宋体" w:hAnsi="宋体" w:cs="宋体" w:eastAsia="宋体" w:hint="default"/>
          <w:b w:val="0"/>
          <w:bCs w:val="0"/>
        </w:rPr>
      </w:pPr>
      <w:bookmarkStart w:name="2、利润分配情况" w:id="506"/>
      <w:bookmarkEnd w:id="506"/>
      <w:r>
        <w:rPr>
          <w:b w:val="0"/>
          <w:bCs w:val="0"/>
        </w:rPr>
      </w:r>
      <w:r>
        <w:rPr>
          <w:rFonts w:ascii="宋体" w:hAnsi="宋体" w:cs="宋体" w:eastAsia="宋体" w:hint="default"/>
        </w:rPr>
        <w:t>2</w:t>
      </w:r>
      <w:r>
        <w:rPr/>
        <w:t>、利润分配情况</w:t>
      </w:r>
      <w:r>
        <w:rPr>
          <w:w w:val="99"/>
        </w:rPr>
        <w:t> </w:t>
      </w:r>
      <w:r>
        <w:rPr>
          <w:rFonts w:ascii="宋体" w:hAnsi="宋体" w:cs="宋体" w:eastAsia="宋体" w:hint="default"/>
          <w:b w:val="0"/>
          <w:bCs w:val="0"/>
        </w:rPr>
        <w:t>无</w:t>
      </w:r>
    </w:p>
    <w:p>
      <w:pPr>
        <w:pStyle w:val="Heading2"/>
        <w:spacing w:line="350" w:lineRule="auto" w:before="36"/>
        <w:ind w:left="633" w:right="8945" w:firstLine="2"/>
        <w:jc w:val="left"/>
        <w:rPr>
          <w:rFonts w:ascii="宋体" w:hAnsi="宋体" w:cs="宋体" w:eastAsia="宋体" w:hint="default"/>
          <w:b w:val="0"/>
          <w:bCs w:val="0"/>
        </w:rPr>
      </w:pPr>
      <w:bookmarkStart w:name="3、销售退回" w:id="507"/>
      <w:bookmarkEnd w:id="507"/>
      <w:r>
        <w:rPr>
          <w:b w:val="0"/>
          <w:bCs w:val="0"/>
        </w:rPr>
      </w:r>
      <w:r>
        <w:rPr>
          <w:rFonts w:ascii="宋体" w:hAnsi="宋体" w:cs="宋体" w:eastAsia="宋体" w:hint="default"/>
        </w:rPr>
        <w:t>3</w:t>
      </w:r>
      <w:r>
        <w:rPr/>
        <w:t>、销售退回</w:t>
      </w:r>
      <w:r>
        <w:rPr>
          <w:w w:val="99"/>
        </w:rPr>
        <w:t> </w:t>
      </w:r>
      <w:r>
        <w:rPr>
          <w:rFonts w:ascii="宋体" w:hAnsi="宋体" w:cs="宋体" w:eastAsia="宋体" w:hint="default"/>
          <w:b w:val="0"/>
          <w:bCs w:val="0"/>
        </w:rPr>
        <w:t>无</w:t>
      </w:r>
    </w:p>
    <w:p>
      <w:pPr>
        <w:spacing w:line="352" w:lineRule="auto" w:before="35"/>
        <w:ind w:left="633" w:right="1121" w:firstLine="2"/>
        <w:jc w:val="left"/>
        <w:rPr>
          <w:rFonts w:ascii="宋体" w:hAnsi="宋体" w:cs="宋体" w:eastAsia="宋体" w:hint="default"/>
          <w:sz w:val="24"/>
          <w:szCs w:val="24"/>
        </w:rPr>
      </w:pPr>
      <w:bookmarkStart w:name="4、其他资产负债表日后事项说明" w:id="508"/>
      <w:bookmarkEnd w:id="508"/>
      <w:r>
        <w:rPr/>
      </w:r>
      <w:r>
        <w:rPr>
          <w:rFonts w:ascii="宋体" w:hAnsi="宋体" w:cs="宋体" w:eastAsia="宋体" w:hint="default"/>
          <w:b/>
          <w:bCs/>
          <w:sz w:val="24"/>
          <w:szCs w:val="24"/>
        </w:rPr>
        <w:t>4</w:t>
      </w:r>
      <w:r>
        <w:rPr>
          <w:rFonts w:ascii="宋体" w:hAnsi="宋体" w:cs="宋体" w:eastAsia="宋体" w:hint="default"/>
          <w:b/>
          <w:bCs/>
          <w:sz w:val="24"/>
          <w:szCs w:val="24"/>
        </w:rPr>
        <w:t>、其他资产负债表日后事项说明</w:t>
      </w:r>
      <w:r>
        <w:rPr>
          <w:rFonts w:ascii="宋体" w:hAnsi="宋体" w:cs="宋体" w:eastAsia="宋体" w:hint="default"/>
          <w:b/>
          <w:bCs/>
          <w:w w:val="99"/>
          <w:sz w:val="24"/>
          <w:szCs w:val="24"/>
        </w:rPr>
        <w:t> </w:t>
      </w:r>
      <w:r>
        <w:rPr>
          <w:rFonts w:ascii="宋体" w:hAnsi="宋体" w:cs="宋体" w:eastAsia="宋体" w:hint="default"/>
          <w:spacing w:val="-2"/>
          <w:sz w:val="24"/>
          <w:szCs w:val="24"/>
        </w:rPr>
        <w:t>经</w:t>
      </w:r>
      <w:r>
        <w:rPr>
          <w:rFonts w:ascii="宋体" w:hAnsi="宋体" w:cs="宋体" w:eastAsia="宋体" w:hint="default"/>
          <w:spacing w:val="-2"/>
          <w:sz w:val="24"/>
          <w:szCs w:val="24"/>
        </w:rPr>
        <w:t>2018</w:t>
      </w:r>
      <w:r>
        <w:rPr>
          <w:rFonts w:ascii="宋体" w:hAnsi="宋体" w:cs="宋体" w:eastAsia="宋体" w:hint="default"/>
          <w:spacing w:val="-2"/>
          <w:sz w:val="24"/>
          <w:szCs w:val="24"/>
        </w:rPr>
        <w:t>年</w:t>
      </w:r>
      <w:r>
        <w:rPr>
          <w:rFonts w:ascii="宋体" w:hAnsi="宋体" w:cs="宋体" w:eastAsia="宋体" w:hint="default"/>
          <w:spacing w:val="-2"/>
          <w:sz w:val="24"/>
          <w:szCs w:val="24"/>
        </w:rPr>
        <w:t>4</w:t>
      </w:r>
      <w:r>
        <w:rPr>
          <w:rFonts w:ascii="宋体" w:hAnsi="宋体" w:cs="宋体" w:eastAsia="宋体" w:hint="default"/>
          <w:spacing w:val="-2"/>
          <w:sz w:val="24"/>
          <w:szCs w:val="24"/>
        </w:rPr>
        <w:t>月</w:t>
      </w:r>
      <w:r>
        <w:rPr>
          <w:rFonts w:ascii="宋体" w:hAnsi="宋体" w:cs="宋体" w:eastAsia="宋体" w:hint="default"/>
          <w:spacing w:val="-2"/>
          <w:sz w:val="24"/>
          <w:szCs w:val="24"/>
        </w:rPr>
        <w:t>23</w:t>
      </w:r>
      <w:r>
        <w:rPr>
          <w:rFonts w:ascii="宋体" w:hAnsi="宋体" w:cs="宋体" w:eastAsia="宋体" w:hint="default"/>
          <w:spacing w:val="-2"/>
          <w:sz w:val="24"/>
          <w:szCs w:val="24"/>
        </w:rPr>
        <w:t>日第六届董事会第十二次会议审议决定：</w:t>
      </w:r>
      <w:r>
        <w:rPr>
          <w:rFonts w:ascii="宋体" w:hAnsi="宋体" w:cs="宋体" w:eastAsia="宋体" w:hint="default"/>
          <w:spacing w:val="-2"/>
          <w:sz w:val="24"/>
          <w:szCs w:val="24"/>
        </w:rPr>
        <w:t>2017</w:t>
      </w:r>
      <w:r>
        <w:rPr>
          <w:rFonts w:ascii="宋体" w:hAnsi="宋体" w:cs="宋体" w:eastAsia="宋体" w:hint="default"/>
          <w:spacing w:val="-2"/>
          <w:sz w:val="24"/>
          <w:szCs w:val="24"/>
        </w:rPr>
        <w:t>年度不进行利润分配，不以</w:t>
      </w:r>
    </w:p>
    <w:p>
      <w:pPr>
        <w:pStyle w:val="BodyText"/>
        <w:spacing w:line="350" w:lineRule="auto" w:before="32"/>
        <w:ind w:right="996"/>
        <w:jc w:val="left"/>
      </w:pPr>
      <w:r>
        <w:rPr/>
        <w:t>公积金转增股本，未分配利润结转下一年度。上述决定尚需</w:t>
      </w:r>
      <w:r>
        <w:rPr>
          <w:rFonts w:ascii="宋体" w:hAnsi="宋体" w:cs="宋体" w:eastAsia="宋体" w:hint="default"/>
        </w:rPr>
        <w:t>2017</w:t>
      </w:r>
      <w:r>
        <w:rPr/>
        <w:t>年度股东大会审议批准后实</w:t>
      </w:r>
      <w:r>
        <w:rPr>
          <w:spacing w:val="-111"/>
        </w:rPr>
        <w:t> </w:t>
      </w:r>
      <w:r>
        <w:rPr>
          <w:spacing w:val="-111"/>
        </w:rPr>
      </w:r>
      <w:r>
        <w:rPr/>
        <w:t>施。</w:t>
      </w:r>
    </w:p>
    <w:p>
      <w:pPr>
        <w:pStyle w:val="BodyText"/>
        <w:spacing w:line="350" w:lineRule="auto"/>
        <w:ind w:left="154" w:right="1152" w:firstLine="480"/>
        <w:jc w:val="left"/>
      </w:pPr>
      <w:r>
        <w:rPr/>
        <w:t>除存在上述或有事项外，截止财务报告日，本公司无其他应披露未披露的重大资产负债 表日后事项。</w:t>
      </w:r>
    </w:p>
    <w:p>
      <w:pPr>
        <w:pStyle w:val="Heading2"/>
        <w:spacing w:line="240" w:lineRule="auto" w:before="210"/>
        <w:ind w:left="154" w:right="996"/>
        <w:jc w:val="left"/>
        <w:rPr>
          <w:b w:val="0"/>
          <w:bCs w:val="0"/>
        </w:rPr>
      </w:pPr>
      <w:bookmarkStart w:name="十六、其他重要事项" w:id="509"/>
      <w:bookmarkEnd w:id="509"/>
      <w:r>
        <w:rPr>
          <w:b w:val="0"/>
          <w:bCs w:val="0"/>
        </w:rPr>
      </w:r>
      <w:r>
        <w:rPr/>
        <w:t>十六、其他重要事项</w:t>
      </w:r>
      <w:r>
        <w:rPr>
          <w:b w:val="0"/>
          <w:bCs w:val="0"/>
        </w:rPr>
      </w:r>
    </w:p>
    <w:p>
      <w:pPr>
        <w:spacing w:line="240" w:lineRule="auto" w:before="5"/>
        <w:rPr>
          <w:rFonts w:ascii="宋体" w:hAnsi="宋体" w:cs="宋体" w:eastAsia="宋体" w:hint="default"/>
          <w:b/>
          <w:bCs/>
          <w:sz w:val="32"/>
          <w:szCs w:val="32"/>
        </w:rPr>
      </w:pPr>
    </w:p>
    <w:p>
      <w:pPr>
        <w:pStyle w:val="Heading2"/>
        <w:spacing w:line="240" w:lineRule="auto" w:before="0"/>
        <w:ind w:right="996"/>
        <w:jc w:val="left"/>
        <w:rPr>
          <w:b w:val="0"/>
          <w:bCs w:val="0"/>
        </w:rPr>
      </w:pPr>
      <w:bookmarkStart w:name="1、前期会计差错更正" w:id="510"/>
      <w:bookmarkEnd w:id="510"/>
      <w:r>
        <w:rPr>
          <w:b w:val="0"/>
          <w:bCs w:val="0"/>
        </w:rPr>
      </w:r>
      <w:r>
        <w:rPr>
          <w:rFonts w:ascii="宋体" w:hAnsi="宋体" w:cs="宋体" w:eastAsia="宋体" w:hint="default"/>
        </w:rPr>
        <w:t>1</w:t>
      </w:r>
      <w:r>
        <w:rPr/>
        <w:t>、前期会计差错更正</w:t>
      </w:r>
      <w:r>
        <w:rPr>
          <w:b w:val="0"/>
          <w:bCs w:val="0"/>
        </w:rPr>
      </w:r>
    </w:p>
    <w:p>
      <w:pPr>
        <w:pStyle w:val="Heading2"/>
        <w:spacing w:line="350" w:lineRule="auto" w:before="146"/>
        <w:ind w:left="633" w:right="8463" w:firstLine="2"/>
        <w:jc w:val="left"/>
        <w:rPr>
          <w:rFonts w:ascii="宋体" w:hAnsi="宋体" w:cs="宋体" w:eastAsia="宋体" w:hint="default"/>
          <w:b w:val="0"/>
          <w:bCs w:val="0"/>
        </w:rPr>
      </w:pPr>
      <w:bookmarkStart w:name="（1）追溯重述法" w:id="511"/>
      <w:bookmarkEnd w:id="511"/>
      <w:r>
        <w:rPr>
          <w:b w:val="0"/>
          <w:bCs w:val="0"/>
        </w:rPr>
      </w:r>
      <w:r>
        <w:rPr/>
        <w:t>（</w:t>
      </w:r>
      <w:r>
        <w:rPr>
          <w:rFonts w:ascii="宋体" w:hAnsi="宋体" w:cs="宋体" w:eastAsia="宋体" w:hint="default"/>
        </w:rPr>
        <w:t>1</w:t>
      </w:r>
      <w:r>
        <w:rPr/>
        <w:t>）追溯重述法</w:t>
      </w:r>
      <w:r>
        <w:rPr>
          <w:w w:val="99"/>
        </w:rPr>
        <w:t> </w:t>
      </w:r>
      <w:r>
        <w:rPr>
          <w:rFonts w:ascii="宋体" w:hAnsi="宋体" w:cs="宋体" w:eastAsia="宋体" w:hint="default"/>
          <w:b w:val="0"/>
          <w:bCs w:val="0"/>
        </w:rPr>
        <w:t>无</w:t>
      </w:r>
    </w:p>
    <w:p>
      <w:pPr>
        <w:pStyle w:val="Heading2"/>
        <w:spacing w:line="352" w:lineRule="auto" w:before="35"/>
        <w:ind w:left="633" w:right="8463" w:firstLine="2"/>
        <w:jc w:val="left"/>
        <w:rPr>
          <w:rFonts w:ascii="宋体" w:hAnsi="宋体" w:cs="宋体" w:eastAsia="宋体" w:hint="default"/>
          <w:b w:val="0"/>
          <w:bCs w:val="0"/>
        </w:rPr>
      </w:pPr>
      <w:bookmarkStart w:name="（2）未来适用法" w:id="512"/>
      <w:bookmarkEnd w:id="512"/>
      <w:r>
        <w:rPr>
          <w:b w:val="0"/>
          <w:bCs w:val="0"/>
        </w:rPr>
      </w:r>
      <w:r>
        <w:rPr/>
        <w:t>（</w:t>
      </w:r>
      <w:r>
        <w:rPr>
          <w:rFonts w:ascii="宋体" w:hAnsi="宋体" w:cs="宋体" w:eastAsia="宋体" w:hint="default"/>
        </w:rPr>
        <w:t>2</w:t>
      </w:r>
      <w:r>
        <w:rPr/>
        <w:t>）未来适用法</w:t>
      </w:r>
      <w:r>
        <w:rPr>
          <w:w w:val="99"/>
        </w:rPr>
        <w:t> </w:t>
      </w:r>
      <w:r>
        <w:rPr>
          <w:rFonts w:ascii="宋体" w:hAnsi="宋体" w:cs="宋体" w:eastAsia="宋体" w:hint="default"/>
          <w:b w:val="0"/>
          <w:bCs w:val="0"/>
        </w:rPr>
        <w:t>无</w:t>
      </w:r>
    </w:p>
    <w:p>
      <w:pPr>
        <w:pStyle w:val="Heading2"/>
        <w:spacing w:line="352" w:lineRule="auto" w:before="32"/>
        <w:ind w:left="633" w:right="8945" w:firstLine="2"/>
        <w:jc w:val="left"/>
        <w:rPr>
          <w:b w:val="0"/>
          <w:bCs w:val="0"/>
        </w:rPr>
      </w:pPr>
      <w:bookmarkStart w:name="2、债务重组" w:id="513"/>
      <w:bookmarkEnd w:id="513"/>
      <w:r>
        <w:rPr>
          <w:b w:val="0"/>
          <w:bCs w:val="0"/>
        </w:rPr>
      </w:r>
      <w:r>
        <w:rPr>
          <w:rFonts w:ascii="宋体" w:hAnsi="宋体" w:cs="宋体" w:eastAsia="宋体" w:hint="default"/>
        </w:rPr>
        <w:t>2</w:t>
      </w:r>
      <w:r>
        <w:rPr/>
        <w:t>、债务重组</w:t>
      </w:r>
      <w:r>
        <w:rPr>
          <w:w w:val="99"/>
        </w:rPr>
        <w:t> </w:t>
      </w:r>
      <w:r>
        <w:rPr>
          <w:rFonts w:ascii="宋体" w:hAnsi="宋体" w:cs="宋体" w:eastAsia="宋体" w:hint="default"/>
          <w:b w:val="0"/>
          <w:bCs w:val="0"/>
        </w:rPr>
        <w:t>无 </w:t>
      </w:r>
      <w:bookmarkStart w:name="3、资产置换" w:id="514"/>
      <w:bookmarkEnd w:id="514"/>
      <w:r>
        <w:rPr>
          <w:rFonts w:ascii="宋体" w:hAnsi="宋体" w:cs="宋体" w:eastAsia="宋体" w:hint="default"/>
          <w:b w:val="0"/>
          <w:bCs w:val="0"/>
        </w:rPr>
      </w:r>
      <w:r>
        <w:rPr>
          <w:rFonts w:ascii="宋体" w:hAnsi="宋体" w:cs="宋体" w:eastAsia="宋体" w:hint="default"/>
        </w:rPr>
        <w:t>3</w:t>
      </w:r>
      <w:r>
        <w:rPr/>
        <w:t>、资产置换</w:t>
      </w:r>
      <w:r>
        <w:rPr>
          <w:b w:val="0"/>
          <w:bCs w:val="0"/>
        </w:rPr>
      </w:r>
    </w:p>
    <w:p>
      <w:pPr>
        <w:pStyle w:val="Heading2"/>
        <w:spacing w:line="350" w:lineRule="auto" w:before="32"/>
        <w:ind w:left="633" w:right="7741" w:firstLine="2"/>
        <w:jc w:val="left"/>
        <w:rPr>
          <w:rFonts w:ascii="宋体" w:hAnsi="宋体" w:cs="宋体" w:eastAsia="宋体" w:hint="default"/>
          <w:b w:val="0"/>
          <w:bCs w:val="0"/>
        </w:rPr>
      </w:pPr>
      <w:bookmarkStart w:name="（1）非货币性资产交换" w:id="515"/>
      <w:bookmarkEnd w:id="515"/>
      <w:r>
        <w:rPr>
          <w:b w:val="0"/>
          <w:bCs w:val="0"/>
        </w:rPr>
      </w:r>
      <w:r>
        <w:rPr/>
        <w:t>（</w:t>
      </w:r>
      <w:r>
        <w:rPr>
          <w:rFonts w:ascii="宋体" w:hAnsi="宋体" w:cs="宋体" w:eastAsia="宋体" w:hint="default"/>
        </w:rPr>
        <w:t>1</w:t>
      </w:r>
      <w:r>
        <w:rPr/>
        <w:t>）非货币性资产交换</w:t>
      </w:r>
      <w:r>
        <w:rPr>
          <w:w w:val="99"/>
        </w:rPr>
        <w:t> </w:t>
      </w:r>
      <w:r>
        <w:rPr>
          <w:rFonts w:ascii="宋体" w:hAnsi="宋体" w:cs="宋体" w:eastAsia="宋体" w:hint="default"/>
          <w:b w:val="0"/>
          <w:bCs w:val="0"/>
        </w:rPr>
        <w:t>无</w:t>
      </w:r>
    </w:p>
    <w:p>
      <w:pPr>
        <w:spacing w:after="0" w:line="350" w:lineRule="auto"/>
        <w:jc w:val="left"/>
        <w:rPr>
          <w:rFonts w:ascii="宋体" w:hAnsi="宋体" w:cs="宋体" w:eastAsia="宋体" w:hint="default"/>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Heading2"/>
        <w:spacing w:line="350" w:lineRule="auto" w:before="199"/>
        <w:ind w:left="633" w:right="8222" w:firstLine="2"/>
        <w:jc w:val="left"/>
        <w:rPr>
          <w:rFonts w:ascii="宋体" w:hAnsi="宋体" w:cs="宋体" w:eastAsia="宋体" w:hint="default"/>
          <w:b w:val="0"/>
          <w:bCs w:val="0"/>
        </w:rPr>
      </w:pPr>
      <w:bookmarkStart w:name="（2）其他资产置换" w:id="516"/>
      <w:bookmarkEnd w:id="516"/>
      <w:r>
        <w:rPr>
          <w:b w:val="0"/>
          <w:bCs w:val="0"/>
        </w:rPr>
      </w:r>
      <w:r>
        <w:rPr/>
        <w:t>（</w:t>
      </w:r>
      <w:r>
        <w:rPr>
          <w:rFonts w:ascii="宋体" w:hAnsi="宋体" w:cs="宋体" w:eastAsia="宋体" w:hint="default"/>
        </w:rPr>
        <w:t>2</w:t>
      </w:r>
      <w:r>
        <w:rPr/>
        <w:t>）其他资产置换</w:t>
      </w:r>
      <w:r>
        <w:rPr>
          <w:w w:val="99"/>
        </w:rPr>
        <w:t> </w:t>
      </w:r>
      <w:r>
        <w:rPr>
          <w:rFonts w:ascii="宋体" w:hAnsi="宋体" w:cs="宋体" w:eastAsia="宋体" w:hint="default"/>
          <w:b w:val="0"/>
          <w:bCs w:val="0"/>
        </w:rPr>
        <w:t>无</w:t>
      </w:r>
    </w:p>
    <w:p>
      <w:pPr>
        <w:pStyle w:val="Heading2"/>
        <w:spacing w:line="350" w:lineRule="auto" w:before="36"/>
        <w:ind w:left="633" w:right="8945" w:firstLine="2"/>
        <w:jc w:val="left"/>
        <w:rPr>
          <w:b w:val="0"/>
          <w:bCs w:val="0"/>
        </w:rPr>
      </w:pPr>
      <w:bookmarkStart w:name="4、年金计划" w:id="517"/>
      <w:bookmarkEnd w:id="517"/>
      <w:r>
        <w:rPr>
          <w:b w:val="0"/>
          <w:bCs w:val="0"/>
        </w:rPr>
      </w:r>
      <w:r>
        <w:rPr>
          <w:rFonts w:ascii="宋体" w:hAnsi="宋体" w:cs="宋体" w:eastAsia="宋体" w:hint="default"/>
        </w:rPr>
        <w:t>4</w:t>
      </w:r>
      <w:r>
        <w:rPr/>
        <w:t>、年金计划</w:t>
      </w:r>
      <w:r>
        <w:rPr>
          <w:w w:val="99"/>
        </w:rPr>
        <w:t> </w:t>
      </w:r>
      <w:r>
        <w:rPr>
          <w:rFonts w:ascii="宋体" w:hAnsi="宋体" w:cs="宋体" w:eastAsia="宋体" w:hint="default"/>
          <w:b w:val="0"/>
          <w:bCs w:val="0"/>
        </w:rPr>
        <w:t>无 </w:t>
      </w:r>
      <w:bookmarkStart w:name="5、终止经营" w:id="518"/>
      <w:bookmarkEnd w:id="518"/>
      <w:r>
        <w:rPr>
          <w:rFonts w:ascii="宋体" w:hAnsi="宋体" w:cs="宋体" w:eastAsia="宋体" w:hint="default"/>
          <w:b w:val="0"/>
          <w:bCs w:val="0"/>
        </w:rPr>
      </w:r>
      <w:r>
        <w:rPr>
          <w:rFonts w:ascii="宋体" w:hAnsi="宋体" w:cs="宋体" w:eastAsia="宋体" w:hint="default"/>
        </w:rPr>
        <w:t>5</w:t>
      </w:r>
      <w:r>
        <w:rPr/>
        <w:t>、终止经营</w:t>
      </w:r>
      <w:r>
        <w:rPr>
          <w:w w:val="99"/>
        </w:rPr>
        <w:t> </w:t>
      </w:r>
      <w:r>
        <w:rPr>
          <w:rFonts w:ascii="宋体" w:hAnsi="宋体" w:cs="宋体" w:eastAsia="宋体" w:hint="default"/>
          <w:b w:val="0"/>
          <w:bCs w:val="0"/>
        </w:rPr>
        <w:t>无 </w:t>
      </w:r>
      <w:bookmarkStart w:name="6、分部信息" w:id="519"/>
      <w:bookmarkEnd w:id="519"/>
      <w:r>
        <w:rPr>
          <w:rFonts w:ascii="宋体" w:hAnsi="宋体" w:cs="宋体" w:eastAsia="宋体" w:hint="default"/>
          <w:b w:val="0"/>
          <w:bCs w:val="0"/>
        </w:rPr>
      </w:r>
      <w:r>
        <w:rPr>
          <w:rFonts w:ascii="宋体" w:hAnsi="宋体" w:cs="宋体" w:eastAsia="宋体" w:hint="default"/>
        </w:rPr>
        <w:t>6</w:t>
      </w:r>
      <w:r>
        <w:rPr/>
        <w:t>、分部信息</w:t>
      </w:r>
      <w:r>
        <w:rPr>
          <w:b w:val="0"/>
          <w:bCs w:val="0"/>
        </w:rPr>
      </w:r>
    </w:p>
    <w:p>
      <w:pPr>
        <w:pStyle w:val="Heading2"/>
        <w:spacing w:line="240" w:lineRule="auto" w:before="35"/>
        <w:ind w:right="996"/>
        <w:jc w:val="left"/>
        <w:rPr>
          <w:b w:val="0"/>
          <w:bCs w:val="0"/>
        </w:rPr>
      </w:pPr>
      <w:bookmarkStart w:name="（1）报告分部的确定依据与会计政策" w:id="520"/>
      <w:bookmarkEnd w:id="520"/>
      <w:r>
        <w:rPr>
          <w:b w:val="0"/>
          <w:bCs w:val="0"/>
        </w:rPr>
      </w:r>
      <w:r>
        <w:rPr/>
        <w:t>（</w:t>
      </w:r>
      <w:r>
        <w:rPr>
          <w:rFonts w:ascii="宋体" w:hAnsi="宋体" w:cs="宋体" w:eastAsia="宋体" w:hint="default"/>
        </w:rPr>
        <w:t>1</w:t>
      </w:r>
      <w:r>
        <w:rPr/>
        <w:t>）报告分部的确定依据与会计政策</w:t>
      </w:r>
      <w:r>
        <w:rPr>
          <w:b w:val="0"/>
          <w:bCs w:val="0"/>
        </w:rPr>
      </w:r>
    </w:p>
    <w:p>
      <w:pPr>
        <w:spacing w:line="350" w:lineRule="auto" w:before="146"/>
        <w:ind w:left="633" w:right="1153" w:firstLine="2"/>
        <w:jc w:val="left"/>
        <w:rPr>
          <w:rFonts w:ascii="宋体" w:hAnsi="宋体" w:cs="宋体" w:eastAsia="宋体" w:hint="default"/>
          <w:sz w:val="24"/>
          <w:szCs w:val="24"/>
        </w:rPr>
      </w:pPr>
      <w:r>
        <w:rPr>
          <w:rFonts w:ascii="宋体" w:hAnsi="宋体" w:cs="宋体" w:eastAsia="宋体" w:hint="default"/>
          <w:b/>
          <w:bCs/>
          <w:sz w:val="24"/>
          <w:szCs w:val="24"/>
        </w:rPr>
        <w:t>①报告分部的确定依据与会计政策</w:t>
      </w:r>
      <w:r>
        <w:rPr>
          <w:rFonts w:ascii="宋体" w:hAnsi="宋体" w:cs="宋体" w:eastAsia="宋体" w:hint="default"/>
          <w:b/>
          <w:bCs/>
          <w:w w:val="99"/>
          <w:sz w:val="24"/>
          <w:szCs w:val="24"/>
        </w:rPr>
        <w:t> </w:t>
      </w:r>
      <w:r>
        <w:rPr>
          <w:rFonts w:ascii="宋体" w:hAnsi="宋体" w:cs="宋体" w:eastAsia="宋体" w:hint="default"/>
          <w:sz w:val="24"/>
          <w:szCs w:val="24"/>
        </w:rPr>
        <w:t>本公司以内部组织结构、管理要求、内部报告制度为依据确定经营分部。本公司的经营</w:t>
      </w:r>
    </w:p>
    <w:p>
      <w:pPr>
        <w:pStyle w:val="BodyText"/>
        <w:spacing w:line="352" w:lineRule="auto" w:before="35"/>
        <w:ind w:left="633" w:right="4513" w:hanging="480"/>
        <w:jc w:val="left"/>
      </w:pPr>
      <w:r>
        <w:rPr/>
        <w:t>分部是指同时满足下列条件的组成部分： </w:t>
      </w:r>
      <w:r>
        <w:rPr>
          <w:rFonts w:ascii="宋体" w:hAnsi="宋体" w:cs="宋体" w:eastAsia="宋体" w:hint="default"/>
        </w:rPr>
        <w:t>1)</w:t>
      </w:r>
      <w:r>
        <w:rPr/>
        <w:t>该组成部分能够在日常活动中产生收入、发生费用；</w:t>
      </w:r>
    </w:p>
    <w:p>
      <w:pPr>
        <w:pStyle w:val="BodyText"/>
        <w:spacing w:line="240" w:lineRule="auto" w:before="32"/>
        <w:ind w:left="633" w:right="996"/>
        <w:jc w:val="left"/>
      </w:pPr>
      <w:r>
        <w:rPr>
          <w:rFonts w:ascii="宋体" w:hAnsi="宋体" w:cs="宋体" w:eastAsia="宋体" w:hint="default"/>
        </w:rPr>
        <w:t>2)</w:t>
      </w:r>
      <w:r>
        <w:rPr/>
        <w:t>管理层能够定期评价该组成部分的经营成果，以决定向其配置资源、评价其业绩；</w:t>
      </w:r>
    </w:p>
    <w:p>
      <w:pPr>
        <w:pStyle w:val="BodyText"/>
        <w:spacing w:line="352" w:lineRule="auto" w:before="145"/>
        <w:ind w:left="633" w:right="996"/>
        <w:jc w:val="left"/>
      </w:pPr>
      <w:r>
        <w:rPr>
          <w:rFonts w:ascii="宋体" w:hAnsi="宋体" w:cs="宋体" w:eastAsia="宋体" w:hint="default"/>
        </w:rPr>
        <w:t>3</w:t>
      </w:r>
      <w:r>
        <w:rPr/>
        <w:t>）能够取得该组成部分的财务状况、经营成果和现金流量等有关会计信息。 </w:t>
      </w:r>
      <w:r>
        <w:rPr>
          <w:spacing w:val="-3"/>
        </w:rPr>
        <w:t>本公司以经营分部为基础确定报告分部，满足下列条件之一的经营分部确定为报告分部：</w:t>
      </w:r>
      <w:r>
        <w:rPr>
          <w:spacing w:val="-85"/>
        </w:rPr>
        <w:t> </w:t>
      </w:r>
      <w:r>
        <w:rPr>
          <w:spacing w:val="-85"/>
        </w:rPr>
      </w:r>
      <w:r>
        <w:rPr>
          <w:rFonts w:ascii="宋体" w:hAnsi="宋体" w:cs="宋体" w:eastAsia="宋体" w:hint="default"/>
        </w:rPr>
        <w:t>1)</w:t>
      </w:r>
      <w:r>
        <w:rPr/>
        <w:t>该经营分部的分部收入占所有分部收入合计的</w:t>
      </w:r>
      <w:r>
        <w:rPr>
          <w:rFonts w:ascii="宋体" w:hAnsi="宋体" w:cs="宋体" w:eastAsia="宋体" w:hint="default"/>
        </w:rPr>
        <w:t>10%</w:t>
      </w:r>
      <w:r>
        <w:rPr/>
        <w:t>或者以上；</w:t>
      </w:r>
    </w:p>
    <w:p>
      <w:pPr>
        <w:pStyle w:val="BodyText"/>
        <w:spacing w:line="352" w:lineRule="auto" w:before="32"/>
        <w:ind w:right="1153" w:firstLine="480"/>
        <w:jc w:val="left"/>
      </w:pPr>
      <w:r>
        <w:rPr>
          <w:rFonts w:ascii="宋体" w:hAnsi="宋体" w:cs="宋体" w:eastAsia="宋体" w:hint="default"/>
        </w:rPr>
        <w:t>2)</w:t>
      </w:r>
      <w:r>
        <w:rPr/>
        <w:t>该分部的分部利润（亏损）的绝对额，占所有盈利分部利润合计额或者所有亏损分部 亏损合计额的绝对额两者中较大者的</w:t>
      </w:r>
      <w:r>
        <w:rPr>
          <w:rFonts w:ascii="宋体" w:hAnsi="宋体" w:cs="宋体" w:eastAsia="宋体" w:hint="default"/>
        </w:rPr>
        <w:t>10%</w:t>
      </w:r>
      <w:r>
        <w:rPr/>
        <w:t>或者以上。</w:t>
      </w:r>
    </w:p>
    <w:p>
      <w:pPr>
        <w:pStyle w:val="BodyText"/>
        <w:spacing w:line="352" w:lineRule="auto" w:before="32"/>
        <w:ind w:right="1131" w:firstLine="480"/>
        <w:jc w:val="both"/>
      </w:pPr>
      <w:r>
        <w:rPr/>
        <w:t>按上述会计政策确定的报告分部的经营分部的对外交易收入合计额占合并总收入的比重 </w:t>
      </w:r>
      <w:r>
        <w:rPr>
          <w:spacing w:val="-2"/>
        </w:rPr>
        <w:t>未达到</w:t>
      </w:r>
      <w:r>
        <w:rPr>
          <w:rFonts w:ascii="宋体" w:hAnsi="宋体" w:cs="宋体" w:eastAsia="宋体" w:hint="default"/>
          <w:spacing w:val="-2"/>
        </w:rPr>
        <w:t>75%</w:t>
      </w:r>
      <w:r>
        <w:rPr>
          <w:spacing w:val="-2"/>
        </w:rPr>
        <w:t>时，增加报告分部的数量，按下述规定将其他未作为报告分部的经营分部纳入报告</w:t>
      </w:r>
      <w:r>
        <w:rPr>
          <w:spacing w:val="-118"/>
        </w:rPr>
        <w:t> </w:t>
      </w:r>
      <w:r>
        <w:rPr>
          <w:spacing w:val="-118"/>
        </w:rPr>
      </w:r>
      <w:r>
        <w:rPr/>
        <w:t>分部的范围，直到该比重达到</w:t>
      </w:r>
      <w:r>
        <w:rPr>
          <w:rFonts w:ascii="宋体" w:hAnsi="宋体" w:cs="宋体" w:eastAsia="宋体" w:hint="default"/>
        </w:rPr>
        <w:t>75%</w:t>
      </w:r>
      <w:r>
        <w:rPr/>
        <w:t>：</w:t>
      </w:r>
    </w:p>
    <w:p>
      <w:pPr>
        <w:pStyle w:val="BodyText"/>
        <w:spacing w:line="350" w:lineRule="auto" w:before="32"/>
        <w:ind w:right="1393" w:firstLine="480"/>
        <w:jc w:val="left"/>
      </w:pPr>
      <w:r>
        <w:rPr>
          <w:rFonts w:ascii="宋体" w:hAnsi="宋体" w:cs="宋体" w:eastAsia="宋体" w:hint="default"/>
        </w:rPr>
        <w:t>1)</w:t>
      </w:r>
      <w:r>
        <w:rPr/>
        <w:t>将管理层认为披露该经营分部信息对会计信息使用者有用的经营分部确定为报告分 部；</w:t>
      </w:r>
    </w:p>
    <w:p>
      <w:pPr>
        <w:pStyle w:val="BodyText"/>
        <w:spacing w:line="350" w:lineRule="auto"/>
        <w:ind w:right="1153" w:firstLine="480"/>
        <w:jc w:val="left"/>
      </w:pPr>
      <w:r>
        <w:rPr>
          <w:rFonts w:ascii="宋体" w:hAnsi="宋体" w:cs="宋体" w:eastAsia="宋体" w:hint="default"/>
        </w:rPr>
        <w:t>2)</w:t>
      </w:r>
      <w:r>
        <w:rPr/>
        <w:t>将该经营分部与一个或一个以上的具有相似经济特征、满足经营分部合并条件的其他 经营分部合并，作为一个报告分部。</w:t>
      </w:r>
    </w:p>
    <w:p>
      <w:pPr>
        <w:pStyle w:val="BodyText"/>
        <w:spacing w:line="352" w:lineRule="auto" w:before="35"/>
        <w:ind w:right="1153" w:firstLine="480"/>
        <w:jc w:val="left"/>
      </w:pPr>
      <w:r>
        <w:rPr/>
        <w:t>分部间转移价格参照市场价格确定，与各分部共同使用的资产、相关的费用按照收入比 例在不同的分部之间分配。</w:t>
      </w:r>
    </w:p>
    <w:p>
      <w:pPr>
        <w:spacing w:line="350" w:lineRule="auto" w:before="33"/>
        <w:ind w:left="633" w:right="1153" w:firstLine="2"/>
        <w:jc w:val="left"/>
        <w:rPr>
          <w:rFonts w:ascii="宋体" w:hAnsi="宋体" w:cs="宋体" w:eastAsia="宋体" w:hint="default"/>
          <w:sz w:val="24"/>
          <w:szCs w:val="24"/>
        </w:rPr>
      </w:pPr>
      <w:r>
        <w:rPr>
          <w:rFonts w:ascii="宋体" w:hAnsi="宋体" w:cs="宋体" w:eastAsia="宋体" w:hint="default"/>
          <w:b/>
          <w:bCs/>
          <w:sz w:val="24"/>
          <w:szCs w:val="24"/>
        </w:rPr>
        <w:t>②本公司确定报告分部考虑的因素、报告分部的产品和劳务的类型</w:t>
      </w:r>
      <w:r>
        <w:rPr>
          <w:rFonts w:ascii="宋体" w:hAnsi="宋体" w:cs="宋体" w:eastAsia="宋体" w:hint="default"/>
          <w:b/>
          <w:bCs/>
          <w:w w:val="99"/>
          <w:sz w:val="24"/>
          <w:szCs w:val="24"/>
        </w:rPr>
        <w:t> </w:t>
      </w:r>
      <w:r>
        <w:rPr>
          <w:rFonts w:ascii="宋体" w:hAnsi="宋体" w:cs="宋体" w:eastAsia="宋体" w:hint="default"/>
          <w:sz w:val="24"/>
          <w:szCs w:val="24"/>
        </w:rPr>
        <w:t>本公司报告分部生产经营活动及业务内容相同：为铁路信号通信产品的研发、生产、销</w:t>
      </w:r>
    </w:p>
    <w:p>
      <w:pPr>
        <w:pStyle w:val="BodyText"/>
        <w:spacing w:line="240" w:lineRule="auto"/>
        <w:ind w:right="996"/>
        <w:jc w:val="left"/>
      </w:pPr>
      <w:r>
        <w:rPr/>
        <w:t>售、安装和维护等；但从内部组织结构、管理要求、内部报告制度及地理区域等方面分为如</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240" w:lineRule="auto" w:before="199"/>
        <w:ind w:left="253" w:right="997"/>
        <w:jc w:val="left"/>
      </w:pPr>
      <w:r>
        <w:rPr/>
        <w:t>下</w:t>
      </w:r>
      <w:r>
        <w:rPr>
          <w:rFonts w:ascii="宋体" w:hAnsi="宋体" w:cs="宋体" w:eastAsia="宋体" w:hint="default"/>
        </w:rPr>
        <w:t>3</w:t>
      </w:r>
      <w:r>
        <w:rPr/>
        <w:t>个分部：</w:t>
      </w:r>
    </w:p>
    <w:p>
      <w:pPr>
        <w:pStyle w:val="BodyText"/>
        <w:spacing w:line="352" w:lineRule="auto" w:before="145"/>
        <w:ind w:left="253" w:right="1170" w:firstLine="480"/>
        <w:jc w:val="both"/>
      </w:pPr>
      <w:r>
        <w:rPr/>
        <w:t>郑州分部、北京分部。郑州分部包括：股份本部、河南辉煌软件有限公司、河南辉煌信 通软件有限公司、北京全路信通软件科技有限公司、河南辉煌城轨科技有限公司；北京分部 包括：北京国铁路阳技术有限公司、北京国铁路阳软件有限公司、天津辉煌路阳科技有限公 司、天津信通铁路电气技术有限公司、天津智信源科技有限公司；其他分部：成都西南交大 驱动技术有限责任公司、成都新一驱动科技有限责任公司。</w:t>
      </w:r>
    </w:p>
    <w:p>
      <w:pPr>
        <w:pStyle w:val="Heading2"/>
        <w:spacing w:line="240" w:lineRule="auto" w:before="32"/>
        <w:ind w:left="736" w:right="997"/>
        <w:jc w:val="left"/>
        <w:rPr>
          <w:b w:val="0"/>
          <w:bCs w:val="0"/>
        </w:rPr>
      </w:pPr>
      <w:bookmarkStart w:name="（2）报告分部的财务信息" w:id="521"/>
      <w:bookmarkEnd w:id="521"/>
      <w:r>
        <w:rPr>
          <w:b w:val="0"/>
          <w:bCs w:val="0"/>
        </w:rPr>
      </w:r>
      <w:r>
        <w:rPr/>
        <w:t>（</w:t>
      </w:r>
      <w:r>
        <w:rPr>
          <w:rFonts w:ascii="宋体" w:hAnsi="宋体" w:cs="宋体" w:eastAsia="宋体" w:hint="default"/>
        </w:rPr>
        <w:t>2</w:t>
      </w:r>
      <w:r>
        <w:rPr/>
        <w:t>）报告分部的财务信息</w:t>
      </w:r>
      <w:r>
        <w:rPr>
          <w:b w:val="0"/>
          <w:bCs w:val="0"/>
        </w:rPr>
      </w:r>
    </w:p>
    <w:p>
      <w:pPr>
        <w:spacing w:before="83"/>
        <w:ind w:left="0" w:right="1129" w:firstLine="0"/>
        <w:jc w:val="right"/>
        <w:rPr>
          <w:rFonts w:ascii="宋体" w:hAnsi="宋体" w:cs="宋体" w:eastAsia="宋体" w:hint="default"/>
          <w:sz w:val="21"/>
          <w:szCs w:val="21"/>
        </w:rPr>
      </w:pPr>
      <w:r>
        <w:rPr>
          <w:rFonts w:ascii="宋体" w:hAnsi="宋体" w:cs="宋体" w:eastAsia="宋体" w:hint="default"/>
          <w:sz w:val="21"/>
          <w:szCs w:val="21"/>
        </w:rPr>
        <w:t>单位： 元</w:t>
      </w:r>
    </w:p>
    <w:p>
      <w:pPr>
        <w:spacing w:line="240" w:lineRule="auto" w:before="0"/>
        <w:rPr>
          <w:rFonts w:ascii="宋体" w:hAnsi="宋体" w:cs="宋体" w:eastAsia="宋体" w:hint="default"/>
          <w:sz w:val="7"/>
          <w:szCs w:val="7"/>
        </w:rPr>
      </w:pPr>
    </w:p>
    <w:tbl>
      <w:tblPr>
        <w:tblW w:w="0" w:type="auto"/>
        <w:jc w:val="left"/>
        <w:tblInd w:w="117" w:type="dxa"/>
        <w:tblLayout w:type="fixed"/>
        <w:tblCellMar>
          <w:top w:w="0" w:type="dxa"/>
          <w:left w:w="0" w:type="dxa"/>
          <w:bottom w:w="0" w:type="dxa"/>
          <w:right w:w="0" w:type="dxa"/>
        </w:tblCellMar>
        <w:tblLook w:val="01E0"/>
      </w:tblPr>
      <w:tblGrid>
        <w:gridCol w:w="1856"/>
        <w:gridCol w:w="1605"/>
        <w:gridCol w:w="1595"/>
        <w:gridCol w:w="1594"/>
        <w:gridCol w:w="1594"/>
        <w:gridCol w:w="1669"/>
      </w:tblGrid>
      <w:tr>
        <w:trPr>
          <w:trHeight w:val="402" w:hRule="exact"/>
        </w:trPr>
        <w:tc>
          <w:tcPr>
            <w:tcW w:w="18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6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383" w:right="0"/>
              <w:jc w:val="left"/>
              <w:rPr>
                <w:rFonts w:ascii="宋体" w:hAnsi="宋体" w:cs="宋体" w:eastAsia="宋体" w:hint="default"/>
                <w:sz w:val="21"/>
                <w:szCs w:val="21"/>
              </w:rPr>
            </w:pPr>
            <w:r>
              <w:rPr>
                <w:rFonts w:ascii="宋体" w:hAnsi="宋体" w:cs="宋体" w:eastAsia="宋体" w:hint="default"/>
                <w:sz w:val="21"/>
                <w:szCs w:val="21"/>
              </w:rPr>
              <w:t>郑州分部</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372" w:right="0"/>
              <w:jc w:val="left"/>
              <w:rPr>
                <w:rFonts w:ascii="宋体" w:hAnsi="宋体" w:cs="宋体" w:eastAsia="宋体" w:hint="default"/>
                <w:sz w:val="21"/>
                <w:szCs w:val="21"/>
              </w:rPr>
            </w:pPr>
            <w:r>
              <w:rPr>
                <w:rFonts w:ascii="宋体" w:hAnsi="宋体" w:cs="宋体" w:eastAsia="宋体" w:hint="default"/>
                <w:sz w:val="21"/>
                <w:szCs w:val="21"/>
              </w:rPr>
              <w:t>北京分部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371" w:right="0"/>
              <w:jc w:val="left"/>
              <w:rPr>
                <w:rFonts w:ascii="宋体" w:hAnsi="宋体" w:cs="宋体" w:eastAsia="宋体" w:hint="default"/>
                <w:sz w:val="21"/>
                <w:szCs w:val="21"/>
              </w:rPr>
            </w:pPr>
            <w:r>
              <w:rPr>
                <w:rFonts w:ascii="宋体" w:hAnsi="宋体" w:cs="宋体" w:eastAsia="宋体" w:hint="default"/>
                <w:sz w:val="21"/>
                <w:szCs w:val="21"/>
              </w:rPr>
              <w:t>其他分部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分部间抵销</w:t>
            </w:r>
          </w:p>
        </w:tc>
        <w:tc>
          <w:tcPr>
            <w:tcW w:w="16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合计</w:t>
            </w:r>
          </w:p>
        </w:tc>
      </w:tr>
      <w:tr>
        <w:trPr>
          <w:trHeight w:val="402" w:hRule="exact"/>
        </w:trPr>
        <w:tc>
          <w:tcPr>
            <w:tcW w:w="18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一</w:t>
            </w:r>
            <w:r>
              <w:rPr>
                <w:rFonts w:ascii="宋体" w:hAnsi="宋体" w:cs="宋体" w:eastAsia="宋体" w:hint="default"/>
                <w:sz w:val="21"/>
                <w:szCs w:val="21"/>
              </w:rPr>
              <w:t>.</w:t>
            </w:r>
            <w:r>
              <w:rPr>
                <w:rFonts w:ascii="宋体" w:hAnsi="宋体" w:cs="宋体" w:eastAsia="宋体" w:hint="default"/>
                <w:spacing w:val="-1"/>
                <w:sz w:val="21"/>
                <w:szCs w:val="21"/>
              </w:rPr>
              <w:t> </w:t>
            </w:r>
            <w:r>
              <w:rPr>
                <w:rFonts w:ascii="宋体" w:hAnsi="宋体" w:cs="宋体" w:eastAsia="宋体" w:hint="default"/>
                <w:sz w:val="21"/>
                <w:szCs w:val="21"/>
              </w:rPr>
              <w:t>营业收入</w:t>
            </w:r>
          </w:p>
        </w:tc>
        <w:tc>
          <w:tcPr>
            <w:tcW w:w="16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19"/>
              <w:jc w:val="right"/>
              <w:rPr>
                <w:rFonts w:ascii="宋体" w:hAnsi="宋体" w:cs="宋体" w:eastAsia="宋体" w:hint="default"/>
                <w:sz w:val="21"/>
                <w:szCs w:val="21"/>
              </w:rPr>
            </w:pPr>
            <w:r>
              <w:rPr>
                <w:rFonts w:ascii="宋体"/>
                <w:sz w:val="21"/>
              </w:rPr>
              <w:t>399,269,258.13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116,303,316.53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39,863,926.47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73" w:right="0"/>
              <w:jc w:val="center"/>
              <w:rPr>
                <w:rFonts w:ascii="宋体" w:hAnsi="宋体" w:cs="宋体" w:eastAsia="宋体" w:hint="default"/>
                <w:sz w:val="21"/>
                <w:szCs w:val="21"/>
              </w:rPr>
            </w:pPr>
            <w:r>
              <w:rPr>
                <w:rFonts w:ascii="宋体"/>
                <w:sz w:val="21"/>
              </w:rPr>
              <w:t>-8,543,988.28</w:t>
            </w:r>
          </w:p>
        </w:tc>
        <w:tc>
          <w:tcPr>
            <w:tcW w:w="16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546,892,512.85</w:t>
            </w:r>
          </w:p>
        </w:tc>
      </w:tr>
      <w:tr>
        <w:trPr>
          <w:trHeight w:val="402" w:hRule="exact"/>
        </w:trPr>
        <w:tc>
          <w:tcPr>
            <w:tcW w:w="18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pacing w:val="-8"/>
                <w:sz w:val="21"/>
                <w:szCs w:val="21"/>
              </w:rPr>
              <w:t>其中：对外交易收入</w:t>
            </w:r>
          </w:p>
        </w:tc>
        <w:tc>
          <w:tcPr>
            <w:tcW w:w="16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19"/>
              <w:jc w:val="right"/>
              <w:rPr>
                <w:rFonts w:ascii="宋体" w:hAnsi="宋体" w:cs="宋体" w:eastAsia="宋体" w:hint="default"/>
                <w:sz w:val="21"/>
                <w:szCs w:val="21"/>
              </w:rPr>
            </w:pPr>
            <w:r>
              <w:rPr>
                <w:rFonts w:ascii="宋体"/>
                <w:sz w:val="21"/>
              </w:rPr>
              <w:t>397,028,692.09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109,999,894.29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39,863,926.47</w:t>
            </w:r>
          </w:p>
        </w:tc>
        <w:tc>
          <w:tcPr>
            <w:tcW w:w="1594" w:type="dxa"/>
            <w:tcBorders>
              <w:top w:val="single" w:sz="4" w:space="0" w:color="000000"/>
              <w:left w:val="single" w:sz="4" w:space="0" w:color="000000"/>
              <w:bottom w:val="single" w:sz="4" w:space="0" w:color="000000"/>
              <w:right w:val="single" w:sz="4" w:space="0" w:color="000000"/>
            </w:tcBorders>
          </w:tcPr>
          <w:p>
            <w:pPr/>
          </w:p>
        </w:tc>
        <w:tc>
          <w:tcPr>
            <w:tcW w:w="16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546,892,512.85</w:t>
            </w:r>
          </w:p>
        </w:tc>
      </w:tr>
      <w:tr>
        <w:trPr>
          <w:trHeight w:val="402" w:hRule="exact"/>
        </w:trPr>
        <w:tc>
          <w:tcPr>
            <w:tcW w:w="18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分部间交易收入</w:t>
            </w:r>
          </w:p>
        </w:tc>
        <w:tc>
          <w:tcPr>
            <w:tcW w:w="16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19"/>
              <w:jc w:val="right"/>
              <w:rPr>
                <w:rFonts w:ascii="宋体" w:hAnsi="宋体" w:cs="宋体" w:eastAsia="宋体" w:hint="default"/>
                <w:sz w:val="21"/>
                <w:szCs w:val="21"/>
              </w:rPr>
            </w:pPr>
            <w:r>
              <w:rPr>
                <w:rFonts w:ascii="宋体"/>
                <w:sz w:val="21"/>
              </w:rPr>
              <w:t>2,240,566.04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6,303,422.24</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73" w:right="0"/>
              <w:jc w:val="center"/>
              <w:rPr>
                <w:rFonts w:ascii="宋体" w:hAnsi="宋体" w:cs="宋体" w:eastAsia="宋体" w:hint="default"/>
                <w:sz w:val="21"/>
                <w:szCs w:val="21"/>
              </w:rPr>
            </w:pPr>
            <w:r>
              <w:rPr>
                <w:rFonts w:ascii="宋体"/>
                <w:sz w:val="21"/>
              </w:rPr>
              <w:t>-8,543,988.28</w:t>
            </w:r>
          </w:p>
        </w:tc>
        <w:tc>
          <w:tcPr>
            <w:tcW w:w="166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二</w:t>
            </w:r>
            <w:r>
              <w:rPr>
                <w:rFonts w:ascii="宋体" w:hAnsi="宋体" w:cs="宋体" w:eastAsia="宋体" w:hint="default"/>
                <w:sz w:val="21"/>
                <w:szCs w:val="21"/>
              </w:rPr>
              <w:t>.</w:t>
            </w:r>
            <w:r>
              <w:rPr>
                <w:rFonts w:ascii="宋体" w:hAnsi="宋体" w:cs="宋体" w:eastAsia="宋体" w:hint="default"/>
                <w:spacing w:val="-1"/>
                <w:sz w:val="21"/>
                <w:szCs w:val="21"/>
              </w:rPr>
              <w:t> </w:t>
            </w:r>
            <w:r>
              <w:rPr>
                <w:rFonts w:ascii="宋体" w:hAnsi="宋体" w:cs="宋体" w:eastAsia="宋体" w:hint="default"/>
                <w:sz w:val="21"/>
                <w:szCs w:val="21"/>
              </w:rPr>
              <w:t>营业费用</w:t>
            </w:r>
          </w:p>
        </w:tc>
        <w:tc>
          <w:tcPr>
            <w:tcW w:w="16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19"/>
              <w:jc w:val="right"/>
              <w:rPr>
                <w:rFonts w:ascii="宋体" w:hAnsi="宋体" w:cs="宋体" w:eastAsia="宋体" w:hint="default"/>
                <w:sz w:val="21"/>
                <w:szCs w:val="21"/>
              </w:rPr>
            </w:pPr>
            <w:r>
              <w:rPr>
                <w:rFonts w:ascii="宋体"/>
                <w:sz w:val="21"/>
              </w:rPr>
              <w:t>559,264,366.03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97,944,927.39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pacing w:val="-1"/>
                <w:sz w:val="21"/>
              </w:rPr>
              <w:t>28,362,720.50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6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685,572,013.92</w:t>
            </w:r>
          </w:p>
        </w:tc>
      </w:tr>
      <w:tr>
        <w:trPr>
          <w:trHeight w:val="714" w:hRule="exact"/>
        </w:trPr>
        <w:tc>
          <w:tcPr>
            <w:tcW w:w="18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11" w:right="11"/>
              <w:jc w:val="left"/>
              <w:rPr>
                <w:rFonts w:ascii="宋体" w:hAnsi="宋体" w:cs="宋体" w:eastAsia="宋体" w:hint="default"/>
                <w:sz w:val="21"/>
                <w:szCs w:val="21"/>
              </w:rPr>
            </w:pPr>
            <w:r>
              <w:rPr>
                <w:rFonts w:ascii="宋体" w:hAnsi="宋体" w:cs="宋体" w:eastAsia="宋体" w:hint="default"/>
                <w:spacing w:val="-8"/>
                <w:sz w:val="21"/>
                <w:szCs w:val="21"/>
              </w:rPr>
              <w:t>其中：对联营和合营</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企业的投资收益</w:t>
            </w:r>
          </w:p>
        </w:tc>
        <w:tc>
          <w:tcPr>
            <w:tcW w:w="16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0"/>
              <w:jc w:val="right"/>
              <w:rPr>
                <w:rFonts w:ascii="宋体" w:hAnsi="宋体" w:cs="宋体" w:eastAsia="宋体" w:hint="default"/>
                <w:sz w:val="21"/>
                <w:szCs w:val="21"/>
              </w:rPr>
            </w:pPr>
            <w:r>
              <w:rPr>
                <w:rFonts w:ascii="宋体"/>
                <w:spacing w:val="-1"/>
                <w:sz w:val="21"/>
              </w:rPr>
              <w:t>-14,910,780.43</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6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1"/>
              <w:jc w:val="right"/>
              <w:rPr>
                <w:rFonts w:ascii="宋体" w:hAnsi="宋体" w:cs="宋体" w:eastAsia="宋体" w:hint="default"/>
                <w:sz w:val="21"/>
                <w:szCs w:val="21"/>
              </w:rPr>
            </w:pPr>
            <w:r>
              <w:rPr>
                <w:rFonts w:ascii="宋体"/>
                <w:spacing w:val="-1"/>
                <w:sz w:val="21"/>
              </w:rPr>
              <w:t>-14,910,780.43</w:t>
            </w:r>
          </w:p>
        </w:tc>
      </w:tr>
      <w:tr>
        <w:trPr>
          <w:trHeight w:val="402" w:hRule="exact"/>
        </w:trPr>
        <w:tc>
          <w:tcPr>
            <w:tcW w:w="18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资产减值损失</w:t>
            </w:r>
          </w:p>
        </w:tc>
        <w:tc>
          <w:tcPr>
            <w:tcW w:w="16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19"/>
              <w:jc w:val="right"/>
              <w:rPr>
                <w:rFonts w:ascii="宋体" w:hAnsi="宋体" w:cs="宋体" w:eastAsia="宋体" w:hint="default"/>
                <w:sz w:val="21"/>
                <w:szCs w:val="21"/>
              </w:rPr>
            </w:pPr>
            <w:r>
              <w:rPr>
                <w:rFonts w:ascii="宋体"/>
                <w:sz w:val="21"/>
              </w:rPr>
              <w:t>233,026,218.16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1,219,608.03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997,923.43</w:t>
            </w:r>
          </w:p>
        </w:tc>
        <w:tc>
          <w:tcPr>
            <w:tcW w:w="1594" w:type="dxa"/>
            <w:tcBorders>
              <w:top w:val="single" w:sz="4" w:space="0" w:color="000000"/>
              <w:left w:val="single" w:sz="4" w:space="0" w:color="000000"/>
              <w:bottom w:val="single" w:sz="4" w:space="0" w:color="000000"/>
              <w:right w:val="single" w:sz="4" w:space="0" w:color="000000"/>
            </w:tcBorders>
          </w:tcPr>
          <w:p>
            <w:pPr/>
          </w:p>
        </w:tc>
        <w:tc>
          <w:tcPr>
            <w:tcW w:w="16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235,243,749.62</w:t>
            </w:r>
          </w:p>
        </w:tc>
      </w:tr>
      <w:tr>
        <w:trPr>
          <w:trHeight w:val="402" w:hRule="exact"/>
        </w:trPr>
        <w:tc>
          <w:tcPr>
            <w:tcW w:w="18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折旧费和摊销费</w:t>
            </w:r>
          </w:p>
        </w:tc>
        <w:tc>
          <w:tcPr>
            <w:tcW w:w="16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13,545,085.96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2,086,534.97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263,066.77</w:t>
            </w:r>
          </w:p>
        </w:tc>
        <w:tc>
          <w:tcPr>
            <w:tcW w:w="1594" w:type="dxa"/>
            <w:tcBorders>
              <w:top w:val="single" w:sz="4" w:space="0" w:color="000000"/>
              <w:left w:val="single" w:sz="4" w:space="0" w:color="000000"/>
              <w:bottom w:val="single" w:sz="4" w:space="0" w:color="000000"/>
              <w:right w:val="single" w:sz="4" w:space="0" w:color="000000"/>
            </w:tcBorders>
          </w:tcPr>
          <w:p>
            <w:pPr/>
          </w:p>
        </w:tc>
        <w:tc>
          <w:tcPr>
            <w:tcW w:w="16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15,894,687.70</w:t>
            </w:r>
          </w:p>
        </w:tc>
      </w:tr>
      <w:tr>
        <w:trPr>
          <w:trHeight w:val="714" w:hRule="exact"/>
        </w:trPr>
        <w:tc>
          <w:tcPr>
            <w:tcW w:w="18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11" w:right="152"/>
              <w:jc w:val="left"/>
              <w:rPr>
                <w:rFonts w:ascii="宋体" w:hAnsi="宋体" w:cs="宋体" w:eastAsia="宋体" w:hint="default"/>
                <w:sz w:val="21"/>
                <w:szCs w:val="21"/>
              </w:rPr>
            </w:pPr>
            <w:r>
              <w:rPr>
                <w:rFonts w:ascii="宋体" w:hAnsi="宋体" w:cs="宋体" w:eastAsia="宋体" w:hint="default"/>
                <w:sz w:val="21"/>
                <w:szCs w:val="21"/>
              </w:rPr>
              <w:t>三</w:t>
            </w:r>
            <w:r>
              <w:rPr>
                <w:rFonts w:ascii="宋体" w:hAnsi="宋体" w:cs="宋体" w:eastAsia="宋体" w:hint="default"/>
                <w:sz w:val="21"/>
                <w:szCs w:val="21"/>
              </w:rPr>
              <w:t>.</w:t>
            </w:r>
            <w:r>
              <w:rPr>
                <w:rFonts w:ascii="宋体" w:hAnsi="宋体" w:cs="宋体" w:eastAsia="宋体" w:hint="default"/>
                <w:spacing w:val="-1"/>
                <w:sz w:val="21"/>
                <w:szCs w:val="21"/>
              </w:rPr>
              <w:t> </w:t>
            </w:r>
            <w:r>
              <w:rPr>
                <w:rFonts w:ascii="宋体" w:hAnsi="宋体" w:cs="宋体" w:eastAsia="宋体" w:hint="default"/>
                <w:sz w:val="21"/>
                <w:szCs w:val="21"/>
              </w:rPr>
              <w:t>利润总额（亏 损）</w:t>
            </w:r>
          </w:p>
        </w:tc>
        <w:tc>
          <w:tcPr>
            <w:tcW w:w="16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pacing w:val="-1"/>
                <w:sz w:val="21"/>
              </w:rPr>
              <w:t>-162,682,518.8</w:t>
            </w:r>
          </w:p>
          <w:p>
            <w:pPr>
              <w:pStyle w:val="TableParagraph"/>
              <w:spacing w:line="240" w:lineRule="auto" w:before="38"/>
              <w:ind w:right="20"/>
              <w:jc w:val="right"/>
              <w:rPr>
                <w:rFonts w:ascii="宋体" w:hAnsi="宋体" w:cs="宋体" w:eastAsia="宋体" w:hint="default"/>
                <w:sz w:val="21"/>
                <w:szCs w:val="21"/>
              </w:rPr>
            </w:pPr>
            <w:r>
              <w:rPr>
                <w:rFonts w:ascii="宋体"/>
                <w:sz w:val="21"/>
              </w:rPr>
              <w:t>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1"/>
              <w:jc w:val="right"/>
              <w:rPr>
                <w:rFonts w:ascii="宋体" w:hAnsi="宋体" w:cs="宋体" w:eastAsia="宋体" w:hint="default"/>
                <w:sz w:val="21"/>
                <w:szCs w:val="21"/>
              </w:rPr>
            </w:pPr>
            <w:r>
              <w:rPr>
                <w:rFonts w:ascii="宋体"/>
                <w:sz w:val="21"/>
              </w:rPr>
              <w:t>19,796,864.22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0"/>
              <w:jc w:val="right"/>
              <w:rPr>
                <w:rFonts w:ascii="宋体" w:hAnsi="宋体" w:cs="宋体" w:eastAsia="宋体" w:hint="default"/>
                <w:sz w:val="21"/>
                <w:szCs w:val="21"/>
              </w:rPr>
            </w:pPr>
            <w:r>
              <w:rPr>
                <w:rFonts w:ascii="宋体"/>
                <w:sz w:val="21"/>
              </w:rPr>
              <w:t>12,747,869.03</w:t>
            </w:r>
          </w:p>
        </w:tc>
        <w:tc>
          <w:tcPr>
            <w:tcW w:w="1594" w:type="dxa"/>
            <w:tcBorders>
              <w:top w:val="single" w:sz="4" w:space="0" w:color="000000"/>
              <w:left w:val="single" w:sz="4" w:space="0" w:color="000000"/>
              <w:bottom w:val="single" w:sz="4" w:space="0" w:color="000000"/>
              <w:right w:val="single" w:sz="4" w:space="0" w:color="000000"/>
            </w:tcBorders>
          </w:tcPr>
          <w:p>
            <w:pPr/>
          </w:p>
        </w:tc>
        <w:tc>
          <w:tcPr>
            <w:tcW w:w="16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2"/>
              <w:jc w:val="right"/>
              <w:rPr>
                <w:rFonts w:ascii="宋体" w:hAnsi="宋体" w:cs="宋体" w:eastAsia="宋体" w:hint="default"/>
                <w:sz w:val="21"/>
                <w:szCs w:val="21"/>
              </w:rPr>
            </w:pPr>
            <w:r>
              <w:rPr>
                <w:rFonts w:ascii="宋体"/>
                <w:spacing w:val="-1"/>
                <w:sz w:val="21"/>
              </w:rPr>
              <w:t>-130,137,785.58</w:t>
            </w:r>
          </w:p>
        </w:tc>
      </w:tr>
      <w:tr>
        <w:trPr>
          <w:trHeight w:val="402" w:hRule="exact"/>
        </w:trPr>
        <w:tc>
          <w:tcPr>
            <w:tcW w:w="18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四</w:t>
            </w:r>
            <w:r>
              <w:rPr>
                <w:rFonts w:ascii="宋体" w:hAnsi="宋体" w:cs="宋体" w:eastAsia="宋体" w:hint="default"/>
                <w:sz w:val="21"/>
                <w:szCs w:val="21"/>
              </w:rPr>
              <w:t>.</w:t>
            </w:r>
            <w:r>
              <w:rPr>
                <w:rFonts w:ascii="宋体" w:hAnsi="宋体" w:cs="宋体" w:eastAsia="宋体" w:hint="default"/>
                <w:spacing w:val="-1"/>
                <w:sz w:val="21"/>
                <w:szCs w:val="21"/>
              </w:rPr>
              <w:t> </w:t>
            </w:r>
            <w:r>
              <w:rPr>
                <w:rFonts w:ascii="宋体" w:hAnsi="宋体" w:cs="宋体" w:eastAsia="宋体" w:hint="default"/>
                <w:sz w:val="21"/>
                <w:szCs w:val="21"/>
              </w:rPr>
              <w:t>所得税费用</w:t>
            </w:r>
          </w:p>
        </w:tc>
        <w:tc>
          <w:tcPr>
            <w:tcW w:w="16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19"/>
              <w:jc w:val="right"/>
              <w:rPr>
                <w:rFonts w:ascii="宋体" w:hAnsi="宋体" w:cs="宋体" w:eastAsia="宋体" w:hint="default"/>
                <w:sz w:val="21"/>
                <w:szCs w:val="21"/>
              </w:rPr>
            </w:pPr>
            <w:r>
              <w:rPr>
                <w:rFonts w:ascii="宋体"/>
                <w:sz w:val="21"/>
              </w:rPr>
              <w:t>9,990,325.12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4,490,706.00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9"/>
              <w:jc w:val="right"/>
              <w:rPr>
                <w:rFonts w:ascii="宋体" w:hAnsi="宋体" w:cs="宋体" w:eastAsia="宋体" w:hint="default"/>
                <w:sz w:val="21"/>
                <w:szCs w:val="21"/>
              </w:rPr>
            </w:pPr>
            <w:r>
              <w:rPr>
                <w:rFonts w:ascii="宋体"/>
                <w:sz w:val="21"/>
              </w:rPr>
              <w:t>1,720,689.54</w:t>
            </w:r>
          </w:p>
        </w:tc>
        <w:tc>
          <w:tcPr>
            <w:tcW w:w="1594" w:type="dxa"/>
            <w:tcBorders>
              <w:top w:val="single" w:sz="4" w:space="0" w:color="000000"/>
              <w:left w:val="single" w:sz="4" w:space="0" w:color="000000"/>
              <w:bottom w:val="single" w:sz="4" w:space="0" w:color="000000"/>
              <w:right w:val="single" w:sz="4" w:space="0" w:color="000000"/>
            </w:tcBorders>
          </w:tcPr>
          <w:p>
            <w:pPr/>
          </w:p>
        </w:tc>
        <w:tc>
          <w:tcPr>
            <w:tcW w:w="16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16,201,720.66</w:t>
            </w:r>
          </w:p>
        </w:tc>
      </w:tr>
      <w:tr>
        <w:trPr>
          <w:trHeight w:val="161" w:hRule="exact"/>
        </w:trPr>
        <w:tc>
          <w:tcPr>
            <w:tcW w:w="1856" w:type="dxa"/>
            <w:tcBorders>
              <w:top w:val="single" w:sz="4" w:space="0" w:color="000000"/>
              <w:left w:val="single" w:sz="4" w:space="0" w:color="000000"/>
              <w:bottom w:val="nil" w:sz="6" w:space="0" w:color="auto"/>
              <w:right w:val="single" w:sz="9" w:space="0" w:color="FFFFFF"/>
            </w:tcBorders>
            <w:shd w:val="clear" w:color="auto" w:fill="D2D2D2"/>
          </w:tcPr>
          <w:p>
            <w:pPr/>
          </w:p>
        </w:tc>
        <w:tc>
          <w:tcPr>
            <w:tcW w:w="1605" w:type="dxa"/>
            <w:vMerge w:val="restart"/>
            <w:tcBorders>
              <w:top w:val="single" w:sz="4" w:space="0" w:color="000000"/>
              <w:left w:val="single" w:sz="9" w:space="0" w:color="FFFFFF"/>
              <w:right w:val="single" w:sz="4" w:space="0" w:color="000000"/>
            </w:tcBorders>
          </w:tcPr>
          <w:p>
            <w:pPr>
              <w:pStyle w:val="TableParagraph"/>
              <w:spacing w:line="215" w:lineRule="exact" w:before="26"/>
              <w:ind w:right="20"/>
              <w:jc w:val="right"/>
              <w:rPr>
                <w:rFonts w:ascii="宋体" w:hAnsi="宋体" w:cs="宋体" w:eastAsia="宋体" w:hint="default"/>
                <w:sz w:val="21"/>
                <w:szCs w:val="21"/>
              </w:rPr>
            </w:pPr>
            <w:r>
              <w:rPr>
                <w:rFonts w:ascii="宋体"/>
                <w:spacing w:val="-1"/>
                <w:sz w:val="21"/>
              </w:rPr>
              <w:t>-172,672,843.9</w:t>
            </w:r>
          </w:p>
          <w:p>
            <w:pPr>
              <w:pStyle w:val="TableParagraph"/>
              <w:spacing w:line="157" w:lineRule="exact"/>
              <w:ind w:left="-171" w:right="0"/>
              <w:jc w:val="left"/>
              <w:rPr>
                <w:rFonts w:ascii="宋体" w:hAnsi="宋体" w:cs="宋体" w:eastAsia="宋体" w:hint="default"/>
                <w:sz w:val="21"/>
                <w:szCs w:val="21"/>
              </w:rPr>
            </w:pPr>
            <w:r>
              <w:rPr>
                <w:rFonts w:ascii="宋体" w:hAnsi="宋体" w:cs="宋体" w:eastAsia="宋体" w:hint="default"/>
                <w:sz w:val="21"/>
                <w:szCs w:val="21"/>
              </w:rPr>
              <w:t>）</w:t>
            </w:r>
          </w:p>
          <w:p>
            <w:pPr>
              <w:pStyle w:val="TableParagraph"/>
              <w:spacing w:line="216" w:lineRule="exact"/>
              <w:ind w:right="20"/>
              <w:jc w:val="right"/>
              <w:rPr>
                <w:rFonts w:ascii="宋体" w:hAnsi="宋体" w:cs="宋体" w:eastAsia="宋体" w:hint="default"/>
                <w:sz w:val="21"/>
                <w:szCs w:val="21"/>
              </w:rPr>
            </w:pPr>
            <w:r>
              <w:rPr>
                <w:rFonts w:ascii="宋体"/>
                <w:sz w:val="21"/>
              </w:rPr>
              <w:t>5</w:t>
            </w:r>
          </w:p>
        </w:tc>
        <w:tc>
          <w:tcPr>
            <w:tcW w:w="159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196" w:right="0"/>
              <w:jc w:val="left"/>
              <w:rPr>
                <w:rFonts w:ascii="宋体" w:hAnsi="宋体" w:cs="宋体" w:eastAsia="宋体" w:hint="default"/>
                <w:sz w:val="21"/>
                <w:szCs w:val="21"/>
              </w:rPr>
            </w:pPr>
            <w:r>
              <w:rPr>
                <w:rFonts w:ascii="宋体"/>
                <w:sz w:val="21"/>
              </w:rPr>
              <w:t>15,306,158.22</w:t>
            </w: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196" w:right="0"/>
              <w:jc w:val="left"/>
              <w:rPr>
                <w:rFonts w:ascii="宋体" w:hAnsi="宋体" w:cs="宋体" w:eastAsia="宋体" w:hint="default"/>
                <w:sz w:val="21"/>
                <w:szCs w:val="21"/>
              </w:rPr>
            </w:pPr>
            <w:r>
              <w:rPr>
                <w:rFonts w:ascii="宋体"/>
                <w:sz w:val="21"/>
              </w:rPr>
              <w:t>11,027,179.49</w:t>
            </w:r>
          </w:p>
        </w:tc>
        <w:tc>
          <w:tcPr>
            <w:tcW w:w="1594" w:type="dxa"/>
            <w:vMerge w:val="restart"/>
            <w:tcBorders>
              <w:top w:val="single" w:sz="4" w:space="0" w:color="000000"/>
              <w:left w:val="single" w:sz="4" w:space="0" w:color="000000"/>
              <w:right w:val="single" w:sz="4" w:space="0" w:color="000000"/>
            </w:tcBorders>
          </w:tcPr>
          <w:p>
            <w:pPr/>
          </w:p>
        </w:tc>
        <w:tc>
          <w:tcPr>
            <w:tcW w:w="1669"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61" w:right="0"/>
              <w:jc w:val="left"/>
              <w:rPr>
                <w:rFonts w:ascii="宋体" w:hAnsi="宋体" w:cs="宋体" w:eastAsia="宋体" w:hint="default"/>
                <w:sz w:val="21"/>
                <w:szCs w:val="21"/>
              </w:rPr>
            </w:pPr>
            <w:r>
              <w:rPr>
                <w:rFonts w:ascii="宋体"/>
                <w:sz w:val="21"/>
              </w:rPr>
              <w:t>-146,339,506.24</w:t>
            </w:r>
          </w:p>
        </w:tc>
      </w:tr>
      <w:tr>
        <w:trPr>
          <w:trHeight w:val="392" w:hRule="exact"/>
        </w:trPr>
        <w:tc>
          <w:tcPr>
            <w:tcW w:w="1856" w:type="dxa"/>
            <w:tcBorders>
              <w:top w:val="nil" w:sz="6" w:space="0" w:color="auto"/>
              <w:left w:val="single" w:sz="4" w:space="0" w:color="000000"/>
              <w:bottom w:val="nil" w:sz="6" w:space="0" w:color="auto"/>
              <w:right w:val="single" w:sz="9" w:space="0" w:color="FFFFFF"/>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五</w:t>
            </w:r>
            <w:r>
              <w:rPr>
                <w:rFonts w:ascii="宋体" w:hAnsi="宋体" w:cs="宋体" w:eastAsia="宋体" w:hint="default"/>
                <w:sz w:val="21"/>
                <w:szCs w:val="21"/>
              </w:rPr>
              <w:t>.</w:t>
            </w:r>
            <w:r>
              <w:rPr>
                <w:rFonts w:ascii="宋体" w:hAnsi="宋体" w:cs="宋体" w:eastAsia="宋体" w:hint="default"/>
                <w:spacing w:val="-1"/>
                <w:sz w:val="21"/>
                <w:szCs w:val="21"/>
              </w:rPr>
              <w:t> </w:t>
            </w:r>
            <w:r>
              <w:rPr>
                <w:rFonts w:ascii="宋体" w:hAnsi="宋体" w:cs="宋体" w:eastAsia="宋体" w:hint="default"/>
                <w:sz w:val="21"/>
                <w:szCs w:val="21"/>
              </w:rPr>
              <w:t>净利润（亏损</w:t>
            </w:r>
          </w:p>
        </w:tc>
        <w:tc>
          <w:tcPr>
            <w:tcW w:w="1605" w:type="dxa"/>
            <w:vMerge/>
            <w:tcBorders>
              <w:left w:val="single" w:sz="9" w:space="0" w:color="FFFFFF"/>
              <w:right w:val="single" w:sz="4" w:space="0" w:color="000000"/>
            </w:tcBorders>
          </w:tcPr>
          <w:p>
            <w:pPr/>
          </w:p>
        </w:tc>
        <w:tc>
          <w:tcPr>
            <w:tcW w:w="1595"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669" w:type="dxa"/>
            <w:vMerge/>
            <w:tcBorders>
              <w:left w:val="single" w:sz="4" w:space="0" w:color="000000"/>
              <w:right w:val="single" w:sz="4" w:space="0" w:color="000000"/>
            </w:tcBorders>
          </w:tcPr>
          <w:p>
            <w:pPr/>
          </w:p>
        </w:tc>
      </w:tr>
      <w:tr>
        <w:trPr>
          <w:trHeight w:val="161" w:hRule="exact"/>
        </w:trPr>
        <w:tc>
          <w:tcPr>
            <w:tcW w:w="1856" w:type="dxa"/>
            <w:tcBorders>
              <w:top w:val="nil" w:sz="6" w:space="0" w:color="auto"/>
              <w:left w:val="single" w:sz="4" w:space="0" w:color="000000"/>
              <w:bottom w:val="single" w:sz="4" w:space="0" w:color="000000"/>
              <w:right w:val="single" w:sz="9" w:space="0" w:color="FFFFFF"/>
            </w:tcBorders>
            <w:shd w:val="clear" w:color="auto" w:fill="D2D2D2"/>
          </w:tcPr>
          <w:p>
            <w:pPr/>
          </w:p>
        </w:tc>
        <w:tc>
          <w:tcPr>
            <w:tcW w:w="1605" w:type="dxa"/>
            <w:vMerge/>
            <w:tcBorders>
              <w:left w:val="single" w:sz="9" w:space="0" w:color="FFFFFF"/>
              <w:bottom w:val="single" w:sz="4" w:space="0" w:color="000000"/>
              <w:right w:val="single" w:sz="4" w:space="0" w:color="000000"/>
            </w:tcBorders>
          </w:tcPr>
          <w:p>
            <w:pPr/>
          </w:p>
        </w:tc>
        <w:tc>
          <w:tcPr>
            <w:tcW w:w="1595"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669" w:type="dxa"/>
            <w:vMerge/>
            <w:tcBorders>
              <w:left w:val="single" w:sz="4" w:space="0" w:color="000000"/>
              <w:bottom w:val="single" w:sz="4" w:space="0" w:color="000000"/>
              <w:right w:val="single" w:sz="4" w:space="0" w:color="000000"/>
            </w:tcBorders>
          </w:tcPr>
          <w:p>
            <w:pPr/>
          </w:p>
        </w:tc>
      </w:tr>
      <w:tr>
        <w:trPr>
          <w:trHeight w:val="161" w:hRule="exact"/>
        </w:trPr>
        <w:tc>
          <w:tcPr>
            <w:tcW w:w="1856" w:type="dxa"/>
            <w:tcBorders>
              <w:top w:val="single" w:sz="4" w:space="0" w:color="000000"/>
              <w:left w:val="single" w:sz="4" w:space="0" w:color="000000"/>
              <w:bottom w:val="nil" w:sz="6" w:space="0" w:color="auto"/>
              <w:right w:val="single" w:sz="4" w:space="0" w:color="000000"/>
            </w:tcBorders>
            <w:shd w:val="clear" w:color="auto" w:fill="D2D2D2"/>
          </w:tcPr>
          <w:p>
            <w:pPr/>
          </w:p>
        </w:tc>
        <w:tc>
          <w:tcPr>
            <w:tcW w:w="1605" w:type="dxa"/>
            <w:vMerge w:val="restart"/>
            <w:tcBorders>
              <w:top w:val="single" w:sz="4" w:space="0" w:color="000000"/>
              <w:left w:val="single" w:sz="9" w:space="0" w:color="D2D2D2"/>
              <w:right w:val="single" w:sz="4" w:space="0" w:color="000000"/>
            </w:tcBorders>
          </w:tcPr>
          <w:p>
            <w:pPr>
              <w:pStyle w:val="TableParagraph"/>
              <w:spacing w:line="240" w:lineRule="auto" w:before="26"/>
              <w:ind w:right="19"/>
              <w:jc w:val="right"/>
              <w:rPr>
                <w:rFonts w:ascii="宋体" w:hAnsi="宋体" w:cs="宋体" w:eastAsia="宋体" w:hint="default"/>
                <w:sz w:val="21"/>
                <w:szCs w:val="21"/>
              </w:rPr>
            </w:pPr>
            <w:r>
              <w:rPr>
                <w:rFonts w:ascii="宋体"/>
                <w:sz w:val="21"/>
              </w:rPr>
              <w:t>2,107,988,945.</w:t>
            </w:r>
          </w:p>
          <w:p>
            <w:pPr>
              <w:pStyle w:val="TableParagraph"/>
              <w:spacing w:line="240" w:lineRule="auto" w:before="38"/>
              <w:ind w:right="19"/>
              <w:jc w:val="right"/>
              <w:rPr>
                <w:rFonts w:ascii="宋体" w:hAnsi="宋体" w:cs="宋体" w:eastAsia="宋体" w:hint="default"/>
                <w:sz w:val="21"/>
                <w:szCs w:val="21"/>
              </w:rPr>
            </w:pPr>
            <w:r>
              <w:rPr>
                <w:rFonts w:ascii="宋体"/>
                <w:sz w:val="21"/>
              </w:rPr>
              <w:t>51</w:t>
            </w:r>
          </w:p>
        </w:tc>
        <w:tc>
          <w:tcPr>
            <w:tcW w:w="159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92" w:right="0"/>
              <w:jc w:val="left"/>
              <w:rPr>
                <w:rFonts w:ascii="宋体" w:hAnsi="宋体" w:cs="宋体" w:eastAsia="宋体" w:hint="default"/>
                <w:sz w:val="21"/>
                <w:szCs w:val="21"/>
              </w:rPr>
            </w:pPr>
            <w:r>
              <w:rPr>
                <w:rFonts w:ascii="宋体"/>
                <w:sz w:val="21"/>
              </w:rPr>
              <w:t>366,881,051.50</w:t>
            </w: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196" w:right="0"/>
              <w:jc w:val="left"/>
              <w:rPr>
                <w:rFonts w:ascii="宋体" w:hAnsi="宋体" w:cs="宋体" w:eastAsia="宋体" w:hint="default"/>
                <w:sz w:val="21"/>
                <w:szCs w:val="21"/>
              </w:rPr>
            </w:pPr>
            <w:r>
              <w:rPr>
                <w:rFonts w:ascii="宋体"/>
                <w:sz w:val="21"/>
              </w:rPr>
              <w:t>58,784,548.66</w:t>
            </w: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pacing w:val="-1"/>
                <w:sz w:val="21"/>
              </w:rPr>
              <w:t>-284,764,063.4</w:t>
            </w:r>
          </w:p>
          <w:p>
            <w:pPr>
              <w:pStyle w:val="TableParagraph"/>
              <w:spacing w:line="240" w:lineRule="auto" w:before="38"/>
              <w:ind w:right="20"/>
              <w:jc w:val="right"/>
              <w:rPr>
                <w:rFonts w:ascii="宋体" w:hAnsi="宋体" w:cs="宋体" w:eastAsia="宋体" w:hint="default"/>
                <w:sz w:val="21"/>
                <w:szCs w:val="21"/>
              </w:rPr>
            </w:pPr>
            <w:r>
              <w:rPr>
                <w:rFonts w:ascii="宋体"/>
                <w:sz w:val="21"/>
              </w:rPr>
              <w:t>9</w:t>
            </w:r>
          </w:p>
        </w:tc>
        <w:tc>
          <w:tcPr>
            <w:tcW w:w="1669" w:type="dxa"/>
            <w:vMerge w:val="restart"/>
            <w:tcBorders>
              <w:top w:val="single" w:sz="4" w:space="0" w:color="000000"/>
              <w:left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2,248,890,482.1</w:t>
            </w:r>
          </w:p>
          <w:p>
            <w:pPr>
              <w:pStyle w:val="TableParagraph"/>
              <w:spacing w:line="240" w:lineRule="auto" w:before="38"/>
              <w:ind w:right="21"/>
              <w:jc w:val="right"/>
              <w:rPr>
                <w:rFonts w:ascii="宋体" w:hAnsi="宋体" w:cs="宋体" w:eastAsia="宋体" w:hint="default"/>
                <w:sz w:val="21"/>
                <w:szCs w:val="21"/>
              </w:rPr>
            </w:pPr>
            <w:r>
              <w:rPr>
                <w:rFonts w:ascii="宋体"/>
                <w:sz w:val="21"/>
              </w:rPr>
              <w:t>8</w:t>
            </w:r>
          </w:p>
        </w:tc>
      </w:tr>
      <w:tr>
        <w:trPr>
          <w:trHeight w:val="392" w:hRule="exact"/>
        </w:trPr>
        <w:tc>
          <w:tcPr>
            <w:tcW w:w="185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六</w:t>
            </w:r>
            <w:r>
              <w:rPr>
                <w:rFonts w:ascii="宋体" w:hAnsi="宋体" w:cs="宋体" w:eastAsia="宋体" w:hint="default"/>
                <w:sz w:val="21"/>
                <w:szCs w:val="21"/>
              </w:rPr>
              <w:t>.</w:t>
            </w:r>
            <w:r>
              <w:rPr>
                <w:rFonts w:ascii="宋体" w:hAnsi="宋体" w:cs="宋体" w:eastAsia="宋体" w:hint="default"/>
                <w:spacing w:val="-1"/>
                <w:sz w:val="21"/>
                <w:szCs w:val="21"/>
              </w:rPr>
              <w:t> </w:t>
            </w:r>
            <w:r>
              <w:rPr>
                <w:rFonts w:ascii="宋体" w:hAnsi="宋体" w:cs="宋体" w:eastAsia="宋体" w:hint="default"/>
                <w:sz w:val="21"/>
                <w:szCs w:val="21"/>
              </w:rPr>
              <w:t>资产总额</w:t>
            </w:r>
          </w:p>
        </w:tc>
        <w:tc>
          <w:tcPr>
            <w:tcW w:w="1605" w:type="dxa"/>
            <w:vMerge/>
            <w:tcBorders>
              <w:left w:val="single" w:sz="9" w:space="0" w:color="D2D2D2"/>
              <w:right w:val="single" w:sz="4" w:space="0" w:color="000000"/>
            </w:tcBorders>
          </w:tcPr>
          <w:p>
            <w:pPr/>
          </w:p>
        </w:tc>
        <w:tc>
          <w:tcPr>
            <w:tcW w:w="1595"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669" w:type="dxa"/>
            <w:vMerge/>
            <w:tcBorders>
              <w:left w:val="single" w:sz="4" w:space="0" w:color="000000"/>
              <w:right w:val="single" w:sz="4" w:space="0" w:color="000000"/>
            </w:tcBorders>
          </w:tcPr>
          <w:p>
            <w:pPr/>
          </w:p>
        </w:tc>
      </w:tr>
      <w:tr>
        <w:trPr>
          <w:trHeight w:val="161" w:hRule="exact"/>
        </w:trPr>
        <w:tc>
          <w:tcPr>
            <w:tcW w:w="1856" w:type="dxa"/>
            <w:tcBorders>
              <w:top w:val="nil" w:sz="6" w:space="0" w:color="auto"/>
              <w:left w:val="single" w:sz="4" w:space="0" w:color="000000"/>
              <w:bottom w:val="single" w:sz="4" w:space="0" w:color="000000"/>
              <w:right w:val="single" w:sz="4" w:space="0" w:color="000000"/>
            </w:tcBorders>
            <w:shd w:val="clear" w:color="auto" w:fill="D2D2D2"/>
          </w:tcPr>
          <w:p>
            <w:pPr/>
          </w:p>
        </w:tc>
        <w:tc>
          <w:tcPr>
            <w:tcW w:w="1605" w:type="dxa"/>
            <w:vMerge/>
            <w:tcBorders>
              <w:left w:val="single" w:sz="9" w:space="0" w:color="D2D2D2"/>
              <w:bottom w:val="single" w:sz="4" w:space="0" w:color="000000"/>
              <w:right w:val="single" w:sz="4" w:space="0" w:color="000000"/>
            </w:tcBorders>
          </w:tcPr>
          <w:p>
            <w:pPr/>
          </w:p>
        </w:tc>
        <w:tc>
          <w:tcPr>
            <w:tcW w:w="1595"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669" w:type="dxa"/>
            <w:vMerge/>
            <w:tcBorders>
              <w:left w:val="single" w:sz="4" w:space="0" w:color="000000"/>
              <w:bottom w:val="single" w:sz="4" w:space="0" w:color="000000"/>
              <w:right w:val="single" w:sz="4" w:space="0" w:color="000000"/>
            </w:tcBorders>
          </w:tcPr>
          <w:p>
            <w:pPr/>
          </w:p>
        </w:tc>
      </w:tr>
      <w:tr>
        <w:trPr>
          <w:trHeight w:val="402" w:hRule="exact"/>
        </w:trPr>
        <w:tc>
          <w:tcPr>
            <w:tcW w:w="18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w:t>
            </w:r>
            <w:r>
              <w:rPr>
                <w:rFonts w:ascii="宋体" w:hAnsi="宋体" w:cs="宋体" w:eastAsia="宋体" w:hint="default"/>
                <w:spacing w:val="-1"/>
                <w:sz w:val="21"/>
                <w:szCs w:val="21"/>
              </w:rPr>
              <w:t> </w:t>
            </w:r>
            <w:r>
              <w:rPr>
                <w:rFonts w:ascii="宋体" w:hAnsi="宋体" w:cs="宋体" w:eastAsia="宋体" w:hint="default"/>
                <w:sz w:val="21"/>
                <w:szCs w:val="21"/>
              </w:rPr>
              <w:t>负债总额</w:t>
            </w:r>
          </w:p>
        </w:tc>
        <w:tc>
          <w:tcPr>
            <w:tcW w:w="16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19"/>
              <w:jc w:val="right"/>
              <w:rPr>
                <w:rFonts w:ascii="宋体" w:hAnsi="宋体" w:cs="宋体" w:eastAsia="宋体" w:hint="default"/>
                <w:sz w:val="21"/>
                <w:szCs w:val="21"/>
              </w:rPr>
            </w:pPr>
            <w:r>
              <w:rPr>
                <w:rFonts w:ascii="宋体"/>
                <w:sz w:val="21"/>
              </w:rPr>
              <w:t>745,969,618.34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145,357,217.07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9"/>
              <w:jc w:val="right"/>
              <w:rPr>
                <w:rFonts w:ascii="宋体" w:hAnsi="宋体" w:cs="宋体" w:eastAsia="宋体" w:hint="default"/>
                <w:sz w:val="21"/>
                <w:szCs w:val="21"/>
              </w:rPr>
            </w:pPr>
            <w:r>
              <w:rPr>
                <w:rFonts w:ascii="宋体"/>
                <w:sz w:val="21"/>
              </w:rPr>
              <w:t>8,296,048.31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69" w:right="0"/>
              <w:jc w:val="center"/>
              <w:rPr>
                <w:rFonts w:ascii="宋体" w:hAnsi="宋体" w:cs="宋体" w:eastAsia="宋体" w:hint="default"/>
                <w:sz w:val="21"/>
                <w:szCs w:val="21"/>
              </w:rPr>
            </w:pPr>
            <w:r>
              <w:rPr>
                <w:rFonts w:ascii="宋体"/>
                <w:sz w:val="21"/>
              </w:rPr>
              <w:t>-63,240,229.06</w:t>
            </w:r>
          </w:p>
        </w:tc>
        <w:tc>
          <w:tcPr>
            <w:tcW w:w="16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836,382,654.66</w:t>
            </w:r>
          </w:p>
        </w:tc>
      </w:tr>
    </w:tbl>
    <w:p>
      <w:pPr>
        <w:spacing w:line="240" w:lineRule="auto" w:before="10"/>
        <w:rPr>
          <w:rFonts w:ascii="宋体" w:hAnsi="宋体" w:cs="宋体" w:eastAsia="宋体" w:hint="default"/>
          <w:sz w:val="4"/>
          <w:szCs w:val="4"/>
        </w:rPr>
      </w:pPr>
    </w:p>
    <w:p>
      <w:pPr>
        <w:pStyle w:val="Heading2"/>
        <w:spacing w:line="352" w:lineRule="auto"/>
        <w:ind w:left="253" w:right="1152" w:firstLine="482"/>
        <w:jc w:val="left"/>
        <w:rPr>
          <w:b w:val="0"/>
          <w:bCs w:val="0"/>
        </w:rPr>
      </w:pPr>
      <w:bookmarkStart w:name="（3）公司无报告分部的，或者不能披露各报告分部的资产总额和负债总额的，应说明原因" w:id="522"/>
      <w:bookmarkEnd w:id="522"/>
      <w:r>
        <w:rPr>
          <w:b w:val="0"/>
          <w:bCs w:val="0"/>
        </w:rPr>
      </w:r>
      <w:r>
        <w:rPr>
          <w:spacing w:val="3"/>
          <w:w w:val="95"/>
        </w:rPr>
        <w:t>（</w:t>
      </w:r>
      <w:r>
        <w:rPr>
          <w:rFonts w:ascii="宋体" w:hAnsi="宋体" w:cs="宋体" w:eastAsia="宋体" w:hint="default"/>
          <w:spacing w:val="3"/>
          <w:w w:val="95"/>
        </w:rPr>
        <w:t>3</w:t>
      </w:r>
      <w:r>
        <w:rPr>
          <w:spacing w:val="3"/>
          <w:w w:val="95"/>
        </w:rPr>
        <w:t>）公司无报告分部的，或者不能披露各报告分部的资产总额和负债总额的，应说明</w:t>
      </w:r>
      <w:r>
        <w:rPr>
          <w:w w:val="99"/>
        </w:rPr>
        <w:t> </w:t>
      </w:r>
      <w:r>
        <w:rPr/>
        <w:t>原因</w:t>
      </w:r>
      <w:r>
        <w:rPr>
          <w:b w:val="0"/>
          <w:bCs w:val="0"/>
        </w:rPr>
      </w:r>
    </w:p>
    <w:p>
      <w:pPr>
        <w:pStyle w:val="BodyText"/>
        <w:spacing w:line="240" w:lineRule="auto" w:before="32"/>
        <w:ind w:left="733" w:right="997"/>
        <w:jc w:val="left"/>
      </w:pPr>
      <w:r>
        <w:rPr/>
        <w:t>无</w:t>
      </w:r>
    </w:p>
    <w:p>
      <w:pPr>
        <w:pStyle w:val="Heading2"/>
        <w:spacing w:line="352" w:lineRule="auto" w:before="145"/>
        <w:ind w:left="733" w:right="8704" w:firstLine="2"/>
        <w:jc w:val="left"/>
        <w:rPr>
          <w:rFonts w:ascii="宋体" w:hAnsi="宋体" w:cs="宋体" w:eastAsia="宋体" w:hint="default"/>
          <w:b w:val="0"/>
          <w:bCs w:val="0"/>
        </w:rPr>
      </w:pPr>
      <w:bookmarkStart w:name="（4）其他说明" w:id="523"/>
      <w:bookmarkEnd w:id="523"/>
      <w:r>
        <w:rPr>
          <w:b w:val="0"/>
          <w:bCs w:val="0"/>
        </w:rPr>
      </w:r>
      <w:r>
        <w:rPr/>
        <w:t>（</w:t>
      </w:r>
      <w:r>
        <w:rPr>
          <w:rFonts w:ascii="宋体" w:hAnsi="宋体" w:cs="宋体" w:eastAsia="宋体" w:hint="default"/>
        </w:rPr>
        <w:t>4</w:t>
      </w:r>
      <w:r>
        <w:rPr/>
        <w:t>）其他说明</w:t>
      </w:r>
      <w:r>
        <w:rPr>
          <w:w w:val="99"/>
        </w:rPr>
        <w:t> </w:t>
      </w:r>
      <w:r>
        <w:rPr>
          <w:rFonts w:ascii="宋体" w:hAnsi="宋体" w:cs="宋体" w:eastAsia="宋体" w:hint="default"/>
          <w:b w:val="0"/>
          <w:bCs w:val="0"/>
        </w:rPr>
        <w:t>无</w:t>
      </w:r>
    </w:p>
    <w:p>
      <w:pPr>
        <w:pStyle w:val="Heading2"/>
        <w:spacing w:line="350" w:lineRule="auto" w:before="33"/>
        <w:ind w:left="733" w:right="5358" w:firstLine="2"/>
        <w:jc w:val="left"/>
        <w:rPr>
          <w:rFonts w:ascii="宋体" w:hAnsi="宋体" w:cs="宋体" w:eastAsia="宋体" w:hint="default"/>
          <w:b w:val="0"/>
          <w:bCs w:val="0"/>
        </w:rPr>
      </w:pPr>
      <w:bookmarkStart w:name="7、其他对投资者决策有影响的重要交易和事项" w:id="524"/>
      <w:bookmarkEnd w:id="524"/>
      <w:r>
        <w:rPr>
          <w:b w:val="0"/>
          <w:bCs w:val="0"/>
        </w:rPr>
      </w:r>
      <w:r>
        <w:rPr>
          <w:rFonts w:ascii="宋体" w:hAnsi="宋体" w:cs="宋体" w:eastAsia="宋体" w:hint="default"/>
          <w:w w:val="95"/>
        </w:rPr>
        <w:t>7</w:t>
      </w:r>
      <w:r>
        <w:rPr>
          <w:w w:val="95"/>
        </w:rPr>
        <w:t>、其他对投资者决策有影响的重要交易和事项</w:t>
      </w:r>
      <w:r>
        <w:rPr>
          <w:spacing w:val="111"/>
          <w:w w:val="95"/>
        </w:rPr>
        <w:t> </w:t>
      </w:r>
      <w:r>
        <w:rPr>
          <w:rFonts w:ascii="宋体" w:hAnsi="宋体" w:cs="宋体" w:eastAsia="宋体" w:hint="default"/>
          <w:b w:val="0"/>
          <w:bCs w:val="0"/>
        </w:rPr>
        <w:t>无</w:t>
      </w:r>
    </w:p>
    <w:p>
      <w:pPr>
        <w:spacing w:after="0" w:line="350" w:lineRule="auto"/>
        <w:jc w:val="left"/>
        <w:rPr>
          <w:rFonts w:ascii="宋体" w:hAnsi="宋体" w:cs="宋体" w:eastAsia="宋体" w:hint="default"/>
        </w:rPr>
        <w:sectPr>
          <w:pgSz w:w="11910" w:h="16840"/>
          <w:pgMar w:header="747" w:footer="979" w:top="1060" w:bottom="1160" w:left="880" w:right="0"/>
        </w:sectPr>
      </w:pPr>
    </w:p>
    <w:p>
      <w:pPr>
        <w:spacing w:line="240" w:lineRule="auto" w:before="0"/>
        <w:rPr>
          <w:rFonts w:ascii="宋体" w:hAnsi="宋体" w:cs="宋体" w:eastAsia="宋体" w:hint="default"/>
          <w:sz w:val="20"/>
          <w:szCs w:val="20"/>
        </w:rPr>
      </w:pPr>
    </w:p>
    <w:p>
      <w:pPr>
        <w:pStyle w:val="Heading2"/>
        <w:spacing w:line="350" w:lineRule="auto" w:before="199"/>
        <w:ind w:left="633" w:right="9427" w:firstLine="2"/>
        <w:jc w:val="left"/>
        <w:rPr>
          <w:rFonts w:ascii="宋体" w:hAnsi="宋体" w:cs="宋体" w:eastAsia="宋体" w:hint="default"/>
          <w:b w:val="0"/>
          <w:bCs w:val="0"/>
        </w:rPr>
      </w:pPr>
      <w:bookmarkStart w:name="8、其他" w:id="525"/>
      <w:bookmarkEnd w:id="525"/>
      <w:r>
        <w:rPr>
          <w:b w:val="0"/>
          <w:bCs w:val="0"/>
        </w:rPr>
      </w:r>
      <w:r>
        <w:rPr>
          <w:rFonts w:ascii="宋体" w:hAnsi="宋体" w:cs="宋体" w:eastAsia="宋体" w:hint="default"/>
        </w:rPr>
        <w:t>8</w:t>
      </w:r>
      <w:r>
        <w:rPr/>
        <w:t>、其他</w:t>
      </w:r>
      <w:r>
        <w:rPr>
          <w:spacing w:val="1"/>
          <w:w w:val="99"/>
        </w:rPr>
        <w:t> </w:t>
      </w:r>
      <w:r>
        <w:rPr>
          <w:rFonts w:ascii="宋体" w:hAnsi="宋体" w:cs="宋体" w:eastAsia="宋体" w:hint="default"/>
          <w:b w:val="0"/>
          <w:bCs w:val="0"/>
        </w:rPr>
        <w:t>无</w:t>
      </w:r>
    </w:p>
    <w:p>
      <w:pPr>
        <w:pStyle w:val="Heading2"/>
        <w:spacing w:line="240" w:lineRule="auto" w:before="212"/>
        <w:ind w:left="153" w:right="996"/>
        <w:jc w:val="left"/>
        <w:rPr>
          <w:b w:val="0"/>
          <w:bCs w:val="0"/>
        </w:rPr>
      </w:pPr>
      <w:bookmarkStart w:name="十七、母公司财务报表主要项目注释" w:id="526"/>
      <w:bookmarkEnd w:id="526"/>
      <w:r>
        <w:rPr>
          <w:b w:val="0"/>
          <w:bCs w:val="0"/>
        </w:rPr>
      </w:r>
      <w:r>
        <w:rPr/>
        <w:t>十七、母公司财务报表主要项目注释</w:t>
      </w:r>
      <w:r>
        <w:rPr>
          <w:b w:val="0"/>
          <w:bCs w:val="0"/>
        </w:rPr>
      </w:r>
    </w:p>
    <w:p>
      <w:pPr>
        <w:spacing w:line="240" w:lineRule="auto" w:before="1"/>
        <w:rPr>
          <w:rFonts w:ascii="宋体" w:hAnsi="宋体" w:cs="宋体" w:eastAsia="宋体" w:hint="default"/>
          <w:b/>
          <w:bCs/>
          <w:sz w:val="35"/>
          <w:szCs w:val="35"/>
        </w:rPr>
      </w:pPr>
    </w:p>
    <w:p>
      <w:pPr>
        <w:spacing w:before="0"/>
        <w:ind w:left="576" w:right="996" w:firstLine="0"/>
        <w:jc w:val="left"/>
        <w:rPr>
          <w:rFonts w:ascii="宋体" w:hAnsi="宋体" w:cs="宋体" w:eastAsia="宋体" w:hint="default"/>
          <w:sz w:val="21"/>
          <w:szCs w:val="21"/>
        </w:rPr>
      </w:pPr>
      <w:bookmarkStart w:name="1、应收账款" w:id="527"/>
      <w:bookmarkEnd w:id="527"/>
      <w:r>
        <w:rPr/>
      </w:r>
      <w:r>
        <w:rPr>
          <w:rFonts w:ascii="宋体" w:hAnsi="宋体" w:cs="宋体" w:eastAsia="宋体" w:hint="default"/>
          <w:b/>
          <w:bCs/>
          <w:sz w:val="21"/>
          <w:szCs w:val="21"/>
        </w:rPr>
        <w:t>1</w:t>
      </w:r>
      <w:r>
        <w:rPr>
          <w:rFonts w:ascii="宋体" w:hAnsi="宋体" w:cs="宋体" w:eastAsia="宋体" w:hint="default"/>
          <w:b/>
          <w:bCs/>
          <w:sz w:val="21"/>
          <w:szCs w:val="21"/>
        </w:rPr>
        <w:t>、应收账款</w:t>
      </w:r>
      <w:r>
        <w:rPr>
          <w:rFonts w:ascii="宋体" w:hAnsi="宋体" w:cs="宋体" w:eastAsia="宋体" w:hint="default"/>
          <w:sz w:val="21"/>
          <w:szCs w:val="21"/>
        </w:rPr>
      </w:r>
    </w:p>
    <w:p>
      <w:pPr>
        <w:spacing w:line="240" w:lineRule="auto" w:before="6"/>
        <w:rPr>
          <w:rFonts w:ascii="宋体" w:hAnsi="宋体" w:cs="宋体" w:eastAsia="宋体" w:hint="default"/>
          <w:b/>
          <w:bCs/>
          <w:sz w:val="11"/>
          <w:szCs w:val="11"/>
        </w:rPr>
      </w:pPr>
    </w:p>
    <w:p>
      <w:pPr>
        <w:spacing w:before="35"/>
        <w:ind w:left="576" w:right="996" w:firstLine="0"/>
        <w:jc w:val="left"/>
        <w:rPr>
          <w:rFonts w:ascii="宋体" w:hAnsi="宋体" w:cs="宋体" w:eastAsia="宋体" w:hint="default"/>
          <w:sz w:val="21"/>
          <w:szCs w:val="21"/>
        </w:rPr>
      </w:pPr>
      <w:bookmarkStart w:name="（1）应收账款分类披露" w:id="528"/>
      <w:bookmarkEnd w:id="528"/>
      <w:r>
        <w:rPr/>
      </w:r>
      <w:r>
        <w:rPr>
          <w:rFonts w:ascii="宋体" w:hAnsi="宋体" w:cs="宋体" w:eastAsia="宋体" w:hint="default"/>
          <w:b/>
          <w:bCs/>
          <w:sz w:val="21"/>
          <w:szCs w:val="21"/>
        </w:rPr>
        <w:t>（</w:t>
      </w:r>
      <w:r>
        <w:rPr>
          <w:rFonts w:ascii="宋体" w:hAnsi="宋体" w:cs="宋体" w:eastAsia="宋体" w:hint="default"/>
          <w:b/>
          <w:bCs/>
          <w:sz w:val="21"/>
          <w:szCs w:val="21"/>
        </w:rPr>
        <w:t>1</w:t>
      </w:r>
      <w:r>
        <w:rPr>
          <w:rFonts w:ascii="宋体" w:hAnsi="宋体" w:cs="宋体" w:eastAsia="宋体" w:hint="default"/>
          <w:b/>
          <w:bCs/>
          <w:sz w:val="21"/>
          <w:szCs w:val="21"/>
        </w:rPr>
        <w:t>）应收账款分类披露</w:t>
      </w:r>
      <w:r>
        <w:rPr>
          <w:rFonts w:ascii="宋体" w:hAnsi="宋体" w:cs="宋体" w:eastAsia="宋体" w:hint="default"/>
          <w:sz w:val="21"/>
          <w:szCs w:val="21"/>
        </w:rPr>
      </w:r>
    </w:p>
    <w:p>
      <w:pPr>
        <w:spacing w:before="87"/>
        <w:ind w:left="0" w:right="1129" w:firstLine="0"/>
        <w:jc w:val="right"/>
        <w:rPr>
          <w:rFonts w:ascii="宋体" w:hAnsi="宋体" w:cs="宋体" w:eastAsia="宋体" w:hint="default"/>
          <w:sz w:val="21"/>
          <w:szCs w:val="21"/>
        </w:rPr>
      </w:pPr>
      <w:r>
        <w:rPr>
          <w:rFonts w:ascii="宋体" w:hAnsi="宋体" w:cs="宋体" w:eastAsia="宋体" w:hint="default"/>
          <w:sz w:val="21"/>
          <w:szCs w:val="21"/>
        </w:rPr>
        <w:t>单位： 元</w:t>
      </w:r>
    </w:p>
    <w:p>
      <w:pPr>
        <w:spacing w:line="240" w:lineRule="auto" w:before="0"/>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549"/>
        <w:gridCol w:w="1134"/>
        <w:gridCol w:w="466"/>
        <w:gridCol w:w="1094"/>
        <w:gridCol w:w="431"/>
        <w:gridCol w:w="986"/>
        <w:gridCol w:w="851"/>
        <w:gridCol w:w="368"/>
        <w:gridCol w:w="1334"/>
        <w:gridCol w:w="412"/>
        <w:gridCol w:w="1147"/>
      </w:tblGrid>
      <w:tr>
        <w:trPr>
          <w:trHeight w:val="397" w:hRule="exact"/>
        </w:trPr>
        <w:tc>
          <w:tcPr>
            <w:tcW w:w="1549" w:type="dxa"/>
            <w:vMerge w:val="restart"/>
            <w:tcBorders>
              <w:top w:val="single" w:sz="4" w:space="0" w:color="000000"/>
              <w:left w:val="single" w:sz="4" w:space="0" w:color="000000"/>
              <w:right w:val="single" w:sz="4" w:space="0" w:color="000000"/>
            </w:tcBorders>
            <w:shd w:val="clear" w:color="auto" w:fill="D2D2D2"/>
          </w:tcPr>
          <w:p>
            <w:pPr/>
          </w:p>
        </w:tc>
        <w:tc>
          <w:tcPr>
            <w:tcW w:w="4110"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4112"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407" w:hRule="exact"/>
        </w:trPr>
        <w:tc>
          <w:tcPr>
            <w:tcW w:w="1549" w:type="dxa"/>
            <w:vMerge/>
            <w:tcBorders>
              <w:left w:val="single" w:sz="4" w:space="0" w:color="000000"/>
              <w:bottom w:val="nil" w:sz="6" w:space="0" w:color="auto"/>
              <w:right w:val="single" w:sz="4" w:space="0" w:color="000000"/>
            </w:tcBorders>
            <w:shd w:val="clear" w:color="auto" w:fill="D2D2D2"/>
          </w:tcPr>
          <w:p>
            <w:pPr/>
          </w:p>
        </w:tc>
        <w:tc>
          <w:tcPr>
            <w:tcW w:w="160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374"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5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337"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986" w:type="dxa"/>
            <w:vMerge w:val="restart"/>
            <w:tcBorders>
              <w:top w:val="single" w:sz="4" w:space="0" w:color="000000"/>
              <w:left w:val="single" w:sz="4" w:space="0" w:color="000000"/>
              <w:right w:val="single" w:sz="4" w:space="0" w:color="000000"/>
            </w:tcBorders>
            <w:shd w:val="clear" w:color="auto" w:fill="D2D2D2"/>
          </w:tcPr>
          <w:p>
            <w:pPr/>
          </w:p>
        </w:tc>
        <w:tc>
          <w:tcPr>
            <w:tcW w:w="121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183"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74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46"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147" w:type="dxa"/>
            <w:vMerge w:val="restart"/>
            <w:tcBorders>
              <w:top w:val="single" w:sz="4" w:space="0" w:color="000000"/>
              <w:left w:val="single" w:sz="4" w:space="0" w:color="000000"/>
              <w:right w:val="single" w:sz="4" w:space="0" w:color="000000"/>
            </w:tcBorders>
            <w:shd w:val="clear" w:color="auto" w:fill="D2D2D2"/>
          </w:tcPr>
          <w:p>
            <w:pPr/>
          </w:p>
        </w:tc>
      </w:tr>
      <w:tr>
        <w:trPr>
          <w:trHeight w:val="237" w:hRule="exact"/>
        </w:trPr>
        <w:tc>
          <w:tcPr>
            <w:tcW w:w="154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96"/>
              <w:ind w:right="11"/>
              <w:jc w:val="center"/>
              <w:rPr>
                <w:rFonts w:ascii="宋体" w:hAnsi="宋体" w:cs="宋体" w:eastAsia="宋体" w:hint="default"/>
                <w:sz w:val="21"/>
                <w:szCs w:val="21"/>
              </w:rPr>
            </w:pPr>
            <w:r>
              <w:rPr>
                <w:rFonts w:ascii="宋体" w:hAnsi="宋体" w:cs="宋体" w:eastAsia="宋体" w:hint="default"/>
                <w:sz w:val="21"/>
                <w:szCs w:val="21"/>
              </w:rPr>
              <w:t>类别</w:t>
            </w:r>
          </w:p>
        </w:tc>
        <w:tc>
          <w:tcPr>
            <w:tcW w:w="1134" w:type="dxa"/>
            <w:vMerge w:val="restart"/>
            <w:tcBorders>
              <w:top w:val="single" w:sz="4" w:space="0" w:color="000000"/>
              <w:left w:val="single" w:sz="4" w:space="0" w:color="000000"/>
              <w:right w:val="single" w:sz="4" w:space="0" w:color="000000"/>
            </w:tcBorders>
            <w:shd w:val="clear" w:color="auto" w:fill="D2D2D2"/>
          </w:tcPr>
          <w:p>
            <w:pPr/>
          </w:p>
        </w:tc>
        <w:tc>
          <w:tcPr>
            <w:tcW w:w="466" w:type="dxa"/>
            <w:tcBorders>
              <w:top w:val="single" w:sz="4" w:space="0" w:color="000000"/>
              <w:left w:val="single" w:sz="4" w:space="0" w:color="000000"/>
              <w:bottom w:val="nil" w:sz="6" w:space="0" w:color="auto"/>
              <w:right w:val="single" w:sz="4" w:space="0" w:color="000000"/>
            </w:tcBorders>
            <w:shd w:val="clear" w:color="auto" w:fill="D2D2D2"/>
          </w:tcPr>
          <w:p>
            <w:pPr/>
          </w:p>
        </w:tc>
        <w:tc>
          <w:tcPr>
            <w:tcW w:w="1094" w:type="dxa"/>
            <w:vMerge w:val="restart"/>
            <w:tcBorders>
              <w:top w:val="single" w:sz="4" w:space="0" w:color="000000"/>
              <w:left w:val="single" w:sz="4" w:space="0" w:color="000000"/>
              <w:right w:val="single" w:sz="4" w:space="0" w:color="000000"/>
            </w:tcBorders>
            <w:shd w:val="clear" w:color="auto" w:fill="D2D2D2"/>
          </w:tcPr>
          <w:p>
            <w:pPr/>
          </w:p>
        </w:tc>
        <w:tc>
          <w:tcPr>
            <w:tcW w:w="431"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26"/>
              <w:ind w:left="105" w:right="103"/>
              <w:jc w:val="both"/>
              <w:rPr>
                <w:rFonts w:ascii="宋体" w:hAnsi="宋体" w:cs="宋体" w:eastAsia="宋体" w:hint="default"/>
                <w:sz w:val="21"/>
                <w:szCs w:val="21"/>
              </w:rPr>
            </w:pPr>
            <w:r>
              <w:rPr>
                <w:rFonts w:ascii="宋体" w:hAnsi="宋体" w:cs="宋体" w:eastAsia="宋体" w:hint="default"/>
                <w:sz w:val="21"/>
                <w:szCs w:val="21"/>
              </w:rPr>
              <w:t>计 提 比 例</w:t>
            </w:r>
          </w:p>
        </w:tc>
        <w:tc>
          <w:tcPr>
            <w:tcW w:w="986" w:type="dxa"/>
            <w:vMerge/>
            <w:tcBorders>
              <w:left w:val="single" w:sz="4" w:space="0" w:color="000000"/>
              <w:bottom w:val="nil" w:sz="6" w:space="0" w:color="auto"/>
              <w:right w:val="single" w:sz="4" w:space="0" w:color="000000"/>
            </w:tcBorders>
            <w:shd w:val="clear" w:color="auto" w:fill="D2D2D2"/>
          </w:tcPr>
          <w:p>
            <w:pPr/>
          </w:p>
        </w:tc>
        <w:tc>
          <w:tcPr>
            <w:tcW w:w="851" w:type="dxa"/>
            <w:vMerge w:val="restart"/>
            <w:tcBorders>
              <w:top w:val="single" w:sz="4" w:space="0" w:color="000000"/>
              <w:left w:val="single" w:sz="4" w:space="0" w:color="000000"/>
              <w:right w:val="single" w:sz="4" w:space="0" w:color="000000"/>
            </w:tcBorders>
            <w:shd w:val="clear" w:color="auto" w:fill="D2D2D2"/>
          </w:tcPr>
          <w:p>
            <w:pPr/>
          </w:p>
        </w:tc>
        <w:tc>
          <w:tcPr>
            <w:tcW w:w="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1334" w:type="dxa"/>
            <w:vMerge w:val="restart"/>
            <w:tcBorders>
              <w:top w:val="single" w:sz="4" w:space="0" w:color="000000"/>
              <w:left w:val="single" w:sz="4" w:space="0" w:color="000000"/>
              <w:right w:val="single" w:sz="4" w:space="0" w:color="000000"/>
            </w:tcBorders>
            <w:shd w:val="clear" w:color="auto" w:fill="D2D2D2"/>
          </w:tcPr>
          <w:p>
            <w:pPr/>
          </w:p>
        </w:tc>
        <w:tc>
          <w:tcPr>
            <w:tcW w:w="412"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ind w:left="96" w:right="95"/>
              <w:jc w:val="both"/>
              <w:rPr>
                <w:rFonts w:ascii="宋体" w:hAnsi="宋体" w:cs="宋体" w:eastAsia="宋体" w:hint="default"/>
                <w:sz w:val="21"/>
                <w:szCs w:val="21"/>
              </w:rPr>
            </w:pPr>
            <w:r>
              <w:rPr>
                <w:rFonts w:ascii="宋体" w:hAnsi="宋体" w:cs="宋体" w:eastAsia="宋体" w:hint="default"/>
                <w:sz w:val="21"/>
                <w:szCs w:val="21"/>
              </w:rPr>
              <w:t>计 提 比 例</w:t>
            </w:r>
          </w:p>
        </w:tc>
        <w:tc>
          <w:tcPr>
            <w:tcW w:w="1147" w:type="dxa"/>
            <w:vMerge/>
            <w:tcBorders>
              <w:left w:val="single" w:sz="4" w:space="0" w:color="000000"/>
              <w:bottom w:val="nil" w:sz="6" w:space="0" w:color="auto"/>
              <w:right w:val="single" w:sz="4" w:space="0" w:color="000000"/>
            </w:tcBorders>
            <w:shd w:val="clear" w:color="auto" w:fill="D2D2D2"/>
          </w:tcPr>
          <w:p>
            <w:pPr/>
          </w:p>
        </w:tc>
      </w:tr>
      <w:tr>
        <w:trPr>
          <w:trHeight w:val="165" w:hRule="exact"/>
        </w:trPr>
        <w:tc>
          <w:tcPr>
            <w:tcW w:w="1549" w:type="dxa"/>
            <w:vMerge/>
            <w:tcBorders>
              <w:left w:val="single" w:sz="4" w:space="0" w:color="000000"/>
              <w:bottom w:val="single" w:sz="4" w:space="0" w:color="FFFFFF"/>
              <w:right w:val="single" w:sz="4" w:space="0" w:color="000000"/>
            </w:tcBorders>
            <w:shd w:val="clear" w:color="auto" w:fill="D2D2D2"/>
          </w:tcPr>
          <w:p>
            <w:pPr/>
          </w:p>
        </w:tc>
        <w:tc>
          <w:tcPr>
            <w:tcW w:w="1134" w:type="dxa"/>
            <w:vMerge/>
            <w:tcBorders>
              <w:left w:val="single" w:sz="4" w:space="0" w:color="000000"/>
              <w:bottom w:val="single" w:sz="4" w:space="0" w:color="FFFFFF"/>
              <w:right w:val="single" w:sz="4" w:space="0" w:color="000000"/>
            </w:tcBorders>
            <w:shd w:val="clear" w:color="auto" w:fill="D2D2D2"/>
          </w:tcPr>
          <w:p>
            <w:pPr/>
          </w:p>
        </w:tc>
        <w:tc>
          <w:tcPr>
            <w:tcW w:w="466" w:type="dxa"/>
            <w:vMerge w:val="restart"/>
            <w:tcBorders>
              <w:top w:val="nil" w:sz="6" w:space="0" w:color="auto"/>
              <w:left w:val="single" w:sz="4" w:space="0" w:color="000000"/>
              <w:right w:val="single" w:sz="4" w:space="0" w:color="000000"/>
            </w:tcBorders>
            <w:shd w:val="clear" w:color="auto" w:fill="D2D2D2"/>
          </w:tcPr>
          <w:p>
            <w:pPr>
              <w:pStyle w:val="TableParagraph"/>
              <w:spacing w:line="273" w:lineRule="auto" w:before="37"/>
              <w:ind w:left="122" w:right="121"/>
              <w:jc w:val="left"/>
              <w:rPr>
                <w:rFonts w:ascii="宋体" w:hAnsi="宋体" w:cs="宋体" w:eastAsia="宋体" w:hint="default"/>
                <w:sz w:val="21"/>
                <w:szCs w:val="21"/>
              </w:rPr>
            </w:pPr>
            <w:r>
              <w:rPr>
                <w:rFonts w:ascii="宋体" w:hAnsi="宋体" w:cs="宋体" w:eastAsia="宋体" w:hint="default"/>
                <w:sz w:val="21"/>
                <w:szCs w:val="21"/>
              </w:rPr>
              <w:t>比 例</w:t>
            </w:r>
          </w:p>
        </w:tc>
        <w:tc>
          <w:tcPr>
            <w:tcW w:w="1094" w:type="dxa"/>
            <w:vMerge/>
            <w:tcBorders>
              <w:left w:val="single" w:sz="4" w:space="0" w:color="000000"/>
              <w:bottom w:val="nil" w:sz="6" w:space="0" w:color="auto"/>
              <w:right w:val="single" w:sz="4" w:space="0" w:color="000000"/>
            </w:tcBorders>
            <w:shd w:val="clear" w:color="auto" w:fill="D2D2D2"/>
          </w:tcPr>
          <w:p>
            <w:pPr/>
          </w:p>
        </w:tc>
        <w:tc>
          <w:tcPr>
            <w:tcW w:w="431" w:type="dxa"/>
            <w:vMerge/>
            <w:tcBorders>
              <w:left w:val="single" w:sz="4" w:space="0" w:color="000000"/>
              <w:right w:val="single" w:sz="4" w:space="0" w:color="000000"/>
            </w:tcBorders>
            <w:shd w:val="clear" w:color="auto" w:fill="D2D2D2"/>
          </w:tcPr>
          <w:p>
            <w:pPr/>
          </w:p>
        </w:tc>
        <w:tc>
          <w:tcPr>
            <w:tcW w:w="986" w:type="dxa"/>
            <w:vMerge w:val="restart"/>
            <w:tcBorders>
              <w:top w:val="nil" w:sz="6" w:space="0" w:color="auto"/>
              <w:left w:val="single" w:sz="23" w:space="0" w:color="D2D2D2"/>
              <w:right w:val="single" w:sz="13" w:space="0" w:color="D2D2D2"/>
            </w:tcBorders>
          </w:tcPr>
          <w:p>
            <w:pPr>
              <w:pStyle w:val="TableParagraph"/>
              <w:spacing w:line="240" w:lineRule="auto" w:before="26"/>
              <w:ind w:left="44" w:right="0"/>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shd w:fill="D2D2D2" w:color="auto" w:val="clear"/>
              </w:rPr>
              <w:t>账面价值</w:t>
            </w:r>
            <w:r>
              <w:rPr>
                <w:rFonts w:ascii="宋体" w:hAnsi="宋体" w:cs="宋体" w:eastAsia="宋体" w:hint="default"/>
                <w:sz w:val="21"/>
                <w:szCs w:val="21"/>
              </w:rPr>
            </w:r>
          </w:p>
        </w:tc>
        <w:tc>
          <w:tcPr>
            <w:tcW w:w="851" w:type="dxa"/>
            <w:vMerge/>
            <w:tcBorders>
              <w:left w:val="single" w:sz="4" w:space="0" w:color="000000"/>
              <w:bottom w:val="nil" w:sz="6" w:space="0" w:color="auto"/>
              <w:right w:val="single" w:sz="4" w:space="0" w:color="000000"/>
            </w:tcBorders>
            <w:shd w:val="clear" w:color="auto" w:fill="D2D2D2"/>
          </w:tcPr>
          <w:p>
            <w:pPr/>
          </w:p>
        </w:tc>
        <w:tc>
          <w:tcPr>
            <w:tcW w:w="368" w:type="dxa"/>
            <w:vMerge w:val="restart"/>
            <w:tcBorders>
              <w:top w:val="nil" w:sz="6" w:space="0" w:color="auto"/>
              <w:left w:val="single" w:sz="4" w:space="0" w:color="000000"/>
              <w:right w:val="single" w:sz="4" w:space="0" w:color="000000"/>
            </w:tcBorders>
            <w:shd w:val="clear" w:color="auto" w:fill="D2D2D2"/>
          </w:tcPr>
          <w:p>
            <w:pPr>
              <w:pStyle w:val="TableParagraph"/>
              <w:spacing w:line="273" w:lineRule="auto" w:before="37"/>
              <w:ind w:left="73" w:right="73"/>
              <w:jc w:val="left"/>
              <w:rPr>
                <w:rFonts w:ascii="宋体" w:hAnsi="宋体" w:cs="宋体" w:eastAsia="宋体" w:hint="default"/>
                <w:sz w:val="21"/>
                <w:szCs w:val="21"/>
              </w:rPr>
            </w:pPr>
            <w:r>
              <w:rPr>
                <w:rFonts w:ascii="宋体" w:hAnsi="宋体" w:cs="宋体" w:eastAsia="宋体" w:hint="default"/>
                <w:sz w:val="21"/>
                <w:szCs w:val="21"/>
              </w:rPr>
              <w:t>比 例</w:t>
            </w:r>
          </w:p>
        </w:tc>
        <w:tc>
          <w:tcPr>
            <w:tcW w:w="1334" w:type="dxa"/>
            <w:vMerge/>
            <w:tcBorders>
              <w:left w:val="single" w:sz="4" w:space="0" w:color="000000"/>
              <w:bottom w:val="nil" w:sz="6" w:space="0" w:color="auto"/>
              <w:right w:val="single" w:sz="4" w:space="0" w:color="000000"/>
            </w:tcBorders>
            <w:shd w:val="clear" w:color="auto" w:fill="D2D2D2"/>
          </w:tcPr>
          <w:p>
            <w:pPr/>
          </w:p>
        </w:tc>
        <w:tc>
          <w:tcPr>
            <w:tcW w:w="412" w:type="dxa"/>
            <w:vMerge/>
            <w:tcBorders>
              <w:left w:val="single" w:sz="4" w:space="0" w:color="000000"/>
              <w:right w:val="single" w:sz="4" w:space="0" w:color="000000"/>
            </w:tcBorders>
            <w:shd w:val="clear" w:color="auto" w:fill="D2D2D2"/>
          </w:tcPr>
          <w:p>
            <w:pPr/>
          </w:p>
        </w:tc>
        <w:tc>
          <w:tcPr>
            <w:tcW w:w="114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
              <w:ind w:left="147" w:right="0"/>
              <w:jc w:val="left"/>
              <w:rPr>
                <w:rFonts w:ascii="宋体" w:hAnsi="宋体" w:cs="宋体" w:eastAsia="宋体" w:hint="default"/>
                <w:sz w:val="21"/>
                <w:szCs w:val="21"/>
              </w:rPr>
            </w:pPr>
            <w:r>
              <w:rPr>
                <w:rFonts w:ascii="宋体" w:hAnsi="宋体" w:cs="宋体" w:eastAsia="宋体" w:hint="default"/>
                <w:sz w:val="21"/>
                <w:szCs w:val="21"/>
              </w:rPr>
              <w:t>账面价值</w:t>
            </w:r>
          </w:p>
        </w:tc>
      </w:tr>
      <w:tr>
        <w:trPr>
          <w:trHeight w:val="193" w:hRule="exact"/>
        </w:trPr>
        <w:tc>
          <w:tcPr>
            <w:tcW w:w="1549" w:type="dxa"/>
            <w:vMerge w:val="restart"/>
            <w:tcBorders>
              <w:top w:val="single" w:sz="4" w:space="0" w:color="FFFFFF"/>
              <w:left w:val="single" w:sz="4" w:space="0" w:color="000000"/>
              <w:right w:val="single" w:sz="4" w:space="0" w:color="000000"/>
            </w:tcBorders>
            <w:shd w:val="clear" w:color="auto" w:fill="D2D2D2"/>
          </w:tcPr>
          <w:p>
            <w:pPr/>
          </w:p>
        </w:tc>
        <w:tc>
          <w:tcPr>
            <w:tcW w:w="1134"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23"/>
              <w:ind w:left="351"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466" w:type="dxa"/>
            <w:vMerge/>
            <w:tcBorders>
              <w:left w:val="single" w:sz="4" w:space="0" w:color="000000"/>
              <w:right w:val="single" w:sz="4" w:space="0" w:color="000000"/>
            </w:tcBorders>
            <w:shd w:val="clear" w:color="auto" w:fill="D2D2D2"/>
          </w:tcPr>
          <w:p>
            <w:pPr/>
          </w:p>
        </w:tc>
        <w:tc>
          <w:tcPr>
            <w:tcW w:w="109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7"/>
              <w:ind w:left="331"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431" w:type="dxa"/>
            <w:vMerge/>
            <w:tcBorders>
              <w:left w:val="single" w:sz="4" w:space="0" w:color="000000"/>
              <w:right w:val="single" w:sz="4" w:space="0" w:color="000000"/>
            </w:tcBorders>
            <w:shd w:val="clear" w:color="auto" w:fill="D2D2D2"/>
          </w:tcPr>
          <w:p>
            <w:pPr/>
          </w:p>
        </w:tc>
        <w:tc>
          <w:tcPr>
            <w:tcW w:w="986" w:type="dxa"/>
            <w:vMerge/>
            <w:tcBorders>
              <w:left w:val="single" w:sz="23" w:space="0" w:color="D2D2D2"/>
              <w:bottom w:val="nil" w:sz="6" w:space="0" w:color="auto"/>
              <w:right w:val="single" w:sz="13" w:space="0" w:color="D2D2D2"/>
            </w:tcBorders>
          </w:tcPr>
          <w:p>
            <w:pPr/>
          </w:p>
        </w:tc>
        <w:tc>
          <w:tcPr>
            <w:tcW w:w="85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6"/>
              <w:ind w:left="210"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368" w:type="dxa"/>
            <w:vMerge/>
            <w:tcBorders>
              <w:left w:val="single" w:sz="4" w:space="0" w:color="000000"/>
              <w:right w:val="single" w:sz="4" w:space="0" w:color="000000"/>
            </w:tcBorders>
            <w:shd w:val="clear" w:color="auto" w:fill="D2D2D2"/>
          </w:tcPr>
          <w:p>
            <w:pPr/>
          </w:p>
        </w:tc>
        <w:tc>
          <w:tcPr>
            <w:tcW w:w="133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412" w:type="dxa"/>
            <w:vMerge/>
            <w:tcBorders>
              <w:left w:val="single" w:sz="4" w:space="0" w:color="000000"/>
              <w:right w:val="single" w:sz="4" w:space="0" w:color="000000"/>
            </w:tcBorders>
            <w:shd w:val="clear" w:color="auto" w:fill="D2D2D2"/>
          </w:tcPr>
          <w:p>
            <w:pPr/>
          </w:p>
        </w:tc>
        <w:tc>
          <w:tcPr>
            <w:tcW w:w="1147" w:type="dxa"/>
            <w:vMerge/>
            <w:tcBorders>
              <w:left w:val="single" w:sz="4" w:space="0" w:color="000000"/>
              <w:bottom w:val="nil" w:sz="6" w:space="0" w:color="auto"/>
              <w:right w:val="single" w:sz="4" w:space="0" w:color="000000"/>
            </w:tcBorders>
            <w:shd w:val="clear" w:color="auto" w:fill="D2D2D2"/>
          </w:tcPr>
          <w:p>
            <w:pPr/>
          </w:p>
        </w:tc>
      </w:tr>
      <w:tr>
        <w:trPr>
          <w:trHeight w:val="200" w:hRule="exact"/>
        </w:trPr>
        <w:tc>
          <w:tcPr>
            <w:tcW w:w="1549" w:type="dxa"/>
            <w:vMerge/>
            <w:tcBorders>
              <w:left w:val="single" w:sz="4" w:space="0" w:color="000000"/>
              <w:right w:val="single" w:sz="4" w:space="0" w:color="000000"/>
            </w:tcBorders>
            <w:shd w:val="clear" w:color="auto" w:fill="D2D2D2"/>
          </w:tcPr>
          <w:p>
            <w:pPr/>
          </w:p>
        </w:tc>
        <w:tc>
          <w:tcPr>
            <w:tcW w:w="1134" w:type="dxa"/>
            <w:vMerge/>
            <w:tcBorders>
              <w:left w:val="single" w:sz="4" w:space="0" w:color="000000"/>
              <w:bottom w:val="nil" w:sz="6" w:space="0" w:color="auto"/>
              <w:right w:val="single" w:sz="4" w:space="0" w:color="000000"/>
            </w:tcBorders>
            <w:shd w:val="clear" w:color="auto" w:fill="D2D2D2"/>
          </w:tcPr>
          <w:p>
            <w:pPr/>
          </w:p>
        </w:tc>
        <w:tc>
          <w:tcPr>
            <w:tcW w:w="466" w:type="dxa"/>
            <w:vMerge/>
            <w:tcBorders>
              <w:left w:val="single" w:sz="4" w:space="0" w:color="000000"/>
              <w:right w:val="single" w:sz="4" w:space="0" w:color="000000"/>
            </w:tcBorders>
            <w:shd w:val="clear" w:color="auto" w:fill="D2D2D2"/>
          </w:tcPr>
          <w:p>
            <w:pPr/>
          </w:p>
        </w:tc>
        <w:tc>
          <w:tcPr>
            <w:tcW w:w="1094" w:type="dxa"/>
            <w:vMerge/>
            <w:tcBorders>
              <w:left w:val="single" w:sz="4" w:space="0" w:color="000000"/>
              <w:bottom w:val="nil" w:sz="6" w:space="0" w:color="auto"/>
              <w:right w:val="single" w:sz="4" w:space="0" w:color="000000"/>
            </w:tcBorders>
            <w:shd w:val="clear" w:color="auto" w:fill="D2D2D2"/>
          </w:tcPr>
          <w:p>
            <w:pPr/>
          </w:p>
        </w:tc>
        <w:tc>
          <w:tcPr>
            <w:tcW w:w="431" w:type="dxa"/>
            <w:vMerge/>
            <w:tcBorders>
              <w:left w:val="single" w:sz="4" w:space="0" w:color="000000"/>
              <w:right w:val="single" w:sz="4" w:space="0" w:color="000000"/>
            </w:tcBorders>
            <w:shd w:val="clear" w:color="auto" w:fill="D2D2D2"/>
          </w:tcPr>
          <w:p>
            <w:pPr/>
          </w:p>
        </w:tc>
        <w:tc>
          <w:tcPr>
            <w:tcW w:w="986" w:type="dxa"/>
            <w:vMerge w:val="restart"/>
            <w:tcBorders>
              <w:top w:val="nil" w:sz="6" w:space="0" w:color="auto"/>
              <w:left w:val="single" w:sz="4" w:space="0" w:color="000000"/>
              <w:right w:val="single" w:sz="4" w:space="0" w:color="000000"/>
            </w:tcBorders>
            <w:shd w:val="clear" w:color="auto" w:fill="D2D2D2"/>
          </w:tcPr>
          <w:p>
            <w:pPr/>
          </w:p>
        </w:tc>
        <w:tc>
          <w:tcPr>
            <w:tcW w:w="851" w:type="dxa"/>
            <w:vMerge/>
            <w:tcBorders>
              <w:left w:val="single" w:sz="4" w:space="0" w:color="000000"/>
              <w:bottom w:val="nil" w:sz="6" w:space="0" w:color="auto"/>
              <w:right w:val="single" w:sz="4" w:space="0" w:color="000000"/>
            </w:tcBorders>
            <w:shd w:val="clear" w:color="auto" w:fill="D2D2D2"/>
          </w:tcPr>
          <w:p>
            <w:pPr/>
          </w:p>
        </w:tc>
        <w:tc>
          <w:tcPr>
            <w:tcW w:w="368" w:type="dxa"/>
            <w:vMerge/>
            <w:tcBorders>
              <w:left w:val="single" w:sz="4" w:space="0" w:color="000000"/>
              <w:right w:val="single" w:sz="4" w:space="0" w:color="000000"/>
            </w:tcBorders>
            <w:shd w:val="clear" w:color="auto" w:fill="D2D2D2"/>
          </w:tcPr>
          <w:p>
            <w:pPr/>
          </w:p>
        </w:tc>
        <w:tc>
          <w:tcPr>
            <w:tcW w:w="1334" w:type="dxa"/>
            <w:vMerge/>
            <w:tcBorders>
              <w:left w:val="single" w:sz="4" w:space="0" w:color="000000"/>
              <w:bottom w:val="nil" w:sz="6" w:space="0" w:color="auto"/>
              <w:right w:val="single" w:sz="4" w:space="0" w:color="000000"/>
            </w:tcBorders>
            <w:shd w:val="clear" w:color="auto" w:fill="D2D2D2"/>
          </w:tcPr>
          <w:p>
            <w:pPr/>
          </w:p>
        </w:tc>
        <w:tc>
          <w:tcPr>
            <w:tcW w:w="412" w:type="dxa"/>
            <w:vMerge/>
            <w:tcBorders>
              <w:left w:val="single" w:sz="4" w:space="0" w:color="000000"/>
              <w:right w:val="single" w:sz="4" w:space="0" w:color="000000"/>
            </w:tcBorders>
            <w:shd w:val="clear" w:color="auto" w:fill="D2D2D2"/>
          </w:tcPr>
          <w:p>
            <w:pPr/>
          </w:p>
        </w:tc>
        <w:tc>
          <w:tcPr>
            <w:tcW w:w="1147" w:type="dxa"/>
            <w:vMerge w:val="restart"/>
            <w:tcBorders>
              <w:top w:val="nil" w:sz="6" w:space="0" w:color="auto"/>
              <w:left w:val="single" w:sz="4" w:space="0" w:color="000000"/>
              <w:right w:val="single" w:sz="4" w:space="0" w:color="000000"/>
            </w:tcBorders>
            <w:shd w:val="clear" w:color="auto" w:fill="D2D2D2"/>
          </w:tcPr>
          <w:p>
            <w:pPr/>
          </w:p>
        </w:tc>
      </w:tr>
      <w:tr>
        <w:trPr>
          <w:trHeight w:val="156" w:hRule="exact"/>
        </w:trPr>
        <w:tc>
          <w:tcPr>
            <w:tcW w:w="1549" w:type="dxa"/>
            <w:vMerge/>
            <w:tcBorders>
              <w:left w:val="single" w:sz="4" w:space="0" w:color="000000"/>
              <w:right w:val="single" w:sz="4" w:space="0" w:color="000000"/>
            </w:tcBorders>
            <w:shd w:val="clear" w:color="auto" w:fill="D2D2D2"/>
          </w:tcPr>
          <w:p>
            <w:pPr/>
          </w:p>
        </w:tc>
        <w:tc>
          <w:tcPr>
            <w:tcW w:w="1134" w:type="dxa"/>
            <w:vMerge w:val="restart"/>
            <w:tcBorders>
              <w:top w:val="nil" w:sz="6" w:space="0" w:color="auto"/>
              <w:left w:val="single" w:sz="4" w:space="0" w:color="000000"/>
              <w:right w:val="single" w:sz="4" w:space="0" w:color="000000"/>
            </w:tcBorders>
            <w:shd w:val="clear" w:color="auto" w:fill="D2D2D2"/>
          </w:tcPr>
          <w:p>
            <w:pPr/>
          </w:p>
        </w:tc>
        <w:tc>
          <w:tcPr>
            <w:tcW w:w="466" w:type="dxa"/>
            <w:vMerge/>
            <w:tcBorders>
              <w:left w:val="single" w:sz="4" w:space="0" w:color="000000"/>
              <w:bottom w:val="nil" w:sz="6" w:space="0" w:color="auto"/>
              <w:right w:val="single" w:sz="4" w:space="0" w:color="000000"/>
            </w:tcBorders>
            <w:shd w:val="clear" w:color="auto" w:fill="D2D2D2"/>
          </w:tcPr>
          <w:p>
            <w:pPr/>
          </w:p>
        </w:tc>
        <w:tc>
          <w:tcPr>
            <w:tcW w:w="1094" w:type="dxa"/>
            <w:vMerge w:val="restart"/>
            <w:tcBorders>
              <w:top w:val="nil" w:sz="6" w:space="0" w:color="auto"/>
              <w:left w:val="single" w:sz="4" w:space="0" w:color="000000"/>
              <w:right w:val="single" w:sz="4" w:space="0" w:color="000000"/>
            </w:tcBorders>
            <w:shd w:val="clear" w:color="auto" w:fill="D2D2D2"/>
          </w:tcPr>
          <w:p>
            <w:pPr/>
          </w:p>
        </w:tc>
        <w:tc>
          <w:tcPr>
            <w:tcW w:w="431" w:type="dxa"/>
            <w:vMerge/>
            <w:tcBorders>
              <w:left w:val="single" w:sz="4" w:space="0" w:color="000000"/>
              <w:right w:val="single" w:sz="4" w:space="0" w:color="000000"/>
            </w:tcBorders>
            <w:shd w:val="clear" w:color="auto" w:fill="D2D2D2"/>
          </w:tcPr>
          <w:p>
            <w:pPr/>
          </w:p>
        </w:tc>
        <w:tc>
          <w:tcPr>
            <w:tcW w:w="986" w:type="dxa"/>
            <w:vMerge/>
            <w:tcBorders>
              <w:left w:val="single" w:sz="4" w:space="0" w:color="000000"/>
              <w:right w:val="single" w:sz="4" w:space="0" w:color="000000"/>
            </w:tcBorders>
            <w:shd w:val="clear" w:color="auto" w:fill="D2D2D2"/>
          </w:tcPr>
          <w:p>
            <w:pPr/>
          </w:p>
        </w:tc>
        <w:tc>
          <w:tcPr>
            <w:tcW w:w="851" w:type="dxa"/>
            <w:vMerge w:val="restart"/>
            <w:tcBorders>
              <w:top w:val="nil" w:sz="6" w:space="0" w:color="auto"/>
              <w:left w:val="single" w:sz="4" w:space="0" w:color="000000"/>
              <w:right w:val="single" w:sz="4" w:space="0" w:color="000000"/>
            </w:tcBorders>
            <w:shd w:val="clear" w:color="auto" w:fill="D2D2D2"/>
          </w:tcPr>
          <w:p>
            <w:pPr/>
          </w:p>
        </w:tc>
        <w:tc>
          <w:tcPr>
            <w:tcW w:w="368" w:type="dxa"/>
            <w:vMerge/>
            <w:tcBorders>
              <w:left w:val="single" w:sz="4" w:space="0" w:color="000000"/>
              <w:bottom w:val="nil" w:sz="6" w:space="0" w:color="auto"/>
              <w:right w:val="single" w:sz="4" w:space="0" w:color="000000"/>
            </w:tcBorders>
            <w:shd w:val="clear" w:color="auto" w:fill="D2D2D2"/>
          </w:tcPr>
          <w:p>
            <w:pPr/>
          </w:p>
        </w:tc>
        <w:tc>
          <w:tcPr>
            <w:tcW w:w="1334" w:type="dxa"/>
            <w:vMerge w:val="restart"/>
            <w:tcBorders>
              <w:top w:val="nil" w:sz="6" w:space="0" w:color="auto"/>
              <w:left w:val="single" w:sz="4" w:space="0" w:color="000000"/>
              <w:right w:val="single" w:sz="4" w:space="0" w:color="000000"/>
            </w:tcBorders>
            <w:shd w:val="clear" w:color="auto" w:fill="D2D2D2"/>
          </w:tcPr>
          <w:p>
            <w:pPr/>
          </w:p>
        </w:tc>
        <w:tc>
          <w:tcPr>
            <w:tcW w:w="412" w:type="dxa"/>
            <w:vMerge/>
            <w:tcBorders>
              <w:left w:val="single" w:sz="4" w:space="0" w:color="000000"/>
              <w:right w:val="single" w:sz="4" w:space="0" w:color="000000"/>
            </w:tcBorders>
            <w:shd w:val="clear" w:color="auto" w:fill="D2D2D2"/>
          </w:tcPr>
          <w:p>
            <w:pPr/>
          </w:p>
        </w:tc>
        <w:tc>
          <w:tcPr>
            <w:tcW w:w="1147" w:type="dxa"/>
            <w:vMerge/>
            <w:tcBorders>
              <w:left w:val="single" w:sz="4" w:space="0" w:color="000000"/>
              <w:right w:val="single" w:sz="4" w:space="0" w:color="000000"/>
            </w:tcBorders>
            <w:shd w:val="clear" w:color="auto" w:fill="D2D2D2"/>
          </w:tcPr>
          <w:p>
            <w:pPr/>
          </w:p>
        </w:tc>
      </w:tr>
      <w:tr>
        <w:trPr>
          <w:trHeight w:val="317" w:hRule="exact"/>
        </w:trPr>
        <w:tc>
          <w:tcPr>
            <w:tcW w:w="1549" w:type="dxa"/>
            <w:vMerge/>
            <w:tcBorders>
              <w:left w:val="single" w:sz="4" w:space="0" w:color="000000"/>
              <w:bottom w:val="single" w:sz="4" w:space="0" w:color="000000"/>
              <w:right w:val="single" w:sz="4" w:space="0" w:color="000000"/>
            </w:tcBorders>
            <w:shd w:val="clear" w:color="auto" w:fill="D2D2D2"/>
          </w:tcPr>
          <w:p>
            <w:pPr/>
          </w:p>
        </w:tc>
        <w:tc>
          <w:tcPr>
            <w:tcW w:w="1134" w:type="dxa"/>
            <w:vMerge/>
            <w:tcBorders>
              <w:left w:val="single" w:sz="4" w:space="0" w:color="000000"/>
              <w:bottom w:val="single" w:sz="4" w:space="0" w:color="000000"/>
              <w:right w:val="single" w:sz="4" w:space="0" w:color="000000"/>
            </w:tcBorders>
            <w:shd w:val="clear" w:color="auto" w:fill="D2D2D2"/>
          </w:tcPr>
          <w:p>
            <w:pPr/>
          </w:p>
        </w:tc>
        <w:tc>
          <w:tcPr>
            <w:tcW w:w="466" w:type="dxa"/>
            <w:tcBorders>
              <w:top w:val="nil" w:sz="6" w:space="0" w:color="auto"/>
              <w:left w:val="single" w:sz="4" w:space="0" w:color="000000"/>
              <w:bottom w:val="single" w:sz="4" w:space="0" w:color="000000"/>
              <w:right w:val="single" w:sz="4" w:space="0" w:color="000000"/>
            </w:tcBorders>
            <w:shd w:val="clear" w:color="auto" w:fill="D2D2D2"/>
          </w:tcPr>
          <w:p>
            <w:pPr/>
          </w:p>
        </w:tc>
        <w:tc>
          <w:tcPr>
            <w:tcW w:w="1094" w:type="dxa"/>
            <w:vMerge/>
            <w:tcBorders>
              <w:left w:val="single" w:sz="4" w:space="0" w:color="000000"/>
              <w:bottom w:val="single" w:sz="4" w:space="0" w:color="000000"/>
              <w:right w:val="single" w:sz="4" w:space="0" w:color="000000"/>
            </w:tcBorders>
            <w:shd w:val="clear" w:color="auto" w:fill="D2D2D2"/>
          </w:tcPr>
          <w:p>
            <w:pPr/>
          </w:p>
        </w:tc>
        <w:tc>
          <w:tcPr>
            <w:tcW w:w="431" w:type="dxa"/>
            <w:vMerge/>
            <w:tcBorders>
              <w:left w:val="single" w:sz="4" w:space="0" w:color="000000"/>
              <w:bottom w:val="single" w:sz="4" w:space="0" w:color="000000"/>
              <w:right w:val="single" w:sz="4" w:space="0" w:color="000000"/>
            </w:tcBorders>
            <w:shd w:val="clear" w:color="auto" w:fill="D2D2D2"/>
          </w:tcPr>
          <w:p>
            <w:pPr/>
          </w:p>
        </w:tc>
        <w:tc>
          <w:tcPr>
            <w:tcW w:w="986" w:type="dxa"/>
            <w:vMerge/>
            <w:tcBorders>
              <w:left w:val="single" w:sz="4" w:space="0" w:color="000000"/>
              <w:bottom w:val="single" w:sz="4" w:space="0" w:color="000000"/>
              <w:right w:val="single" w:sz="4" w:space="0" w:color="000000"/>
            </w:tcBorders>
            <w:shd w:val="clear" w:color="auto" w:fill="D2D2D2"/>
          </w:tcPr>
          <w:p>
            <w:pPr/>
          </w:p>
        </w:tc>
        <w:tc>
          <w:tcPr>
            <w:tcW w:w="851" w:type="dxa"/>
            <w:vMerge/>
            <w:tcBorders>
              <w:left w:val="single" w:sz="4" w:space="0" w:color="000000"/>
              <w:bottom w:val="single" w:sz="4" w:space="0" w:color="000000"/>
              <w:right w:val="single" w:sz="4" w:space="0" w:color="000000"/>
            </w:tcBorders>
            <w:shd w:val="clear" w:color="auto" w:fill="D2D2D2"/>
          </w:tcPr>
          <w:p>
            <w:pPr/>
          </w:p>
        </w:tc>
        <w:tc>
          <w:tcPr>
            <w:tcW w:w="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34" w:type="dxa"/>
            <w:vMerge/>
            <w:tcBorders>
              <w:left w:val="single" w:sz="4" w:space="0" w:color="000000"/>
              <w:bottom w:val="single" w:sz="4" w:space="0" w:color="000000"/>
              <w:right w:val="single" w:sz="4" w:space="0" w:color="000000"/>
            </w:tcBorders>
            <w:shd w:val="clear" w:color="auto" w:fill="D2D2D2"/>
          </w:tcPr>
          <w:p>
            <w:pPr/>
          </w:p>
        </w:tc>
        <w:tc>
          <w:tcPr>
            <w:tcW w:w="412" w:type="dxa"/>
            <w:vMerge/>
            <w:tcBorders>
              <w:left w:val="single" w:sz="4" w:space="0" w:color="000000"/>
              <w:bottom w:val="single" w:sz="4" w:space="0" w:color="000000"/>
              <w:right w:val="single" w:sz="4" w:space="0" w:color="000000"/>
            </w:tcBorders>
            <w:shd w:val="clear" w:color="auto" w:fill="D2D2D2"/>
          </w:tcPr>
          <w:p>
            <w:pPr/>
          </w:p>
        </w:tc>
        <w:tc>
          <w:tcPr>
            <w:tcW w:w="1147"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1549" w:type="dxa"/>
            <w:tcBorders>
              <w:top w:val="single" w:sz="4" w:space="0" w:color="000000"/>
              <w:left w:val="single" w:sz="4" w:space="0" w:color="000000"/>
              <w:bottom w:val="nil" w:sz="6" w:space="0" w:color="auto"/>
              <w:right w:val="single" w:sz="4" w:space="0" w:color="000000"/>
            </w:tcBorders>
            <w:shd w:val="clear" w:color="auto" w:fill="D2D2D2"/>
          </w:tcPr>
          <w:p>
            <w:pPr/>
          </w:p>
        </w:tc>
        <w:tc>
          <w:tcPr>
            <w:tcW w:w="1134" w:type="dxa"/>
            <w:vMerge w:val="restart"/>
            <w:tcBorders>
              <w:top w:val="single" w:sz="4" w:space="0" w:color="000000"/>
              <w:left w:val="single" w:sz="9" w:space="0" w:color="D2D2D2"/>
              <w:right w:val="single"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left="43" w:right="0"/>
              <w:jc w:val="left"/>
              <w:rPr>
                <w:rFonts w:ascii="宋体" w:hAnsi="宋体" w:cs="宋体" w:eastAsia="宋体" w:hint="default"/>
                <w:sz w:val="21"/>
                <w:szCs w:val="21"/>
              </w:rPr>
            </w:pPr>
            <w:r>
              <w:rPr>
                <w:rFonts w:ascii="宋体"/>
                <w:sz w:val="21"/>
              </w:rPr>
              <w:t>503,836,66</w:t>
            </w:r>
          </w:p>
          <w:p>
            <w:pPr>
              <w:pStyle w:val="TableParagraph"/>
              <w:spacing w:line="240" w:lineRule="auto" w:before="38"/>
              <w:ind w:left="673" w:right="0"/>
              <w:jc w:val="left"/>
              <w:rPr>
                <w:rFonts w:ascii="宋体" w:hAnsi="宋体" w:cs="宋体" w:eastAsia="宋体" w:hint="default"/>
                <w:sz w:val="21"/>
                <w:szCs w:val="21"/>
              </w:rPr>
            </w:pPr>
            <w:r>
              <w:rPr>
                <w:rFonts w:ascii="宋体"/>
                <w:sz w:val="21"/>
              </w:rPr>
              <w:t>7.46</w:t>
            </w:r>
          </w:p>
        </w:tc>
        <w:tc>
          <w:tcPr>
            <w:tcW w:w="46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1"/>
              <w:jc w:val="right"/>
              <w:rPr>
                <w:rFonts w:ascii="宋体" w:hAnsi="宋体" w:cs="宋体" w:eastAsia="宋体" w:hint="default"/>
                <w:sz w:val="21"/>
                <w:szCs w:val="21"/>
              </w:rPr>
            </w:pPr>
            <w:r>
              <w:rPr>
                <w:rFonts w:ascii="宋体"/>
                <w:sz w:val="21"/>
              </w:rPr>
              <w:t>100</w:t>
            </w:r>
          </w:p>
          <w:p>
            <w:pPr>
              <w:pStyle w:val="TableParagraph"/>
              <w:spacing w:line="240" w:lineRule="auto" w:before="37"/>
              <w:ind w:right="21"/>
              <w:jc w:val="right"/>
              <w:rPr>
                <w:rFonts w:ascii="宋体" w:hAnsi="宋体" w:cs="宋体" w:eastAsia="宋体" w:hint="default"/>
                <w:sz w:val="21"/>
                <w:szCs w:val="21"/>
              </w:rPr>
            </w:pPr>
            <w:r>
              <w:rPr>
                <w:rFonts w:ascii="宋体"/>
                <w:sz w:val="21"/>
              </w:rPr>
              <w:t>.00</w:t>
            </w:r>
          </w:p>
          <w:p>
            <w:pPr>
              <w:pStyle w:val="TableParagraph"/>
              <w:spacing w:line="240" w:lineRule="auto" w:before="38"/>
              <w:ind w:right="21"/>
              <w:jc w:val="right"/>
              <w:rPr>
                <w:rFonts w:ascii="宋体" w:hAnsi="宋体" w:cs="宋体" w:eastAsia="宋体" w:hint="default"/>
                <w:sz w:val="21"/>
                <w:szCs w:val="21"/>
              </w:rPr>
            </w:pPr>
            <w:r>
              <w:rPr>
                <w:rFonts w:ascii="宋体"/>
                <w:sz w:val="21"/>
              </w:rPr>
              <w:t>%</w:t>
            </w:r>
          </w:p>
        </w:tc>
        <w:tc>
          <w:tcPr>
            <w:tcW w:w="1094"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left="116" w:right="0"/>
              <w:jc w:val="left"/>
              <w:rPr>
                <w:rFonts w:ascii="宋体" w:hAnsi="宋体" w:cs="宋体" w:eastAsia="宋体" w:hint="default"/>
                <w:sz w:val="21"/>
                <w:szCs w:val="21"/>
              </w:rPr>
            </w:pPr>
            <w:r>
              <w:rPr>
                <w:rFonts w:ascii="宋体"/>
                <w:sz w:val="21"/>
              </w:rPr>
              <w:t>83,906,69</w:t>
            </w:r>
          </w:p>
          <w:p>
            <w:pPr>
              <w:pStyle w:val="TableParagraph"/>
              <w:spacing w:line="240" w:lineRule="auto" w:before="38"/>
              <w:ind w:left="641" w:right="0"/>
              <w:jc w:val="left"/>
              <w:rPr>
                <w:rFonts w:ascii="宋体" w:hAnsi="宋体" w:cs="宋体" w:eastAsia="宋体" w:hint="default"/>
                <w:sz w:val="21"/>
                <w:szCs w:val="21"/>
              </w:rPr>
            </w:pPr>
            <w:r>
              <w:rPr>
                <w:rFonts w:ascii="宋体"/>
                <w:sz w:val="21"/>
              </w:rPr>
              <w:t>0.89</w:t>
            </w:r>
          </w:p>
        </w:tc>
        <w:tc>
          <w:tcPr>
            <w:tcW w:w="431"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left="83" w:right="0"/>
              <w:jc w:val="left"/>
              <w:rPr>
                <w:rFonts w:ascii="宋体" w:hAnsi="宋体" w:cs="宋体" w:eastAsia="宋体" w:hint="default"/>
                <w:sz w:val="21"/>
                <w:szCs w:val="21"/>
              </w:rPr>
            </w:pPr>
            <w:r>
              <w:rPr>
                <w:rFonts w:ascii="宋体"/>
                <w:sz w:val="21"/>
              </w:rPr>
              <w:t>16.</w:t>
            </w:r>
          </w:p>
          <w:p>
            <w:pPr>
              <w:pStyle w:val="TableParagraph"/>
              <w:spacing w:line="240" w:lineRule="auto" w:before="38"/>
              <w:ind w:left="83" w:right="0"/>
              <w:jc w:val="left"/>
              <w:rPr>
                <w:rFonts w:ascii="宋体" w:hAnsi="宋体" w:cs="宋体" w:eastAsia="宋体" w:hint="default"/>
                <w:sz w:val="21"/>
                <w:szCs w:val="21"/>
              </w:rPr>
            </w:pPr>
            <w:r>
              <w:rPr>
                <w:rFonts w:ascii="宋体"/>
                <w:sz w:val="21"/>
              </w:rPr>
              <w:t>65%</w:t>
            </w:r>
          </w:p>
        </w:tc>
        <w:tc>
          <w:tcPr>
            <w:tcW w:w="986"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left="113" w:right="0"/>
              <w:jc w:val="left"/>
              <w:rPr>
                <w:rFonts w:ascii="宋体" w:hAnsi="宋体" w:cs="宋体" w:eastAsia="宋体" w:hint="default"/>
                <w:sz w:val="21"/>
                <w:szCs w:val="21"/>
              </w:rPr>
            </w:pPr>
            <w:r>
              <w:rPr>
                <w:rFonts w:ascii="宋体"/>
                <w:sz w:val="21"/>
              </w:rPr>
              <w:t>419,929,</w:t>
            </w:r>
          </w:p>
          <w:p>
            <w:pPr>
              <w:pStyle w:val="TableParagraph"/>
              <w:spacing w:line="240" w:lineRule="auto" w:before="38"/>
              <w:ind w:left="323" w:right="0"/>
              <w:jc w:val="left"/>
              <w:rPr>
                <w:rFonts w:ascii="宋体" w:hAnsi="宋体" w:cs="宋体" w:eastAsia="宋体" w:hint="default"/>
                <w:sz w:val="21"/>
                <w:szCs w:val="21"/>
              </w:rPr>
            </w:pPr>
            <w:r>
              <w:rPr>
                <w:rFonts w:ascii="宋体"/>
                <w:sz w:val="21"/>
              </w:rPr>
              <w:t>976.57</w:t>
            </w:r>
          </w:p>
        </w:tc>
        <w:tc>
          <w:tcPr>
            <w:tcW w:w="851"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left="83" w:right="0"/>
              <w:jc w:val="left"/>
              <w:rPr>
                <w:rFonts w:ascii="宋体" w:hAnsi="宋体" w:cs="宋体" w:eastAsia="宋体" w:hint="default"/>
                <w:sz w:val="21"/>
                <w:szCs w:val="21"/>
              </w:rPr>
            </w:pPr>
            <w:r>
              <w:rPr>
                <w:rFonts w:ascii="宋体"/>
                <w:sz w:val="21"/>
              </w:rPr>
              <w:t>436,306</w:t>
            </w:r>
          </w:p>
          <w:p>
            <w:pPr>
              <w:pStyle w:val="TableParagraph"/>
              <w:spacing w:line="240" w:lineRule="auto" w:before="38"/>
              <w:ind w:left="83" w:right="0"/>
              <w:jc w:val="left"/>
              <w:rPr>
                <w:rFonts w:ascii="宋体" w:hAnsi="宋体" w:cs="宋体" w:eastAsia="宋体" w:hint="default"/>
                <w:sz w:val="21"/>
                <w:szCs w:val="21"/>
              </w:rPr>
            </w:pPr>
            <w:r>
              <w:rPr>
                <w:rFonts w:ascii="宋体"/>
                <w:sz w:val="21"/>
              </w:rPr>
              <w:t>,672.53</w:t>
            </w:r>
          </w:p>
        </w:tc>
        <w:tc>
          <w:tcPr>
            <w:tcW w:w="368" w:type="dxa"/>
            <w:vMerge w:val="restart"/>
            <w:tcBorders>
              <w:top w:val="single" w:sz="4" w:space="0" w:color="000000"/>
              <w:left w:val="single" w:sz="4" w:space="0" w:color="000000"/>
              <w:right w:val="single" w:sz="4" w:space="0" w:color="000000"/>
            </w:tcBorders>
          </w:tcPr>
          <w:p>
            <w:pPr>
              <w:pStyle w:val="TableParagraph"/>
              <w:spacing w:line="240" w:lineRule="auto" w:before="26"/>
              <w:ind w:left="102" w:right="0"/>
              <w:jc w:val="center"/>
              <w:rPr>
                <w:rFonts w:ascii="宋体" w:hAnsi="宋体" w:cs="宋体" w:eastAsia="宋体" w:hint="default"/>
                <w:sz w:val="21"/>
                <w:szCs w:val="21"/>
              </w:rPr>
            </w:pPr>
            <w:r>
              <w:rPr>
                <w:rFonts w:ascii="宋体"/>
                <w:sz w:val="21"/>
              </w:rPr>
              <w:t>10</w:t>
            </w:r>
          </w:p>
          <w:p>
            <w:pPr>
              <w:pStyle w:val="TableParagraph"/>
              <w:spacing w:line="240" w:lineRule="auto" w:before="37"/>
              <w:ind w:left="102" w:right="0"/>
              <w:jc w:val="center"/>
              <w:rPr>
                <w:rFonts w:ascii="宋体" w:hAnsi="宋体" w:cs="宋体" w:eastAsia="宋体" w:hint="default"/>
                <w:sz w:val="21"/>
                <w:szCs w:val="21"/>
              </w:rPr>
            </w:pPr>
            <w:r>
              <w:rPr>
                <w:rFonts w:ascii="宋体"/>
                <w:sz w:val="21"/>
              </w:rPr>
              <w:t>0.</w:t>
            </w:r>
          </w:p>
          <w:p>
            <w:pPr>
              <w:pStyle w:val="TableParagraph"/>
              <w:spacing w:line="240" w:lineRule="auto" w:before="37"/>
              <w:ind w:left="102" w:right="0"/>
              <w:jc w:val="center"/>
              <w:rPr>
                <w:rFonts w:ascii="宋体" w:hAnsi="宋体" w:cs="宋体" w:eastAsia="宋体" w:hint="default"/>
                <w:sz w:val="21"/>
                <w:szCs w:val="21"/>
              </w:rPr>
            </w:pPr>
            <w:r>
              <w:rPr>
                <w:rFonts w:ascii="宋体"/>
                <w:sz w:val="21"/>
              </w:rPr>
              <w:t>00</w:t>
            </w:r>
          </w:p>
          <w:p>
            <w:pPr>
              <w:pStyle w:val="TableParagraph"/>
              <w:spacing w:line="240" w:lineRule="auto" w:before="38"/>
              <w:ind w:left="207" w:right="0"/>
              <w:jc w:val="center"/>
              <w:rPr>
                <w:rFonts w:ascii="宋体" w:hAnsi="宋体" w:cs="宋体" w:eastAsia="宋体" w:hint="default"/>
                <w:sz w:val="21"/>
                <w:szCs w:val="21"/>
              </w:rPr>
            </w:pPr>
            <w:r>
              <w:rPr>
                <w:rFonts w:ascii="宋体"/>
                <w:sz w:val="21"/>
              </w:rPr>
              <w:t>%</w:t>
            </w:r>
          </w:p>
        </w:tc>
        <w:tc>
          <w:tcPr>
            <w:tcW w:w="1334"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21"/>
              <w:jc w:val="right"/>
              <w:rPr>
                <w:rFonts w:ascii="宋体" w:hAnsi="宋体" w:cs="宋体" w:eastAsia="宋体" w:hint="default"/>
                <w:sz w:val="21"/>
                <w:szCs w:val="21"/>
              </w:rPr>
            </w:pPr>
            <w:r>
              <w:rPr>
                <w:rFonts w:ascii="宋体"/>
                <w:sz w:val="21"/>
              </w:rPr>
              <w:t>73,948,294.1</w:t>
            </w:r>
          </w:p>
          <w:p>
            <w:pPr>
              <w:pStyle w:val="TableParagraph"/>
              <w:spacing w:line="240" w:lineRule="auto" w:before="38"/>
              <w:ind w:right="21"/>
              <w:jc w:val="right"/>
              <w:rPr>
                <w:rFonts w:ascii="宋体" w:hAnsi="宋体" w:cs="宋体" w:eastAsia="宋体" w:hint="default"/>
                <w:sz w:val="21"/>
                <w:szCs w:val="21"/>
              </w:rPr>
            </w:pPr>
            <w:r>
              <w:rPr>
                <w:rFonts w:ascii="宋体"/>
                <w:sz w:val="21"/>
              </w:rPr>
              <w:t>3</w:t>
            </w:r>
          </w:p>
        </w:tc>
        <w:tc>
          <w:tcPr>
            <w:tcW w:w="412"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left="64" w:right="0"/>
              <w:jc w:val="left"/>
              <w:rPr>
                <w:rFonts w:ascii="宋体" w:hAnsi="宋体" w:cs="宋体" w:eastAsia="宋体" w:hint="default"/>
                <w:sz w:val="21"/>
                <w:szCs w:val="21"/>
              </w:rPr>
            </w:pPr>
            <w:r>
              <w:rPr>
                <w:rFonts w:ascii="宋体"/>
                <w:sz w:val="21"/>
              </w:rPr>
              <w:t>16.</w:t>
            </w:r>
          </w:p>
          <w:p>
            <w:pPr>
              <w:pStyle w:val="TableParagraph"/>
              <w:spacing w:line="240" w:lineRule="auto" w:before="38"/>
              <w:ind w:left="64" w:right="0"/>
              <w:jc w:val="left"/>
              <w:rPr>
                <w:rFonts w:ascii="宋体" w:hAnsi="宋体" w:cs="宋体" w:eastAsia="宋体" w:hint="default"/>
                <w:sz w:val="21"/>
                <w:szCs w:val="21"/>
              </w:rPr>
            </w:pPr>
            <w:r>
              <w:rPr>
                <w:rFonts w:ascii="宋体"/>
                <w:sz w:val="21"/>
              </w:rPr>
              <w:t>95%</w:t>
            </w:r>
          </w:p>
        </w:tc>
        <w:tc>
          <w:tcPr>
            <w:tcW w:w="1147"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left="63" w:right="0"/>
              <w:jc w:val="left"/>
              <w:rPr>
                <w:rFonts w:ascii="宋体" w:hAnsi="宋体" w:cs="宋体" w:eastAsia="宋体" w:hint="default"/>
                <w:sz w:val="21"/>
                <w:szCs w:val="21"/>
              </w:rPr>
            </w:pPr>
            <w:r>
              <w:rPr>
                <w:rFonts w:ascii="宋体"/>
                <w:sz w:val="21"/>
              </w:rPr>
              <w:t>362,358,37</w:t>
            </w:r>
          </w:p>
          <w:p>
            <w:pPr>
              <w:pStyle w:val="TableParagraph"/>
              <w:spacing w:line="240" w:lineRule="auto" w:before="38"/>
              <w:ind w:left="693" w:right="0"/>
              <w:jc w:val="left"/>
              <w:rPr>
                <w:rFonts w:ascii="宋体" w:hAnsi="宋体" w:cs="宋体" w:eastAsia="宋体" w:hint="default"/>
                <w:sz w:val="21"/>
                <w:szCs w:val="21"/>
              </w:rPr>
            </w:pPr>
            <w:r>
              <w:rPr>
                <w:rFonts w:ascii="宋体"/>
                <w:sz w:val="21"/>
              </w:rPr>
              <w:t>8.40</w:t>
            </w:r>
          </w:p>
        </w:tc>
      </w:tr>
      <w:tr>
        <w:trPr>
          <w:trHeight w:val="1016" w:hRule="exact"/>
        </w:trPr>
        <w:tc>
          <w:tcPr>
            <w:tcW w:w="154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73" w:lineRule="auto" w:before="26"/>
              <w:ind w:left="11" w:right="57"/>
              <w:jc w:val="both"/>
              <w:rPr>
                <w:rFonts w:ascii="宋体" w:hAnsi="宋体" w:cs="宋体" w:eastAsia="宋体" w:hint="default"/>
                <w:sz w:val="21"/>
                <w:szCs w:val="21"/>
              </w:rPr>
            </w:pPr>
            <w:r>
              <w:rPr>
                <w:rFonts w:ascii="宋体" w:hAnsi="宋体" w:cs="宋体" w:eastAsia="宋体" w:hint="default"/>
                <w:sz w:val="21"/>
                <w:szCs w:val="21"/>
              </w:rPr>
              <w:t>按信用风险特征 组合计提坏账准 备的应收账款</w:t>
            </w:r>
          </w:p>
        </w:tc>
        <w:tc>
          <w:tcPr>
            <w:tcW w:w="1134" w:type="dxa"/>
            <w:vMerge/>
            <w:tcBorders>
              <w:left w:val="single" w:sz="9" w:space="0" w:color="D2D2D2"/>
              <w:right w:val="single" w:sz="4" w:space="0" w:color="000000"/>
            </w:tcBorders>
          </w:tcPr>
          <w:p>
            <w:pPr/>
          </w:p>
        </w:tc>
        <w:tc>
          <w:tcPr>
            <w:tcW w:w="466" w:type="dxa"/>
            <w:vMerge/>
            <w:tcBorders>
              <w:left w:val="single" w:sz="4" w:space="0" w:color="000000"/>
              <w:right w:val="single" w:sz="4" w:space="0" w:color="000000"/>
            </w:tcBorders>
          </w:tcPr>
          <w:p>
            <w:pPr/>
          </w:p>
        </w:tc>
        <w:tc>
          <w:tcPr>
            <w:tcW w:w="1094" w:type="dxa"/>
            <w:vMerge/>
            <w:tcBorders>
              <w:left w:val="single" w:sz="4" w:space="0" w:color="000000"/>
              <w:right w:val="single" w:sz="4" w:space="0" w:color="000000"/>
            </w:tcBorders>
          </w:tcPr>
          <w:p>
            <w:pPr/>
          </w:p>
        </w:tc>
        <w:tc>
          <w:tcPr>
            <w:tcW w:w="431" w:type="dxa"/>
            <w:vMerge/>
            <w:tcBorders>
              <w:left w:val="single" w:sz="4" w:space="0" w:color="000000"/>
              <w:right w:val="single" w:sz="4" w:space="0" w:color="000000"/>
            </w:tcBorders>
          </w:tcPr>
          <w:p>
            <w:pPr/>
          </w:p>
        </w:tc>
        <w:tc>
          <w:tcPr>
            <w:tcW w:w="986"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368" w:type="dxa"/>
            <w:vMerge/>
            <w:tcBorders>
              <w:left w:val="single" w:sz="4" w:space="0" w:color="000000"/>
              <w:right w:val="single" w:sz="4" w:space="0" w:color="000000"/>
            </w:tcBorders>
          </w:tcPr>
          <w:p>
            <w:pPr/>
          </w:p>
        </w:tc>
        <w:tc>
          <w:tcPr>
            <w:tcW w:w="1334" w:type="dxa"/>
            <w:vMerge/>
            <w:tcBorders>
              <w:left w:val="single" w:sz="4" w:space="0" w:color="000000"/>
              <w:right w:val="single" w:sz="4" w:space="0" w:color="000000"/>
            </w:tcBorders>
          </w:tcPr>
          <w:p>
            <w:pPr/>
          </w:p>
        </w:tc>
        <w:tc>
          <w:tcPr>
            <w:tcW w:w="412" w:type="dxa"/>
            <w:vMerge/>
            <w:tcBorders>
              <w:left w:val="single" w:sz="4" w:space="0" w:color="000000"/>
              <w:right w:val="single" w:sz="4" w:space="0" w:color="000000"/>
            </w:tcBorders>
          </w:tcPr>
          <w:p>
            <w:pPr/>
          </w:p>
        </w:tc>
        <w:tc>
          <w:tcPr>
            <w:tcW w:w="1147" w:type="dxa"/>
            <w:vMerge/>
            <w:tcBorders>
              <w:left w:val="single" w:sz="4" w:space="0" w:color="000000"/>
              <w:right w:val="single" w:sz="4" w:space="0" w:color="000000"/>
            </w:tcBorders>
          </w:tcPr>
          <w:p>
            <w:pPr/>
          </w:p>
        </w:tc>
      </w:tr>
      <w:tr>
        <w:trPr>
          <w:trHeight w:val="161" w:hRule="exact"/>
        </w:trPr>
        <w:tc>
          <w:tcPr>
            <w:tcW w:w="1549" w:type="dxa"/>
            <w:tcBorders>
              <w:top w:val="nil" w:sz="6" w:space="0" w:color="auto"/>
              <w:left w:val="single" w:sz="4" w:space="0" w:color="000000"/>
              <w:bottom w:val="single" w:sz="4" w:space="0" w:color="000000"/>
              <w:right w:val="single" w:sz="4" w:space="0" w:color="000000"/>
            </w:tcBorders>
            <w:shd w:val="clear" w:color="auto" w:fill="D2D2D2"/>
          </w:tcPr>
          <w:p>
            <w:pPr/>
          </w:p>
        </w:tc>
        <w:tc>
          <w:tcPr>
            <w:tcW w:w="1134" w:type="dxa"/>
            <w:vMerge/>
            <w:tcBorders>
              <w:left w:val="single" w:sz="9" w:space="0" w:color="D2D2D2"/>
              <w:bottom w:val="single" w:sz="4" w:space="0" w:color="000000"/>
              <w:right w:val="single" w:sz="4" w:space="0" w:color="000000"/>
            </w:tcBorders>
          </w:tcPr>
          <w:p>
            <w:pPr/>
          </w:p>
        </w:tc>
        <w:tc>
          <w:tcPr>
            <w:tcW w:w="466" w:type="dxa"/>
            <w:vMerge/>
            <w:tcBorders>
              <w:left w:val="single" w:sz="4" w:space="0" w:color="000000"/>
              <w:bottom w:val="single" w:sz="4" w:space="0" w:color="000000"/>
              <w:right w:val="single" w:sz="4" w:space="0" w:color="000000"/>
            </w:tcBorders>
          </w:tcPr>
          <w:p>
            <w:pPr/>
          </w:p>
        </w:tc>
        <w:tc>
          <w:tcPr>
            <w:tcW w:w="1094" w:type="dxa"/>
            <w:vMerge/>
            <w:tcBorders>
              <w:left w:val="single" w:sz="4" w:space="0" w:color="000000"/>
              <w:bottom w:val="single" w:sz="4" w:space="0" w:color="000000"/>
              <w:right w:val="single" w:sz="4" w:space="0" w:color="000000"/>
            </w:tcBorders>
          </w:tcPr>
          <w:p>
            <w:pPr/>
          </w:p>
        </w:tc>
        <w:tc>
          <w:tcPr>
            <w:tcW w:w="431" w:type="dxa"/>
            <w:vMerge/>
            <w:tcBorders>
              <w:left w:val="single" w:sz="4" w:space="0" w:color="000000"/>
              <w:bottom w:val="single" w:sz="4" w:space="0" w:color="000000"/>
              <w:right w:val="single" w:sz="4" w:space="0" w:color="000000"/>
            </w:tcBorders>
          </w:tcPr>
          <w:p>
            <w:pPr/>
          </w:p>
        </w:tc>
        <w:tc>
          <w:tcPr>
            <w:tcW w:w="986" w:type="dxa"/>
            <w:vMerge/>
            <w:tcBorders>
              <w:left w:val="single" w:sz="4" w:space="0" w:color="000000"/>
              <w:bottom w:val="single" w:sz="4" w:space="0" w:color="000000"/>
              <w:right w:val="single" w:sz="4" w:space="0" w:color="000000"/>
            </w:tcBorders>
          </w:tcPr>
          <w:p>
            <w:pPr/>
          </w:p>
        </w:tc>
        <w:tc>
          <w:tcPr>
            <w:tcW w:w="851" w:type="dxa"/>
            <w:vMerge/>
            <w:tcBorders>
              <w:left w:val="single" w:sz="4" w:space="0" w:color="000000"/>
              <w:bottom w:val="single" w:sz="4" w:space="0" w:color="000000"/>
              <w:right w:val="single" w:sz="4" w:space="0" w:color="000000"/>
            </w:tcBorders>
          </w:tcPr>
          <w:p>
            <w:pPr/>
          </w:p>
        </w:tc>
        <w:tc>
          <w:tcPr>
            <w:tcW w:w="368" w:type="dxa"/>
            <w:vMerge/>
            <w:tcBorders>
              <w:left w:val="single" w:sz="4" w:space="0" w:color="000000"/>
              <w:bottom w:val="single" w:sz="4" w:space="0" w:color="000000"/>
              <w:right w:val="single" w:sz="4" w:space="0" w:color="000000"/>
            </w:tcBorders>
          </w:tcPr>
          <w:p>
            <w:pPr/>
          </w:p>
        </w:tc>
        <w:tc>
          <w:tcPr>
            <w:tcW w:w="1334" w:type="dxa"/>
            <w:vMerge/>
            <w:tcBorders>
              <w:left w:val="single" w:sz="4" w:space="0" w:color="000000"/>
              <w:bottom w:val="single" w:sz="4" w:space="0" w:color="000000"/>
              <w:right w:val="single" w:sz="4" w:space="0" w:color="000000"/>
            </w:tcBorders>
          </w:tcPr>
          <w:p>
            <w:pPr/>
          </w:p>
        </w:tc>
        <w:tc>
          <w:tcPr>
            <w:tcW w:w="412" w:type="dxa"/>
            <w:vMerge/>
            <w:tcBorders>
              <w:left w:val="single" w:sz="4" w:space="0" w:color="000000"/>
              <w:bottom w:val="single" w:sz="4" w:space="0" w:color="000000"/>
              <w:right w:val="single" w:sz="4" w:space="0" w:color="000000"/>
            </w:tcBorders>
          </w:tcPr>
          <w:p>
            <w:pPr/>
          </w:p>
        </w:tc>
        <w:tc>
          <w:tcPr>
            <w:tcW w:w="1147" w:type="dxa"/>
            <w:vMerge/>
            <w:tcBorders>
              <w:left w:val="single" w:sz="4" w:space="0" w:color="000000"/>
              <w:bottom w:val="single" w:sz="4" w:space="0" w:color="000000"/>
              <w:right w:val="single" w:sz="4" w:space="0" w:color="000000"/>
            </w:tcBorders>
          </w:tcPr>
          <w:p>
            <w:pPr/>
          </w:p>
        </w:tc>
      </w:tr>
      <w:tr>
        <w:trPr>
          <w:trHeight w:val="473" w:hRule="exact"/>
        </w:trPr>
        <w:tc>
          <w:tcPr>
            <w:tcW w:w="1549" w:type="dxa"/>
            <w:tcBorders>
              <w:top w:val="single" w:sz="4" w:space="0" w:color="000000"/>
              <w:left w:val="single" w:sz="4" w:space="0" w:color="000000"/>
              <w:bottom w:val="nil" w:sz="6" w:space="0" w:color="auto"/>
              <w:right w:val="single" w:sz="4" w:space="0" w:color="000000"/>
            </w:tcBorders>
            <w:shd w:val="clear" w:color="auto" w:fill="D2D2D2"/>
          </w:tcPr>
          <w:p>
            <w:pPr/>
          </w:p>
        </w:tc>
        <w:tc>
          <w:tcPr>
            <w:tcW w:w="1134" w:type="dxa"/>
            <w:vMerge w:val="restart"/>
            <w:tcBorders>
              <w:top w:val="single" w:sz="4" w:space="0" w:color="000000"/>
              <w:left w:val="single" w:sz="9" w:space="0" w:color="D2D2D2"/>
              <w:right w:val="single"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left="43" w:right="0"/>
              <w:jc w:val="left"/>
              <w:rPr>
                <w:rFonts w:ascii="宋体" w:hAnsi="宋体" w:cs="宋体" w:eastAsia="宋体" w:hint="default"/>
                <w:sz w:val="21"/>
                <w:szCs w:val="21"/>
              </w:rPr>
            </w:pPr>
            <w:r>
              <w:rPr>
                <w:rFonts w:ascii="宋体"/>
                <w:sz w:val="21"/>
              </w:rPr>
              <w:t>503,836,66</w:t>
            </w:r>
          </w:p>
          <w:p>
            <w:pPr>
              <w:pStyle w:val="TableParagraph"/>
              <w:spacing w:line="240" w:lineRule="auto" w:before="38"/>
              <w:ind w:left="673" w:right="0"/>
              <w:jc w:val="left"/>
              <w:rPr>
                <w:rFonts w:ascii="宋体" w:hAnsi="宋体" w:cs="宋体" w:eastAsia="宋体" w:hint="default"/>
                <w:sz w:val="21"/>
                <w:szCs w:val="21"/>
              </w:rPr>
            </w:pPr>
            <w:r>
              <w:rPr>
                <w:rFonts w:ascii="宋体"/>
                <w:sz w:val="21"/>
              </w:rPr>
              <w:t>7.46</w:t>
            </w:r>
          </w:p>
        </w:tc>
        <w:tc>
          <w:tcPr>
            <w:tcW w:w="46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1"/>
              <w:jc w:val="right"/>
              <w:rPr>
                <w:rFonts w:ascii="宋体" w:hAnsi="宋体" w:cs="宋体" w:eastAsia="宋体" w:hint="default"/>
                <w:sz w:val="21"/>
                <w:szCs w:val="21"/>
              </w:rPr>
            </w:pPr>
            <w:r>
              <w:rPr>
                <w:rFonts w:ascii="宋体"/>
                <w:sz w:val="21"/>
              </w:rPr>
              <w:t>100</w:t>
            </w:r>
          </w:p>
          <w:p>
            <w:pPr>
              <w:pStyle w:val="TableParagraph"/>
              <w:spacing w:line="240" w:lineRule="auto" w:before="37"/>
              <w:ind w:right="21"/>
              <w:jc w:val="right"/>
              <w:rPr>
                <w:rFonts w:ascii="宋体" w:hAnsi="宋体" w:cs="宋体" w:eastAsia="宋体" w:hint="default"/>
                <w:sz w:val="21"/>
                <w:szCs w:val="21"/>
              </w:rPr>
            </w:pPr>
            <w:r>
              <w:rPr>
                <w:rFonts w:ascii="宋体"/>
                <w:sz w:val="21"/>
              </w:rPr>
              <w:t>.00</w:t>
            </w:r>
          </w:p>
          <w:p>
            <w:pPr>
              <w:pStyle w:val="TableParagraph"/>
              <w:spacing w:line="240" w:lineRule="auto" w:before="38"/>
              <w:ind w:right="21"/>
              <w:jc w:val="right"/>
              <w:rPr>
                <w:rFonts w:ascii="宋体" w:hAnsi="宋体" w:cs="宋体" w:eastAsia="宋体" w:hint="default"/>
                <w:sz w:val="21"/>
                <w:szCs w:val="21"/>
              </w:rPr>
            </w:pPr>
            <w:r>
              <w:rPr>
                <w:rFonts w:ascii="宋体"/>
                <w:sz w:val="21"/>
              </w:rPr>
              <w:t>%</w:t>
            </w:r>
          </w:p>
        </w:tc>
        <w:tc>
          <w:tcPr>
            <w:tcW w:w="1094"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left="116" w:right="0"/>
              <w:jc w:val="left"/>
              <w:rPr>
                <w:rFonts w:ascii="宋体" w:hAnsi="宋体" w:cs="宋体" w:eastAsia="宋体" w:hint="default"/>
                <w:sz w:val="21"/>
                <w:szCs w:val="21"/>
              </w:rPr>
            </w:pPr>
            <w:r>
              <w:rPr>
                <w:rFonts w:ascii="宋体"/>
                <w:sz w:val="21"/>
              </w:rPr>
              <w:t>83,906,69</w:t>
            </w:r>
          </w:p>
          <w:p>
            <w:pPr>
              <w:pStyle w:val="TableParagraph"/>
              <w:spacing w:line="240" w:lineRule="auto" w:before="38"/>
              <w:ind w:left="641" w:right="0"/>
              <w:jc w:val="left"/>
              <w:rPr>
                <w:rFonts w:ascii="宋体" w:hAnsi="宋体" w:cs="宋体" w:eastAsia="宋体" w:hint="default"/>
                <w:sz w:val="21"/>
                <w:szCs w:val="21"/>
              </w:rPr>
            </w:pPr>
            <w:r>
              <w:rPr>
                <w:rFonts w:ascii="宋体"/>
                <w:sz w:val="21"/>
              </w:rPr>
              <w:t>0.89</w:t>
            </w:r>
          </w:p>
        </w:tc>
        <w:tc>
          <w:tcPr>
            <w:tcW w:w="431"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left="83" w:right="0"/>
              <w:jc w:val="left"/>
              <w:rPr>
                <w:rFonts w:ascii="宋体" w:hAnsi="宋体" w:cs="宋体" w:eastAsia="宋体" w:hint="default"/>
                <w:sz w:val="21"/>
                <w:szCs w:val="21"/>
              </w:rPr>
            </w:pPr>
            <w:r>
              <w:rPr>
                <w:rFonts w:ascii="宋体"/>
                <w:sz w:val="21"/>
              </w:rPr>
              <w:t>16.</w:t>
            </w:r>
          </w:p>
          <w:p>
            <w:pPr>
              <w:pStyle w:val="TableParagraph"/>
              <w:spacing w:line="240" w:lineRule="auto" w:before="38"/>
              <w:ind w:left="83" w:right="0"/>
              <w:jc w:val="left"/>
              <w:rPr>
                <w:rFonts w:ascii="宋体" w:hAnsi="宋体" w:cs="宋体" w:eastAsia="宋体" w:hint="default"/>
                <w:sz w:val="21"/>
                <w:szCs w:val="21"/>
              </w:rPr>
            </w:pPr>
            <w:r>
              <w:rPr>
                <w:rFonts w:ascii="宋体"/>
                <w:sz w:val="21"/>
              </w:rPr>
              <w:t>65%</w:t>
            </w:r>
          </w:p>
        </w:tc>
        <w:tc>
          <w:tcPr>
            <w:tcW w:w="986"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left="113" w:right="0"/>
              <w:jc w:val="left"/>
              <w:rPr>
                <w:rFonts w:ascii="宋体" w:hAnsi="宋体" w:cs="宋体" w:eastAsia="宋体" w:hint="default"/>
                <w:sz w:val="21"/>
                <w:szCs w:val="21"/>
              </w:rPr>
            </w:pPr>
            <w:r>
              <w:rPr>
                <w:rFonts w:ascii="宋体"/>
                <w:sz w:val="21"/>
              </w:rPr>
              <w:t>419,929,</w:t>
            </w:r>
          </w:p>
          <w:p>
            <w:pPr>
              <w:pStyle w:val="TableParagraph"/>
              <w:spacing w:line="240" w:lineRule="auto" w:before="38"/>
              <w:ind w:left="323" w:right="0"/>
              <w:jc w:val="left"/>
              <w:rPr>
                <w:rFonts w:ascii="宋体" w:hAnsi="宋体" w:cs="宋体" w:eastAsia="宋体" w:hint="default"/>
                <w:sz w:val="21"/>
                <w:szCs w:val="21"/>
              </w:rPr>
            </w:pPr>
            <w:r>
              <w:rPr>
                <w:rFonts w:ascii="宋体"/>
                <w:sz w:val="21"/>
              </w:rPr>
              <w:t>976.57</w:t>
            </w:r>
          </w:p>
        </w:tc>
        <w:tc>
          <w:tcPr>
            <w:tcW w:w="851"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left="83" w:right="0"/>
              <w:jc w:val="left"/>
              <w:rPr>
                <w:rFonts w:ascii="宋体" w:hAnsi="宋体" w:cs="宋体" w:eastAsia="宋体" w:hint="default"/>
                <w:sz w:val="21"/>
                <w:szCs w:val="21"/>
              </w:rPr>
            </w:pPr>
            <w:r>
              <w:rPr>
                <w:rFonts w:ascii="宋体"/>
                <w:sz w:val="21"/>
              </w:rPr>
              <w:t>436,306</w:t>
            </w:r>
          </w:p>
          <w:p>
            <w:pPr>
              <w:pStyle w:val="TableParagraph"/>
              <w:spacing w:line="240" w:lineRule="auto" w:before="38"/>
              <w:ind w:left="83" w:right="0"/>
              <w:jc w:val="left"/>
              <w:rPr>
                <w:rFonts w:ascii="宋体" w:hAnsi="宋体" w:cs="宋体" w:eastAsia="宋体" w:hint="default"/>
                <w:sz w:val="21"/>
                <w:szCs w:val="21"/>
              </w:rPr>
            </w:pPr>
            <w:r>
              <w:rPr>
                <w:rFonts w:ascii="宋体"/>
                <w:sz w:val="21"/>
              </w:rPr>
              <w:t>,672.53</w:t>
            </w:r>
          </w:p>
        </w:tc>
        <w:tc>
          <w:tcPr>
            <w:tcW w:w="368" w:type="dxa"/>
            <w:vMerge w:val="restart"/>
            <w:tcBorders>
              <w:top w:val="single" w:sz="4" w:space="0" w:color="000000"/>
              <w:left w:val="single" w:sz="4" w:space="0" w:color="000000"/>
              <w:right w:val="single" w:sz="4" w:space="0" w:color="000000"/>
            </w:tcBorders>
          </w:tcPr>
          <w:p>
            <w:pPr>
              <w:pStyle w:val="TableParagraph"/>
              <w:spacing w:line="240" w:lineRule="auto" w:before="26"/>
              <w:ind w:left="102" w:right="0"/>
              <w:jc w:val="center"/>
              <w:rPr>
                <w:rFonts w:ascii="宋体" w:hAnsi="宋体" w:cs="宋体" w:eastAsia="宋体" w:hint="default"/>
                <w:sz w:val="21"/>
                <w:szCs w:val="21"/>
              </w:rPr>
            </w:pPr>
            <w:r>
              <w:rPr>
                <w:rFonts w:ascii="宋体"/>
                <w:sz w:val="21"/>
              </w:rPr>
              <w:t>10</w:t>
            </w:r>
          </w:p>
          <w:p>
            <w:pPr>
              <w:pStyle w:val="TableParagraph"/>
              <w:spacing w:line="240" w:lineRule="auto" w:before="37"/>
              <w:ind w:left="102" w:right="0"/>
              <w:jc w:val="center"/>
              <w:rPr>
                <w:rFonts w:ascii="宋体" w:hAnsi="宋体" w:cs="宋体" w:eastAsia="宋体" w:hint="default"/>
                <w:sz w:val="21"/>
                <w:szCs w:val="21"/>
              </w:rPr>
            </w:pPr>
            <w:r>
              <w:rPr>
                <w:rFonts w:ascii="宋体"/>
                <w:sz w:val="21"/>
              </w:rPr>
              <w:t>0.</w:t>
            </w:r>
          </w:p>
          <w:p>
            <w:pPr>
              <w:pStyle w:val="TableParagraph"/>
              <w:spacing w:line="240" w:lineRule="auto" w:before="37"/>
              <w:ind w:left="102" w:right="0"/>
              <w:jc w:val="center"/>
              <w:rPr>
                <w:rFonts w:ascii="宋体" w:hAnsi="宋体" w:cs="宋体" w:eastAsia="宋体" w:hint="default"/>
                <w:sz w:val="21"/>
                <w:szCs w:val="21"/>
              </w:rPr>
            </w:pPr>
            <w:r>
              <w:rPr>
                <w:rFonts w:ascii="宋体"/>
                <w:sz w:val="21"/>
              </w:rPr>
              <w:t>00</w:t>
            </w:r>
          </w:p>
          <w:p>
            <w:pPr>
              <w:pStyle w:val="TableParagraph"/>
              <w:spacing w:line="240" w:lineRule="auto" w:before="38"/>
              <w:ind w:left="207" w:right="0"/>
              <w:jc w:val="center"/>
              <w:rPr>
                <w:rFonts w:ascii="宋体" w:hAnsi="宋体" w:cs="宋体" w:eastAsia="宋体" w:hint="default"/>
                <w:sz w:val="21"/>
                <w:szCs w:val="21"/>
              </w:rPr>
            </w:pPr>
            <w:r>
              <w:rPr>
                <w:rFonts w:ascii="宋体"/>
                <w:sz w:val="21"/>
              </w:rPr>
              <w:t>%</w:t>
            </w:r>
          </w:p>
        </w:tc>
        <w:tc>
          <w:tcPr>
            <w:tcW w:w="1334"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20"/>
              <w:jc w:val="right"/>
              <w:rPr>
                <w:rFonts w:ascii="宋体" w:hAnsi="宋体" w:cs="宋体" w:eastAsia="宋体" w:hint="default"/>
                <w:sz w:val="21"/>
                <w:szCs w:val="21"/>
              </w:rPr>
            </w:pPr>
            <w:r>
              <w:rPr>
                <w:rFonts w:ascii="宋体"/>
                <w:sz w:val="21"/>
              </w:rPr>
              <w:t>73,948,294.1</w:t>
            </w:r>
          </w:p>
          <w:p>
            <w:pPr>
              <w:pStyle w:val="TableParagraph"/>
              <w:spacing w:line="240" w:lineRule="auto" w:before="38"/>
              <w:ind w:right="21"/>
              <w:jc w:val="right"/>
              <w:rPr>
                <w:rFonts w:ascii="宋体" w:hAnsi="宋体" w:cs="宋体" w:eastAsia="宋体" w:hint="default"/>
                <w:sz w:val="21"/>
                <w:szCs w:val="21"/>
              </w:rPr>
            </w:pPr>
            <w:r>
              <w:rPr>
                <w:rFonts w:ascii="宋体"/>
                <w:sz w:val="21"/>
              </w:rPr>
              <w:t>3</w:t>
            </w:r>
          </w:p>
        </w:tc>
        <w:tc>
          <w:tcPr>
            <w:tcW w:w="412"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left="64" w:right="0"/>
              <w:jc w:val="left"/>
              <w:rPr>
                <w:rFonts w:ascii="宋体" w:hAnsi="宋体" w:cs="宋体" w:eastAsia="宋体" w:hint="default"/>
                <w:sz w:val="21"/>
                <w:szCs w:val="21"/>
              </w:rPr>
            </w:pPr>
            <w:r>
              <w:rPr>
                <w:rFonts w:ascii="宋体"/>
                <w:sz w:val="21"/>
              </w:rPr>
              <w:t>16.</w:t>
            </w:r>
          </w:p>
          <w:p>
            <w:pPr>
              <w:pStyle w:val="TableParagraph"/>
              <w:spacing w:line="240" w:lineRule="auto" w:before="38"/>
              <w:ind w:left="64" w:right="0"/>
              <w:jc w:val="left"/>
              <w:rPr>
                <w:rFonts w:ascii="宋体" w:hAnsi="宋体" w:cs="宋体" w:eastAsia="宋体" w:hint="default"/>
                <w:sz w:val="21"/>
                <w:szCs w:val="21"/>
              </w:rPr>
            </w:pPr>
            <w:r>
              <w:rPr>
                <w:rFonts w:ascii="宋体"/>
                <w:sz w:val="21"/>
              </w:rPr>
              <w:t>95%</w:t>
            </w:r>
          </w:p>
        </w:tc>
        <w:tc>
          <w:tcPr>
            <w:tcW w:w="1147"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left="63" w:right="0"/>
              <w:jc w:val="left"/>
              <w:rPr>
                <w:rFonts w:ascii="宋体" w:hAnsi="宋体" w:cs="宋体" w:eastAsia="宋体" w:hint="default"/>
                <w:sz w:val="21"/>
                <w:szCs w:val="21"/>
              </w:rPr>
            </w:pPr>
            <w:r>
              <w:rPr>
                <w:rFonts w:ascii="宋体"/>
                <w:sz w:val="21"/>
              </w:rPr>
              <w:t>362,358,37</w:t>
            </w:r>
          </w:p>
          <w:p>
            <w:pPr>
              <w:pStyle w:val="TableParagraph"/>
              <w:spacing w:line="240" w:lineRule="auto" w:before="38"/>
              <w:ind w:left="693" w:right="0"/>
              <w:jc w:val="left"/>
              <w:rPr>
                <w:rFonts w:ascii="宋体" w:hAnsi="宋体" w:cs="宋体" w:eastAsia="宋体" w:hint="default"/>
                <w:sz w:val="21"/>
                <w:szCs w:val="21"/>
              </w:rPr>
            </w:pPr>
            <w:r>
              <w:rPr>
                <w:rFonts w:ascii="宋体"/>
                <w:sz w:val="21"/>
              </w:rPr>
              <w:t>8.40</w:t>
            </w:r>
          </w:p>
        </w:tc>
      </w:tr>
      <w:tr>
        <w:trPr>
          <w:trHeight w:val="392" w:hRule="exact"/>
        </w:trPr>
        <w:tc>
          <w:tcPr>
            <w:tcW w:w="154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134" w:type="dxa"/>
            <w:vMerge/>
            <w:tcBorders>
              <w:left w:val="single" w:sz="9" w:space="0" w:color="D2D2D2"/>
              <w:right w:val="single" w:sz="4" w:space="0" w:color="000000"/>
            </w:tcBorders>
          </w:tcPr>
          <w:p>
            <w:pPr/>
          </w:p>
        </w:tc>
        <w:tc>
          <w:tcPr>
            <w:tcW w:w="466" w:type="dxa"/>
            <w:vMerge/>
            <w:tcBorders>
              <w:left w:val="single" w:sz="4" w:space="0" w:color="000000"/>
              <w:right w:val="single" w:sz="4" w:space="0" w:color="000000"/>
            </w:tcBorders>
          </w:tcPr>
          <w:p>
            <w:pPr/>
          </w:p>
        </w:tc>
        <w:tc>
          <w:tcPr>
            <w:tcW w:w="1094" w:type="dxa"/>
            <w:vMerge/>
            <w:tcBorders>
              <w:left w:val="single" w:sz="4" w:space="0" w:color="000000"/>
              <w:right w:val="single" w:sz="4" w:space="0" w:color="000000"/>
            </w:tcBorders>
          </w:tcPr>
          <w:p>
            <w:pPr/>
          </w:p>
        </w:tc>
        <w:tc>
          <w:tcPr>
            <w:tcW w:w="431" w:type="dxa"/>
            <w:vMerge/>
            <w:tcBorders>
              <w:left w:val="single" w:sz="4" w:space="0" w:color="000000"/>
              <w:right w:val="single" w:sz="4" w:space="0" w:color="000000"/>
            </w:tcBorders>
          </w:tcPr>
          <w:p>
            <w:pPr/>
          </w:p>
        </w:tc>
        <w:tc>
          <w:tcPr>
            <w:tcW w:w="986"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368" w:type="dxa"/>
            <w:vMerge/>
            <w:tcBorders>
              <w:left w:val="single" w:sz="4" w:space="0" w:color="000000"/>
              <w:right w:val="single" w:sz="4" w:space="0" w:color="000000"/>
            </w:tcBorders>
          </w:tcPr>
          <w:p>
            <w:pPr/>
          </w:p>
        </w:tc>
        <w:tc>
          <w:tcPr>
            <w:tcW w:w="1334" w:type="dxa"/>
            <w:vMerge/>
            <w:tcBorders>
              <w:left w:val="single" w:sz="4" w:space="0" w:color="000000"/>
              <w:right w:val="single" w:sz="4" w:space="0" w:color="000000"/>
            </w:tcBorders>
          </w:tcPr>
          <w:p>
            <w:pPr/>
          </w:p>
        </w:tc>
        <w:tc>
          <w:tcPr>
            <w:tcW w:w="412" w:type="dxa"/>
            <w:vMerge/>
            <w:tcBorders>
              <w:left w:val="single" w:sz="4" w:space="0" w:color="000000"/>
              <w:right w:val="single" w:sz="4" w:space="0" w:color="000000"/>
            </w:tcBorders>
          </w:tcPr>
          <w:p>
            <w:pPr/>
          </w:p>
        </w:tc>
        <w:tc>
          <w:tcPr>
            <w:tcW w:w="1147" w:type="dxa"/>
            <w:vMerge/>
            <w:tcBorders>
              <w:left w:val="single" w:sz="4" w:space="0" w:color="000000"/>
              <w:right w:val="single" w:sz="4" w:space="0" w:color="000000"/>
            </w:tcBorders>
          </w:tcPr>
          <w:p>
            <w:pPr/>
          </w:p>
        </w:tc>
      </w:tr>
      <w:tr>
        <w:trPr>
          <w:trHeight w:val="473" w:hRule="exact"/>
        </w:trPr>
        <w:tc>
          <w:tcPr>
            <w:tcW w:w="1549" w:type="dxa"/>
            <w:tcBorders>
              <w:top w:val="nil" w:sz="6" w:space="0" w:color="auto"/>
              <w:left w:val="single" w:sz="4" w:space="0" w:color="000000"/>
              <w:bottom w:val="single" w:sz="4" w:space="0" w:color="000000"/>
              <w:right w:val="single" w:sz="4" w:space="0" w:color="000000"/>
            </w:tcBorders>
            <w:shd w:val="clear" w:color="auto" w:fill="D2D2D2"/>
          </w:tcPr>
          <w:p>
            <w:pPr/>
          </w:p>
        </w:tc>
        <w:tc>
          <w:tcPr>
            <w:tcW w:w="1134" w:type="dxa"/>
            <w:vMerge/>
            <w:tcBorders>
              <w:left w:val="single" w:sz="9" w:space="0" w:color="D2D2D2"/>
              <w:bottom w:val="single" w:sz="4" w:space="0" w:color="000000"/>
              <w:right w:val="single" w:sz="4" w:space="0" w:color="000000"/>
            </w:tcBorders>
          </w:tcPr>
          <w:p>
            <w:pPr/>
          </w:p>
        </w:tc>
        <w:tc>
          <w:tcPr>
            <w:tcW w:w="466" w:type="dxa"/>
            <w:vMerge/>
            <w:tcBorders>
              <w:left w:val="single" w:sz="4" w:space="0" w:color="000000"/>
              <w:bottom w:val="single" w:sz="4" w:space="0" w:color="000000"/>
              <w:right w:val="single" w:sz="4" w:space="0" w:color="000000"/>
            </w:tcBorders>
          </w:tcPr>
          <w:p>
            <w:pPr/>
          </w:p>
        </w:tc>
        <w:tc>
          <w:tcPr>
            <w:tcW w:w="1094" w:type="dxa"/>
            <w:vMerge/>
            <w:tcBorders>
              <w:left w:val="single" w:sz="4" w:space="0" w:color="000000"/>
              <w:bottom w:val="single" w:sz="4" w:space="0" w:color="000000"/>
              <w:right w:val="single" w:sz="4" w:space="0" w:color="000000"/>
            </w:tcBorders>
          </w:tcPr>
          <w:p>
            <w:pPr/>
          </w:p>
        </w:tc>
        <w:tc>
          <w:tcPr>
            <w:tcW w:w="431" w:type="dxa"/>
            <w:vMerge/>
            <w:tcBorders>
              <w:left w:val="single" w:sz="4" w:space="0" w:color="000000"/>
              <w:bottom w:val="single" w:sz="4" w:space="0" w:color="000000"/>
              <w:right w:val="single" w:sz="4" w:space="0" w:color="000000"/>
            </w:tcBorders>
          </w:tcPr>
          <w:p>
            <w:pPr/>
          </w:p>
        </w:tc>
        <w:tc>
          <w:tcPr>
            <w:tcW w:w="986" w:type="dxa"/>
            <w:vMerge/>
            <w:tcBorders>
              <w:left w:val="single" w:sz="4" w:space="0" w:color="000000"/>
              <w:bottom w:val="single" w:sz="4" w:space="0" w:color="000000"/>
              <w:right w:val="single" w:sz="4" w:space="0" w:color="000000"/>
            </w:tcBorders>
          </w:tcPr>
          <w:p>
            <w:pPr/>
          </w:p>
        </w:tc>
        <w:tc>
          <w:tcPr>
            <w:tcW w:w="851" w:type="dxa"/>
            <w:vMerge/>
            <w:tcBorders>
              <w:left w:val="single" w:sz="4" w:space="0" w:color="000000"/>
              <w:bottom w:val="single" w:sz="4" w:space="0" w:color="000000"/>
              <w:right w:val="single" w:sz="4" w:space="0" w:color="000000"/>
            </w:tcBorders>
          </w:tcPr>
          <w:p>
            <w:pPr/>
          </w:p>
        </w:tc>
        <w:tc>
          <w:tcPr>
            <w:tcW w:w="368" w:type="dxa"/>
            <w:vMerge/>
            <w:tcBorders>
              <w:left w:val="single" w:sz="4" w:space="0" w:color="000000"/>
              <w:bottom w:val="single" w:sz="4" w:space="0" w:color="000000"/>
              <w:right w:val="single" w:sz="4" w:space="0" w:color="000000"/>
            </w:tcBorders>
          </w:tcPr>
          <w:p>
            <w:pPr/>
          </w:p>
        </w:tc>
        <w:tc>
          <w:tcPr>
            <w:tcW w:w="1334" w:type="dxa"/>
            <w:vMerge/>
            <w:tcBorders>
              <w:left w:val="single" w:sz="4" w:space="0" w:color="000000"/>
              <w:bottom w:val="single" w:sz="4" w:space="0" w:color="000000"/>
              <w:right w:val="single" w:sz="4" w:space="0" w:color="000000"/>
            </w:tcBorders>
          </w:tcPr>
          <w:p>
            <w:pPr/>
          </w:p>
        </w:tc>
        <w:tc>
          <w:tcPr>
            <w:tcW w:w="412" w:type="dxa"/>
            <w:vMerge/>
            <w:tcBorders>
              <w:left w:val="single" w:sz="4" w:space="0" w:color="000000"/>
              <w:bottom w:val="single" w:sz="4" w:space="0" w:color="000000"/>
              <w:right w:val="single" w:sz="4" w:space="0" w:color="000000"/>
            </w:tcBorders>
          </w:tcPr>
          <w:p>
            <w:pPr/>
          </w:p>
        </w:tc>
        <w:tc>
          <w:tcPr>
            <w:tcW w:w="1147" w:type="dxa"/>
            <w:vMerge/>
            <w:tcBorders>
              <w:left w:val="single" w:sz="4" w:space="0" w:color="000000"/>
              <w:bottom w:val="single" w:sz="4" w:space="0" w:color="000000"/>
              <w:right w:val="single" w:sz="4" w:space="0" w:color="000000"/>
            </w:tcBorders>
          </w:tcPr>
          <w:p>
            <w:pPr/>
          </w:p>
        </w:tc>
      </w:tr>
    </w:tbl>
    <w:p>
      <w:pPr>
        <w:spacing w:line="240" w:lineRule="auto" w:before="10"/>
        <w:rPr>
          <w:rFonts w:ascii="宋体" w:hAnsi="宋体" w:cs="宋体" w:eastAsia="宋体" w:hint="default"/>
          <w:sz w:val="4"/>
          <w:szCs w:val="4"/>
        </w:rPr>
      </w:pPr>
    </w:p>
    <w:p>
      <w:pPr>
        <w:spacing w:after="0" w:line="240" w:lineRule="auto"/>
        <w:rPr>
          <w:rFonts w:ascii="宋体" w:hAnsi="宋体" w:cs="宋体" w:eastAsia="宋体" w:hint="default"/>
          <w:sz w:val="4"/>
          <w:szCs w:val="4"/>
        </w:rPr>
        <w:sectPr>
          <w:pgSz w:w="11910" w:h="16840"/>
          <w:pgMar w:header="747" w:footer="979" w:top="1060" w:bottom="1160" w:left="980" w:right="0"/>
        </w:sectPr>
      </w:pPr>
    </w:p>
    <w:p>
      <w:pPr>
        <w:pStyle w:val="BodyText"/>
        <w:spacing w:line="240" w:lineRule="auto" w:before="26"/>
        <w:ind w:left="634" w:right="-20"/>
        <w:jc w:val="left"/>
      </w:pPr>
      <w:r>
        <w:rPr/>
        <w:t>期末单项金额重大并单项计提坏账准备的应收账款：</w:t>
      </w:r>
    </w:p>
    <w:p>
      <w:pPr>
        <w:pStyle w:val="BodyText"/>
        <w:spacing w:line="350" w:lineRule="auto" w:before="146"/>
        <w:ind w:left="634" w:right="220"/>
        <w:jc w:val="left"/>
      </w:pPr>
      <w:r>
        <w:rPr/>
        <w:t>□ 适用 √ 不适用 组合中，按账龄分析法计提坏账准备的应收账款：</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2"/>
          <w:szCs w:val="22"/>
        </w:rPr>
      </w:pPr>
    </w:p>
    <w:p>
      <w:pPr>
        <w:spacing w:before="0"/>
        <w:ind w:left="633" w:right="0" w:firstLine="0"/>
        <w:jc w:val="left"/>
        <w:rPr>
          <w:rFonts w:ascii="宋体" w:hAnsi="宋体" w:cs="宋体" w:eastAsia="宋体" w:hint="default"/>
          <w:sz w:val="21"/>
          <w:szCs w:val="21"/>
        </w:rPr>
      </w:pPr>
      <w:r>
        <w:rPr>
          <w:rFonts w:ascii="宋体" w:hAnsi="宋体" w:cs="宋体" w:eastAsia="宋体" w:hint="default"/>
          <w:sz w:val="21"/>
          <w:szCs w:val="21"/>
        </w:rPr>
        <w:t>单位： 元</w:t>
      </w:r>
    </w:p>
    <w:p>
      <w:pPr>
        <w:spacing w:after="0"/>
        <w:jc w:val="left"/>
        <w:rPr>
          <w:rFonts w:ascii="宋体" w:hAnsi="宋体" w:cs="宋体" w:eastAsia="宋体" w:hint="default"/>
          <w:sz w:val="21"/>
          <w:szCs w:val="21"/>
        </w:rPr>
        <w:sectPr>
          <w:type w:val="continuous"/>
          <w:pgSz w:w="11910" w:h="16840"/>
          <w:pgMar w:top="1060" w:bottom="1160" w:left="980" w:right="0"/>
          <w:cols w:num="2" w:equalWidth="0">
            <w:col w:w="6155" w:space="2061"/>
            <w:col w:w="2714"/>
          </w:cols>
        </w:sectPr>
      </w:pPr>
    </w:p>
    <w:p>
      <w:pPr>
        <w:spacing w:line="240" w:lineRule="auto" w:before="0"/>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476"/>
        <w:gridCol w:w="2301"/>
        <w:gridCol w:w="2391"/>
        <w:gridCol w:w="2390"/>
      </w:tblGrid>
      <w:tr>
        <w:trPr>
          <w:trHeight w:val="206" w:hRule="exact"/>
        </w:trPr>
        <w:tc>
          <w:tcPr>
            <w:tcW w:w="2476" w:type="dxa"/>
            <w:tcBorders>
              <w:top w:val="single" w:sz="4" w:space="0" w:color="000000"/>
              <w:left w:val="single" w:sz="4" w:space="0" w:color="000000"/>
              <w:bottom w:val="nil" w:sz="6" w:space="0" w:color="auto"/>
              <w:right w:val="single" w:sz="4" w:space="0" w:color="000000"/>
            </w:tcBorders>
            <w:shd w:val="clear" w:color="auto" w:fill="D2D2D2"/>
          </w:tcPr>
          <w:p>
            <w:pPr/>
          </w:p>
        </w:tc>
        <w:tc>
          <w:tcPr>
            <w:tcW w:w="7081"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6"/>
              <w:ind w:left="5"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191" w:hRule="exact"/>
        </w:trPr>
        <w:tc>
          <w:tcPr>
            <w:tcW w:w="247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6"/>
              <w:ind w:right="5"/>
              <w:jc w:val="center"/>
              <w:rPr>
                <w:rFonts w:ascii="宋体" w:hAnsi="宋体" w:cs="宋体" w:eastAsia="宋体" w:hint="default"/>
                <w:sz w:val="21"/>
                <w:szCs w:val="21"/>
              </w:rPr>
            </w:pPr>
            <w:r>
              <w:rPr>
                <w:rFonts w:ascii="宋体" w:hAnsi="宋体" w:cs="宋体" w:eastAsia="宋体" w:hint="default"/>
                <w:sz w:val="21"/>
                <w:szCs w:val="21"/>
              </w:rPr>
              <w:t>账龄</w:t>
            </w:r>
          </w:p>
        </w:tc>
        <w:tc>
          <w:tcPr>
            <w:tcW w:w="7081" w:type="dxa"/>
            <w:gridSpan w:val="3"/>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2476" w:type="dxa"/>
            <w:vMerge/>
            <w:tcBorders>
              <w:left w:val="single" w:sz="4" w:space="0" w:color="000000"/>
              <w:bottom w:val="nil" w:sz="6" w:space="0" w:color="auto"/>
              <w:right w:val="single" w:sz="4" w:space="0" w:color="000000"/>
            </w:tcBorders>
            <w:shd w:val="clear" w:color="auto" w:fill="D2D2D2"/>
          </w:tcPr>
          <w:p>
            <w:pPr/>
          </w:p>
        </w:tc>
        <w:tc>
          <w:tcPr>
            <w:tcW w:w="230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0"/>
              <w:ind w:left="728"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0"/>
              <w:ind w:left="769"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3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0"/>
              <w:ind w:left="769" w:right="0"/>
              <w:jc w:val="left"/>
              <w:rPr>
                <w:rFonts w:ascii="宋体" w:hAnsi="宋体" w:cs="宋体" w:eastAsia="宋体" w:hint="default"/>
                <w:sz w:val="21"/>
                <w:szCs w:val="21"/>
              </w:rPr>
            </w:pPr>
            <w:r>
              <w:rPr>
                <w:rFonts w:ascii="宋体" w:hAnsi="宋体" w:cs="宋体" w:eastAsia="宋体" w:hint="default"/>
                <w:sz w:val="21"/>
                <w:szCs w:val="21"/>
              </w:rPr>
              <w:t>计提比例</w:t>
            </w:r>
          </w:p>
        </w:tc>
      </w:tr>
      <w:tr>
        <w:trPr>
          <w:trHeight w:val="210" w:hRule="exact"/>
        </w:trPr>
        <w:tc>
          <w:tcPr>
            <w:tcW w:w="247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01" w:type="dxa"/>
            <w:vMerge/>
            <w:tcBorders>
              <w:left w:val="single" w:sz="4" w:space="0" w:color="000000"/>
              <w:bottom w:val="single" w:sz="4" w:space="0" w:color="000000"/>
              <w:right w:val="single" w:sz="4" w:space="0" w:color="000000"/>
            </w:tcBorders>
            <w:shd w:val="clear" w:color="auto" w:fill="D2D2D2"/>
          </w:tcPr>
          <w:p>
            <w:pPr/>
          </w:p>
        </w:tc>
        <w:tc>
          <w:tcPr>
            <w:tcW w:w="2391" w:type="dxa"/>
            <w:vMerge/>
            <w:tcBorders>
              <w:left w:val="single" w:sz="4" w:space="0" w:color="000000"/>
              <w:bottom w:val="single" w:sz="4" w:space="0" w:color="000000"/>
              <w:right w:val="single" w:sz="4" w:space="0" w:color="000000"/>
            </w:tcBorders>
            <w:shd w:val="clear" w:color="auto" w:fill="D2D2D2"/>
          </w:tcPr>
          <w:p>
            <w:pPr/>
          </w:p>
        </w:tc>
        <w:tc>
          <w:tcPr>
            <w:tcW w:w="2390" w:type="dxa"/>
            <w:vMerge/>
            <w:tcBorders>
              <w:left w:val="single" w:sz="4" w:space="0" w:color="000000"/>
              <w:bottom w:val="single" w:sz="4" w:space="0" w:color="000000"/>
              <w:right w:val="single" w:sz="4" w:space="0" w:color="000000"/>
            </w:tcBorders>
            <w:shd w:val="clear" w:color="auto" w:fill="D2D2D2"/>
          </w:tcPr>
          <w:p>
            <w:pPr/>
          </w:p>
        </w:tc>
      </w:tr>
      <w:tr>
        <w:trPr>
          <w:trHeight w:val="397" w:hRule="exact"/>
        </w:trPr>
        <w:tc>
          <w:tcPr>
            <w:tcW w:w="955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11"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年以内分项</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年以内小计</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272,406,949.30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13,620,347.46</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5.00%</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122,651,698.86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12,265,169.89</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10.00%</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56,247,839.12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16,874,351.74</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30.00%</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18,834,301.38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11,300,580.83</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60.00%</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19,248,189.15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15,398,551.32</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80.00%</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14,447,689.65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14,447,689.65</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100.00%</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503,836,667.46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83,906,690.89</w:t>
            </w:r>
          </w:p>
        </w:tc>
        <w:tc>
          <w:tcPr>
            <w:tcW w:w="2390"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980" w:right="0"/>
        </w:sectPr>
      </w:pPr>
    </w:p>
    <w:p>
      <w:pPr>
        <w:spacing w:line="240" w:lineRule="auto" w:before="0"/>
        <w:rPr>
          <w:rFonts w:ascii="宋体" w:hAnsi="宋体" w:cs="宋体" w:eastAsia="宋体" w:hint="default"/>
          <w:sz w:val="20"/>
          <w:szCs w:val="20"/>
        </w:rPr>
      </w:pPr>
    </w:p>
    <w:p>
      <w:pPr>
        <w:pStyle w:val="BodyText"/>
        <w:spacing w:line="350" w:lineRule="auto" w:before="199"/>
        <w:ind w:left="633" w:right="4513"/>
        <w:jc w:val="left"/>
      </w:pPr>
      <w:r>
        <w:rPr/>
        <w:t>确定该组合依据的说明：无 组合中，采用余额百分比法计提坏账准备的应收账款：</w:t>
      </w:r>
    </w:p>
    <w:p>
      <w:pPr>
        <w:pStyle w:val="BodyText"/>
        <w:spacing w:line="350" w:lineRule="auto"/>
        <w:ind w:left="634" w:right="4752"/>
        <w:jc w:val="left"/>
      </w:pPr>
      <w:r>
        <w:rPr/>
        <w:t>□ 适用 √ 不适用 组合中，采用其他方法计提坏账准备的应收账款：无</w:t>
      </w:r>
    </w:p>
    <w:p>
      <w:pPr>
        <w:spacing w:before="70"/>
        <w:ind w:left="576" w:right="996" w:firstLine="0"/>
        <w:jc w:val="left"/>
        <w:rPr>
          <w:rFonts w:ascii="宋体" w:hAnsi="宋体" w:cs="宋体" w:eastAsia="宋体" w:hint="default"/>
          <w:sz w:val="21"/>
          <w:szCs w:val="21"/>
        </w:rPr>
      </w:pPr>
      <w:bookmarkStart w:name="（2）本期计提、收回或转回的坏账准备情况" w:id="529"/>
      <w:bookmarkEnd w:id="529"/>
      <w:r>
        <w:rPr/>
      </w:r>
      <w:r>
        <w:rPr>
          <w:rFonts w:ascii="宋体" w:hAnsi="宋体" w:cs="宋体" w:eastAsia="宋体" w:hint="default"/>
          <w:b/>
          <w:bCs/>
          <w:sz w:val="21"/>
          <w:szCs w:val="21"/>
        </w:rPr>
        <w:t>（</w:t>
      </w:r>
      <w:r>
        <w:rPr>
          <w:rFonts w:ascii="宋体" w:hAnsi="宋体" w:cs="宋体" w:eastAsia="宋体" w:hint="default"/>
          <w:b/>
          <w:bCs/>
          <w:sz w:val="21"/>
          <w:szCs w:val="21"/>
        </w:rPr>
        <w:t>2</w:t>
      </w:r>
      <w:r>
        <w:rPr>
          <w:rFonts w:ascii="宋体" w:hAnsi="宋体" w:cs="宋体" w:eastAsia="宋体" w:hint="default"/>
          <w:b/>
          <w:bCs/>
          <w:sz w:val="21"/>
          <w:szCs w:val="21"/>
        </w:rPr>
        <w:t>）本期计提、收回或转回的坏账准备情况</w:t>
      </w:r>
      <w:r>
        <w:rPr>
          <w:rFonts w:ascii="宋体" w:hAnsi="宋体" w:cs="宋体" w:eastAsia="宋体" w:hint="default"/>
          <w:sz w:val="21"/>
          <w:szCs w:val="21"/>
        </w:rPr>
      </w:r>
    </w:p>
    <w:p>
      <w:pPr>
        <w:pStyle w:val="BodyText"/>
        <w:spacing w:line="350" w:lineRule="auto" w:before="151"/>
        <w:ind w:left="633" w:right="1634"/>
        <w:jc w:val="left"/>
      </w:pPr>
      <w:r>
        <w:rPr/>
        <w:t>本期计提坏账准备金额</w:t>
      </w:r>
      <w:r>
        <w:rPr>
          <w:spacing w:val="-61"/>
        </w:rPr>
        <w:t> </w:t>
      </w:r>
      <w:r>
        <w:rPr>
          <w:rFonts w:ascii="宋体" w:hAnsi="宋体" w:cs="宋体" w:eastAsia="宋体" w:hint="default"/>
        </w:rPr>
        <w:t>9,958,396.76</w:t>
      </w:r>
      <w:r>
        <w:rPr>
          <w:rFonts w:ascii="宋体" w:hAnsi="宋体" w:cs="宋体" w:eastAsia="宋体" w:hint="default"/>
          <w:spacing w:val="-60"/>
        </w:rPr>
        <w:t> </w:t>
      </w:r>
      <w:r>
        <w:rPr/>
        <w:t>元；本期收回或转回坏账准备金额</w:t>
      </w:r>
      <w:r>
        <w:rPr>
          <w:spacing w:val="-60"/>
        </w:rPr>
        <w:t> </w:t>
      </w:r>
      <w:r>
        <w:rPr>
          <w:rFonts w:ascii="宋体" w:hAnsi="宋体" w:cs="宋体" w:eastAsia="宋体" w:hint="default"/>
        </w:rPr>
        <w:t>0.00</w:t>
      </w:r>
      <w:r>
        <w:rPr>
          <w:rFonts w:ascii="宋体" w:hAnsi="宋体" w:cs="宋体" w:eastAsia="宋体" w:hint="default"/>
          <w:spacing w:val="-60"/>
        </w:rPr>
        <w:t> </w:t>
      </w:r>
      <w:r>
        <w:rPr/>
        <w:t>元。 其中本期坏账准备收回或转回金额重要的：无</w:t>
      </w:r>
    </w:p>
    <w:p>
      <w:pPr>
        <w:spacing w:before="70"/>
        <w:ind w:left="576" w:right="996" w:firstLine="0"/>
        <w:jc w:val="left"/>
        <w:rPr>
          <w:rFonts w:ascii="宋体" w:hAnsi="宋体" w:cs="宋体" w:eastAsia="宋体" w:hint="default"/>
          <w:sz w:val="21"/>
          <w:szCs w:val="21"/>
        </w:rPr>
      </w:pPr>
      <w:bookmarkStart w:name="（3）本期实际核销的应收账款情况" w:id="530"/>
      <w:bookmarkEnd w:id="530"/>
      <w:r>
        <w:rPr/>
      </w:r>
      <w:r>
        <w:rPr>
          <w:rFonts w:ascii="宋体" w:hAnsi="宋体" w:cs="宋体" w:eastAsia="宋体" w:hint="default"/>
          <w:b/>
          <w:bCs/>
          <w:sz w:val="21"/>
          <w:szCs w:val="21"/>
        </w:rPr>
        <w:t>（</w:t>
      </w:r>
      <w:r>
        <w:rPr>
          <w:rFonts w:ascii="宋体" w:hAnsi="宋体" w:cs="宋体" w:eastAsia="宋体" w:hint="default"/>
          <w:b/>
          <w:bCs/>
          <w:sz w:val="21"/>
          <w:szCs w:val="21"/>
        </w:rPr>
        <w:t>3</w:t>
      </w:r>
      <w:r>
        <w:rPr>
          <w:rFonts w:ascii="宋体" w:hAnsi="宋体" w:cs="宋体" w:eastAsia="宋体" w:hint="default"/>
          <w:b/>
          <w:bCs/>
          <w:sz w:val="21"/>
          <w:szCs w:val="21"/>
        </w:rPr>
        <w:t>）本期实际核销的应收账款情况</w:t>
      </w:r>
      <w:r>
        <w:rPr>
          <w:rFonts w:ascii="宋体" w:hAnsi="宋体" w:cs="宋体" w:eastAsia="宋体" w:hint="default"/>
          <w:sz w:val="21"/>
          <w:szCs w:val="21"/>
        </w:rPr>
      </w:r>
    </w:p>
    <w:p>
      <w:pPr>
        <w:pStyle w:val="BodyText"/>
        <w:spacing w:line="240" w:lineRule="auto" w:before="151"/>
        <w:ind w:left="634" w:right="996"/>
        <w:jc w:val="left"/>
      </w:pPr>
      <w:r>
        <w:rPr/>
        <w:t>无</w:t>
      </w:r>
    </w:p>
    <w:p>
      <w:pPr>
        <w:spacing w:before="180"/>
        <w:ind w:left="576" w:right="996" w:firstLine="0"/>
        <w:jc w:val="left"/>
        <w:rPr>
          <w:rFonts w:ascii="宋体" w:hAnsi="宋体" w:cs="宋体" w:eastAsia="宋体" w:hint="default"/>
          <w:sz w:val="21"/>
          <w:szCs w:val="21"/>
        </w:rPr>
      </w:pPr>
      <w:bookmarkStart w:name="（4）按欠款方归集的期末余额前五名的应收账款情况" w:id="531"/>
      <w:bookmarkEnd w:id="531"/>
      <w:r>
        <w:rPr/>
      </w:r>
      <w:r>
        <w:rPr>
          <w:rFonts w:ascii="宋体" w:hAnsi="宋体" w:cs="宋体" w:eastAsia="宋体" w:hint="default"/>
          <w:b/>
          <w:bCs/>
          <w:sz w:val="21"/>
          <w:szCs w:val="21"/>
        </w:rPr>
        <w:t>（</w:t>
      </w:r>
      <w:r>
        <w:rPr>
          <w:rFonts w:ascii="宋体" w:hAnsi="宋体" w:cs="宋体" w:eastAsia="宋体" w:hint="default"/>
          <w:b/>
          <w:bCs/>
          <w:sz w:val="21"/>
          <w:szCs w:val="21"/>
        </w:rPr>
        <w:t>4</w:t>
      </w:r>
      <w:r>
        <w:rPr>
          <w:rFonts w:ascii="宋体" w:hAnsi="宋体" w:cs="宋体" w:eastAsia="宋体" w:hint="default"/>
          <w:b/>
          <w:bCs/>
          <w:sz w:val="21"/>
          <w:szCs w:val="21"/>
        </w:rPr>
        <w:t>）按欠款方归集的期末余额前五名的应收账款情况</w:t>
      </w:r>
      <w:r>
        <w:rPr>
          <w:rFonts w:ascii="宋体" w:hAnsi="宋体" w:cs="宋体" w:eastAsia="宋体" w:hint="default"/>
          <w:sz w:val="21"/>
          <w:szCs w:val="21"/>
        </w:rPr>
      </w:r>
    </w:p>
    <w:p>
      <w:pPr>
        <w:spacing w:line="240" w:lineRule="auto" w:before="9"/>
        <w:rPr>
          <w:rFonts w:ascii="宋体" w:hAnsi="宋体" w:cs="宋体" w:eastAsia="宋体" w:hint="default"/>
          <w:b/>
          <w:bCs/>
          <w:sz w:val="4"/>
          <w:szCs w:val="4"/>
        </w:rPr>
      </w:pPr>
    </w:p>
    <w:tbl>
      <w:tblPr>
        <w:tblW w:w="0" w:type="auto"/>
        <w:jc w:val="left"/>
        <w:tblInd w:w="116" w:type="dxa"/>
        <w:tblLayout w:type="fixed"/>
        <w:tblCellMar>
          <w:top w:w="0" w:type="dxa"/>
          <w:left w:w="0" w:type="dxa"/>
          <w:bottom w:w="0" w:type="dxa"/>
          <w:right w:w="0" w:type="dxa"/>
        </w:tblCellMar>
        <w:tblLook w:val="01E0"/>
      </w:tblPr>
      <w:tblGrid>
        <w:gridCol w:w="4173"/>
        <w:gridCol w:w="1985"/>
        <w:gridCol w:w="1559"/>
        <w:gridCol w:w="1986"/>
      </w:tblGrid>
      <w:tr>
        <w:trPr>
          <w:trHeight w:val="654" w:hRule="exact"/>
        </w:trPr>
        <w:tc>
          <w:tcPr>
            <w:tcW w:w="4173"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1" w:right="0"/>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567"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91" w:right="39" w:hanging="53"/>
              <w:jc w:val="left"/>
              <w:rPr>
                <w:rFonts w:ascii="宋体" w:hAnsi="宋体" w:cs="宋体" w:eastAsia="宋体" w:hint="default"/>
                <w:sz w:val="21"/>
                <w:szCs w:val="21"/>
              </w:rPr>
            </w:pPr>
            <w:r>
              <w:rPr>
                <w:rFonts w:ascii="宋体" w:hAnsi="宋体" w:cs="宋体" w:eastAsia="宋体" w:hint="default"/>
                <w:sz w:val="21"/>
                <w:szCs w:val="21"/>
              </w:rPr>
              <w:t>占应收账款期末 余额的比例</w:t>
            </w:r>
            <w:r>
              <w:rPr>
                <w:rFonts w:ascii="宋体" w:hAnsi="宋体" w:cs="宋体" w:eastAsia="宋体" w:hint="default"/>
                <w:sz w:val="21"/>
                <w:szCs w:val="21"/>
              </w:rPr>
              <w:t>(%)</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253" w:right="0"/>
              <w:jc w:val="left"/>
              <w:rPr>
                <w:rFonts w:ascii="宋体" w:hAnsi="宋体" w:cs="宋体" w:eastAsia="宋体" w:hint="default"/>
                <w:sz w:val="21"/>
                <w:szCs w:val="21"/>
              </w:rPr>
            </w:pPr>
            <w:r>
              <w:rPr>
                <w:rFonts w:ascii="宋体" w:hAnsi="宋体" w:cs="宋体" w:eastAsia="宋体" w:hint="default"/>
                <w:sz w:val="21"/>
                <w:szCs w:val="21"/>
              </w:rPr>
              <w:t>已计提坏账准备</w:t>
            </w:r>
          </w:p>
        </w:tc>
      </w:tr>
      <w:tr>
        <w:trPr>
          <w:trHeight w:val="342" w:hRule="exact"/>
        </w:trPr>
        <w:tc>
          <w:tcPr>
            <w:tcW w:w="4173"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6" w:right="0"/>
              <w:jc w:val="left"/>
              <w:rPr>
                <w:rFonts w:ascii="宋体" w:hAnsi="宋体" w:cs="宋体" w:eastAsia="宋体" w:hint="default"/>
                <w:sz w:val="21"/>
                <w:szCs w:val="21"/>
              </w:rPr>
            </w:pPr>
            <w:r>
              <w:rPr>
                <w:rFonts w:ascii="宋体" w:hAnsi="宋体" w:cs="宋体" w:eastAsia="宋体" w:hint="default"/>
                <w:sz w:val="21"/>
                <w:szCs w:val="21"/>
              </w:rPr>
              <w:t>中国铁建电气化局集团有限公司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2"/>
              <w:jc w:val="right"/>
              <w:rPr>
                <w:rFonts w:ascii="宋体" w:hAnsi="宋体" w:cs="宋体" w:eastAsia="宋体" w:hint="default"/>
                <w:sz w:val="21"/>
                <w:szCs w:val="21"/>
              </w:rPr>
            </w:pPr>
            <w:r>
              <w:rPr>
                <w:rFonts w:ascii="宋体"/>
                <w:sz w:val="21"/>
              </w:rPr>
              <w:t>51,610,308.05</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3"/>
              <w:jc w:val="right"/>
              <w:rPr>
                <w:rFonts w:ascii="宋体" w:hAnsi="宋体" w:cs="宋体" w:eastAsia="宋体" w:hint="default"/>
                <w:sz w:val="21"/>
                <w:szCs w:val="21"/>
              </w:rPr>
            </w:pPr>
            <w:r>
              <w:rPr>
                <w:rFonts w:ascii="宋体"/>
                <w:sz w:val="21"/>
              </w:rPr>
              <w:t>10.24</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2"/>
              <w:jc w:val="right"/>
              <w:rPr>
                <w:rFonts w:ascii="宋体" w:hAnsi="宋体" w:cs="宋体" w:eastAsia="宋体" w:hint="default"/>
                <w:sz w:val="21"/>
                <w:szCs w:val="21"/>
              </w:rPr>
            </w:pPr>
            <w:r>
              <w:rPr>
                <w:rFonts w:ascii="宋体"/>
                <w:spacing w:val="-1"/>
                <w:sz w:val="21"/>
              </w:rPr>
              <w:t>5,547,885.37</w:t>
            </w:r>
          </w:p>
        </w:tc>
      </w:tr>
      <w:tr>
        <w:trPr>
          <w:trHeight w:val="342" w:hRule="exact"/>
        </w:trPr>
        <w:tc>
          <w:tcPr>
            <w:tcW w:w="4173"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6" w:right="0"/>
              <w:jc w:val="left"/>
              <w:rPr>
                <w:rFonts w:ascii="宋体" w:hAnsi="宋体" w:cs="宋体" w:eastAsia="宋体" w:hint="default"/>
                <w:sz w:val="21"/>
                <w:szCs w:val="21"/>
              </w:rPr>
            </w:pPr>
            <w:r>
              <w:rPr>
                <w:rFonts w:ascii="宋体" w:hAnsi="宋体" w:cs="宋体" w:eastAsia="宋体" w:hint="default"/>
                <w:sz w:val="21"/>
                <w:szCs w:val="21"/>
              </w:rPr>
              <w:t>广州铁路物资有限公司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2"/>
              <w:jc w:val="right"/>
              <w:rPr>
                <w:rFonts w:ascii="宋体" w:hAnsi="宋体" w:cs="宋体" w:eastAsia="宋体" w:hint="default"/>
                <w:sz w:val="21"/>
                <w:szCs w:val="21"/>
              </w:rPr>
            </w:pPr>
            <w:r>
              <w:rPr>
                <w:rFonts w:ascii="宋体"/>
                <w:sz w:val="21"/>
              </w:rPr>
              <w:t>25,920,054.49</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4"/>
              <w:jc w:val="right"/>
              <w:rPr>
                <w:rFonts w:ascii="宋体" w:hAnsi="宋体" w:cs="宋体" w:eastAsia="宋体" w:hint="default"/>
                <w:sz w:val="21"/>
                <w:szCs w:val="21"/>
              </w:rPr>
            </w:pPr>
            <w:r>
              <w:rPr>
                <w:rFonts w:ascii="宋体"/>
                <w:sz w:val="21"/>
              </w:rPr>
              <w:t>5.14</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2"/>
              <w:jc w:val="right"/>
              <w:rPr>
                <w:rFonts w:ascii="宋体" w:hAnsi="宋体" w:cs="宋体" w:eastAsia="宋体" w:hint="default"/>
                <w:sz w:val="21"/>
                <w:szCs w:val="21"/>
              </w:rPr>
            </w:pPr>
            <w:r>
              <w:rPr>
                <w:rFonts w:ascii="宋体"/>
                <w:spacing w:val="-1"/>
                <w:sz w:val="21"/>
              </w:rPr>
              <w:t>2,585,169.79</w:t>
            </w:r>
          </w:p>
        </w:tc>
      </w:tr>
      <w:tr>
        <w:trPr>
          <w:trHeight w:val="342" w:hRule="exact"/>
        </w:trPr>
        <w:tc>
          <w:tcPr>
            <w:tcW w:w="4173"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6" w:right="0"/>
              <w:jc w:val="left"/>
              <w:rPr>
                <w:rFonts w:ascii="宋体" w:hAnsi="宋体" w:cs="宋体" w:eastAsia="宋体" w:hint="default"/>
                <w:sz w:val="21"/>
                <w:szCs w:val="21"/>
              </w:rPr>
            </w:pPr>
            <w:r>
              <w:rPr>
                <w:rFonts w:ascii="宋体" w:hAnsi="宋体" w:cs="宋体" w:eastAsia="宋体" w:hint="default"/>
                <w:sz w:val="21"/>
                <w:szCs w:val="21"/>
              </w:rPr>
              <w:t>青藏铁路公司西宁通信段</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2"/>
              <w:jc w:val="right"/>
              <w:rPr>
                <w:rFonts w:ascii="宋体" w:hAnsi="宋体" w:cs="宋体" w:eastAsia="宋体" w:hint="default"/>
                <w:sz w:val="21"/>
                <w:szCs w:val="21"/>
              </w:rPr>
            </w:pPr>
            <w:r>
              <w:rPr>
                <w:rFonts w:ascii="宋体"/>
                <w:sz w:val="21"/>
              </w:rPr>
              <w:t>19,545,982.00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4"/>
              <w:jc w:val="right"/>
              <w:rPr>
                <w:rFonts w:ascii="宋体" w:hAnsi="宋体" w:cs="宋体" w:eastAsia="宋体" w:hint="default"/>
                <w:sz w:val="21"/>
                <w:szCs w:val="21"/>
              </w:rPr>
            </w:pPr>
            <w:r>
              <w:rPr>
                <w:rFonts w:ascii="宋体"/>
                <w:sz w:val="21"/>
              </w:rPr>
              <w:t>3.88</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2"/>
              <w:jc w:val="right"/>
              <w:rPr>
                <w:rFonts w:ascii="宋体" w:hAnsi="宋体" w:cs="宋体" w:eastAsia="宋体" w:hint="default"/>
                <w:sz w:val="21"/>
                <w:szCs w:val="21"/>
              </w:rPr>
            </w:pPr>
            <w:r>
              <w:rPr>
                <w:rFonts w:ascii="宋体"/>
                <w:spacing w:val="-1"/>
                <w:sz w:val="21"/>
              </w:rPr>
              <w:t>1,069,356.60</w:t>
            </w:r>
          </w:p>
        </w:tc>
      </w:tr>
      <w:tr>
        <w:trPr>
          <w:trHeight w:val="342" w:hRule="exact"/>
        </w:trPr>
        <w:tc>
          <w:tcPr>
            <w:tcW w:w="4173"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6" w:right="0"/>
              <w:jc w:val="left"/>
              <w:rPr>
                <w:rFonts w:ascii="宋体" w:hAnsi="宋体" w:cs="宋体" w:eastAsia="宋体" w:hint="default"/>
                <w:sz w:val="21"/>
                <w:szCs w:val="21"/>
              </w:rPr>
            </w:pPr>
            <w:r>
              <w:rPr>
                <w:rFonts w:ascii="宋体" w:hAnsi="宋体" w:cs="宋体" w:eastAsia="宋体" w:hint="default"/>
                <w:sz w:val="21"/>
                <w:szCs w:val="21"/>
              </w:rPr>
              <w:t>方正国际软件（北京）有限公司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2"/>
              <w:jc w:val="right"/>
              <w:rPr>
                <w:rFonts w:ascii="宋体" w:hAnsi="宋体" w:cs="宋体" w:eastAsia="宋体" w:hint="default"/>
                <w:sz w:val="21"/>
                <w:szCs w:val="21"/>
              </w:rPr>
            </w:pPr>
            <w:r>
              <w:rPr>
                <w:rFonts w:ascii="宋体"/>
                <w:sz w:val="21"/>
              </w:rPr>
              <w:t>18,590,068.40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4"/>
              <w:jc w:val="right"/>
              <w:rPr>
                <w:rFonts w:ascii="宋体" w:hAnsi="宋体" w:cs="宋体" w:eastAsia="宋体" w:hint="default"/>
                <w:sz w:val="21"/>
                <w:szCs w:val="21"/>
              </w:rPr>
            </w:pPr>
            <w:r>
              <w:rPr>
                <w:rFonts w:ascii="宋体"/>
                <w:sz w:val="21"/>
              </w:rPr>
              <w:t>3.69</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1"/>
              <w:jc w:val="right"/>
              <w:rPr>
                <w:rFonts w:ascii="宋体" w:hAnsi="宋体" w:cs="宋体" w:eastAsia="宋体" w:hint="default"/>
                <w:sz w:val="21"/>
                <w:szCs w:val="21"/>
              </w:rPr>
            </w:pPr>
            <w:r>
              <w:rPr>
                <w:rFonts w:ascii="宋体"/>
                <w:sz w:val="21"/>
              </w:rPr>
              <w:t>929,503.42</w:t>
            </w:r>
          </w:p>
        </w:tc>
      </w:tr>
      <w:tr>
        <w:trPr>
          <w:trHeight w:val="342" w:hRule="exact"/>
        </w:trPr>
        <w:tc>
          <w:tcPr>
            <w:tcW w:w="4173"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6" w:right="0"/>
              <w:jc w:val="left"/>
              <w:rPr>
                <w:rFonts w:ascii="宋体" w:hAnsi="宋体" w:cs="宋体" w:eastAsia="宋体" w:hint="default"/>
                <w:sz w:val="21"/>
                <w:szCs w:val="21"/>
              </w:rPr>
            </w:pPr>
            <w:r>
              <w:rPr>
                <w:rFonts w:ascii="宋体" w:hAnsi="宋体" w:cs="宋体" w:eastAsia="宋体" w:hint="default"/>
                <w:sz w:val="21"/>
                <w:szCs w:val="21"/>
              </w:rPr>
              <w:t>北京全路通信信号研究设计院集团有限公司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2"/>
              <w:jc w:val="right"/>
              <w:rPr>
                <w:rFonts w:ascii="宋体" w:hAnsi="宋体" w:cs="宋体" w:eastAsia="宋体" w:hint="default"/>
                <w:sz w:val="21"/>
                <w:szCs w:val="21"/>
              </w:rPr>
            </w:pPr>
            <w:r>
              <w:rPr>
                <w:rFonts w:ascii="宋体"/>
                <w:sz w:val="21"/>
              </w:rPr>
              <w:t>13,898,115.81</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4"/>
              <w:jc w:val="right"/>
              <w:rPr>
                <w:rFonts w:ascii="宋体" w:hAnsi="宋体" w:cs="宋体" w:eastAsia="宋体" w:hint="default"/>
                <w:sz w:val="21"/>
                <w:szCs w:val="21"/>
              </w:rPr>
            </w:pPr>
            <w:r>
              <w:rPr>
                <w:rFonts w:ascii="宋体"/>
                <w:sz w:val="21"/>
              </w:rPr>
              <w:t>2.76</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2"/>
              <w:jc w:val="right"/>
              <w:rPr>
                <w:rFonts w:ascii="宋体" w:hAnsi="宋体" w:cs="宋体" w:eastAsia="宋体" w:hint="default"/>
                <w:sz w:val="21"/>
                <w:szCs w:val="21"/>
              </w:rPr>
            </w:pPr>
            <w:r>
              <w:rPr>
                <w:rFonts w:ascii="宋体"/>
                <w:spacing w:val="-1"/>
                <w:sz w:val="21"/>
              </w:rPr>
              <w:t>1,086,506.03</w:t>
            </w:r>
          </w:p>
        </w:tc>
      </w:tr>
      <w:tr>
        <w:trPr>
          <w:trHeight w:val="343" w:hRule="exact"/>
        </w:trPr>
        <w:tc>
          <w:tcPr>
            <w:tcW w:w="4173"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1"/>
              <w:jc w:val="right"/>
              <w:rPr>
                <w:rFonts w:ascii="宋体" w:hAnsi="宋体" w:cs="宋体" w:eastAsia="宋体" w:hint="default"/>
                <w:sz w:val="21"/>
                <w:szCs w:val="21"/>
              </w:rPr>
            </w:pPr>
            <w:r>
              <w:rPr>
                <w:rFonts w:ascii="宋体"/>
                <w:sz w:val="21"/>
              </w:rPr>
              <w:t>129,564,528.75</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3"/>
              <w:jc w:val="right"/>
              <w:rPr>
                <w:rFonts w:ascii="宋体" w:hAnsi="宋体" w:cs="宋体" w:eastAsia="宋体" w:hint="default"/>
                <w:sz w:val="21"/>
                <w:szCs w:val="21"/>
              </w:rPr>
            </w:pPr>
            <w:r>
              <w:rPr>
                <w:rFonts w:ascii="宋体"/>
                <w:sz w:val="21"/>
              </w:rPr>
              <w:t>25.72</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3"/>
              <w:jc w:val="right"/>
              <w:rPr>
                <w:rFonts w:ascii="宋体" w:hAnsi="宋体" w:cs="宋体" w:eastAsia="宋体" w:hint="default"/>
                <w:sz w:val="21"/>
                <w:szCs w:val="21"/>
              </w:rPr>
            </w:pPr>
            <w:r>
              <w:rPr>
                <w:rFonts w:ascii="宋体"/>
                <w:spacing w:val="-1"/>
                <w:sz w:val="21"/>
              </w:rPr>
              <w:t>11,218,421.21</w:t>
            </w:r>
          </w:p>
        </w:tc>
      </w:tr>
    </w:tbl>
    <w:p>
      <w:pPr>
        <w:spacing w:line="240" w:lineRule="auto" w:before="9"/>
        <w:rPr>
          <w:rFonts w:ascii="宋体" w:hAnsi="宋体" w:cs="宋体" w:eastAsia="宋体" w:hint="default"/>
          <w:b/>
          <w:bCs/>
          <w:sz w:val="6"/>
          <w:szCs w:val="6"/>
        </w:rPr>
      </w:pPr>
    </w:p>
    <w:p>
      <w:pPr>
        <w:spacing w:before="35"/>
        <w:ind w:left="576" w:right="996" w:firstLine="0"/>
        <w:jc w:val="left"/>
        <w:rPr>
          <w:rFonts w:ascii="宋体" w:hAnsi="宋体" w:cs="宋体" w:eastAsia="宋体" w:hint="default"/>
          <w:sz w:val="21"/>
          <w:szCs w:val="21"/>
        </w:rPr>
      </w:pPr>
      <w:bookmarkStart w:name="（5）因金融资产转移而终止确认的应收账款" w:id="532"/>
      <w:bookmarkEnd w:id="532"/>
      <w:r>
        <w:rPr/>
      </w:r>
      <w:r>
        <w:rPr>
          <w:rFonts w:ascii="宋体" w:hAnsi="宋体" w:cs="宋体" w:eastAsia="宋体" w:hint="default"/>
          <w:b/>
          <w:bCs/>
          <w:sz w:val="21"/>
          <w:szCs w:val="21"/>
        </w:rPr>
        <w:t>（</w:t>
      </w:r>
      <w:r>
        <w:rPr>
          <w:rFonts w:ascii="宋体" w:hAnsi="宋体" w:cs="宋体" w:eastAsia="宋体" w:hint="default"/>
          <w:b/>
          <w:bCs/>
          <w:sz w:val="21"/>
          <w:szCs w:val="21"/>
        </w:rPr>
        <w:t>5</w:t>
      </w:r>
      <w:r>
        <w:rPr>
          <w:rFonts w:ascii="宋体" w:hAnsi="宋体" w:cs="宋体" w:eastAsia="宋体" w:hint="default"/>
          <w:b/>
          <w:bCs/>
          <w:sz w:val="21"/>
          <w:szCs w:val="21"/>
        </w:rPr>
        <w:t>）因金融资产转移而终止确认的应收账款</w:t>
      </w:r>
      <w:r>
        <w:rPr>
          <w:rFonts w:ascii="宋体" w:hAnsi="宋体" w:cs="宋体" w:eastAsia="宋体" w:hint="default"/>
          <w:sz w:val="21"/>
          <w:szCs w:val="21"/>
        </w:rPr>
      </w:r>
    </w:p>
    <w:p>
      <w:pPr>
        <w:pStyle w:val="BodyText"/>
        <w:spacing w:line="240" w:lineRule="auto" w:before="149"/>
        <w:ind w:left="634" w:right="996"/>
        <w:jc w:val="left"/>
      </w:pPr>
      <w:r>
        <w:rPr/>
        <w:t>无</w:t>
      </w:r>
    </w:p>
    <w:p>
      <w:pPr>
        <w:spacing w:before="180"/>
        <w:ind w:left="576" w:right="996" w:firstLine="0"/>
        <w:jc w:val="left"/>
        <w:rPr>
          <w:rFonts w:ascii="宋体" w:hAnsi="宋体" w:cs="宋体" w:eastAsia="宋体" w:hint="default"/>
          <w:sz w:val="21"/>
          <w:szCs w:val="21"/>
        </w:rPr>
      </w:pPr>
      <w:bookmarkStart w:name="（6）转移应收账款且继续涉入形成的资产、负债金额" w:id="533"/>
      <w:bookmarkEnd w:id="533"/>
      <w:r>
        <w:rPr/>
      </w:r>
      <w:r>
        <w:rPr>
          <w:rFonts w:ascii="宋体" w:hAnsi="宋体" w:cs="宋体" w:eastAsia="宋体" w:hint="default"/>
          <w:b/>
          <w:bCs/>
          <w:sz w:val="21"/>
          <w:szCs w:val="21"/>
        </w:rPr>
        <w:t>（</w:t>
      </w:r>
      <w:r>
        <w:rPr>
          <w:rFonts w:ascii="宋体" w:hAnsi="宋体" w:cs="宋体" w:eastAsia="宋体" w:hint="default"/>
          <w:b/>
          <w:bCs/>
          <w:sz w:val="21"/>
          <w:szCs w:val="21"/>
        </w:rPr>
        <w:t>6</w:t>
      </w:r>
      <w:r>
        <w:rPr>
          <w:rFonts w:ascii="宋体" w:hAnsi="宋体" w:cs="宋体" w:eastAsia="宋体" w:hint="default"/>
          <w:b/>
          <w:bCs/>
          <w:sz w:val="21"/>
          <w:szCs w:val="21"/>
        </w:rPr>
        <w:t>）转移应收账款且继续涉入形成的资产、负债金额</w:t>
      </w:r>
      <w:r>
        <w:rPr>
          <w:rFonts w:ascii="宋体" w:hAnsi="宋体" w:cs="宋体" w:eastAsia="宋体" w:hint="default"/>
          <w:sz w:val="21"/>
          <w:szCs w:val="21"/>
        </w:rPr>
      </w:r>
    </w:p>
    <w:p>
      <w:pPr>
        <w:pStyle w:val="BodyText"/>
        <w:spacing w:line="240" w:lineRule="auto" w:before="151"/>
        <w:ind w:left="634" w:right="996"/>
        <w:jc w:val="left"/>
      </w:pPr>
      <w:r>
        <w:rPr/>
        <w:t>无</w:t>
      </w:r>
    </w:p>
    <w:p>
      <w:pPr>
        <w:spacing w:before="180"/>
        <w:ind w:left="576" w:right="996" w:firstLine="0"/>
        <w:jc w:val="left"/>
        <w:rPr>
          <w:rFonts w:ascii="宋体" w:hAnsi="宋体" w:cs="宋体" w:eastAsia="宋体" w:hint="default"/>
          <w:sz w:val="21"/>
          <w:szCs w:val="21"/>
        </w:rPr>
      </w:pPr>
      <w:bookmarkStart w:name="2、其他应收款" w:id="534"/>
      <w:bookmarkEnd w:id="534"/>
      <w:r>
        <w:rPr/>
      </w:r>
      <w:r>
        <w:rPr>
          <w:rFonts w:ascii="宋体" w:hAnsi="宋体" w:cs="宋体" w:eastAsia="宋体" w:hint="default"/>
          <w:b/>
          <w:bCs/>
          <w:sz w:val="21"/>
          <w:szCs w:val="21"/>
        </w:rPr>
        <w:t>2</w:t>
      </w:r>
      <w:r>
        <w:rPr>
          <w:rFonts w:ascii="宋体" w:hAnsi="宋体" w:cs="宋体" w:eastAsia="宋体" w:hint="default"/>
          <w:b/>
          <w:bCs/>
          <w:sz w:val="21"/>
          <w:szCs w:val="21"/>
        </w:rPr>
        <w:t>、其他应收款</w:t>
      </w:r>
      <w:r>
        <w:rPr>
          <w:rFonts w:ascii="宋体" w:hAnsi="宋体" w:cs="宋体" w:eastAsia="宋体" w:hint="default"/>
          <w:sz w:val="21"/>
          <w:szCs w:val="21"/>
        </w:rPr>
      </w:r>
    </w:p>
    <w:p>
      <w:pPr>
        <w:spacing w:line="240" w:lineRule="auto" w:before="6"/>
        <w:rPr>
          <w:rFonts w:ascii="宋体" w:hAnsi="宋体" w:cs="宋体" w:eastAsia="宋体" w:hint="default"/>
          <w:b/>
          <w:bCs/>
          <w:sz w:val="11"/>
          <w:szCs w:val="11"/>
        </w:rPr>
      </w:pPr>
    </w:p>
    <w:p>
      <w:pPr>
        <w:spacing w:before="35"/>
        <w:ind w:left="576" w:right="996" w:firstLine="0"/>
        <w:jc w:val="left"/>
        <w:rPr>
          <w:rFonts w:ascii="宋体" w:hAnsi="宋体" w:cs="宋体" w:eastAsia="宋体" w:hint="default"/>
          <w:sz w:val="21"/>
          <w:szCs w:val="21"/>
        </w:rPr>
      </w:pPr>
      <w:bookmarkStart w:name="（1）其他应收款分类披露" w:id="535"/>
      <w:bookmarkEnd w:id="535"/>
      <w:r>
        <w:rPr/>
      </w:r>
      <w:r>
        <w:rPr>
          <w:rFonts w:ascii="宋体" w:hAnsi="宋体" w:cs="宋体" w:eastAsia="宋体" w:hint="default"/>
          <w:b/>
          <w:bCs/>
          <w:sz w:val="21"/>
          <w:szCs w:val="21"/>
        </w:rPr>
        <w:t>（</w:t>
      </w:r>
      <w:r>
        <w:rPr>
          <w:rFonts w:ascii="宋体" w:hAnsi="宋体" w:cs="宋体" w:eastAsia="宋体" w:hint="default"/>
          <w:b/>
          <w:bCs/>
          <w:sz w:val="21"/>
          <w:szCs w:val="21"/>
        </w:rPr>
        <w:t>1</w:t>
      </w:r>
      <w:r>
        <w:rPr>
          <w:rFonts w:ascii="宋体" w:hAnsi="宋体" w:cs="宋体" w:eastAsia="宋体" w:hint="default"/>
          <w:b/>
          <w:bCs/>
          <w:sz w:val="21"/>
          <w:szCs w:val="21"/>
        </w:rPr>
        <w:t>）其他应收款分类披露</w:t>
      </w:r>
      <w:r>
        <w:rPr>
          <w:rFonts w:ascii="宋体" w:hAnsi="宋体" w:cs="宋体" w:eastAsia="宋体" w:hint="default"/>
          <w:sz w:val="21"/>
          <w:szCs w:val="21"/>
        </w:rPr>
      </w:r>
    </w:p>
    <w:p>
      <w:pPr>
        <w:spacing w:before="88"/>
        <w:ind w:left="0" w:right="1129" w:firstLine="0"/>
        <w:jc w:val="right"/>
        <w:rPr>
          <w:rFonts w:ascii="宋体" w:hAnsi="宋体" w:cs="宋体" w:eastAsia="宋体" w:hint="default"/>
          <w:sz w:val="21"/>
          <w:szCs w:val="21"/>
        </w:rPr>
      </w:pPr>
      <w:r>
        <w:rPr>
          <w:rFonts w:ascii="宋体" w:hAnsi="宋体" w:cs="宋体" w:eastAsia="宋体" w:hint="default"/>
          <w:sz w:val="21"/>
          <w:szCs w:val="21"/>
        </w:rPr>
        <w:t>单位： 元</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419"/>
        <w:gridCol w:w="1134"/>
        <w:gridCol w:w="566"/>
        <w:gridCol w:w="851"/>
        <w:gridCol w:w="566"/>
        <w:gridCol w:w="994"/>
        <w:gridCol w:w="850"/>
        <w:gridCol w:w="566"/>
        <w:gridCol w:w="852"/>
        <w:gridCol w:w="566"/>
        <w:gridCol w:w="1202"/>
      </w:tblGrid>
      <w:tr>
        <w:trPr>
          <w:trHeight w:val="403" w:hRule="exact"/>
        </w:trPr>
        <w:tc>
          <w:tcPr>
            <w:tcW w:w="1419" w:type="dxa"/>
            <w:vMerge w:val="restart"/>
            <w:tcBorders>
              <w:top w:val="single" w:sz="4" w:space="0" w:color="000000"/>
              <w:left w:val="single" w:sz="4" w:space="0" w:color="000000"/>
              <w:right w:val="single" w:sz="4" w:space="0" w:color="000000"/>
            </w:tcBorders>
            <w:shd w:val="clear" w:color="auto" w:fill="D2D2D2"/>
          </w:tcPr>
          <w:p>
            <w:pPr/>
          </w:p>
        </w:tc>
        <w:tc>
          <w:tcPr>
            <w:tcW w:w="4112"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4037"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161" w:hRule="exact"/>
        </w:trPr>
        <w:tc>
          <w:tcPr>
            <w:tcW w:w="1419" w:type="dxa"/>
            <w:vMerge/>
            <w:tcBorders>
              <w:left w:val="single" w:sz="4" w:space="0" w:color="000000"/>
              <w:bottom w:val="nil" w:sz="6" w:space="0" w:color="auto"/>
              <w:right w:val="single" w:sz="4" w:space="0" w:color="000000"/>
            </w:tcBorders>
            <w:shd w:val="clear" w:color="auto" w:fill="D2D2D2"/>
          </w:tcPr>
          <w:p>
            <w:pPr/>
          </w:p>
        </w:tc>
        <w:tc>
          <w:tcPr>
            <w:tcW w:w="170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6"/>
              <w:ind w:left="424"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41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6"/>
              <w:ind w:left="283"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994"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6"/>
              <w:ind w:left="283"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41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6"/>
              <w:ind w:left="284"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20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41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类别</w:t>
            </w:r>
          </w:p>
        </w:tc>
        <w:tc>
          <w:tcPr>
            <w:tcW w:w="1700" w:type="dxa"/>
            <w:gridSpan w:val="2"/>
            <w:vMerge/>
            <w:tcBorders>
              <w:left w:val="single" w:sz="4" w:space="0" w:color="000000"/>
              <w:bottom w:val="single" w:sz="4" w:space="0" w:color="000000"/>
              <w:right w:val="single" w:sz="4" w:space="0" w:color="000000"/>
            </w:tcBorders>
            <w:shd w:val="clear" w:color="auto" w:fill="D2D2D2"/>
          </w:tcPr>
          <w:p>
            <w:pPr/>
          </w:p>
        </w:tc>
        <w:tc>
          <w:tcPr>
            <w:tcW w:w="1418" w:type="dxa"/>
            <w:gridSpan w:val="2"/>
            <w:vMerge/>
            <w:tcBorders>
              <w:left w:val="single" w:sz="4" w:space="0" w:color="000000"/>
              <w:bottom w:val="single" w:sz="4" w:space="0" w:color="000000"/>
              <w:right w:val="single" w:sz="4" w:space="0" w:color="000000"/>
            </w:tcBorders>
            <w:shd w:val="clear" w:color="auto" w:fill="D2D2D2"/>
          </w:tcPr>
          <w:p>
            <w:pPr/>
          </w:p>
        </w:tc>
        <w:tc>
          <w:tcPr>
            <w:tcW w:w="994"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419" w:type="dxa"/>
            <w:gridSpan w:val="2"/>
            <w:vMerge/>
            <w:tcBorders>
              <w:left w:val="single" w:sz="4" w:space="0" w:color="000000"/>
              <w:bottom w:val="single" w:sz="4" w:space="0" w:color="000000"/>
              <w:right w:val="single" w:sz="4" w:space="0" w:color="000000"/>
            </w:tcBorders>
            <w:shd w:val="clear" w:color="auto" w:fill="D2D2D2"/>
          </w:tcPr>
          <w:p>
            <w:pPr/>
          </w:p>
        </w:tc>
        <w:tc>
          <w:tcPr>
            <w:tcW w:w="1202"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1419" w:type="dxa"/>
            <w:vMerge/>
            <w:tcBorders>
              <w:left w:val="single" w:sz="4" w:space="0" w:color="000000"/>
              <w:bottom w:val="nil" w:sz="6" w:space="0" w:color="auto"/>
              <w:right w:val="single" w:sz="4" w:space="0" w:color="000000"/>
            </w:tcBorders>
            <w:shd w:val="clear" w:color="auto" w:fill="D2D2D2"/>
          </w:tcPr>
          <w:p>
            <w:pPr/>
          </w:p>
        </w:tc>
        <w:tc>
          <w:tcPr>
            <w:tcW w:w="1134" w:type="dxa"/>
            <w:tcBorders>
              <w:top w:val="single" w:sz="4" w:space="0" w:color="000000"/>
              <w:left w:val="single" w:sz="4" w:space="0" w:color="000000"/>
              <w:bottom w:val="nil" w:sz="6" w:space="0" w:color="auto"/>
              <w:right w:val="single" w:sz="4" w:space="0" w:color="000000"/>
            </w:tcBorders>
            <w:shd w:val="clear" w:color="auto" w:fill="D2D2D2"/>
          </w:tcPr>
          <w:p>
            <w:pPr/>
          </w:p>
        </w:tc>
        <w:tc>
          <w:tcPr>
            <w:tcW w:w="566" w:type="dxa"/>
            <w:tcBorders>
              <w:top w:val="single" w:sz="4" w:space="0" w:color="000000"/>
              <w:left w:val="single" w:sz="4" w:space="0" w:color="000000"/>
              <w:bottom w:val="nil" w:sz="6" w:space="0" w:color="auto"/>
              <w:right w:val="single" w:sz="4" w:space="0" w:color="000000"/>
            </w:tcBorders>
            <w:shd w:val="clear" w:color="auto" w:fill="D2D2D2"/>
          </w:tcPr>
          <w:p>
            <w:pPr/>
          </w:p>
        </w:tc>
        <w:tc>
          <w:tcPr>
            <w:tcW w:w="851" w:type="dxa"/>
            <w:tcBorders>
              <w:top w:val="single" w:sz="4" w:space="0" w:color="000000"/>
              <w:left w:val="single" w:sz="4" w:space="0" w:color="000000"/>
              <w:bottom w:val="nil" w:sz="6" w:space="0" w:color="auto"/>
              <w:right w:val="single" w:sz="4" w:space="0" w:color="000000"/>
            </w:tcBorders>
            <w:shd w:val="clear" w:color="auto" w:fill="D2D2D2"/>
          </w:tcPr>
          <w:p>
            <w:pPr/>
          </w:p>
        </w:tc>
        <w:tc>
          <w:tcPr>
            <w:tcW w:w="566"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26"/>
              <w:ind w:left="68" w:right="66"/>
              <w:jc w:val="left"/>
              <w:rPr>
                <w:rFonts w:ascii="宋体" w:hAnsi="宋体" w:cs="宋体" w:eastAsia="宋体" w:hint="default"/>
                <w:sz w:val="21"/>
                <w:szCs w:val="21"/>
              </w:rPr>
            </w:pPr>
            <w:r>
              <w:rPr>
                <w:rFonts w:ascii="宋体" w:hAnsi="宋体" w:cs="宋体" w:eastAsia="宋体" w:hint="default"/>
                <w:sz w:val="21"/>
                <w:szCs w:val="21"/>
              </w:rPr>
              <w:t>计提 比例</w:t>
            </w:r>
          </w:p>
        </w:tc>
        <w:tc>
          <w:tcPr>
            <w:tcW w:w="994" w:type="dxa"/>
            <w:vMerge w:val="restart"/>
            <w:tcBorders>
              <w:top w:val="nil" w:sz="6" w:space="0" w:color="auto"/>
              <w:left w:val="single" w:sz="22" w:space="0" w:color="D2D2D2"/>
              <w:right w:val="single" w:sz="23" w:space="0" w:color="D2D2D2"/>
            </w:tcBorders>
          </w:tcPr>
          <w:p>
            <w:pPr>
              <w:pStyle w:val="TableParagraph"/>
              <w:spacing w:line="261" w:lineRule="exact"/>
              <w:ind w:left="48" w:right="0"/>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shd w:fill="D2D2D2" w:color="auto" w:val="clear"/>
              </w:rPr>
              <w:t>账面价值</w:t>
            </w:r>
            <w:r>
              <w:rPr>
                <w:rFonts w:ascii="宋体" w:hAnsi="宋体" w:cs="宋体" w:eastAsia="宋体" w:hint="default"/>
                <w:sz w:val="21"/>
                <w:szCs w:val="21"/>
              </w:rPr>
            </w:r>
          </w:p>
        </w:tc>
        <w:tc>
          <w:tcPr>
            <w:tcW w:w="850" w:type="dxa"/>
            <w:tcBorders>
              <w:top w:val="single" w:sz="4" w:space="0" w:color="000000"/>
              <w:left w:val="single" w:sz="4" w:space="0" w:color="000000"/>
              <w:bottom w:val="nil" w:sz="6" w:space="0" w:color="auto"/>
              <w:right w:val="single" w:sz="4" w:space="0" w:color="000000"/>
            </w:tcBorders>
            <w:shd w:val="clear" w:color="auto" w:fill="D2D2D2"/>
          </w:tcPr>
          <w:p>
            <w:pPr/>
          </w:p>
        </w:tc>
        <w:tc>
          <w:tcPr>
            <w:tcW w:w="566" w:type="dxa"/>
            <w:tcBorders>
              <w:top w:val="single" w:sz="4" w:space="0" w:color="000000"/>
              <w:left w:val="single" w:sz="4" w:space="0" w:color="000000"/>
              <w:bottom w:val="nil" w:sz="6" w:space="0" w:color="auto"/>
              <w:right w:val="single" w:sz="4" w:space="0" w:color="000000"/>
            </w:tcBorders>
            <w:shd w:val="clear" w:color="auto" w:fill="D2D2D2"/>
          </w:tcPr>
          <w:p>
            <w:pPr/>
          </w:p>
        </w:tc>
        <w:tc>
          <w:tcPr>
            <w:tcW w:w="852" w:type="dxa"/>
            <w:tcBorders>
              <w:top w:val="single" w:sz="4" w:space="0" w:color="000000"/>
              <w:left w:val="single" w:sz="4" w:space="0" w:color="000000"/>
              <w:bottom w:val="nil" w:sz="6" w:space="0" w:color="auto"/>
              <w:right w:val="single" w:sz="4" w:space="0" w:color="000000"/>
            </w:tcBorders>
            <w:shd w:val="clear" w:color="auto" w:fill="D2D2D2"/>
          </w:tcPr>
          <w:p>
            <w:pPr/>
          </w:p>
        </w:tc>
        <w:tc>
          <w:tcPr>
            <w:tcW w:w="566"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26"/>
              <w:ind w:left="68" w:right="66"/>
              <w:jc w:val="left"/>
              <w:rPr>
                <w:rFonts w:ascii="宋体" w:hAnsi="宋体" w:cs="宋体" w:eastAsia="宋体" w:hint="default"/>
                <w:sz w:val="21"/>
                <w:szCs w:val="21"/>
              </w:rPr>
            </w:pPr>
            <w:r>
              <w:rPr>
                <w:rFonts w:ascii="宋体" w:hAnsi="宋体" w:cs="宋体" w:eastAsia="宋体" w:hint="default"/>
                <w:sz w:val="21"/>
                <w:szCs w:val="21"/>
              </w:rPr>
              <w:t>计提 比例</w:t>
            </w:r>
          </w:p>
        </w:tc>
        <w:tc>
          <w:tcPr>
            <w:tcW w:w="1202" w:type="dxa"/>
            <w:vMerge w:val="restart"/>
            <w:tcBorders>
              <w:top w:val="nil" w:sz="6" w:space="0" w:color="auto"/>
              <w:left w:val="single" w:sz="4" w:space="0" w:color="000000"/>
              <w:right w:val="single" w:sz="4" w:space="0" w:color="000000"/>
            </w:tcBorders>
            <w:shd w:val="clear" w:color="auto" w:fill="D2D2D2"/>
          </w:tcPr>
          <w:p>
            <w:pPr>
              <w:pStyle w:val="TableParagraph"/>
              <w:spacing w:line="261" w:lineRule="exact"/>
              <w:ind w:left="175" w:right="0"/>
              <w:jc w:val="left"/>
              <w:rPr>
                <w:rFonts w:ascii="宋体" w:hAnsi="宋体" w:cs="宋体" w:eastAsia="宋体" w:hint="default"/>
                <w:sz w:val="21"/>
                <w:szCs w:val="21"/>
              </w:rPr>
            </w:pPr>
            <w:r>
              <w:rPr>
                <w:rFonts w:ascii="宋体" w:hAnsi="宋体" w:cs="宋体" w:eastAsia="宋体" w:hint="default"/>
                <w:sz w:val="21"/>
                <w:szCs w:val="21"/>
              </w:rPr>
              <w:t>账面价值</w:t>
            </w:r>
          </w:p>
        </w:tc>
      </w:tr>
      <w:tr>
        <w:trPr>
          <w:trHeight w:val="191" w:hRule="exact"/>
        </w:trPr>
        <w:tc>
          <w:tcPr>
            <w:tcW w:w="1419" w:type="dxa"/>
            <w:vMerge w:val="restart"/>
            <w:tcBorders>
              <w:top w:val="nil" w:sz="6" w:space="0" w:color="auto"/>
              <w:left w:val="single" w:sz="4" w:space="0" w:color="000000"/>
              <w:right w:val="single" w:sz="4" w:space="0" w:color="000000"/>
            </w:tcBorders>
            <w:shd w:val="clear" w:color="auto" w:fill="D2D2D2"/>
          </w:tcPr>
          <w:p>
            <w:pPr/>
          </w:p>
        </w:tc>
        <w:tc>
          <w:tcPr>
            <w:tcW w:w="113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6"/>
              <w:ind w:left="351"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56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6"/>
              <w:ind w:left="68" w:right="0"/>
              <w:jc w:val="left"/>
              <w:rPr>
                <w:rFonts w:ascii="宋体" w:hAnsi="宋体" w:cs="宋体" w:eastAsia="宋体" w:hint="default"/>
                <w:sz w:val="21"/>
                <w:szCs w:val="21"/>
              </w:rPr>
            </w:pPr>
            <w:r>
              <w:rPr>
                <w:rFonts w:ascii="宋体" w:hAnsi="宋体" w:cs="宋体" w:eastAsia="宋体" w:hint="default"/>
                <w:sz w:val="21"/>
                <w:szCs w:val="21"/>
              </w:rPr>
              <w:t>比例</w:t>
            </w:r>
          </w:p>
        </w:tc>
        <w:tc>
          <w:tcPr>
            <w:tcW w:w="85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6"/>
              <w:ind w:left="210"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566" w:type="dxa"/>
            <w:vMerge/>
            <w:tcBorders>
              <w:left w:val="single" w:sz="4" w:space="0" w:color="000000"/>
              <w:right w:val="single" w:sz="4" w:space="0" w:color="000000"/>
            </w:tcBorders>
            <w:shd w:val="clear" w:color="auto" w:fill="D2D2D2"/>
          </w:tcPr>
          <w:p>
            <w:pPr/>
          </w:p>
        </w:tc>
        <w:tc>
          <w:tcPr>
            <w:tcW w:w="994" w:type="dxa"/>
            <w:vMerge/>
            <w:tcBorders>
              <w:left w:val="single" w:sz="22" w:space="0" w:color="D2D2D2"/>
              <w:bottom w:val="nil" w:sz="6" w:space="0" w:color="auto"/>
              <w:right w:val="single" w:sz="23" w:space="0" w:color="D2D2D2"/>
            </w:tcBorders>
          </w:tcPr>
          <w:p>
            <w:pPr/>
          </w:p>
        </w:tc>
        <w:tc>
          <w:tcPr>
            <w:tcW w:w="85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6"/>
              <w:ind w:left="209"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56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6"/>
              <w:ind w:left="68" w:right="0"/>
              <w:jc w:val="left"/>
              <w:rPr>
                <w:rFonts w:ascii="宋体" w:hAnsi="宋体" w:cs="宋体" w:eastAsia="宋体" w:hint="default"/>
                <w:sz w:val="21"/>
                <w:szCs w:val="21"/>
              </w:rPr>
            </w:pPr>
            <w:r>
              <w:rPr>
                <w:rFonts w:ascii="宋体" w:hAnsi="宋体" w:cs="宋体" w:eastAsia="宋体" w:hint="default"/>
                <w:sz w:val="21"/>
                <w:szCs w:val="21"/>
              </w:rPr>
              <w:t>比例</w:t>
            </w:r>
          </w:p>
        </w:tc>
        <w:tc>
          <w:tcPr>
            <w:tcW w:w="85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6"/>
              <w:ind w:left="211"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566" w:type="dxa"/>
            <w:vMerge/>
            <w:tcBorders>
              <w:left w:val="single" w:sz="4" w:space="0" w:color="000000"/>
              <w:right w:val="single" w:sz="4" w:space="0" w:color="000000"/>
            </w:tcBorders>
            <w:shd w:val="clear" w:color="auto" w:fill="D2D2D2"/>
          </w:tcPr>
          <w:p>
            <w:pPr/>
          </w:p>
        </w:tc>
        <w:tc>
          <w:tcPr>
            <w:tcW w:w="1202" w:type="dxa"/>
            <w:vMerge/>
            <w:tcBorders>
              <w:left w:val="single" w:sz="4" w:space="0" w:color="000000"/>
              <w:bottom w:val="nil" w:sz="6" w:space="0" w:color="auto"/>
              <w:right w:val="single" w:sz="4" w:space="0" w:color="000000"/>
            </w:tcBorders>
            <w:shd w:val="clear" w:color="auto" w:fill="D2D2D2"/>
          </w:tcPr>
          <w:p>
            <w:pPr/>
          </w:p>
        </w:tc>
      </w:tr>
      <w:tr>
        <w:trPr>
          <w:trHeight w:val="200" w:hRule="exact"/>
        </w:trPr>
        <w:tc>
          <w:tcPr>
            <w:tcW w:w="1419" w:type="dxa"/>
            <w:vMerge/>
            <w:tcBorders>
              <w:left w:val="single" w:sz="4" w:space="0" w:color="000000"/>
              <w:right w:val="single" w:sz="4" w:space="0" w:color="000000"/>
            </w:tcBorders>
            <w:shd w:val="clear" w:color="auto" w:fill="D2D2D2"/>
          </w:tcPr>
          <w:p>
            <w:pPr/>
          </w:p>
        </w:tc>
        <w:tc>
          <w:tcPr>
            <w:tcW w:w="1134" w:type="dxa"/>
            <w:vMerge/>
            <w:tcBorders>
              <w:left w:val="single" w:sz="4" w:space="0" w:color="000000"/>
              <w:bottom w:val="nil" w:sz="6" w:space="0" w:color="auto"/>
              <w:right w:val="single" w:sz="4" w:space="0" w:color="000000"/>
            </w:tcBorders>
            <w:shd w:val="clear" w:color="auto" w:fill="D2D2D2"/>
          </w:tcPr>
          <w:p>
            <w:pPr/>
          </w:p>
        </w:tc>
        <w:tc>
          <w:tcPr>
            <w:tcW w:w="566" w:type="dxa"/>
            <w:vMerge/>
            <w:tcBorders>
              <w:left w:val="single" w:sz="4" w:space="0" w:color="000000"/>
              <w:bottom w:val="nil" w:sz="6" w:space="0" w:color="auto"/>
              <w:right w:val="single" w:sz="4" w:space="0" w:color="000000"/>
            </w:tcBorders>
            <w:shd w:val="clear" w:color="auto" w:fill="D2D2D2"/>
          </w:tcPr>
          <w:p>
            <w:pPr/>
          </w:p>
        </w:tc>
        <w:tc>
          <w:tcPr>
            <w:tcW w:w="851" w:type="dxa"/>
            <w:vMerge/>
            <w:tcBorders>
              <w:left w:val="single" w:sz="4" w:space="0" w:color="000000"/>
              <w:bottom w:val="nil" w:sz="6" w:space="0" w:color="auto"/>
              <w:right w:val="single" w:sz="4" w:space="0" w:color="000000"/>
            </w:tcBorders>
            <w:shd w:val="clear" w:color="auto" w:fill="D2D2D2"/>
          </w:tcPr>
          <w:p>
            <w:pPr/>
          </w:p>
        </w:tc>
        <w:tc>
          <w:tcPr>
            <w:tcW w:w="566" w:type="dxa"/>
            <w:vMerge/>
            <w:tcBorders>
              <w:left w:val="single" w:sz="4" w:space="0" w:color="000000"/>
              <w:right w:val="single" w:sz="4" w:space="0" w:color="000000"/>
            </w:tcBorders>
            <w:shd w:val="clear" w:color="auto" w:fill="D2D2D2"/>
          </w:tcPr>
          <w:p>
            <w:pPr/>
          </w:p>
        </w:tc>
        <w:tc>
          <w:tcPr>
            <w:tcW w:w="994" w:type="dxa"/>
            <w:vMerge w:val="restart"/>
            <w:tcBorders>
              <w:top w:val="nil" w:sz="6" w:space="0" w:color="auto"/>
              <w:left w:val="single" w:sz="4" w:space="0" w:color="000000"/>
              <w:right w:val="single" w:sz="4" w:space="0" w:color="000000"/>
            </w:tcBorders>
            <w:shd w:val="clear" w:color="auto" w:fill="D2D2D2"/>
          </w:tcPr>
          <w:p>
            <w:pPr/>
          </w:p>
        </w:tc>
        <w:tc>
          <w:tcPr>
            <w:tcW w:w="850" w:type="dxa"/>
            <w:vMerge/>
            <w:tcBorders>
              <w:left w:val="single" w:sz="4" w:space="0" w:color="000000"/>
              <w:bottom w:val="nil" w:sz="6" w:space="0" w:color="auto"/>
              <w:right w:val="single" w:sz="4" w:space="0" w:color="000000"/>
            </w:tcBorders>
            <w:shd w:val="clear" w:color="auto" w:fill="D2D2D2"/>
          </w:tcPr>
          <w:p>
            <w:pPr/>
          </w:p>
        </w:tc>
        <w:tc>
          <w:tcPr>
            <w:tcW w:w="566" w:type="dxa"/>
            <w:vMerge/>
            <w:tcBorders>
              <w:left w:val="single" w:sz="4" w:space="0" w:color="000000"/>
              <w:bottom w:val="nil" w:sz="6" w:space="0" w:color="auto"/>
              <w:right w:val="single" w:sz="4" w:space="0" w:color="000000"/>
            </w:tcBorders>
            <w:shd w:val="clear" w:color="auto" w:fill="D2D2D2"/>
          </w:tcPr>
          <w:p>
            <w:pPr/>
          </w:p>
        </w:tc>
        <w:tc>
          <w:tcPr>
            <w:tcW w:w="852" w:type="dxa"/>
            <w:vMerge/>
            <w:tcBorders>
              <w:left w:val="single" w:sz="4" w:space="0" w:color="000000"/>
              <w:bottom w:val="nil" w:sz="6" w:space="0" w:color="auto"/>
              <w:right w:val="single" w:sz="4" w:space="0" w:color="000000"/>
            </w:tcBorders>
            <w:shd w:val="clear" w:color="auto" w:fill="D2D2D2"/>
          </w:tcPr>
          <w:p>
            <w:pPr/>
          </w:p>
        </w:tc>
        <w:tc>
          <w:tcPr>
            <w:tcW w:w="566" w:type="dxa"/>
            <w:vMerge/>
            <w:tcBorders>
              <w:left w:val="single" w:sz="4" w:space="0" w:color="000000"/>
              <w:right w:val="single" w:sz="4" w:space="0" w:color="000000"/>
            </w:tcBorders>
            <w:shd w:val="clear" w:color="auto" w:fill="D2D2D2"/>
          </w:tcPr>
          <w:p>
            <w:pPr/>
          </w:p>
        </w:tc>
        <w:tc>
          <w:tcPr>
            <w:tcW w:w="120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419" w:type="dxa"/>
            <w:vMerge/>
            <w:tcBorders>
              <w:left w:val="single" w:sz="4" w:space="0" w:color="000000"/>
              <w:bottom w:val="single" w:sz="4" w:space="0" w:color="000000"/>
              <w:right w:val="single" w:sz="4" w:space="0" w:color="000000"/>
            </w:tcBorders>
            <w:shd w:val="clear" w:color="auto" w:fill="D2D2D2"/>
          </w:tcPr>
          <w:p>
            <w:pPr/>
          </w:p>
        </w:tc>
        <w:tc>
          <w:tcPr>
            <w:tcW w:w="1134" w:type="dxa"/>
            <w:tcBorders>
              <w:top w:val="nil" w:sz="6" w:space="0" w:color="auto"/>
              <w:left w:val="single" w:sz="4" w:space="0" w:color="000000"/>
              <w:bottom w:val="single" w:sz="4" w:space="0" w:color="000000"/>
              <w:right w:val="single" w:sz="4" w:space="0" w:color="000000"/>
            </w:tcBorders>
            <w:shd w:val="clear" w:color="auto" w:fill="D2D2D2"/>
          </w:tcPr>
          <w:p>
            <w:pPr/>
          </w:p>
        </w:tc>
        <w:tc>
          <w:tcPr>
            <w:tcW w:w="566" w:type="dxa"/>
            <w:tcBorders>
              <w:top w:val="nil" w:sz="6" w:space="0" w:color="auto"/>
              <w:left w:val="single" w:sz="4" w:space="0" w:color="000000"/>
              <w:bottom w:val="single" w:sz="4" w:space="0" w:color="000000"/>
              <w:right w:val="single" w:sz="4" w:space="0" w:color="000000"/>
            </w:tcBorders>
            <w:shd w:val="clear" w:color="auto" w:fill="D2D2D2"/>
          </w:tcPr>
          <w:p>
            <w:pPr/>
          </w:p>
        </w:tc>
        <w:tc>
          <w:tcPr>
            <w:tcW w:w="851" w:type="dxa"/>
            <w:tcBorders>
              <w:top w:val="nil" w:sz="6" w:space="0" w:color="auto"/>
              <w:left w:val="single" w:sz="4" w:space="0" w:color="000000"/>
              <w:bottom w:val="single" w:sz="4" w:space="0" w:color="000000"/>
              <w:right w:val="single" w:sz="4" w:space="0" w:color="000000"/>
            </w:tcBorders>
            <w:shd w:val="clear" w:color="auto" w:fill="D2D2D2"/>
          </w:tcPr>
          <w:p>
            <w:pPr/>
          </w:p>
        </w:tc>
        <w:tc>
          <w:tcPr>
            <w:tcW w:w="566" w:type="dxa"/>
            <w:vMerge/>
            <w:tcBorders>
              <w:left w:val="single" w:sz="4" w:space="0" w:color="000000"/>
              <w:bottom w:val="single" w:sz="4" w:space="0" w:color="000000"/>
              <w:right w:val="single" w:sz="4" w:space="0" w:color="000000"/>
            </w:tcBorders>
            <w:shd w:val="clear" w:color="auto" w:fill="D2D2D2"/>
          </w:tcPr>
          <w:p>
            <w:pPr/>
          </w:p>
        </w:tc>
        <w:tc>
          <w:tcPr>
            <w:tcW w:w="994" w:type="dxa"/>
            <w:vMerge/>
            <w:tcBorders>
              <w:left w:val="single" w:sz="4" w:space="0" w:color="000000"/>
              <w:bottom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single" w:sz="4" w:space="0" w:color="000000"/>
              <w:right w:val="single" w:sz="4" w:space="0" w:color="000000"/>
            </w:tcBorders>
            <w:shd w:val="clear" w:color="auto" w:fill="D2D2D2"/>
          </w:tcPr>
          <w:p>
            <w:pPr/>
          </w:p>
        </w:tc>
        <w:tc>
          <w:tcPr>
            <w:tcW w:w="566" w:type="dxa"/>
            <w:tcBorders>
              <w:top w:val="nil" w:sz="6" w:space="0" w:color="auto"/>
              <w:left w:val="single" w:sz="4" w:space="0" w:color="000000"/>
              <w:bottom w:val="single" w:sz="4" w:space="0" w:color="000000"/>
              <w:right w:val="single" w:sz="4" w:space="0" w:color="000000"/>
            </w:tcBorders>
            <w:shd w:val="clear" w:color="auto" w:fill="D2D2D2"/>
          </w:tcPr>
          <w:p>
            <w:pPr/>
          </w:p>
        </w:tc>
        <w:tc>
          <w:tcPr>
            <w:tcW w:w="852" w:type="dxa"/>
            <w:tcBorders>
              <w:top w:val="nil" w:sz="6" w:space="0" w:color="auto"/>
              <w:left w:val="single" w:sz="4" w:space="0" w:color="000000"/>
              <w:bottom w:val="single" w:sz="4" w:space="0" w:color="000000"/>
              <w:right w:val="single" w:sz="4" w:space="0" w:color="000000"/>
            </w:tcBorders>
            <w:shd w:val="clear" w:color="auto" w:fill="D2D2D2"/>
          </w:tcPr>
          <w:p>
            <w:pPr/>
          </w:p>
        </w:tc>
        <w:tc>
          <w:tcPr>
            <w:tcW w:w="566" w:type="dxa"/>
            <w:vMerge/>
            <w:tcBorders>
              <w:left w:val="single" w:sz="4" w:space="0" w:color="000000"/>
              <w:bottom w:val="single" w:sz="4" w:space="0" w:color="000000"/>
              <w:right w:val="single" w:sz="4" w:space="0" w:color="000000"/>
            </w:tcBorders>
            <w:shd w:val="clear" w:color="auto" w:fill="D2D2D2"/>
          </w:tcPr>
          <w:p>
            <w:pPr/>
          </w:p>
        </w:tc>
        <w:tc>
          <w:tcPr>
            <w:tcW w:w="1202" w:type="dxa"/>
            <w:vMerge/>
            <w:tcBorders>
              <w:left w:val="single" w:sz="4" w:space="0" w:color="000000"/>
              <w:bottom w:val="single" w:sz="4" w:space="0" w:color="000000"/>
              <w:right w:val="single" w:sz="4" w:space="0" w:color="000000"/>
            </w:tcBorders>
            <w:shd w:val="clear" w:color="auto" w:fill="D2D2D2"/>
          </w:tcPr>
          <w:p>
            <w:pPr/>
          </w:p>
        </w:tc>
      </w:tr>
      <w:tr>
        <w:trPr>
          <w:trHeight w:val="1338" w:hRule="exact"/>
        </w:trPr>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7"/>
              <w:ind w:left="22" w:right="124"/>
              <w:jc w:val="both"/>
              <w:rPr>
                <w:rFonts w:ascii="宋体" w:hAnsi="宋体" w:cs="宋体" w:eastAsia="宋体" w:hint="default"/>
                <w:sz w:val="21"/>
                <w:szCs w:val="21"/>
              </w:rPr>
            </w:pPr>
            <w:r>
              <w:rPr>
                <w:rFonts w:ascii="宋体" w:hAnsi="宋体" w:cs="宋体" w:eastAsia="宋体" w:hint="default"/>
                <w:sz w:val="21"/>
                <w:szCs w:val="21"/>
              </w:rPr>
              <w:t>按信用风险特 征组合计提坏 账准备的其他 应收款</w:t>
            </w:r>
          </w:p>
        </w:tc>
        <w:tc>
          <w:tcPr>
            <w:tcW w:w="113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right="23"/>
              <w:jc w:val="right"/>
              <w:rPr>
                <w:rFonts w:ascii="宋体" w:hAnsi="宋体" w:cs="宋体" w:eastAsia="宋体" w:hint="default"/>
                <w:sz w:val="21"/>
                <w:szCs w:val="21"/>
              </w:rPr>
            </w:pPr>
            <w:r>
              <w:rPr>
                <w:rFonts w:ascii="宋体"/>
                <w:sz w:val="21"/>
              </w:rPr>
              <w:t>69,514,590</w:t>
            </w:r>
          </w:p>
          <w:p>
            <w:pPr>
              <w:pStyle w:val="TableParagraph"/>
              <w:spacing w:line="240" w:lineRule="auto" w:before="37"/>
              <w:ind w:right="21"/>
              <w:jc w:val="right"/>
              <w:rPr>
                <w:rFonts w:ascii="宋体" w:hAnsi="宋体" w:cs="宋体" w:eastAsia="宋体" w:hint="default"/>
                <w:sz w:val="21"/>
                <w:szCs w:val="21"/>
              </w:rPr>
            </w:pPr>
            <w:r>
              <w:rPr>
                <w:rFonts w:ascii="宋体"/>
                <w:sz w:val="21"/>
              </w:rPr>
              <w:t>.94</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left="91" w:right="0"/>
              <w:jc w:val="center"/>
              <w:rPr>
                <w:rFonts w:ascii="宋体" w:hAnsi="宋体" w:cs="宋体" w:eastAsia="宋体" w:hint="default"/>
                <w:sz w:val="21"/>
                <w:szCs w:val="21"/>
              </w:rPr>
            </w:pPr>
            <w:r>
              <w:rPr>
                <w:rFonts w:ascii="宋体"/>
                <w:sz w:val="21"/>
              </w:rPr>
              <w:t>100.</w:t>
            </w:r>
          </w:p>
          <w:p>
            <w:pPr>
              <w:pStyle w:val="TableParagraph"/>
              <w:spacing w:line="240" w:lineRule="auto" w:before="37"/>
              <w:ind w:left="197" w:right="0"/>
              <w:jc w:val="center"/>
              <w:rPr>
                <w:rFonts w:ascii="宋体" w:hAnsi="宋体" w:cs="宋体" w:eastAsia="宋体" w:hint="default"/>
                <w:sz w:val="21"/>
                <w:szCs w:val="21"/>
              </w:rPr>
            </w:pPr>
            <w:r>
              <w:rPr>
                <w:rFonts w:ascii="宋体"/>
                <w:sz w:val="21"/>
              </w:rPr>
              <w:t>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left="82" w:right="0"/>
              <w:jc w:val="left"/>
              <w:rPr>
                <w:rFonts w:ascii="宋体" w:hAnsi="宋体" w:cs="宋体" w:eastAsia="宋体" w:hint="default"/>
                <w:sz w:val="21"/>
                <w:szCs w:val="21"/>
              </w:rPr>
            </w:pPr>
            <w:r>
              <w:rPr>
                <w:rFonts w:ascii="宋体"/>
                <w:sz w:val="21"/>
              </w:rPr>
              <w:t>569,272</w:t>
            </w:r>
          </w:p>
          <w:p>
            <w:pPr>
              <w:pStyle w:val="TableParagraph"/>
              <w:spacing w:line="240" w:lineRule="auto" w:before="37"/>
              <w:ind w:left="502" w:right="0"/>
              <w:jc w:val="left"/>
              <w:rPr>
                <w:rFonts w:ascii="宋体" w:hAnsi="宋体" w:cs="宋体" w:eastAsia="宋体" w:hint="default"/>
                <w:sz w:val="21"/>
                <w:szCs w:val="21"/>
              </w:rPr>
            </w:pPr>
            <w:r>
              <w:rPr>
                <w:rFonts w:ascii="宋体"/>
                <w:sz w:val="21"/>
              </w:rPr>
              <w:t>.40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right="20"/>
              <w:jc w:val="right"/>
              <w:rPr>
                <w:rFonts w:ascii="宋体" w:hAnsi="宋体" w:cs="宋体" w:eastAsia="宋体" w:hint="default"/>
                <w:sz w:val="21"/>
                <w:szCs w:val="21"/>
              </w:rPr>
            </w:pPr>
            <w:r>
              <w:rPr>
                <w:rFonts w:ascii="宋体"/>
                <w:sz w:val="21"/>
              </w:rPr>
              <w:t>0.82</w:t>
            </w:r>
          </w:p>
          <w:p>
            <w:pPr>
              <w:pStyle w:val="TableParagraph"/>
              <w:spacing w:line="240" w:lineRule="auto" w:before="37"/>
              <w:ind w:right="20"/>
              <w:jc w:val="right"/>
              <w:rPr>
                <w:rFonts w:ascii="宋体" w:hAnsi="宋体" w:cs="宋体" w:eastAsia="宋体" w:hint="default"/>
                <w:sz w:val="21"/>
                <w:szCs w:val="21"/>
              </w:rPr>
            </w:pPr>
            <w:r>
              <w:rPr>
                <w:rFonts w:ascii="宋体"/>
                <w:sz w:val="21"/>
              </w:rPr>
              <w:t>%</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left="119" w:right="0"/>
              <w:jc w:val="left"/>
              <w:rPr>
                <w:rFonts w:ascii="宋体" w:hAnsi="宋体" w:cs="宋体" w:eastAsia="宋体" w:hint="default"/>
                <w:sz w:val="21"/>
                <w:szCs w:val="21"/>
              </w:rPr>
            </w:pPr>
            <w:r>
              <w:rPr>
                <w:rFonts w:ascii="宋体"/>
                <w:sz w:val="21"/>
              </w:rPr>
              <w:t>68,945,3</w:t>
            </w:r>
          </w:p>
          <w:p>
            <w:pPr>
              <w:pStyle w:val="TableParagraph"/>
              <w:spacing w:line="240" w:lineRule="auto" w:before="37"/>
              <w:ind w:left="435" w:right="0"/>
              <w:jc w:val="left"/>
              <w:rPr>
                <w:rFonts w:ascii="宋体" w:hAnsi="宋体" w:cs="宋体" w:eastAsia="宋体" w:hint="default"/>
                <w:sz w:val="21"/>
                <w:szCs w:val="21"/>
              </w:rPr>
            </w:pPr>
            <w:r>
              <w:rPr>
                <w:rFonts w:ascii="宋体"/>
                <w:sz w:val="21"/>
              </w:rPr>
              <w:t>18.54</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left="60" w:right="0"/>
              <w:jc w:val="center"/>
              <w:rPr>
                <w:rFonts w:ascii="宋体" w:hAnsi="宋体" w:cs="宋体" w:eastAsia="宋体" w:hint="default"/>
                <w:sz w:val="21"/>
                <w:szCs w:val="21"/>
              </w:rPr>
            </w:pPr>
            <w:r>
              <w:rPr>
                <w:rFonts w:ascii="宋体"/>
                <w:sz w:val="21"/>
              </w:rPr>
              <w:t>62,461,</w:t>
            </w:r>
          </w:p>
          <w:p>
            <w:pPr>
              <w:pStyle w:val="TableParagraph"/>
              <w:spacing w:line="240" w:lineRule="auto" w:before="37"/>
              <w:ind w:left="164" w:right="0"/>
              <w:jc w:val="center"/>
              <w:rPr>
                <w:rFonts w:ascii="宋体" w:hAnsi="宋体" w:cs="宋体" w:eastAsia="宋体" w:hint="default"/>
                <w:sz w:val="21"/>
                <w:szCs w:val="21"/>
              </w:rPr>
            </w:pPr>
            <w:r>
              <w:rPr>
                <w:rFonts w:ascii="宋体"/>
                <w:sz w:val="21"/>
              </w:rPr>
              <w:t>121.49</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left="91" w:right="0"/>
              <w:jc w:val="center"/>
              <w:rPr>
                <w:rFonts w:ascii="宋体" w:hAnsi="宋体" w:cs="宋体" w:eastAsia="宋体" w:hint="default"/>
                <w:sz w:val="21"/>
                <w:szCs w:val="21"/>
              </w:rPr>
            </w:pPr>
            <w:r>
              <w:rPr>
                <w:rFonts w:ascii="宋体"/>
                <w:sz w:val="21"/>
              </w:rPr>
              <w:t>100.</w:t>
            </w:r>
          </w:p>
          <w:p>
            <w:pPr>
              <w:pStyle w:val="TableParagraph"/>
              <w:spacing w:line="240" w:lineRule="auto" w:before="37"/>
              <w:ind w:left="197" w:right="0"/>
              <w:jc w:val="center"/>
              <w:rPr>
                <w:rFonts w:ascii="宋体" w:hAnsi="宋体" w:cs="宋体" w:eastAsia="宋体" w:hint="default"/>
                <w:sz w:val="21"/>
                <w:szCs w:val="21"/>
              </w:rPr>
            </w:pPr>
            <w:r>
              <w:rPr>
                <w:rFonts w:ascii="宋体"/>
                <w:sz w:val="21"/>
              </w:rPr>
              <w:t>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left="85" w:right="0"/>
              <w:jc w:val="left"/>
              <w:rPr>
                <w:rFonts w:ascii="宋体" w:hAnsi="宋体" w:cs="宋体" w:eastAsia="宋体" w:hint="default"/>
                <w:sz w:val="21"/>
                <w:szCs w:val="21"/>
              </w:rPr>
            </w:pPr>
            <w:r>
              <w:rPr>
                <w:rFonts w:ascii="宋体"/>
                <w:sz w:val="21"/>
              </w:rPr>
              <w:t>319,721</w:t>
            </w:r>
          </w:p>
          <w:p>
            <w:pPr>
              <w:pStyle w:val="TableParagraph"/>
              <w:spacing w:line="240" w:lineRule="auto" w:before="37"/>
              <w:ind w:left="505" w:right="0"/>
              <w:jc w:val="left"/>
              <w:rPr>
                <w:rFonts w:ascii="宋体" w:hAnsi="宋体" w:cs="宋体" w:eastAsia="宋体" w:hint="default"/>
                <w:sz w:val="21"/>
                <w:szCs w:val="21"/>
              </w:rPr>
            </w:pPr>
            <w:r>
              <w:rPr>
                <w:rFonts w:ascii="宋体"/>
                <w:sz w:val="21"/>
              </w:rPr>
              <w:t>.76</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right="20"/>
              <w:jc w:val="right"/>
              <w:rPr>
                <w:rFonts w:ascii="宋体" w:hAnsi="宋体" w:cs="宋体" w:eastAsia="宋体" w:hint="default"/>
                <w:sz w:val="21"/>
                <w:szCs w:val="21"/>
              </w:rPr>
            </w:pPr>
            <w:r>
              <w:rPr>
                <w:rFonts w:ascii="宋体"/>
                <w:sz w:val="21"/>
              </w:rPr>
              <w:t>0.51</w:t>
            </w:r>
          </w:p>
          <w:p>
            <w:pPr>
              <w:pStyle w:val="TableParagraph"/>
              <w:spacing w:line="240" w:lineRule="auto" w:before="37"/>
              <w:ind w:right="20"/>
              <w:jc w:val="right"/>
              <w:rPr>
                <w:rFonts w:ascii="宋体" w:hAnsi="宋体" w:cs="宋体" w:eastAsia="宋体" w:hint="default"/>
                <w:sz w:val="21"/>
                <w:szCs w:val="21"/>
              </w:rPr>
            </w:pPr>
            <w:r>
              <w:rPr>
                <w:rFonts w:ascii="宋体"/>
                <w:sz w:val="21"/>
              </w:rPr>
              <w:t>%</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right="23"/>
              <w:jc w:val="right"/>
              <w:rPr>
                <w:rFonts w:ascii="宋体" w:hAnsi="宋体" w:cs="宋体" w:eastAsia="宋体" w:hint="default"/>
                <w:sz w:val="21"/>
                <w:szCs w:val="21"/>
              </w:rPr>
            </w:pPr>
            <w:r>
              <w:rPr>
                <w:rFonts w:ascii="宋体"/>
                <w:sz w:val="21"/>
              </w:rPr>
              <w:t>62,141,399</w:t>
            </w:r>
          </w:p>
          <w:p>
            <w:pPr>
              <w:pStyle w:val="TableParagraph"/>
              <w:spacing w:line="240" w:lineRule="auto" w:before="37"/>
              <w:ind w:right="21"/>
              <w:jc w:val="right"/>
              <w:rPr>
                <w:rFonts w:ascii="宋体" w:hAnsi="宋体" w:cs="宋体" w:eastAsia="宋体" w:hint="default"/>
                <w:sz w:val="21"/>
                <w:szCs w:val="21"/>
              </w:rPr>
            </w:pPr>
            <w:r>
              <w:rPr>
                <w:rFonts w:ascii="宋体"/>
                <w:sz w:val="21"/>
              </w:rPr>
              <w:t>.73</w:t>
            </w:r>
          </w:p>
        </w:tc>
      </w:tr>
      <w:tr>
        <w:trPr>
          <w:trHeight w:val="403" w:hRule="exact"/>
        </w:trPr>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13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6"/>
              <w:ind w:left="38" w:right="0"/>
              <w:jc w:val="left"/>
              <w:rPr>
                <w:rFonts w:ascii="宋体" w:hAnsi="宋体" w:cs="宋体" w:eastAsia="宋体" w:hint="default"/>
                <w:sz w:val="21"/>
                <w:szCs w:val="21"/>
              </w:rPr>
            </w:pPr>
            <w:r>
              <w:rPr>
                <w:rFonts w:ascii="宋体"/>
                <w:sz w:val="21"/>
              </w:rPr>
              <w:t>69,514,590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14" w:right="0"/>
              <w:jc w:val="left"/>
              <w:rPr>
                <w:rFonts w:ascii="宋体" w:hAnsi="宋体" w:cs="宋体" w:eastAsia="宋体" w:hint="default"/>
                <w:sz w:val="21"/>
                <w:szCs w:val="21"/>
              </w:rPr>
            </w:pPr>
            <w:r>
              <w:rPr>
                <w:rFonts w:ascii="宋体"/>
                <w:sz w:val="21"/>
              </w:rPr>
              <w:t>100.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82" w:right="0"/>
              <w:jc w:val="left"/>
              <w:rPr>
                <w:rFonts w:ascii="宋体" w:hAnsi="宋体" w:cs="宋体" w:eastAsia="宋体" w:hint="default"/>
                <w:sz w:val="21"/>
                <w:szCs w:val="21"/>
              </w:rPr>
            </w:pPr>
            <w:r>
              <w:rPr>
                <w:rFonts w:ascii="宋体"/>
                <w:sz w:val="21"/>
              </w:rPr>
              <w:t>569,272</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14" w:right="0"/>
              <w:jc w:val="left"/>
              <w:rPr>
                <w:rFonts w:ascii="宋体" w:hAnsi="宋体" w:cs="宋体" w:eastAsia="宋体" w:hint="default"/>
                <w:sz w:val="21"/>
                <w:szCs w:val="21"/>
              </w:rPr>
            </w:pPr>
            <w:r>
              <w:rPr>
                <w:rFonts w:ascii="宋体"/>
                <w:sz w:val="21"/>
              </w:rPr>
              <w:t>0.82</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19" w:right="0"/>
              <w:jc w:val="left"/>
              <w:rPr>
                <w:rFonts w:ascii="宋体" w:hAnsi="宋体" w:cs="宋体" w:eastAsia="宋体" w:hint="default"/>
                <w:sz w:val="21"/>
                <w:szCs w:val="21"/>
              </w:rPr>
            </w:pPr>
            <w:r>
              <w:rPr>
                <w:rFonts w:ascii="宋体"/>
                <w:sz w:val="21"/>
              </w:rPr>
              <w:t>68,945,3</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82" w:right="0"/>
              <w:jc w:val="left"/>
              <w:rPr>
                <w:rFonts w:ascii="宋体" w:hAnsi="宋体" w:cs="宋体" w:eastAsia="宋体" w:hint="default"/>
                <w:sz w:val="21"/>
                <w:szCs w:val="21"/>
              </w:rPr>
            </w:pPr>
            <w:r>
              <w:rPr>
                <w:rFonts w:ascii="宋体"/>
                <w:sz w:val="21"/>
              </w:rPr>
              <w:t>62,461,</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13" w:right="0"/>
              <w:jc w:val="left"/>
              <w:rPr>
                <w:rFonts w:ascii="宋体" w:hAnsi="宋体" w:cs="宋体" w:eastAsia="宋体" w:hint="default"/>
                <w:sz w:val="21"/>
                <w:szCs w:val="21"/>
              </w:rPr>
            </w:pPr>
            <w:r>
              <w:rPr>
                <w:rFonts w:ascii="宋体"/>
                <w:sz w:val="21"/>
              </w:rPr>
              <w:t>100.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85" w:right="0"/>
              <w:jc w:val="left"/>
              <w:rPr>
                <w:rFonts w:ascii="宋体" w:hAnsi="宋体" w:cs="宋体" w:eastAsia="宋体" w:hint="default"/>
                <w:sz w:val="21"/>
                <w:szCs w:val="21"/>
              </w:rPr>
            </w:pPr>
            <w:r>
              <w:rPr>
                <w:rFonts w:ascii="宋体"/>
                <w:sz w:val="21"/>
              </w:rPr>
              <w:t>319,721</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13" w:right="0"/>
              <w:jc w:val="left"/>
              <w:rPr>
                <w:rFonts w:ascii="宋体" w:hAnsi="宋体" w:cs="宋体" w:eastAsia="宋体" w:hint="default"/>
                <w:sz w:val="21"/>
                <w:szCs w:val="21"/>
              </w:rPr>
            </w:pPr>
            <w:r>
              <w:rPr>
                <w:rFonts w:ascii="宋体"/>
                <w:sz w:val="21"/>
              </w:rPr>
              <w:t>0.51</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18" w:right="0"/>
              <w:jc w:val="left"/>
              <w:rPr>
                <w:rFonts w:ascii="宋体" w:hAnsi="宋体" w:cs="宋体" w:eastAsia="宋体" w:hint="default"/>
                <w:sz w:val="21"/>
                <w:szCs w:val="21"/>
              </w:rPr>
            </w:pPr>
            <w:r>
              <w:rPr>
                <w:rFonts w:ascii="宋体"/>
                <w:sz w:val="21"/>
              </w:rPr>
              <w:t>62,141,399</w:t>
            </w:r>
          </w:p>
        </w:tc>
      </w:tr>
    </w:tbl>
    <w:p>
      <w:pPr>
        <w:spacing w:after="0" w:line="240" w:lineRule="auto"/>
        <w:jc w:val="left"/>
        <w:rPr>
          <w:rFonts w:ascii="宋体" w:hAnsi="宋体" w:cs="宋体" w:eastAsia="宋体" w:hint="default"/>
          <w:sz w:val="21"/>
          <w:szCs w:val="21"/>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18"/>
        <w:gridCol w:w="1135"/>
        <w:gridCol w:w="566"/>
        <w:gridCol w:w="851"/>
        <w:gridCol w:w="566"/>
        <w:gridCol w:w="994"/>
        <w:gridCol w:w="850"/>
        <w:gridCol w:w="566"/>
        <w:gridCol w:w="852"/>
        <w:gridCol w:w="566"/>
        <w:gridCol w:w="1202"/>
      </w:tblGrid>
      <w:tr>
        <w:trPr>
          <w:trHeight w:val="362"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21"/>
              <w:jc w:val="right"/>
              <w:rPr>
                <w:rFonts w:ascii="宋体" w:hAnsi="宋体" w:cs="宋体" w:eastAsia="宋体" w:hint="default"/>
                <w:sz w:val="21"/>
                <w:szCs w:val="21"/>
              </w:rPr>
            </w:pPr>
            <w:r>
              <w:rPr>
                <w:rFonts w:ascii="宋体"/>
                <w:sz w:val="21"/>
              </w:rPr>
              <w:t>.94</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219" w:right="0"/>
              <w:jc w:val="left"/>
              <w:rPr>
                <w:rFonts w:ascii="宋体" w:hAnsi="宋体" w:cs="宋体" w:eastAsia="宋体" w:hint="default"/>
                <w:sz w:val="21"/>
                <w:szCs w:val="21"/>
              </w:rPr>
            </w:pPr>
            <w:r>
              <w:rPr>
                <w:rFonts w:ascii="宋体"/>
                <w:sz w:val="21"/>
              </w:rPr>
              <w:t>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502" w:right="0"/>
              <w:jc w:val="left"/>
              <w:rPr>
                <w:rFonts w:ascii="宋体" w:hAnsi="宋体" w:cs="宋体" w:eastAsia="宋体" w:hint="default"/>
                <w:sz w:val="21"/>
                <w:szCs w:val="21"/>
              </w:rPr>
            </w:pPr>
            <w:r>
              <w:rPr>
                <w:rFonts w:ascii="宋体"/>
                <w:sz w:val="21"/>
              </w:rPr>
              <w:t>.40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20"/>
              <w:jc w:val="right"/>
              <w:rPr>
                <w:rFonts w:ascii="宋体" w:hAnsi="宋体" w:cs="宋体" w:eastAsia="宋体" w:hint="default"/>
                <w:sz w:val="21"/>
                <w:szCs w:val="21"/>
              </w:rPr>
            </w:pPr>
            <w:r>
              <w:rPr>
                <w:rFonts w:ascii="宋体"/>
                <w:sz w:val="21"/>
              </w:rPr>
              <w:t>%</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435" w:right="0"/>
              <w:jc w:val="left"/>
              <w:rPr>
                <w:rFonts w:ascii="宋体" w:hAnsi="宋体" w:cs="宋体" w:eastAsia="宋体" w:hint="default"/>
                <w:sz w:val="21"/>
                <w:szCs w:val="21"/>
              </w:rPr>
            </w:pPr>
            <w:r>
              <w:rPr>
                <w:rFonts w:ascii="宋体"/>
                <w:sz w:val="21"/>
              </w:rPr>
              <w:t>18.54</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87" w:right="0"/>
              <w:jc w:val="left"/>
              <w:rPr>
                <w:rFonts w:ascii="宋体" w:hAnsi="宋体" w:cs="宋体" w:eastAsia="宋体" w:hint="default"/>
                <w:sz w:val="21"/>
                <w:szCs w:val="21"/>
              </w:rPr>
            </w:pPr>
            <w:r>
              <w:rPr>
                <w:rFonts w:ascii="宋体"/>
                <w:sz w:val="21"/>
              </w:rPr>
              <w:t>121.49</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219" w:right="0"/>
              <w:jc w:val="left"/>
              <w:rPr>
                <w:rFonts w:ascii="宋体" w:hAnsi="宋体" w:cs="宋体" w:eastAsia="宋体" w:hint="default"/>
                <w:sz w:val="21"/>
                <w:szCs w:val="21"/>
              </w:rPr>
            </w:pPr>
            <w:r>
              <w:rPr>
                <w:rFonts w:ascii="宋体"/>
                <w:sz w:val="21"/>
              </w:rPr>
              <w:t>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505" w:right="0"/>
              <w:jc w:val="left"/>
              <w:rPr>
                <w:rFonts w:ascii="宋体" w:hAnsi="宋体" w:cs="宋体" w:eastAsia="宋体" w:hint="default"/>
                <w:sz w:val="21"/>
                <w:szCs w:val="21"/>
              </w:rPr>
            </w:pPr>
            <w:r>
              <w:rPr>
                <w:rFonts w:ascii="宋体"/>
                <w:sz w:val="21"/>
              </w:rPr>
              <w:t>.76</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20"/>
              <w:jc w:val="right"/>
              <w:rPr>
                <w:rFonts w:ascii="宋体" w:hAnsi="宋体" w:cs="宋体" w:eastAsia="宋体" w:hint="default"/>
                <w:sz w:val="21"/>
                <w:szCs w:val="21"/>
              </w:rPr>
            </w:pPr>
            <w:r>
              <w:rPr>
                <w:rFonts w:ascii="宋体"/>
                <w:sz w:val="21"/>
              </w:rPr>
              <w:t>%</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21"/>
              <w:jc w:val="right"/>
              <w:rPr>
                <w:rFonts w:ascii="宋体" w:hAnsi="宋体" w:cs="宋体" w:eastAsia="宋体" w:hint="default"/>
                <w:sz w:val="21"/>
                <w:szCs w:val="21"/>
              </w:rPr>
            </w:pPr>
            <w:r>
              <w:rPr>
                <w:rFonts w:ascii="宋体"/>
                <w:sz w:val="21"/>
              </w:rPr>
              <w:t>.73</w:t>
            </w:r>
          </w:p>
        </w:tc>
      </w:tr>
    </w:tbl>
    <w:p>
      <w:pPr>
        <w:spacing w:line="240" w:lineRule="auto" w:before="10"/>
        <w:rPr>
          <w:rFonts w:ascii="宋体" w:hAnsi="宋体" w:cs="宋体" w:eastAsia="宋体" w:hint="default"/>
          <w:sz w:val="4"/>
          <w:szCs w:val="4"/>
        </w:rPr>
      </w:pPr>
    </w:p>
    <w:p>
      <w:pPr>
        <w:spacing w:after="0" w:line="240" w:lineRule="auto"/>
        <w:rPr>
          <w:rFonts w:ascii="宋体" w:hAnsi="宋体" w:cs="宋体" w:eastAsia="宋体" w:hint="default"/>
          <w:sz w:val="4"/>
          <w:szCs w:val="4"/>
        </w:rPr>
        <w:sectPr>
          <w:pgSz w:w="11910" w:h="16840"/>
          <w:pgMar w:header="747" w:footer="979" w:top="1060" w:bottom="1160" w:left="980" w:right="0"/>
        </w:sectPr>
      </w:pPr>
    </w:p>
    <w:p>
      <w:pPr>
        <w:pStyle w:val="BodyText"/>
        <w:spacing w:line="240" w:lineRule="auto" w:before="26"/>
        <w:ind w:left="634" w:right="-20"/>
        <w:jc w:val="left"/>
      </w:pPr>
      <w:r>
        <w:rPr/>
        <w:t>期末单项金额重大并单项计提坏账准备的其他应收款：</w:t>
      </w:r>
    </w:p>
    <w:p>
      <w:pPr>
        <w:pStyle w:val="BodyText"/>
        <w:spacing w:line="352" w:lineRule="auto" w:before="145"/>
        <w:ind w:left="634" w:right="220"/>
        <w:jc w:val="left"/>
      </w:pPr>
      <w:r>
        <w:rPr/>
        <w:t>□ 适用 √ 不适用 组合中，按账龄分析法计提坏账准备的其他应收款：</w:t>
      </w:r>
    </w:p>
    <w:p>
      <w:pPr>
        <w:pStyle w:val="BodyText"/>
        <w:spacing w:line="240" w:lineRule="auto" w:before="32"/>
        <w:ind w:left="633" w:right="-20"/>
        <w:jc w:val="left"/>
      </w:pPr>
      <w:r>
        <w:rPr/>
        <w:t>√ 适用 □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7"/>
          <w:szCs w:val="17"/>
        </w:rPr>
      </w:pPr>
    </w:p>
    <w:p>
      <w:pPr>
        <w:spacing w:before="0"/>
        <w:ind w:left="633" w:right="0" w:firstLine="0"/>
        <w:jc w:val="left"/>
        <w:rPr>
          <w:rFonts w:ascii="宋体" w:hAnsi="宋体" w:cs="宋体" w:eastAsia="宋体" w:hint="default"/>
          <w:sz w:val="21"/>
          <w:szCs w:val="21"/>
        </w:rPr>
      </w:pPr>
      <w:r>
        <w:rPr>
          <w:rFonts w:ascii="宋体" w:hAnsi="宋体" w:cs="宋体" w:eastAsia="宋体" w:hint="default"/>
          <w:sz w:val="21"/>
          <w:szCs w:val="21"/>
        </w:rPr>
        <w:t>单位： 元</w:t>
      </w:r>
    </w:p>
    <w:p>
      <w:pPr>
        <w:spacing w:after="0"/>
        <w:jc w:val="left"/>
        <w:rPr>
          <w:rFonts w:ascii="宋体" w:hAnsi="宋体" w:cs="宋体" w:eastAsia="宋体" w:hint="default"/>
          <w:sz w:val="21"/>
          <w:szCs w:val="21"/>
        </w:rPr>
        <w:sectPr>
          <w:type w:val="continuous"/>
          <w:pgSz w:w="11910" w:h="16840"/>
          <w:pgMar w:top="1060" w:bottom="1160" w:left="980" w:right="0"/>
          <w:cols w:num="2" w:equalWidth="0">
            <w:col w:w="6395" w:space="1821"/>
            <w:col w:w="2714"/>
          </w:cols>
        </w:sectPr>
      </w:pPr>
    </w:p>
    <w:p>
      <w:pPr>
        <w:spacing w:line="240" w:lineRule="auto" w:before="0"/>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482"/>
        <w:gridCol w:w="2295"/>
        <w:gridCol w:w="2391"/>
        <w:gridCol w:w="2390"/>
      </w:tblGrid>
      <w:tr>
        <w:trPr>
          <w:trHeight w:val="206" w:hRule="exact"/>
        </w:trPr>
        <w:tc>
          <w:tcPr>
            <w:tcW w:w="2482" w:type="dxa"/>
            <w:tcBorders>
              <w:top w:val="single" w:sz="4" w:space="0" w:color="000000"/>
              <w:left w:val="single" w:sz="4" w:space="0" w:color="000000"/>
              <w:bottom w:val="nil" w:sz="6" w:space="0" w:color="auto"/>
              <w:right w:val="single" w:sz="4" w:space="0" w:color="000000"/>
            </w:tcBorders>
            <w:shd w:val="clear" w:color="auto" w:fill="D2D2D2"/>
          </w:tcPr>
          <w:p>
            <w:pPr/>
          </w:p>
        </w:tc>
        <w:tc>
          <w:tcPr>
            <w:tcW w:w="707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191" w:hRule="exact"/>
        </w:trPr>
        <w:tc>
          <w:tcPr>
            <w:tcW w:w="248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6"/>
              <w:ind w:right="11"/>
              <w:jc w:val="center"/>
              <w:rPr>
                <w:rFonts w:ascii="宋体" w:hAnsi="宋体" w:cs="宋体" w:eastAsia="宋体" w:hint="default"/>
                <w:sz w:val="21"/>
                <w:szCs w:val="21"/>
              </w:rPr>
            </w:pPr>
            <w:r>
              <w:rPr>
                <w:rFonts w:ascii="宋体" w:hAnsi="宋体" w:cs="宋体" w:eastAsia="宋体" w:hint="default"/>
                <w:sz w:val="21"/>
                <w:szCs w:val="21"/>
              </w:rPr>
              <w:t>账龄</w:t>
            </w:r>
          </w:p>
        </w:tc>
        <w:tc>
          <w:tcPr>
            <w:tcW w:w="7075" w:type="dxa"/>
            <w:gridSpan w:val="3"/>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2482" w:type="dxa"/>
            <w:vMerge/>
            <w:tcBorders>
              <w:left w:val="single" w:sz="4" w:space="0" w:color="000000"/>
              <w:bottom w:val="nil" w:sz="6" w:space="0" w:color="auto"/>
              <w:right w:val="single" w:sz="4" w:space="0" w:color="000000"/>
            </w:tcBorders>
            <w:shd w:val="clear" w:color="auto" w:fill="D2D2D2"/>
          </w:tcPr>
          <w:p>
            <w:pPr/>
          </w:p>
        </w:tc>
        <w:tc>
          <w:tcPr>
            <w:tcW w:w="22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0"/>
              <w:ind w:left="617"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0"/>
              <w:ind w:left="769"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3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0"/>
              <w:ind w:left="769" w:right="0"/>
              <w:jc w:val="left"/>
              <w:rPr>
                <w:rFonts w:ascii="宋体" w:hAnsi="宋体" w:cs="宋体" w:eastAsia="宋体" w:hint="default"/>
                <w:sz w:val="21"/>
                <w:szCs w:val="21"/>
              </w:rPr>
            </w:pPr>
            <w:r>
              <w:rPr>
                <w:rFonts w:ascii="宋体" w:hAnsi="宋体" w:cs="宋体" w:eastAsia="宋体" w:hint="default"/>
                <w:sz w:val="21"/>
                <w:szCs w:val="21"/>
              </w:rPr>
              <w:t>计提比例</w:t>
            </w:r>
          </w:p>
        </w:tc>
      </w:tr>
      <w:tr>
        <w:trPr>
          <w:trHeight w:val="211" w:hRule="exact"/>
        </w:trPr>
        <w:tc>
          <w:tcPr>
            <w:tcW w:w="2482" w:type="dxa"/>
            <w:tcBorders>
              <w:top w:val="nil" w:sz="6" w:space="0" w:color="auto"/>
              <w:left w:val="single" w:sz="4" w:space="0" w:color="000000"/>
              <w:bottom w:val="single" w:sz="4" w:space="0" w:color="000000"/>
              <w:right w:val="single" w:sz="4" w:space="0" w:color="000000"/>
            </w:tcBorders>
            <w:shd w:val="clear" w:color="auto" w:fill="D2D2D2"/>
          </w:tcPr>
          <w:p>
            <w:pPr/>
          </w:p>
        </w:tc>
        <w:tc>
          <w:tcPr>
            <w:tcW w:w="2295" w:type="dxa"/>
            <w:vMerge/>
            <w:tcBorders>
              <w:left w:val="single" w:sz="4" w:space="0" w:color="000000"/>
              <w:bottom w:val="single" w:sz="4" w:space="0" w:color="000000"/>
              <w:right w:val="single" w:sz="4" w:space="0" w:color="000000"/>
            </w:tcBorders>
            <w:shd w:val="clear" w:color="auto" w:fill="D2D2D2"/>
          </w:tcPr>
          <w:p>
            <w:pPr/>
          </w:p>
        </w:tc>
        <w:tc>
          <w:tcPr>
            <w:tcW w:w="2391" w:type="dxa"/>
            <w:vMerge/>
            <w:tcBorders>
              <w:left w:val="single" w:sz="4" w:space="0" w:color="000000"/>
              <w:bottom w:val="single" w:sz="4" w:space="0" w:color="000000"/>
              <w:right w:val="single" w:sz="4" w:space="0" w:color="000000"/>
            </w:tcBorders>
            <w:shd w:val="clear" w:color="auto" w:fill="D2D2D2"/>
          </w:tcPr>
          <w:p>
            <w:pPr/>
          </w:p>
        </w:tc>
        <w:tc>
          <w:tcPr>
            <w:tcW w:w="2390" w:type="dxa"/>
            <w:vMerge/>
            <w:tcBorders>
              <w:left w:val="single" w:sz="4" w:space="0" w:color="000000"/>
              <w:bottom w:val="single" w:sz="4" w:space="0" w:color="000000"/>
              <w:right w:val="single" w:sz="4" w:space="0" w:color="000000"/>
            </w:tcBorders>
            <w:shd w:val="clear" w:color="auto" w:fill="D2D2D2"/>
          </w:tcPr>
          <w:p>
            <w:pPr/>
          </w:p>
        </w:tc>
      </w:tr>
      <w:tr>
        <w:trPr>
          <w:trHeight w:val="397" w:hRule="exact"/>
        </w:trPr>
        <w:tc>
          <w:tcPr>
            <w:tcW w:w="955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11"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年以内分项</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年以内小计</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7,777,431.95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2"/>
              <w:jc w:val="right"/>
              <w:rPr>
                <w:rFonts w:ascii="宋体" w:hAnsi="宋体" w:cs="宋体" w:eastAsia="宋体" w:hint="default"/>
                <w:sz w:val="21"/>
                <w:szCs w:val="21"/>
              </w:rPr>
            </w:pPr>
            <w:r>
              <w:rPr>
                <w:rFonts w:ascii="宋体"/>
                <w:sz w:val="21"/>
              </w:rPr>
              <w:t>388,871.60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5.00%</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1,052,234.00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2"/>
              <w:jc w:val="right"/>
              <w:rPr>
                <w:rFonts w:ascii="宋体" w:hAnsi="宋体" w:cs="宋体" w:eastAsia="宋体" w:hint="default"/>
                <w:sz w:val="21"/>
                <w:szCs w:val="21"/>
              </w:rPr>
            </w:pPr>
            <w:r>
              <w:rPr>
                <w:rFonts w:ascii="宋体"/>
                <w:sz w:val="21"/>
              </w:rPr>
              <w:t>105,223.40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10.00%</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8,874.00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2"/>
              <w:jc w:val="right"/>
              <w:rPr>
                <w:rFonts w:ascii="宋体" w:hAnsi="宋体" w:cs="宋体" w:eastAsia="宋体" w:hint="default"/>
                <w:sz w:val="21"/>
                <w:szCs w:val="21"/>
              </w:rPr>
            </w:pPr>
            <w:r>
              <w:rPr>
                <w:rFonts w:ascii="宋体"/>
                <w:sz w:val="21"/>
              </w:rPr>
              <w:t>2,662.20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30.00%</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32,000.00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19,200.00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60.00%</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10,469.00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2"/>
              <w:jc w:val="right"/>
              <w:rPr>
                <w:rFonts w:ascii="宋体" w:hAnsi="宋体" w:cs="宋体" w:eastAsia="宋体" w:hint="default"/>
                <w:sz w:val="21"/>
                <w:szCs w:val="21"/>
              </w:rPr>
            </w:pPr>
            <w:r>
              <w:rPr>
                <w:rFonts w:ascii="宋体"/>
                <w:sz w:val="21"/>
              </w:rPr>
              <w:t>8,375.20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80.00%</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44,940.00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44,940.00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100.00%</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8,925,948.95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2"/>
              <w:jc w:val="right"/>
              <w:rPr>
                <w:rFonts w:ascii="宋体" w:hAnsi="宋体" w:cs="宋体" w:eastAsia="宋体" w:hint="default"/>
                <w:sz w:val="21"/>
                <w:szCs w:val="21"/>
              </w:rPr>
            </w:pPr>
            <w:r>
              <w:rPr>
                <w:rFonts w:ascii="宋体"/>
                <w:sz w:val="21"/>
              </w:rPr>
              <w:t>569,272.40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6.38%</w:t>
            </w:r>
          </w:p>
        </w:tc>
      </w:tr>
    </w:tbl>
    <w:p>
      <w:pPr>
        <w:pStyle w:val="BodyText"/>
        <w:spacing w:line="331" w:lineRule="auto" w:before="81"/>
        <w:ind w:left="514" w:right="4152"/>
        <w:jc w:val="left"/>
      </w:pPr>
      <w:r>
        <w:rPr/>
        <w:pict>
          <v:shape style="position:absolute;margin-left:63.299999pt;margin-top:43.205639pt;width:469pt;height:205.75pt;mso-position-horizontal-relative:page;mso-position-vertical-relative:paragraph;z-index:200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552"/>
                    <w:gridCol w:w="1845"/>
                    <w:gridCol w:w="1214"/>
                    <w:gridCol w:w="1617"/>
                    <w:gridCol w:w="1136"/>
                  </w:tblGrid>
                  <w:tr>
                    <w:trPr>
                      <w:trHeight w:val="342" w:hRule="exact"/>
                    </w:trPr>
                    <w:tc>
                      <w:tcPr>
                        <w:tcW w:w="3552" w:type="dxa"/>
                        <w:vMerge w:val="restart"/>
                        <w:tcBorders>
                          <w:top w:val="single" w:sz="4" w:space="0" w:color="000000"/>
                          <w:left w:val="single" w:sz="4" w:space="0" w:color="000000"/>
                          <w:right w:val="single" w:sz="4"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3059" w:type="dxa"/>
                        <w:gridSpan w:val="2"/>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753" w:type="dxa"/>
                        <w:gridSpan w:val="2"/>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342" w:hRule="exact"/>
                    </w:trPr>
                    <w:tc>
                      <w:tcPr>
                        <w:tcW w:w="3552" w:type="dxa"/>
                        <w:vMerge/>
                        <w:tcBorders>
                          <w:left w:val="single" w:sz="4" w:space="0" w:color="000000"/>
                          <w:bottom w:val="single" w:sz="4" w:space="0" w:color="000000"/>
                          <w:right w:val="single" w:sz="4" w:space="0" w:color="000000"/>
                        </w:tcBorders>
                      </w:tcPr>
                      <w:p>
                        <w:pPr/>
                      </w:p>
                    </w:tc>
                    <w:tc>
                      <w:tcPr>
                        <w:tcW w:w="1845"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余额</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1617"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1" w:right="0"/>
                          <w:jc w:val="center"/>
                          <w:rPr>
                            <w:rFonts w:ascii="宋体" w:hAnsi="宋体" w:cs="宋体" w:eastAsia="宋体" w:hint="default"/>
                            <w:sz w:val="21"/>
                            <w:szCs w:val="21"/>
                          </w:rPr>
                        </w:pPr>
                        <w:r>
                          <w:rPr>
                            <w:rFonts w:ascii="宋体" w:hAnsi="宋体" w:cs="宋体" w:eastAsia="宋体" w:hint="default"/>
                            <w:sz w:val="21"/>
                            <w:szCs w:val="21"/>
                          </w:rPr>
                          <w:t>余额</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账龄</w:t>
                        </w:r>
                      </w:p>
                    </w:tc>
                  </w:tr>
                  <w:tr>
                    <w:trPr>
                      <w:trHeight w:val="342" w:hRule="exact"/>
                    </w:trPr>
                    <w:tc>
                      <w:tcPr>
                        <w:tcW w:w="3552"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6" w:right="0"/>
                          <w:jc w:val="left"/>
                          <w:rPr>
                            <w:rFonts w:ascii="宋体" w:hAnsi="宋体" w:cs="宋体" w:eastAsia="宋体" w:hint="default"/>
                            <w:sz w:val="21"/>
                            <w:szCs w:val="21"/>
                          </w:rPr>
                        </w:pPr>
                        <w:r>
                          <w:rPr>
                            <w:rFonts w:ascii="宋体" w:hAnsi="宋体" w:cs="宋体" w:eastAsia="宋体" w:hint="default"/>
                            <w:sz w:val="21"/>
                            <w:szCs w:val="21"/>
                          </w:rPr>
                          <w:t>社会养老统筹</w:t>
                        </w:r>
                      </w:p>
                    </w:tc>
                    <w:tc>
                      <w:tcPr>
                        <w:tcW w:w="1845"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5"/>
                          <w:jc w:val="right"/>
                          <w:rPr>
                            <w:rFonts w:ascii="宋体" w:hAnsi="宋体" w:cs="宋体" w:eastAsia="宋体" w:hint="default"/>
                            <w:sz w:val="21"/>
                            <w:szCs w:val="21"/>
                          </w:rPr>
                        </w:pPr>
                        <w:r>
                          <w:rPr>
                            <w:rFonts w:ascii="宋体"/>
                            <w:sz w:val="21"/>
                          </w:rPr>
                          <w:t>213,634.26</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1" w:right="0"/>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年以内</w:t>
                        </w:r>
                      </w:p>
                    </w:tc>
                    <w:tc>
                      <w:tcPr>
                        <w:tcW w:w="1617"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2"/>
                          <w:jc w:val="right"/>
                          <w:rPr>
                            <w:rFonts w:ascii="宋体" w:hAnsi="宋体" w:cs="宋体" w:eastAsia="宋体" w:hint="default"/>
                            <w:sz w:val="21"/>
                            <w:szCs w:val="21"/>
                          </w:rPr>
                        </w:pPr>
                        <w:r>
                          <w:rPr>
                            <w:rFonts w:ascii="宋体"/>
                            <w:spacing w:val="-1"/>
                            <w:sz w:val="21"/>
                          </w:rPr>
                          <w:t>206,837.95</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年以内</w:t>
                        </w:r>
                      </w:p>
                    </w:tc>
                  </w:tr>
                  <w:tr>
                    <w:trPr>
                      <w:trHeight w:val="342" w:hRule="exact"/>
                    </w:trPr>
                    <w:tc>
                      <w:tcPr>
                        <w:tcW w:w="3552"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6" w:right="0"/>
                          <w:jc w:val="left"/>
                          <w:rPr>
                            <w:rFonts w:ascii="宋体" w:hAnsi="宋体" w:cs="宋体" w:eastAsia="宋体" w:hint="default"/>
                            <w:sz w:val="21"/>
                            <w:szCs w:val="21"/>
                          </w:rPr>
                        </w:pPr>
                        <w:r>
                          <w:rPr>
                            <w:rFonts w:ascii="宋体" w:hAnsi="宋体" w:cs="宋体" w:eastAsia="宋体" w:hint="default"/>
                            <w:sz w:val="21"/>
                            <w:szCs w:val="21"/>
                          </w:rPr>
                          <w:t>医疗保险</w:t>
                        </w:r>
                      </w:p>
                    </w:tc>
                    <w:tc>
                      <w:tcPr>
                        <w:tcW w:w="1845"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3"/>
                          <w:jc w:val="right"/>
                          <w:rPr>
                            <w:rFonts w:ascii="宋体" w:hAnsi="宋体" w:cs="宋体" w:eastAsia="宋体" w:hint="default"/>
                            <w:sz w:val="21"/>
                            <w:szCs w:val="21"/>
                          </w:rPr>
                        </w:pPr>
                        <w:r>
                          <w:rPr>
                            <w:rFonts w:ascii="宋体"/>
                            <w:sz w:val="21"/>
                          </w:rPr>
                          <w:t>32,123.38</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1" w:right="0"/>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年以内</w:t>
                        </w:r>
                      </w:p>
                    </w:tc>
                    <w:tc>
                      <w:tcPr>
                        <w:tcW w:w="1617"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2"/>
                          <w:jc w:val="right"/>
                          <w:rPr>
                            <w:rFonts w:ascii="宋体" w:hAnsi="宋体" w:cs="宋体" w:eastAsia="宋体" w:hint="default"/>
                            <w:sz w:val="21"/>
                            <w:szCs w:val="21"/>
                          </w:rPr>
                        </w:pPr>
                        <w:r>
                          <w:rPr>
                            <w:rFonts w:ascii="宋体"/>
                            <w:sz w:val="21"/>
                          </w:rPr>
                          <w:t>29,854.69</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年以内</w:t>
                        </w:r>
                      </w:p>
                    </w:tc>
                  </w:tr>
                  <w:tr>
                    <w:trPr>
                      <w:trHeight w:val="342" w:hRule="exact"/>
                    </w:trPr>
                    <w:tc>
                      <w:tcPr>
                        <w:tcW w:w="3552"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6" w:right="0"/>
                          <w:jc w:val="left"/>
                          <w:rPr>
                            <w:rFonts w:ascii="宋体" w:hAnsi="宋体" w:cs="宋体" w:eastAsia="宋体" w:hint="default"/>
                            <w:sz w:val="21"/>
                            <w:szCs w:val="21"/>
                          </w:rPr>
                        </w:pPr>
                        <w:r>
                          <w:rPr>
                            <w:rFonts w:ascii="宋体" w:hAnsi="宋体" w:cs="宋体" w:eastAsia="宋体" w:hint="default"/>
                            <w:sz w:val="21"/>
                            <w:szCs w:val="21"/>
                          </w:rPr>
                          <w:t>失业保险金</w:t>
                        </w:r>
                      </w:p>
                    </w:tc>
                    <w:tc>
                      <w:tcPr>
                        <w:tcW w:w="1845"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3"/>
                          <w:jc w:val="right"/>
                          <w:rPr>
                            <w:rFonts w:ascii="宋体" w:hAnsi="宋体" w:cs="宋体" w:eastAsia="宋体" w:hint="default"/>
                            <w:sz w:val="21"/>
                            <w:szCs w:val="21"/>
                          </w:rPr>
                        </w:pPr>
                        <w:r>
                          <w:rPr>
                            <w:rFonts w:ascii="宋体"/>
                            <w:sz w:val="21"/>
                          </w:rPr>
                          <w:t>49,174.13</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1" w:right="0"/>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年以内</w:t>
                        </w:r>
                      </w:p>
                    </w:tc>
                    <w:tc>
                      <w:tcPr>
                        <w:tcW w:w="1617"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2"/>
                          <w:jc w:val="right"/>
                          <w:rPr>
                            <w:rFonts w:ascii="宋体" w:hAnsi="宋体" w:cs="宋体" w:eastAsia="宋体" w:hint="default"/>
                            <w:sz w:val="21"/>
                            <w:szCs w:val="21"/>
                          </w:rPr>
                        </w:pPr>
                        <w:r>
                          <w:rPr>
                            <w:rFonts w:ascii="宋体"/>
                            <w:sz w:val="21"/>
                          </w:rPr>
                          <w:t>48,884.82</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年以内</w:t>
                        </w:r>
                      </w:p>
                    </w:tc>
                  </w:tr>
                  <w:tr>
                    <w:trPr>
                      <w:trHeight w:val="342" w:hRule="exact"/>
                    </w:trPr>
                    <w:tc>
                      <w:tcPr>
                        <w:tcW w:w="3552"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6" w:right="0"/>
                          <w:jc w:val="left"/>
                          <w:rPr>
                            <w:rFonts w:ascii="宋体" w:hAnsi="宋体" w:cs="宋体" w:eastAsia="宋体" w:hint="default"/>
                            <w:sz w:val="21"/>
                            <w:szCs w:val="21"/>
                          </w:rPr>
                        </w:pPr>
                        <w:r>
                          <w:rPr>
                            <w:rFonts w:ascii="宋体" w:hAnsi="宋体" w:cs="宋体" w:eastAsia="宋体" w:hint="default"/>
                            <w:sz w:val="21"/>
                            <w:szCs w:val="21"/>
                          </w:rPr>
                          <w:t>住房公积金</w:t>
                        </w:r>
                      </w:p>
                    </w:tc>
                    <w:tc>
                      <w:tcPr>
                        <w:tcW w:w="1845"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5"/>
                          <w:jc w:val="right"/>
                          <w:rPr>
                            <w:rFonts w:ascii="宋体" w:hAnsi="宋体" w:cs="宋体" w:eastAsia="宋体" w:hint="default"/>
                            <w:sz w:val="21"/>
                            <w:szCs w:val="21"/>
                          </w:rPr>
                        </w:pPr>
                        <w:r>
                          <w:rPr>
                            <w:rFonts w:ascii="宋体"/>
                            <w:sz w:val="21"/>
                          </w:rPr>
                          <w:t>193,710.22</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1" w:right="0"/>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年以内</w:t>
                        </w:r>
                      </w:p>
                    </w:tc>
                    <w:tc>
                      <w:tcPr>
                        <w:tcW w:w="1617"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2"/>
                          <w:jc w:val="right"/>
                          <w:rPr>
                            <w:rFonts w:ascii="宋体" w:hAnsi="宋体" w:cs="宋体" w:eastAsia="宋体" w:hint="default"/>
                            <w:sz w:val="21"/>
                            <w:szCs w:val="21"/>
                          </w:rPr>
                        </w:pPr>
                        <w:r>
                          <w:rPr>
                            <w:rFonts w:ascii="宋体"/>
                            <w:sz w:val="21"/>
                          </w:rPr>
                          <w:t>187,501.92</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年以内</w:t>
                        </w:r>
                      </w:p>
                    </w:tc>
                  </w:tr>
                  <w:tr>
                    <w:trPr>
                      <w:trHeight w:val="342" w:hRule="exact"/>
                    </w:trPr>
                    <w:tc>
                      <w:tcPr>
                        <w:tcW w:w="3552"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6" w:right="0"/>
                          <w:jc w:val="left"/>
                          <w:rPr>
                            <w:rFonts w:ascii="宋体" w:hAnsi="宋体" w:cs="宋体" w:eastAsia="宋体" w:hint="default"/>
                            <w:sz w:val="21"/>
                            <w:szCs w:val="21"/>
                          </w:rPr>
                        </w:pPr>
                        <w:r>
                          <w:rPr>
                            <w:rFonts w:ascii="宋体" w:hAnsi="宋体" w:cs="宋体" w:eastAsia="宋体" w:hint="default"/>
                            <w:sz w:val="21"/>
                            <w:szCs w:val="21"/>
                          </w:rPr>
                          <w:t>上海申通德高地铁广告有限公司</w:t>
                        </w:r>
                      </w:p>
                    </w:tc>
                    <w:tc>
                      <w:tcPr>
                        <w:tcW w:w="1845"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2"/>
                          <w:jc w:val="right"/>
                          <w:rPr>
                            <w:rFonts w:ascii="宋体" w:hAnsi="宋体" w:cs="宋体" w:eastAsia="宋体" w:hint="default"/>
                            <w:sz w:val="21"/>
                            <w:szCs w:val="21"/>
                          </w:rPr>
                        </w:pPr>
                        <w:r>
                          <w:rPr>
                            <w:rFonts w:ascii="宋体"/>
                            <w:sz w:val="21"/>
                          </w:rPr>
                          <w:t>3,000,000.00</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1" w:right="0"/>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年以内</w:t>
                        </w:r>
                      </w:p>
                    </w:tc>
                    <w:tc>
                      <w:tcPr>
                        <w:tcW w:w="1617"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3552"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6" w:right="0"/>
                          <w:jc w:val="left"/>
                          <w:rPr>
                            <w:rFonts w:ascii="宋体" w:hAnsi="宋体" w:cs="宋体" w:eastAsia="宋体" w:hint="default"/>
                            <w:sz w:val="21"/>
                            <w:szCs w:val="21"/>
                          </w:rPr>
                        </w:pPr>
                        <w:r>
                          <w:rPr>
                            <w:rFonts w:ascii="宋体" w:hAnsi="宋体" w:cs="宋体" w:eastAsia="宋体" w:hint="default"/>
                            <w:sz w:val="21"/>
                            <w:szCs w:val="21"/>
                          </w:rPr>
                          <w:t>上海申通地铁资产经营管理有限公司</w:t>
                        </w:r>
                      </w:p>
                    </w:tc>
                    <w:tc>
                      <w:tcPr>
                        <w:tcW w:w="1845"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2"/>
                          <w:jc w:val="right"/>
                          <w:rPr>
                            <w:rFonts w:ascii="宋体" w:hAnsi="宋体" w:cs="宋体" w:eastAsia="宋体" w:hint="default"/>
                            <w:sz w:val="21"/>
                            <w:szCs w:val="21"/>
                          </w:rPr>
                        </w:pPr>
                        <w:r>
                          <w:rPr>
                            <w:rFonts w:ascii="宋体"/>
                            <w:sz w:val="21"/>
                          </w:rPr>
                          <w:t>2,100,000.00</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1" w:right="0"/>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年以内</w:t>
                        </w:r>
                      </w:p>
                    </w:tc>
                    <w:tc>
                      <w:tcPr>
                        <w:tcW w:w="1617"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3552"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6" w:right="0"/>
                          <w:jc w:val="left"/>
                          <w:rPr>
                            <w:rFonts w:ascii="宋体" w:hAnsi="宋体" w:cs="宋体" w:eastAsia="宋体" w:hint="default"/>
                            <w:sz w:val="21"/>
                            <w:szCs w:val="21"/>
                          </w:rPr>
                        </w:pPr>
                        <w:r>
                          <w:rPr>
                            <w:rFonts w:ascii="宋体" w:hAnsi="宋体" w:cs="宋体" w:eastAsia="宋体" w:hint="default"/>
                            <w:sz w:val="21"/>
                            <w:szCs w:val="21"/>
                          </w:rPr>
                          <w:t>河南辉煌信通软件有限公司</w:t>
                        </w:r>
                      </w:p>
                    </w:tc>
                    <w:tc>
                      <w:tcPr>
                        <w:tcW w:w="1845"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2"/>
                          <w:jc w:val="right"/>
                          <w:rPr>
                            <w:rFonts w:ascii="宋体" w:hAnsi="宋体" w:cs="宋体" w:eastAsia="宋体" w:hint="default"/>
                            <w:sz w:val="21"/>
                            <w:szCs w:val="21"/>
                          </w:rPr>
                        </w:pPr>
                        <w:r>
                          <w:rPr>
                            <w:rFonts w:ascii="宋体"/>
                            <w:sz w:val="21"/>
                          </w:rPr>
                          <w:t>5,000,000.00</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1" w:right="0"/>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年以内</w:t>
                        </w:r>
                      </w:p>
                    </w:tc>
                    <w:tc>
                      <w:tcPr>
                        <w:tcW w:w="1617"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3552"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6" w:right="0"/>
                          <w:jc w:val="left"/>
                          <w:rPr>
                            <w:rFonts w:ascii="宋体" w:hAnsi="宋体" w:cs="宋体" w:eastAsia="宋体" w:hint="default"/>
                            <w:sz w:val="21"/>
                            <w:szCs w:val="21"/>
                          </w:rPr>
                        </w:pPr>
                        <w:r>
                          <w:rPr>
                            <w:rFonts w:ascii="宋体" w:hAnsi="宋体" w:cs="宋体" w:eastAsia="宋体" w:hint="default"/>
                            <w:sz w:val="21"/>
                            <w:szCs w:val="21"/>
                          </w:rPr>
                          <w:t>天津辉煌路阳科技有限公司</w:t>
                        </w:r>
                      </w:p>
                    </w:tc>
                    <w:tc>
                      <w:tcPr>
                        <w:tcW w:w="1845"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3"/>
                          <w:jc w:val="right"/>
                          <w:rPr>
                            <w:rFonts w:ascii="宋体" w:hAnsi="宋体" w:cs="宋体" w:eastAsia="宋体" w:hint="default"/>
                            <w:sz w:val="21"/>
                            <w:szCs w:val="21"/>
                          </w:rPr>
                        </w:pPr>
                        <w:r>
                          <w:rPr>
                            <w:rFonts w:ascii="宋体"/>
                            <w:sz w:val="21"/>
                          </w:rPr>
                          <w:t>50,000,000.00</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1" w:right="0"/>
                          <w:jc w:val="center"/>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年以内</w:t>
                        </w:r>
                      </w:p>
                    </w:tc>
                    <w:tc>
                      <w:tcPr>
                        <w:tcW w:w="1617"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2"/>
                          <w:jc w:val="right"/>
                          <w:rPr>
                            <w:rFonts w:ascii="宋体" w:hAnsi="宋体" w:cs="宋体" w:eastAsia="宋体" w:hint="default"/>
                            <w:sz w:val="21"/>
                            <w:szCs w:val="21"/>
                          </w:rPr>
                        </w:pPr>
                        <w:r>
                          <w:rPr>
                            <w:rFonts w:ascii="宋体"/>
                            <w:sz w:val="21"/>
                          </w:rPr>
                          <w:t>50,000,000.00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年以内</w:t>
                        </w:r>
                      </w:p>
                    </w:tc>
                  </w:tr>
                  <w:tr>
                    <w:trPr>
                      <w:trHeight w:val="342" w:hRule="exact"/>
                    </w:trPr>
                    <w:tc>
                      <w:tcPr>
                        <w:tcW w:w="3552"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6" w:right="0"/>
                          <w:jc w:val="left"/>
                          <w:rPr>
                            <w:rFonts w:ascii="宋体" w:hAnsi="宋体" w:cs="宋体" w:eastAsia="宋体" w:hint="default"/>
                            <w:sz w:val="21"/>
                            <w:szCs w:val="21"/>
                          </w:rPr>
                        </w:pPr>
                        <w:r>
                          <w:rPr>
                            <w:rFonts w:ascii="宋体" w:hAnsi="宋体" w:cs="宋体" w:eastAsia="宋体" w:hint="default"/>
                            <w:sz w:val="21"/>
                            <w:szCs w:val="21"/>
                          </w:rPr>
                          <w:t>上海联合产权交易所</w:t>
                        </w:r>
                      </w:p>
                    </w:tc>
                    <w:tc>
                      <w:tcPr>
                        <w:tcW w:w="1845"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617"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1"/>
                          <w:jc w:val="right"/>
                          <w:rPr>
                            <w:rFonts w:ascii="宋体" w:hAnsi="宋体" w:cs="宋体" w:eastAsia="宋体" w:hint="default"/>
                            <w:sz w:val="21"/>
                            <w:szCs w:val="21"/>
                          </w:rPr>
                        </w:pPr>
                        <w:r>
                          <w:rPr>
                            <w:rFonts w:ascii="宋体"/>
                            <w:sz w:val="21"/>
                          </w:rPr>
                          <w:t>6,600,000.00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年以内</w:t>
                        </w:r>
                      </w:p>
                    </w:tc>
                  </w:tr>
                  <w:tr>
                    <w:trPr>
                      <w:trHeight w:val="343" w:hRule="exact"/>
                    </w:trPr>
                    <w:tc>
                      <w:tcPr>
                        <w:tcW w:w="3552"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45"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3"/>
                          <w:jc w:val="right"/>
                          <w:rPr>
                            <w:rFonts w:ascii="宋体" w:hAnsi="宋体" w:cs="宋体" w:eastAsia="宋体" w:hint="default"/>
                            <w:sz w:val="21"/>
                            <w:szCs w:val="21"/>
                          </w:rPr>
                        </w:pPr>
                        <w:r>
                          <w:rPr>
                            <w:rFonts w:ascii="宋体"/>
                            <w:sz w:val="21"/>
                          </w:rPr>
                          <w:t>60,588,641.99</w:t>
                        </w:r>
                      </w:p>
                    </w:tc>
                    <w:tc>
                      <w:tcPr>
                        <w:tcW w:w="1214" w:type="dxa"/>
                        <w:tcBorders>
                          <w:top w:val="single" w:sz="4" w:space="0" w:color="000000"/>
                          <w:left w:val="single" w:sz="4" w:space="0" w:color="000000"/>
                          <w:bottom w:val="single" w:sz="4" w:space="0" w:color="000000"/>
                          <w:right w:val="single" w:sz="4" w:space="0" w:color="000000"/>
                        </w:tcBorders>
                      </w:tcPr>
                      <w:p>
                        <w:pPr/>
                      </w:p>
                    </w:tc>
                    <w:tc>
                      <w:tcPr>
                        <w:tcW w:w="1617"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3"/>
                          <w:jc w:val="right"/>
                          <w:rPr>
                            <w:rFonts w:ascii="宋体" w:hAnsi="宋体" w:cs="宋体" w:eastAsia="宋体" w:hint="default"/>
                            <w:sz w:val="21"/>
                            <w:szCs w:val="21"/>
                          </w:rPr>
                        </w:pPr>
                        <w:r>
                          <w:rPr>
                            <w:rFonts w:ascii="宋体"/>
                            <w:spacing w:val="-1"/>
                            <w:sz w:val="21"/>
                          </w:rPr>
                          <w:t>57,073,079.38</w:t>
                        </w:r>
                      </w:p>
                    </w:tc>
                    <w:tc>
                      <w:tcPr>
                        <w:tcW w:w="1136" w:type="dxa"/>
                        <w:tcBorders>
                          <w:top w:val="single" w:sz="4" w:space="0" w:color="000000"/>
                          <w:left w:val="single" w:sz="4" w:space="0" w:color="000000"/>
                          <w:bottom w:val="single" w:sz="4" w:space="0" w:color="000000"/>
                          <w:right w:val="single" w:sz="4" w:space="0" w:color="000000"/>
                        </w:tcBorders>
                      </w:tcPr>
                      <w:p>
                        <w:pPr/>
                      </w:p>
                    </w:tc>
                  </w:tr>
                </w:tbl>
                <w:p>
                  <w:pPr/>
                </w:p>
              </w:txbxContent>
            </v:textbox>
            <w10:wrap type="none"/>
          </v:shape>
        </w:pict>
      </w:r>
      <w:r>
        <w:rPr/>
        <w:t>确定该组合依据的说明： 组合中，因不存在回收风险，不计提坏账准备的其他应收款</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BodyText"/>
        <w:spacing w:line="240" w:lineRule="auto" w:before="26"/>
        <w:ind w:left="634" w:right="996"/>
        <w:jc w:val="left"/>
      </w:pPr>
      <w:r>
        <w:rPr/>
        <w:t>组合中，采用余额百分比法计提坏账准备的其他应收款：</w:t>
      </w:r>
    </w:p>
    <w:p>
      <w:pPr>
        <w:pStyle w:val="BodyText"/>
        <w:spacing w:line="350" w:lineRule="auto" w:before="145"/>
        <w:ind w:left="634" w:right="4752"/>
        <w:jc w:val="left"/>
      </w:pPr>
      <w:r>
        <w:rPr/>
        <w:t>□ 适用 √ 不适用 组合中，采用其他方法计提坏账准备的其他应收款：</w:t>
      </w:r>
    </w:p>
    <w:p>
      <w:pPr>
        <w:pStyle w:val="BodyText"/>
        <w:spacing w:line="240" w:lineRule="auto"/>
        <w:ind w:left="633" w:right="996"/>
        <w:jc w:val="left"/>
      </w:pPr>
      <w:r>
        <w:rPr/>
        <w:t>□ 适用 √ 不适用</w:t>
      </w:r>
    </w:p>
    <w:p>
      <w:pPr>
        <w:spacing w:after="0" w:line="240" w:lineRule="auto"/>
        <w:jc w:val="left"/>
        <w:sectPr>
          <w:type w:val="continuous"/>
          <w:pgSz w:w="11910" w:h="16840"/>
          <w:pgMar w:top="1060" w:bottom="1160" w:left="980" w:right="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spacing w:before="35"/>
        <w:ind w:left="716" w:right="1873" w:firstLine="0"/>
        <w:jc w:val="left"/>
        <w:rPr>
          <w:rFonts w:ascii="宋体" w:hAnsi="宋体" w:cs="宋体" w:eastAsia="宋体" w:hint="default"/>
          <w:sz w:val="21"/>
          <w:szCs w:val="21"/>
        </w:rPr>
      </w:pPr>
      <w:bookmarkStart w:name="（2）本期计提、收回或转回的坏账准备情况" w:id="536"/>
      <w:bookmarkEnd w:id="536"/>
      <w:r>
        <w:rPr/>
      </w:r>
      <w:r>
        <w:rPr>
          <w:rFonts w:ascii="宋体" w:hAnsi="宋体" w:cs="宋体" w:eastAsia="宋体" w:hint="default"/>
          <w:b/>
          <w:bCs/>
          <w:sz w:val="21"/>
          <w:szCs w:val="21"/>
        </w:rPr>
        <w:t>（</w:t>
      </w:r>
      <w:r>
        <w:rPr>
          <w:rFonts w:ascii="宋体" w:hAnsi="宋体" w:cs="宋体" w:eastAsia="宋体" w:hint="default"/>
          <w:b/>
          <w:bCs/>
          <w:sz w:val="21"/>
          <w:szCs w:val="21"/>
        </w:rPr>
        <w:t>2</w:t>
      </w:r>
      <w:r>
        <w:rPr>
          <w:rFonts w:ascii="宋体" w:hAnsi="宋体" w:cs="宋体" w:eastAsia="宋体" w:hint="default"/>
          <w:b/>
          <w:bCs/>
          <w:sz w:val="21"/>
          <w:szCs w:val="21"/>
        </w:rPr>
        <w:t>）本期计提、收回或转回的坏账准备情况</w:t>
      </w:r>
      <w:r>
        <w:rPr>
          <w:rFonts w:ascii="宋体" w:hAnsi="宋体" w:cs="宋体" w:eastAsia="宋体" w:hint="default"/>
          <w:sz w:val="21"/>
          <w:szCs w:val="21"/>
        </w:rPr>
      </w:r>
    </w:p>
    <w:p>
      <w:pPr>
        <w:pStyle w:val="BodyText"/>
        <w:spacing w:line="352" w:lineRule="auto" w:before="149"/>
        <w:ind w:left="773" w:right="1873"/>
        <w:jc w:val="left"/>
      </w:pPr>
      <w:r>
        <w:rPr/>
        <w:t>本期计提坏账准备金额</w:t>
      </w:r>
      <w:r>
        <w:rPr>
          <w:spacing w:val="-60"/>
        </w:rPr>
        <w:t> </w:t>
      </w:r>
      <w:r>
        <w:rPr>
          <w:rFonts w:ascii="宋体" w:hAnsi="宋体" w:cs="宋体" w:eastAsia="宋体" w:hint="default"/>
        </w:rPr>
        <w:t>249,550.64</w:t>
      </w:r>
      <w:r>
        <w:rPr>
          <w:rFonts w:ascii="宋体" w:hAnsi="宋体" w:cs="宋体" w:eastAsia="宋体" w:hint="default"/>
          <w:spacing w:val="-60"/>
        </w:rPr>
        <w:t> </w:t>
      </w:r>
      <w:r>
        <w:rPr/>
        <w:t>元；本期收回或转回坏账准备金额</w:t>
      </w:r>
      <w:r>
        <w:rPr>
          <w:spacing w:val="-60"/>
        </w:rPr>
        <w:t> </w:t>
      </w:r>
      <w:r>
        <w:rPr>
          <w:rFonts w:ascii="宋体" w:hAnsi="宋体" w:cs="宋体" w:eastAsia="宋体" w:hint="default"/>
        </w:rPr>
        <w:t>0.00</w:t>
      </w:r>
      <w:r>
        <w:rPr>
          <w:rFonts w:ascii="宋体" w:hAnsi="宋体" w:cs="宋体" w:eastAsia="宋体" w:hint="default"/>
          <w:spacing w:val="-60"/>
        </w:rPr>
        <w:t> </w:t>
      </w:r>
      <w:r>
        <w:rPr/>
        <w:t>元。 其中本期坏账准备转回或收回金额重要的：无</w:t>
      </w:r>
    </w:p>
    <w:p>
      <w:pPr>
        <w:spacing w:before="68"/>
        <w:ind w:left="716" w:right="1873" w:firstLine="0"/>
        <w:jc w:val="left"/>
        <w:rPr>
          <w:rFonts w:ascii="宋体" w:hAnsi="宋体" w:cs="宋体" w:eastAsia="宋体" w:hint="default"/>
          <w:sz w:val="21"/>
          <w:szCs w:val="21"/>
        </w:rPr>
      </w:pPr>
      <w:bookmarkStart w:name="（3）本期实际核销的其他应收款情况" w:id="537"/>
      <w:bookmarkEnd w:id="537"/>
      <w:r>
        <w:rPr/>
      </w:r>
      <w:r>
        <w:rPr>
          <w:rFonts w:ascii="宋体" w:hAnsi="宋体" w:cs="宋体" w:eastAsia="宋体" w:hint="default"/>
          <w:b/>
          <w:bCs/>
          <w:sz w:val="21"/>
          <w:szCs w:val="21"/>
        </w:rPr>
        <w:t>（</w:t>
      </w:r>
      <w:r>
        <w:rPr>
          <w:rFonts w:ascii="宋体" w:hAnsi="宋体" w:cs="宋体" w:eastAsia="宋体" w:hint="default"/>
          <w:b/>
          <w:bCs/>
          <w:sz w:val="21"/>
          <w:szCs w:val="21"/>
        </w:rPr>
        <w:t>3</w:t>
      </w:r>
      <w:r>
        <w:rPr>
          <w:rFonts w:ascii="宋体" w:hAnsi="宋体" w:cs="宋体" w:eastAsia="宋体" w:hint="default"/>
          <w:b/>
          <w:bCs/>
          <w:sz w:val="21"/>
          <w:szCs w:val="21"/>
        </w:rPr>
        <w:t>）本期实际核销的其他应收款情况</w:t>
      </w:r>
      <w:r>
        <w:rPr>
          <w:rFonts w:ascii="宋体" w:hAnsi="宋体" w:cs="宋体" w:eastAsia="宋体" w:hint="default"/>
          <w:sz w:val="21"/>
          <w:szCs w:val="21"/>
        </w:rPr>
      </w:r>
    </w:p>
    <w:p>
      <w:pPr>
        <w:pStyle w:val="BodyText"/>
        <w:spacing w:line="240" w:lineRule="auto" w:before="149"/>
        <w:ind w:left="774" w:right="1873"/>
        <w:jc w:val="left"/>
      </w:pPr>
      <w:r>
        <w:rPr/>
        <w:t>无</w:t>
      </w:r>
    </w:p>
    <w:p>
      <w:pPr>
        <w:spacing w:line="240" w:lineRule="auto" w:before="3"/>
        <w:rPr>
          <w:rFonts w:ascii="宋体" w:hAnsi="宋体" w:cs="宋体" w:eastAsia="宋体" w:hint="default"/>
          <w:sz w:val="11"/>
          <w:szCs w:val="11"/>
        </w:rPr>
      </w:pPr>
    </w:p>
    <w:p>
      <w:pPr>
        <w:spacing w:before="35"/>
        <w:ind w:left="716" w:right="1873" w:firstLine="0"/>
        <w:jc w:val="left"/>
        <w:rPr>
          <w:rFonts w:ascii="宋体" w:hAnsi="宋体" w:cs="宋体" w:eastAsia="宋体" w:hint="default"/>
          <w:sz w:val="21"/>
          <w:szCs w:val="21"/>
        </w:rPr>
      </w:pPr>
      <w:bookmarkStart w:name="（4）其他应收款按款项性质分类情况" w:id="538"/>
      <w:bookmarkEnd w:id="538"/>
      <w:r>
        <w:rPr/>
      </w:r>
      <w:r>
        <w:rPr>
          <w:rFonts w:ascii="宋体" w:hAnsi="宋体" w:cs="宋体" w:eastAsia="宋体" w:hint="default"/>
          <w:b/>
          <w:bCs/>
          <w:sz w:val="21"/>
          <w:szCs w:val="21"/>
        </w:rPr>
        <w:t>（</w:t>
      </w:r>
      <w:r>
        <w:rPr>
          <w:rFonts w:ascii="宋体" w:hAnsi="宋体" w:cs="宋体" w:eastAsia="宋体" w:hint="default"/>
          <w:b/>
          <w:bCs/>
          <w:sz w:val="21"/>
          <w:szCs w:val="21"/>
        </w:rPr>
        <w:t>4</w:t>
      </w:r>
      <w:r>
        <w:rPr>
          <w:rFonts w:ascii="宋体" w:hAnsi="宋体" w:cs="宋体" w:eastAsia="宋体" w:hint="default"/>
          <w:b/>
          <w:bCs/>
          <w:sz w:val="21"/>
          <w:szCs w:val="21"/>
        </w:rPr>
        <w:t>）其他应收款按款项性质分类情况</w:t>
      </w:r>
      <w:r>
        <w:rPr>
          <w:rFonts w:ascii="宋体" w:hAnsi="宋体" w:cs="宋体" w:eastAsia="宋体" w:hint="default"/>
          <w:sz w:val="21"/>
          <w:szCs w:val="21"/>
        </w:rPr>
      </w:r>
    </w:p>
    <w:p>
      <w:pPr>
        <w:spacing w:before="87"/>
        <w:ind w:left="0" w:right="1129" w:firstLine="0"/>
        <w:jc w:val="right"/>
        <w:rPr>
          <w:rFonts w:ascii="宋体" w:hAnsi="宋体" w:cs="宋体" w:eastAsia="宋体" w:hint="default"/>
          <w:sz w:val="21"/>
          <w:szCs w:val="21"/>
        </w:rPr>
      </w:pPr>
      <w:r>
        <w:rPr>
          <w:rFonts w:ascii="宋体" w:hAnsi="宋体" w:cs="宋体" w:eastAsia="宋体" w:hint="default"/>
          <w:sz w:val="21"/>
          <w:szCs w:val="21"/>
        </w:rPr>
        <w:t>单位： 元</w:t>
      </w:r>
    </w:p>
    <w:p>
      <w:pPr>
        <w:spacing w:line="240" w:lineRule="auto" w:before="0"/>
        <w:rPr>
          <w:rFonts w:ascii="宋体" w:hAnsi="宋体" w:cs="宋体" w:eastAsia="宋体" w:hint="default"/>
          <w:sz w:val="7"/>
          <w:szCs w:val="7"/>
        </w:rPr>
      </w:pPr>
    </w:p>
    <w:tbl>
      <w:tblPr>
        <w:tblW w:w="0" w:type="auto"/>
        <w:jc w:val="left"/>
        <w:tblInd w:w="289" w:type="dxa"/>
        <w:tblLayout w:type="fixed"/>
        <w:tblCellMar>
          <w:top w:w="0" w:type="dxa"/>
          <w:left w:w="0" w:type="dxa"/>
          <w:bottom w:w="0" w:type="dxa"/>
          <w:right w:w="0" w:type="dxa"/>
        </w:tblCellMar>
        <w:tblLook w:val="01E0"/>
      </w:tblPr>
      <w:tblGrid>
        <w:gridCol w:w="3369"/>
        <w:gridCol w:w="3100"/>
        <w:gridCol w:w="3100"/>
      </w:tblGrid>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款项性质</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914" w:right="0"/>
              <w:jc w:val="left"/>
              <w:rPr>
                <w:rFonts w:ascii="宋体" w:hAnsi="宋体" w:cs="宋体" w:eastAsia="宋体" w:hint="default"/>
                <w:sz w:val="21"/>
                <w:szCs w:val="21"/>
              </w:rPr>
            </w:pPr>
            <w:r>
              <w:rPr>
                <w:rFonts w:ascii="宋体" w:hAnsi="宋体" w:cs="宋体" w:eastAsia="宋体" w:hint="default"/>
                <w:sz w:val="21"/>
                <w:szCs w:val="21"/>
              </w:rPr>
              <w:t>期末账面余额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914" w:right="0"/>
              <w:jc w:val="left"/>
              <w:rPr>
                <w:rFonts w:ascii="宋体" w:hAnsi="宋体" w:cs="宋体" w:eastAsia="宋体" w:hint="default"/>
                <w:sz w:val="21"/>
                <w:szCs w:val="21"/>
              </w:rPr>
            </w:pPr>
            <w:r>
              <w:rPr>
                <w:rFonts w:ascii="宋体" w:hAnsi="宋体" w:cs="宋体" w:eastAsia="宋体" w:hint="default"/>
                <w:sz w:val="21"/>
                <w:szCs w:val="21"/>
              </w:rPr>
              <w:t>期初账面余额</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备用金</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746,583.49</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9"/>
              <w:jc w:val="right"/>
              <w:rPr>
                <w:rFonts w:ascii="宋体" w:hAnsi="宋体" w:cs="宋体" w:eastAsia="宋体" w:hint="default"/>
                <w:sz w:val="21"/>
                <w:szCs w:val="21"/>
              </w:rPr>
            </w:pPr>
            <w:r>
              <w:rPr>
                <w:rFonts w:ascii="宋体"/>
                <w:sz w:val="21"/>
              </w:rPr>
              <w:t>1,505,058.09</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保证金</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11,689,300.00</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9"/>
              <w:jc w:val="right"/>
              <w:rPr>
                <w:rFonts w:ascii="宋体" w:hAnsi="宋体" w:cs="宋体" w:eastAsia="宋体" w:hint="default"/>
                <w:sz w:val="21"/>
                <w:szCs w:val="21"/>
              </w:rPr>
            </w:pPr>
            <w:r>
              <w:rPr>
                <w:rFonts w:ascii="宋体"/>
                <w:sz w:val="21"/>
              </w:rPr>
              <w:t>6,600,000.00</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资金拆借</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55,000,000.00</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50,000,000.00</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代缴代扣款项</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488,641.99</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473,079.38</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技术服务费、非公开发行费</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554,940.00</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9"/>
              <w:jc w:val="right"/>
              <w:rPr>
                <w:rFonts w:ascii="宋体" w:hAnsi="宋体" w:cs="宋体" w:eastAsia="宋体" w:hint="default"/>
                <w:sz w:val="21"/>
                <w:szCs w:val="21"/>
              </w:rPr>
            </w:pPr>
            <w:r>
              <w:rPr>
                <w:rFonts w:ascii="宋体"/>
                <w:sz w:val="21"/>
              </w:rPr>
              <w:t>2,866,585.76</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9"/>
              <w:jc w:val="right"/>
              <w:rPr>
                <w:rFonts w:ascii="宋体" w:hAnsi="宋体" w:cs="宋体" w:eastAsia="宋体" w:hint="default"/>
                <w:sz w:val="21"/>
                <w:szCs w:val="21"/>
              </w:rPr>
            </w:pPr>
            <w:r>
              <w:rPr>
                <w:rFonts w:ascii="宋体"/>
                <w:sz w:val="21"/>
              </w:rPr>
              <w:t>1,035,125.46</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9"/>
              <w:jc w:val="right"/>
              <w:rPr>
                <w:rFonts w:ascii="宋体" w:hAnsi="宋体" w:cs="宋体" w:eastAsia="宋体" w:hint="default"/>
                <w:sz w:val="21"/>
                <w:szCs w:val="21"/>
              </w:rPr>
            </w:pPr>
            <w:r>
              <w:rPr>
                <w:rFonts w:ascii="宋体"/>
                <w:sz w:val="21"/>
              </w:rPr>
              <w:t>1,016,398.26</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69,514,590.94</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62,461,121.49</w:t>
            </w:r>
          </w:p>
        </w:tc>
      </w:tr>
    </w:tbl>
    <w:p>
      <w:pPr>
        <w:spacing w:line="240" w:lineRule="auto" w:before="9"/>
        <w:rPr>
          <w:rFonts w:ascii="宋体" w:hAnsi="宋体" w:cs="宋体" w:eastAsia="宋体" w:hint="default"/>
          <w:sz w:val="6"/>
          <w:szCs w:val="6"/>
        </w:rPr>
      </w:pPr>
    </w:p>
    <w:p>
      <w:pPr>
        <w:spacing w:after="0" w:line="240" w:lineRule="auto"/>
        <w:rPr>
          <w:rFonts w:ascii="宋体" w:hAnsi="宋体" w:cs="宋体" w:eastAsia="宋体" w:hint="default"/>
          <w:sz w:val="6"/>
          <w:szCs w:val="6"/>
        </w:rPr>
        <w:sectPr>
          <w:pgSz w:w="11910" w:h="16840"/>
          <w:pgMar w:header="747" w:footer="979" w:top="1060" w:bottom="1160" w:left="840" w:right="0"/>
        </w:sectPr>
      </w:pPr>
    </w:p>
    <w:p>
      <w:pPr>
        <w:spacing w:before="35"/>
        <w:ind w:left="716" w:right="0" w:firstLine="0"/>
        <w:jc w:val="left"/>
        <w:rPr>
          <w:rFonts w:ascii="宋体" w:hAnsi="宋体" w:cs="宋体" w:eastAsia="宋体" w:hint="default"/>
          <w:sz w:val="21"/>
          <w:szCs w:val="21"/>
        </w:rPr>
      </w:pPr>
      <w:bookmarkStart w:name="（5）按欠款方归集的期末余额前五名的其他应收款情况" w:id="539"/>
      <w:bookmarkEnd w:id="539"/>
      <w:r>
        <w:rPr/>
      </w:r>
      <w:r>
        <w:rPr>
          <w:rFonts w:ascii="宋体" w:hAnsi="宋体" w:cs="宋体" w:eastAsia="宋体" w:hint="default"/>
          <w:b/>
          <w:bCs/>
          <w:w w:val="95"/>
          <w:sz w:val="21"/>
          <w:szCs w:val="21"/>
        </w:rPr>
        <w:t>（</w:t>
      </w:r>
      <w:r>
        <w:rPr>
          <w:rFonts w:ascii="宋体" w:hAnsi="宋体" w:cs="宋体" w:eastAsia="宋体" w:hint="default"/>
          <w:b/>
          <w:bCs/>
          <w:w w:val="95"/>
          <w:sz w:val="21"/>
          <w:szCs w:val="21"/>
        </w:rPr>
        <w:t>5</w:t>
      </w:r>
      <w:r>
        <w:rPr>
          <w:rFonts w:ascii="宋体" w:hAnsi="宋体" w:cs="宋体" w:eastAsia="宋体" w:hint="default"/>
          <w:b/>
          <w:bCs/>
          <w:w w:val="95"/>
          <w:sz w:val="21"/>
          <w:szCs w:val="21"/>
        </w:rPr>
        <w:t>）按欠款方归集的期末余额前五名的其他应收款情况</w:t>
      </w:r>
      <w:r>
        <w:rPr>
          <w:rFonts w:ascii="宋体" w:hAnsi="宋体" w:cs="宋体" w:eastAsia="宋体" w:hint="default"/>
          <w:sz w:val="21"/>
          <w:szCs w:val="21"/>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line="240" w:lineRule="auto" w:before="5"/>
        <w:rPr>
          <w:rFonts w:ascii="宋体" w:hAnsi="宋体" w:cs="宋体" w:eastAsia="宋体" w:hint="default"/>
          <w:b/>
          <w:bCs/>
          <w:sz w:val="14"/>
          <w:szCs w:val="14"/>
        </w:rPr>
      </w:pPr>
    </w:p>
    <w:p>
      <w:pPr>
        <w:spacing w:before="0"/>
        <w:ind w:left="716"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60" w:left="840" w:right="0"/>
          <w:cols w:num="2" w:equalWidth="0">
            <w:col w:w="5880" w:space="2527"/>
            <w:col w:w="2663"/>
          </w:cols>
        </w:sectPr>
      </w:pPr>
    </w:p>
    <w:p>
      <w:pPr>
        <w:spacing w:line="240" w:lineRule="auto" w:before="1"/>
        <w:rPr>
          <w:rFonts w:ascii="宋体" w:hAnsi="宋体" w:cs="宋体" w:eastAsia="宋体" w:hint="default"/>
          <w:sz w:val="8"/>
          <w:szCs w:val="8"/>
        </w:rPr>
      </w:pPr>
    </w:p>
    <w:tbl>
      <w:tblPr>
        <w:tblW w:w="0" w:type="auto"/>
        <w:jc w:val="left"/>
        <w:tblInd w:w="106" w:type="dxa"/>
        <w:tblLayout w:type="fixed"/>
        <w:tblCellMar>
          <w:top w:w="0" w:type="dxa"/>
          <w:left w:w="0" w:type="dxa"/>
          <w:bottom w:w="0" w:type="dxa"/>
          <w:right w:w="0" w:type="dxa"/>
        </w:tblCellMar>
        <w:tblLook w:val="01E0"/>
      </w:tblPr>
      <w:tblGrid>
        <w:gridCol w:w="3608"/>
        <w:gridCol w:w="1276"/>
        <w:gridCol w:w="1560"/>
        <w:gridCol w:w="968"/>
        <w:gridCol w:w="1316"/>
        <w:gridCol w:w="1276"/>
      </w:tblGrid>
      <w:tr>
        <w:trPr>
          <w:trHeight w:val="1026" w:hRule="exact"/>
        </w:trPr>
        <w:tc>
          <w:tcPr>
            <w:tcW w:w="36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left="106" w:right="0"/>
              <w:jc w:val="left"/>
              <w:rPr>
                <w:rFonts w:ascii="宋体" w:hAnsi="宋体" w:cs="宋体" w:eastAsia="宋体" w:hint="default"/>
                <w:sz w:val="21"/>
                <w:szCs w:val="21"/>
              </w:rPr>
            </w:pPr>
            <w:r>
              <w:rPr>
                <w:rFonts w:ascii="宋体" w:hAnsi="宋体" w:cs="宋体" w:eastAsia="宋体" w:hint="default"/>
                <w:sz w:val="21"/>
                <w:szCs w:val="21"/>
              </w:rPr>
              <w:t>款项的性质</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left="353"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13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23" w:right="20"/>
              <w:jc w:val="center"/>
              <w:rPr>
                <w:rFonts w:ascii="宋体" w:hAnsi="宋体" w:cs="宋体" w:eastAsia="宋体" w:hint="default"/>
                <w:sz w:val="21"/>
                <w:szCs w:val="21"/>
              </w:rPr>
            </w:pPr>
            <w:r>
              <w:rPr>
                <w:rFonts w:ascii="宋体" w:hAnsi="宋体" w:cs="宋体" w:eastAsia="宋体" w:hint="default"/>
                <w:sz w:val="21"/>
                <w:szCs w:val="21"/>
              </w:rPr>
              <w:t>占其他应收款 期末余额合计 数的比例</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73" w:lineRule="auto"/>
              <w:ind w:left="317" w:right="107" w:hanging="210"/>
              <w:jc w:val="left"/>
              <w:rPr>
                <w:rFonts w:ascii="宋体" w:hAnsi="宋体" w:cs="宋体" w:eastAsia="宋体" w:hint="default"/>
                <w:sz w:val="21"/>
                <w:szCs w:val="21"/>
              </w:rPr>
            </w:pPr>
            <w:r>
              <w:rPr>
                <w:rFonts w:ascii="宋体" w:hAnsi="宋体" w:cs="宋体" w:eastAsia="宋体" w:hint="default"/>
                <w:sz w:val="21"/>
                <w:szCs w:val="21"/>
              </w:rPr>
              <w:t>坏账准备期 末余额</w:t>
            </w:r>
          </w:p>
        </w:tc>
      </w:tr>
      <w:tr>
        <w:trPr>
          <w:trHeight w:val="402" w:hRule="exact"/>
        </w:trPr>
        <w:tc>
          <w:tcPr>
            <w:tcW w:w="3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4" w:right="0"/>
              <w:jc w:val="left"/>
              <w:rPr>
                <w:rFonts w:ascii="宋体" w:hAnsi="宋体" w:cs="宋体" w:eastAsia="宋体" w:hint="default"/>
                <w:sz w:val="21"/>
                <w:szCs w:val="21"/>
              </w:rPr>
            </w:pPr>
            <w:r>
              <w:rPr>
                <w:rFonts w:ascii="宋体" w:hAnsi="宋体" w:cs="宋体" w:eastAsia="宋体" w:hint="default"/>
                <w:sz w:val="21"/>
                <w:szCs w:val="21"/>
              </w:rPr>
              <w:t>天津辉煌路阳科技有限公司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资金拆借</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50,000,000.00</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23"/>
              <w:jc w:val="center"/>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71.93%</w:t>
            </w:r>
          </w:p>
        </w:tc>
        <w:tc>
          <w:tcPr>
            <w:tcW w:w="1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4" w:right="0"/>
              <w:jc w:val="left"/>
              <w:rPr>
                <w:rFonts w:ascii="宋体" w:hAnsi="宋体" w:cs="宋体" w:eastAsia="宋体" w:hint="default"/>
                <w:sz w:val="21"/>
                <w:szCs w:val="21"/>
              </w:rPr>
            </w:pPr>
            <w:r>
              <w:rPr>
                <w:rFonts w:ascii="宋体" w:hAnsi="宋体" w:cs="宋体" w:eastAsia="宋体" w:hint="default"/>
                <w:sz w:val="21"/>
                <w:szCs w:val="21"/>
              </w:rPr>
              <w:t>河南辉煌信通软件有限公司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暂付款</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5,000,000.00</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23"/>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7.19%</w:t>
            </w:r>
          </w:p>
        </w:tc>
        <w:tc>
          <w:tcPr>
            <w:tcW w:w="1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4" w:right="0"/>
              <w:jc w:val="left"/>
              <w:rPr>
                <w:rFonts w:ascii="宋体" w:hAnsi="宋体" w:cs="宋体" w:eastAsia="宋体" w:hint="default"/>
                <w:sz w:val="21"/>
                <w:szCs w:val="21"/>
              </w:rPr>
            </w:pPr>
            <w:r>
              <w:rPr>
                <w:rFonts w:ascii="宋体" w:hAnsi="宋体" w:cs="宋体" w:eastAsia="宋体" w:hint="default"/>
                <w:sz w:val="21"/>
                <w:szCs w:val="21"/>
              </w:rPr>
              <w:t>上海申通德高地铁广告有限公司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保证金</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3,000,000.00</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23"/>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4.32%</w:t>
            </w:r>
          </w:p>
        </w:tc>
        <w:tc>
          <w:tcPr>
            <w:tcW w:w="1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4" w:right="0"/>
              <w:jc w:val="left"/>
              <w:rPr>
                <w:rFonts w:ascii="宋体" w:hAnsi="宋体" w:cs="宋体" w:eastAsia="宋体" w:hint="default"/>
                <w:sz w:val="21"/>
                <w:szCs w:val="21"/>
              </w:rPr>
            </w:pPr>
            <w:r>
              <w:rPr>
                <w:rFonts w:ascii="宋体" w:hAnsi="宋体" w:cs="宋体" w:eastAsia="宋体" w:hint="default"/>
                <w:sz w:val="21"/>
                <w:szCs w:val="21"/>
              </w:rPr>
              <w:t>上海申通地铁资产经营管理有限公司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保证金</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2,100,000.00</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23"/>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3.02%</w:t>
            </w:r>
          </w:p>
        </w:tc>
        <w:tc>
          <w:tcPr>
            <w:tcW w:w="1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4" w:right="0"/>
              <w:jc w:val="left"/>
              <w:rPr>
                <w:rFonts w:ascii="宋体" w:hAnsi="宋体" w:cs="宋体" w:eastAsia="宋体" w:hint="default"/>
                <w:sz w:val="21"/>
                <w:szCs w:val="21"/>
              </w:rPr>
            </w:pPr>
            <w:r>
              <w:rPr>
                <w:rFonts w:ascii="宋体" w:hAnsi="宋体" w:cs="宋体" w:eastAsia="宋体" w:hint="default"/>
                <w:sz w:val="21"/>
                <w:szCs w:val="21"/>
              </w:rPr>
              <w:t>中铁建电气化局集团科技有限公司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保证金</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2,197,000.00</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23"/>
              <w:jc w:val="center"/>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3.16%</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110,600.00</w:t>
            </w:r>
          </w:p>
        </w:tc>
      </w:tr>
      <w:tr>
        <w:trPr>
          <w:trHeight w:val="402" w:hRule="exact"/>
        </w:trPr>
        <w:tc>
          <w:tcPr>
            <w:tcW w:w="36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sz w:val="21"/>
              </w:rPr>
              <w:t>--</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62,297,000.00</w:t>
            </w:r>
          </w:p>
        </w:tc>
        <w:tc>
          <w:tcPr>
            <w:tcW w:w="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sz w:val="21"/>
              </w:rPr>
              <w:t>--</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89.62%</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110,600.00</w:t>
            </w:r>
          </w:p>
        </w:tc>
      </w:tr>
    </w:tbl>
    <w:p>
      <w:pPr>
        <w:spacing w:line="240" w:lineRule="auto" w:before="9"/>
        <w:rPr>
          <w:rFonts w:ascii="宋体" w:hAnsi="宋体" w:cs="宋体" w:eastAsia="宋体" w:hint="default"/>
          <w:sz w:val="6"/>
          <w:szCs w:val="6"/>
        </w:rPr>
      </w:pPr>
    </w:p>
    <w:p>
      <w:pPr>
        <w:spacing w:before="35"/>
        <w:ind w:left="716" w:right="1873" w:firstLine="0"/>
        <w:jc w:val="left"/>
        <w:rPr>
          <w:rFonts w:ascii="宋体" w:hAnsi="宋体" w:cs="宋体" w:eastAsia="宋体" w:hint="default"/>
          <w:sz w:val="21"/>
          <w:szCs w:val="21"/>
        </w:rPr>
      </w:pPr>
      <w:bookmarkStart w:name="（6）涉及政府补助的应收款项" w:id="540"/>
      <w:bookmarkEnd w:id="540"/>
      <w:r>
        <w:rPr/>
      </w:r>
      <w:r>
        <w:rPr>
          <w:rFonts w:ascii="宋体" w:hAnsi="宋体" w:cs="宋体" w:eastAsia="宋体" w:hint="default"/>
          <w:b/>
          <w:bCs/>
          <w:sz w:val="21"/>
          <w:szCs w:val="21"/>
        </w:rPr>
        <w:t>（</w:t>
      </w:r>
      <w:r>
        <w:rPr>
          <w:rFonts w:ascii="宋体" w:hAnsi="宋体" w:cs="宋体" w:eastAsia="宋体" w:hint="default"/>
          <w:b/>
          <w:bCs/>
          <w:sz w:val="21"/>
          <w:szCs w:val="21"/>
        </w:rPr>
        <w:t>6</w:t>
      </w:r>
      <w:r>
        <w:rPr>
          <w:rFonts w:ascii="宋体" w:hAnsi="宋体" w:cs="宋体" w:eastAsia="宋体" w:hint="default"/>
          <w:b/>
          <w:bCs/>
          <w:sz w:val="21"/>
          <w:szCs w:val="21"/>
        </w:rPr>
        <w:t>）涉及政府补助的应收款项</w:t>
      </w:r>
      <w:r>
        <w:rPr>
          <w:rFonts w:ascii="宋体" w:hAnsi="宋体" w:cs="宋体" w:eastAsia="宋体" w:hint="default"/>
          <w:sz w:val="21"/>
          <w:szCs w:val="21"/>
        </w:rPr>
      </w:r>
    </w:p>
    <w:p>
      <w:pPr>
        <w:pStyle w:val="BodyText"/>
        <w:spacing w:line="240" w:lineRule="auto" w:before="151"/>
        <w:ind w:left="773" w:right="1873"/>
        <w:jc w:val="left"/>
      </w:pPr>
      <w:r>
        <w:rPr/>
        <w:t>无</w:t>
      </w:r>
    </w:p>
    <w:p>
      <w:pPr>
        <w:spacing w:before="180"/>
        <w:ind w:left="716" w:right="1873" w:firstLine="0"/>
        <w:jc w:val="left"/>
        <w:rPr>
          <w:rFonts w:ascii="宋体" w:hAnsi="宋体" w:cs="宋体" w:eastAsia="宋体" w:hint="default"/>
          <w:sz w:val="21"/>
          <w:szCs w:val="21"/>
        </w:rPr>
      </w:pPr>
      <w:bookmarkStart w:name="（7）因金融资产转移而终止确认的其他应收款" w:id="541"/>
      <w:bookmarkEnd w:id="541"/>
      <w:r>
        <w:rPr/>
      </w:r>
      <w:r>
        <w:rPr>
          <w:rFonts w:ascii="宋体" w:hAnsi="宋体" w:cs="宋体" w:eastAsia="宋体" w:hint="default"/>
          <w:b/>
          <w:bCs/>
          <w:sz w:val="21"/>
          <w:szCs w:val="21"/>
        </w:rPr>
        <w:t>（</w:t>
      </w:r>
      <w:r>
        <w:rPr>
          <w:rFonts w:ascii="宋体" w:hAnsi="宋体" w:cs="宋体" w:eastAsia="宋体" w:hint="default"/>
          <w:b/>
          <w:bCs/>
          <w:sz w:val="21"/>
          <w:szCs w:val="21"/>
        </w:rPr>
        <w:t>7</w:t>
      </w:r>
      <w:r>
        <w:rPr>
          <w:rFonts w:ascii="宋体" w:hAnsi="宋体" w:cs="宋体" w:eastAsia="宋体" w:hint="default"/>
          <w:b/>
          <w:bCs/>
          <w:sz w:val="21"/>
          <w:szCs w:val="21"/>
        </w:rPr>
        <w:t>）因金融资产转移而终止确认的其他应收款</w:t>
      </w:r>
      <w:r>
        <w:rPr>
          <w:rFonts w:ascii="宋体" w:hAnsi="宋体" w:cs="宋体" w:eastAsia="宋体" w:hint="default"/>
          <w:sz w:val="21"/>
          <w:szCs w:val="21"/>
        </w:rPr>
      </w:r>
    </w:p>
    <w:p>
      <w:pPr>
        <w:pStyle w:val="BodyText"/>
        <w:spacing w:line="240" w:lineRule="auto" w:before="149"/>
        <w:ind w:left="773" w:right="1873"/>
        <w:jc w:val="left"/>
      </w:pPr>
      <w:r>
        <w:rPr/>
        <w:t>无</w:t>
      </w:r>
    </w:p>
    <w:p>
      <w:pPr>
        <w:spacing w:before="182"/>
        <w:ind w:left="716" w:right="1873" w:firstLine="0"/>
        <w:jc w:val="left"/>
        <w:rPr>
          <w:rFonts w:ascii="宋体" w:hAnsi="宋体" w:cs="宋体" w:eastAsia="宋体" w:hint="default"/>
          <w:sz w:val="21"/>
          <w:szCs w:val="21"/>
        </w:rPr>
      </w:pPr>
      <w:bookmarkStart w:name="（8）转移其他应收款且继续涉入形成的资产、负债金额" w:id="542"/>
      <w:bookmarkEnd w:id="542"/>
      <w:r>
        <w:rPr/>
      </w:r>
      <w:r>
        <w:rPr>
          <w:rFonts w:ascii="宋体" w:hAnsi="宋体" w:cs="宋体" w:eastAsia="宋体" w:hint="default"/>
          <w:b/>
          <w:bCs/>
          <w:sz w:val="21"/>
          <w:szCs w:val="21"/>
        </w:rPr>
        <w:t>（</w:t>
      </w:r>
      <w:r>
        <w:rPr>
          <w:rFonts w:ascii="宋体" w:hAnsi="宋体" w:cs="宋体" w:eastAsia="宋体" w:hint="default"/>
          <w:b/>
          <w:bCs/>
          <w:sz w:val="21"/>
          <w:szCs w:val="21"/>
        </w:rPr>
        <w:t>8</w:t>
      </w:r>
      <w:r>
        <w:rPr>
          <w:rFonts w:ascii="宋体" w:hAnsi="宋体" w:cs="宋体" w:eastAsia="宋体" w:hint="default"/>
          <w:b/>
          <w:bCs/>
          <w:sz w:val="21"/>
          <w:szCs w:val="21"/>
        </w:rPr>
        <w:t>）转移其他应收款且继续涉入形成的资产、负债金额</w:t>
      </w:r>
      <w:r>
        <w:rPr>
          <w:rFonts w:ascii="宋体" w:hAnsi="宋体" w:cs="宋体" w:eastAsia="宋体" w:hint="default"/>
          <w:sz w:val="21"/>
          <w:szCs w:val="21"/>
        </w:rPr>
      </w:r>
    </w:p>
    <w:p>
      <w:pPr>
        <w:pStyle w:val="BodyText"/>
        <w:spacing w:line="240" w:lineRule="auto" w:before="149"/>
        <w:ind w:left="773" w:right="1873"/>
        <w:jc w:val="left"/>
      </w:pPr>
      <w:r>
        <w:rPr/>
        <w:t>无</w:t>
      </w:r>
    </w:p>
    <w:p>
      <w:pPr>
        <w:spacing w:after="0" w:line="240" w:lineRule="auto"/>
        <w:jc w:val="left"/>
        <w:sectPr>
          <w:type w:val="continuous"/>
          <w:pgSz w:w="11910" w:h="16840"/>
          <w:pgMar w:top="1060" w:bottom="1160" w:left="840" w:right="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spacing w:before="35"/>
        <w:ind w:left="816" w:right="1117" w:firstLine="0"/>
        <w:jc w:val="left"/>
        <w:rPr>
          <w:rFonts w:ascii="宋体" w:hAnsi="宋体" w:cs="宋体" w:eastAsia="宋体" w:hint="default"/>
          <w:sz w:val="21"/>
          <w:szCs w:val="21"/>
        </w:rPr>
      </w:pPr>
      <w:bookmarkStart w:name="3、长期股权投资" w:id="543"/>
      <w:bookmarkEnd w:id="543"/>
      <w:r>
        <w:rPr/>
      </w:r>
      <w:r>
        <w:rPr>
          <w:rFonts w:ascii="宋体" w:hAnsi="宋体" w:cs="宋体" w:eastAsia="宋体" w:hint="default"/>
          <w:b/>
          <w:bCs/>
          <w:sz w:val="21"/>
          <w:szCs w:val="21"/>
        </w:rPr>
        <w:t>3</w:t>
      </w:r>
      <w:r>
        <w:rPr>
          <w:rFonts w:ascii="宋体" w:hAnsi="宋体" w:cs="宋体" w:eastAsia="宋体" w:hint="default"/>
          <w:b/>
          <w:bCs/>
          <w:sz w:val="21"/>
          <w:szCs w:val="21"/>
        </w:rPr>
        <w:t>、长期股权投资</w:t>
      </w:r>
      <w:r>
        <w:rPr>
          <w:rFonts w:ascii="宋体" w:hAnsi="宋体" w:cs="宋体" w:eastAsia="宋体" w:hint="default"/>
          <w:sz w:val="21"/>
          <w:szCs w:val="21"/>
        </w:rPr>
      </w:r>
    </w:p>
    <w:p>
      <w:pPr>
        <w:spacing w:before="87"/>
        <w:ind w:left="0" w:right="1129" w:firstLine="0"/>
        <w:jc w:val="right"/>
        <w:rPr>
          <w:rFonts w:ascii="宋体" w:hAnsi="宋体" w:cs="宋体" w:eastAsia="宋体" w:hint="default"/>
          <w:sz w:val="21"/>
          <w:szCs w:val="21"/>
        </w:rPr>
      </w:pPr>
      <w:r>
        <w:rPr>
          <w:rFonts w:ascii="宋体" w:hAnsi="宋体" w:cs="宋体" w:eastAsia="宋体" w:hint="default"/>
          <w:sz w:val="21"/>
          <w:szCs w:val="21"/>
        </w:rPr>
        <w:t>单位： 元</w:t>
      </w:r>
    </w:p>
    <w:p>
      <w:pPr>
        <w:spacing w:line="240" w:lineRule="auto" w:before="0"/>
        <w:rPr>
          <w:rFonts w:ascii="宋体" w:hAnsi="宋体" w:cs="宋体" w:eastAsia="宋体" w:hint="default"/>
          <w:sz w:val="7"/>
          <w:szCs w:val="7"/>
        </w:rPr>
      </w:pPr>
    </w:p>
    <w:tbl>
      <w:tblPr>
        <w:tblW w:w="0" w:type="auto"/>
        <w:jc w:val="left"/>
        <w:tblInd w:w="377" w:type="dxa"/>
        <w:tblLayout w:type="fixed"/>
        <w:tblCellMar>
          <w:top w:w="0" w:type="dxa"/>
          <w:left w:w="0" w:type="dxa"/>
          <w:bottom w:w="0" w:type="dxa"/>
          <w:right w:w="0" w:type="dxa"/>
        </w:tblCellMar>
        <w:tblLook w:val="01E0"/>
      </w:tblPr>
      <w:tblGrid>
        <w:gridCol w:w="1560"/>
        <w:gridCol w:w="1276"/>
        <w:gridCol w:w="1268"/>
        <w:gridCol w:w="1367"/>
        <w:gridCol w:w="1368"/>
        <w:gridCol w:w="1242"/>
        <w:gridCol w:w="1418"/>
      </w:tblGrid>
      <w:tr>
        <w:trPr>
          <w:trHeight w:val="206" w:hRule="exact"/>
        </w:trPr>
        <w:tc>
          <w:tcPr>
            <w:tcW w:w="1560" w:type="dxa"/>
            <w:tcBorders>
              <w:top w:val="single" w:sz="4" w:space="0" w:color="000000"/>
              <w:left w:val="single" w:sz="4" w:space="0" w:color="000000"/>
              <w:bottom w:val="nil" w:sz="6" w:space="0" w:color="auto"/>
              <w:right w:val="single" w:sz="4" w:space="0" w:color="000000"/>
            </w:tcBorders>
            <w:shd w:val="clear" w:color="auto" w:fill="D2D2D2"/>
          </w:tcPr>
          <w:p>
            <w:pPr/>
          </w:p>
        </w:tc>
        <w:tc>
          <w:tcPr>
            <w:tcW w:w="3910"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4029"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6"/>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191" w:hRule="exact"/>
        </w:trPr>
        <w:tc>
          <w:tcPr>
            <w:tcW w:w="156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3910" w:type="dxa"/>
            <w:gridSpan w:val="3"/>
            <w:vMerge/>
            <w:tcBorders>
              <w:left w:val="single" w:sz="4" w:space="0" w:color="000000"/>
              <w:bottom w:val="single" w:sz="4" w:space="0" w:color="000000"/>
              <w:right w:val="single" w:sz="4" w:space="0" w:color="000000"/>
            </w:tcBorders>
            <w:shd w:val="clear" w:color="auto" w:fill="D2D2D2"/>
          </w:tcPr>
          <w:p>
            <w:pPr/>
          </w:p>
        </w:tc>
        <w:tc>
          <w:tcPr>
            <w:tcW w:w="4029" w:type="dxa"/>
            <w:gridSpan w:val="3"/>
            <w:vMerge/>
            <w:tcBorders>
              <w:left w:val="single" w:sz="4" w:space="0" w:color="000000"/>
              <w:bottom w:val="single" w:sz="4" w:space="0" w:color="000000"/>
              <w:right w:val="single" w:sz="4" w:space="0" w:color="000000"/>
            </w:tcBorders>
            <w:shd w:val="clear" w:color="auto" w:fill="D2D2D2"/>
          </w:tcPr>
          <w:p>
            <w:pPr/>
          </w:p>
        </w:tc>
      </w:tr>
      <w:tr>
        <w:trPr>
          <w:trHeight w:val="201" w:hRule="exact"/>
        </w:trPr>
        <w:tc>
          <w:tcPr>
            <w:tcW w:w="1560" w:type="dxa"/>
            <w:vMerge/>
            <w:tcBorders>
              <w:left w:val="single" w:sz="4" w:space="0" w:color="000000"/>
              <w:bottom w:val="nil" w:sz="6" w:space="0" w:color="auto"/>
              <w:right w:val="single" w:sz="4" w:space="0" w:color="000000"/>
            </w:tcBorders>
            <w:shd w:val="clear" w:color="auto" w:fill="D2D2D2"/>
          </w:tcPr>
          <w:p>
            <w:pPr/>
          </w:p>
        </w:tc>
        <w:tc>
          <w:tcPr>
            <w:tcW w:w="127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1"/>
              <w:ind w:left="212"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2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1"/>
              <w:ind w:left="208"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1"/>
              <w:ind w:left="257"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1"/>
              <w:ind w:left="259"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24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1"/>
              <w:ind w:left="196"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141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1"/>
              <w:ind w:left="284" w:right="0"/>
              <w:jc w:val="left"/>
              <w:rPr>
                <w:rFonts w:ascii="宋体" w:hAnsi="宋体" w:cs="宋体" w:eastAsia="宋体" w:hint="default"/>
                <w:sz w:val="21"/>
                <w:szCs w:val="21"/>
              </w:rPr>
            </w:pPr>
            <w:r>
              <w:rPr>
                <w:rFonts w:ascii="宋体" w:hAnsi="宋体" w:cs="宋体" w:eastAsia="宋体" w:hint="default"/>
                <w:sz w:val="21"/>
                <w:szCs w:val="21"/>
              </w:rPr>
              <w:t>账面价值</w:t>
            </w:r>
          </w:p>
        </w:tc>
      </w:tr>
      <w:tr>
        <w:trPr>
          <w:trHeight w:val="206" w:hRule="exact"/>
        </w:trPr>
        <w:tc>
          <w:tcPr>
            <w:tcW w:w="1560" w:type="dxa"/>
            <w:tcBorders>
              <w:top w:val="nil" w:sz="6" w:space="0" w:color="auto"/>
              <w:left w:val="single" w:sz="4" w:space="0" w:color="000000"/>
              <w:bottom w:val="single" w:sz="4" w:space="0" w:color="000000"/>
              <w:right w:val="single" w:sz="4" w:space="0" w:color="000000"/>
            </w:tcBorders>
            <w:shd w:val="clear" w:color="auto" w:fill="D2D2D2"/>
          </w:tcPr>
          <w:p>
            <w:pPr/>
          </w:p>
        </w:tc>
        <w:tc>
          <w:tcPr>
            <w:tcW w:w="1276" w:type="dxa"/>
            <w:vMerge/>
            <w:tcBorders>
              <w:left w:val="single" w:sz="4" w:space="0" w:color="000000"/>
              <w:bottom w:val="single" w:sz="4" w:space="0" w:color="000000"/>
              <w:right w:val="single" w:sz="4" w:space="0" w:color="000000"/>
            </w:tcBorders>
            <w:shd w:val="clear" w:color="auto" w:fill="D2D2D2"/>
          </w:tcPr>
          <w:p>
            <w:pPr/>
          </w:p>
        </w:tc>
        <w:tc>
          <w:tcPr>
            <w:tcW w:w="12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242" w:type="dxa"/>
            <w:vMerge/>
            <w:tcBorders>
              <w:left w:val="single" w:sz="4" w:space="0" w:color="000000"/>
              <w:bottom w:val="single" w:sz="4" w:space="0" w:color="000000"/>
              <w:right w:val="single" w:sz="4" w:space="0" w:color="000000"/>
            </w:tcBorders>
            <w:shd w:val="clear" w:color="auto" w:fill="D2D2D2"/>
          </w:tcPr>
          <w:p>
            <w:pPr/>
          </w:p>
        </w:tc>
        <w:tc>
          <w:tcPr>
            <w:tcW w:w="1418"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1560" w:type="dxa"/>
            <w:tcBorders>
              <w:top w:val="single" w:sz="4" w:space="0" w:color="000000"/>
              <w:left w:val="single" w:sz="4" w:space="0" w:color="000000"/>
              <w:bottom w:val="nil" w:sz="6" w:space="0" w:color="auto"/>
              <w:right w:val="single" w:sz="4" w:space="0" w:color="000000"/>
            </w:tcBorders>
            <w:shd w:val="clear" w:color="auto" w:fill="D2D2D2"/>
          </w:tcPr>
          <w:p>
            <w:pPr/>
          </w:p>
        </w:tc>
        <w:tc>
          <w:tcPr>
            <w:tcW w:w="1276" w:type="dxa"/>
            <w:vMerge w:val="restart"/>
            <w:tcBorders>
              <w:top w:val="single" w:sz="4" w:space="0" w:color="000000"/>
              <w:left w:val="single" w:sz="9" w:space="0" w:color="D2D2D2"/>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414,164,857</w:t>
            </w:r>
          </w:p>
          <w:p>
            <w:pPr>
              <w:pStyle w:val="TableParagraph"/>
              <w:spacing w:line="240" w:lineRule="auto" w:before="38"/>
              <w:ind w:right="21"/>
              <w:jc w:val="right"/>
              <w:rPr>
                <w:rFonts w:ascii="宋体" w:hAnsi="宋体" w:cs="宋体" w:eastAsia="宋体" w:hint="default"/>
                <w:sz w:val="21"/>
                <w:szCs w:val="21"/>
              </w:rPr>
            </w:pPr>
            <w:r>
              <w:rPr>
                <w:rFonts w:ascii="宋体"/>
                <w:sz w:val="21"/>
              </w:rPr>
              <w:t>.83</w:t>
            </w:r>
          </w:p>
        </w:tc>
        <w:tc>
          <w:tcPr>
            <w:tcW w:w="1268" w:type="dxa"/>
            <w:vMerge w:val="restart"/>
            <w:tcBorders>
              <w:top w:val="single" w:sz="4" w:space="0" w:color="000000"/>
              <w:left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53,949,157.</w:t>
            </w:r>
          </w:p>
          <w:p>
            <w:pPr>
              <w:pStyle w:val="TableParagraph"/>
              <w:spacing w:line="240" w:lineRule="auto" w:before="38"/>
              <w:ind w:right="19"/>
              <w:jc w:val="right"/>
              <w:rPr>
                <w:rFonts w:ascii="宋体" w:hAnsi="宋体" w:cs="宋体" w:eastAsia="宋体" w:hint="default"/>
                <w:sz w:val="21"/>
                <w:szCs w:val="21"/>
              </w:rPr>
            </w:pPr>
            <w:r>
              <w:rPr>
                <w:rFonts w:ascii="宋体"/>
                <w:sz w:val="21"/>
              </w:rPr>
              <w:t>83</w:t>
            </w:r>
          </w:p>
        </w:tc>
        <w:tc>
          <w:tcPr>
            <w:tcW w:w="1367" w:type="dxa"/>
            <w:vMerge w:val="restart"/>
            <w:tcBorders>
              <w:top w:val="single" w:sz="4" w:space="0" w:color="000000"/>
              <w:left w:val="single" w:sz="4" w:space="0" w:color="000000"/>
              <w:right w:val="single" w:sz="4" w:space="0" w:color="000000"/>
            </w:tcBorders>
          </w:tcPr>
          <w:p>
            <w:pPr>
              <w:pStyle w:val="TableParagraph"/>
              <w:spacing w:line="240" w:lineRule="auto" w:before="26"/>
              <w:ind w:right="19"/>
              <w:jc w:val="right"/>
              <w:rPr>
                <w:rFonts w:ascii="宋体" w:hAnsi="宋体" w:cs="宋体" w:eastAsia="宋体" w:hint="default"/>
                <w:sz w:val="21"/>
                <w:szCs w:val="21"/>
              </w:rPr>
            </w:pPr>
            <w:r>
              <w:rPr>
                <w:rFonts w:ascii="宋体"/>
                <w:sz w:val="21"/>
              </w:rPr>
              <w:t>360,215,700.</w:t>
            </w:r>
          </w:p>
          <w:p>
            <w:pPr>
              <w:pStyle w:val="TableParagraph"/>
              <w:spacing w:line="240" w:lineRule="auto" w:before="38"/>
              <w:ind w:right="19"/>
              <w:jc w:val="right"/>
              <w:rPr>
                <w:rFonts w:ascii="宋体" w:hAnsi="宋体" w:cs="宋体" w:eastAsia="宋体" w:hint="default"/>
                <w:sz w:val="21"/>
                <w:szCs w:val="21"/>
              </w:rPr>
            </w:pPr>
            <w:r>
              <w:rPr>
                <w:rFonts w:ascii="宋体"/>
                <w:sz w:val="21"/>
              </w:rPr>
              <w:t>00</w:t>
            </w:r>
          </w:p>
        </w:tc>
        <w:tc>
          <w:tcPr>
            <w:tcW w:w="1368" w:type="dxa"/>
            <w:vMerge w:val="restart"/>
            <w:tcBorders>
              <w:top w:val="single" w:sz="4" w:space="0" w:color="000000"/>
              <w:left w:val="single" w:sz="4" w:space="0" w:color="000000"/>
              <w:right w:val="single" w:sz="4" w:space="0" w:color="000000"/>
            </w:tcBorders>
          </w:tcPr>
          <w:p>
            <w:pPr>
              <w:pStyle w:val="TableParagraph"/>
              <w:spacing w:line="240" w:lineRule="auto" w:before="26"/>
              <w:ind w:right="19"/>
              <w:jc w:val="right"/>
              <w:rPr>
                <w:rFonts w:ascii="宋体" w:hAnsi="宋体" w:cs="宋体" w:eastAsia="宋体" w:hint="default"/>
                <w:sz w:val="21"/>
                <w:szCs w:val="21"/>
              </w:rPr>
            </w:pPr>
            <w:r>
              <w:rPr>
                <w:rFonts w:ascii="宋体"/>
                <w:sz w:val="21"/>
              </w:rPr>
              <w:t>348,898,257.</w:t>
            </w:r>
          </w:p>
          <w:p>
            <w:pPr>
              <w:pStyle w:val="TableParagraph"/>
              <w:spacing w:line="240" w:lineRule="auto" w:before="38"/>
              <w:ind w:right="19"/>
              <w:jc w:val="right"/>
              <w:rPr>
                <w:rFonts w:ascii="宋体" w:hAnsi="宋体" w:cs="宋体" w:eastAsia="宋体" w:hint="default"/>
                <w:sz w:val="21"/>
                <w:szCs w:val="21"/>
              </w:rPr>
            </w:pPr>
            <w:r>
              <w:rPr>
                <w:rFonts w:ascii="宋体"/>
                <w:sz w:val="21"/>
              </w:rPr>
              <w:t>83</w:t>
            </w:r>
          </w:p>
        </w:tc>
        <w:tc>
          <w:tcPr>
            <w:tcW w:w="1242" w:type="dxa"/>
            <w:vMerge w:val="restart"/>
            <w:tcBorders>
              <w:top w:val="single" w:sz="4" w:space="0" w:color="000000"/>
              <w:left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31,635,457.</w:t>
            </w:r>
          </w:p>
          <w:p>
            <w:pPr>
              <w:pStyle w:val="TableParagraph"/>
              <w:spacing w:line="240" w:lineRule="auto" w:before="38"/>
              <w:ind w:right="19"/>
              <w:jc w:val="right"/>
              <w:rPr>
                <w:rFonts w:ascii="宋体" w:hAnsi="宋体" w:cs="宋体" w:eastAsia="宋体" w:hint="default"/>
                <w:sz w:val="21"/>
                <w:szCs w:val="21"/>
              </w:rPr>
            </w:pPr>
            <w:r>
              <w:rPr>
                <w:rFonts w:ascii="宋体"/>
                <w:sz w:val="21"/>
              </w:rPr>
              <w:t>83</w:t>
            </w:r>
          </w:p>
        </w:tc>
        <w:tc>
          <w:tcPr>
            <w:tcW w:w="1418" w:type="dxa"/>
            <w:vMerge w:val="restart"/>
            <w:tcBorders>
              <w:top w:val="single" w:sz="4" w:space="0" w:color="000000"/>
              <w:left w:val="single" w:sz="4" w:space="0" w:color="000000"/>
              <w:right w:val="single" w:sz="4" w:space="0" w:color="000000"/>
            </w:tcBorders>
          </w:tcPr>
          <w:p>
            <w:pPr>
              <w:pStyle w:val="TableParagraph"/>
              <w:spacing w:line="240" w:lineRule="auto" w:before="26"/>
              <w:ind w:right="19"/>
              <w:jc w:val="right"/>
              <w:rPr>
                <w:rFonts w:ascii="宋体" w:hAnsi="宋体" w:cs="宋体" w:eastAsia="宋体" w:hint="default"/>
                <w:sz w:val="21"/>
                <w:szCs w:val="21"/>
              </w:rPr>
            </w:pPr>
            <w:r>
              <w:rPr>
                <w:rFonts w:ascii="宋体"/>
                <w:sz w:val="21"/>
              </w:rPr>
              <w:t>317,262,800.</w:t>
            </w:r>
          </w:p>
          <w:p>
            <w:pPr>
              <w:pStyle w:val="TableParagraph"/>
              <w:spacing w:line="240" w:lineRule="auto" w:before="38"/>
              <w:ind w:right="19"/>
              <w:jc w:val="right"/>
              <w:rPr>
                <w:rFonts w:ascii="宋体" w:hAnsi="宋体" w:cs="宋体" w:eastAsia="宋体" w:hint="default"/>
                <w:sz w:val="21"/>
                <w:szCs w:val="21"/>
              </w:rPr>
            </w:pPr>
            <w:r>
              <w:rPr>
                <w:rFonts w:ascii="宋体"/>
                <w:sz w:val="21"/>
              </w:rPr>
              <w:t>00</w:t>
            </w:r>
          </w:p>
        </w:tc>
      </w:tr>
      <w:tr>
        <w:trPr>
          <w:trHeight w:val="392" w:hRule="exact"/>
        </w:trPr>
        <w:tc>
          <w:tcPr>
            <w:tcW w:w="1560" w:type="dxa"/>
            <w:tcBorders>
              <w:top w:val="nil" w:sz="6" w:space="0" w:color="auto"/>
              <w:left w:val="single" w:sz="13" w:space="0" w:color="D2D2D2"/>
              <w:bottom w:val="nil" w:sz="6" w:space="0" w:color="auto"/>
              <w:right w:val="single" w:sz="9" w:space="0" w:color="D2D2D2"/>
            </w:tcBorders>
          </w:tcPr>
          <w:p>
            <w:pPr>
              <w:pStyle w:val="TableParagraph"/>
              <w:tabs>
                <w:tab w:pos="1516" w:val="left" w:leader="none"/>
              </w:tabs>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shd w:fill="D2D2D2" w:color="auto" w:val="clear"/>
              </w:rPr>
              <w:t>对子公司投资</w:t>
              <w:tab/>
            </w:r>
            <w:r>
              <w:rPr>
                <w:rFonts w:ascii="宋体" w:hAnsi="宋体" w:cs="宋体" w:eastAsia="宋体" w:hint="default"/>
                <w:sz w:val="21"/>
                <w:szCs w:val="21"/>
              </w:rPr>
            </w:r>
          </w:p>
        </w:tc>
        <w:tc>
          <w:tcPr>
            <w:tcW w:w="1276" w:type="dxa"/>
            <w:vMerge/>
            <w:tcBorders>
              <w:left w:val="single" w:sz="9" w:space="0" w:color="D2D2D2"/>
              <w:right w:val="single" w:sz="4" w:space="0" w:color="000000"/>
            </w:tcBorders>
          </w:tcPr>
          <w:p>
            <w:pPr/>
          </w:p>
        </w:tc>
        <w:tc>
          <w:tcPr>
            <w:tcW w:w="1268"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8" w:type="dxa"/>
            <w:vMerge/>
            <w:tcBorders>
              <w:left w:val="single" w:sz="4" w:space="0" w:color="000000"/>
              <w:right w:val="single" w:sz="4" w:space="0" w:color="000000"/>
            </w:tcBorders>
          </w:tcPr>
          <w:p>
            <w:pPr/>
          </w:p>
        </w:tc>
        <w:tc>
          <w:tcPr>
            <w:tcW w:w="1242"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r>
      <w:tr>
        <w:trPr>
          <w:trHeight w:val="161" w:hRule="exact"/>
        </w:trPr>
        <w:tc>
          <w:tcPr>
            <w:tcW w:w="1560" w:type="dxa"/>
            <w:tcBorders>
              <w:top w:val="nil" w:sz="6" w:space="0" w:color="auto"/>
              <w:left w:val="single" w:sz="4" w:space="0" w:color="000000"/>
              <w:bottom w:val="single" w:sz="4" w:space="0" w:color="000000"/>
              <w:right w:val="single" w:sz="4" w:space="0" w:color="000000"/>
            </w:tcBorders>
            <w:shd w:val="clear" w:color="auto" w:fill="D2D2D2"/>
          </w:tcPr>
          <w:p>
            <w:pPr/>
          </w:p>
        </w:tc>
        <w:tc>
          <w:tcPr>
            <w:tcW w:w="1276" w:type="dxa"/>
            <w:vMerge/>
            <w:tcBorders>
              <w:left w:val="single" w:sz="9" w:space="0" w:color="D2D2D2"/>
              <w:bottom w:val="single" w:sz="4" w:space="0" w:color="000000"/>
              <w:right w:val="single" w:sz="4" w:space="0" w:color="000000"/>
            </w:tcBorders>
          </w:tcPr>
          <w:p>
            <w:pPr/>
          </w:p>
        </w:tc>
        <w:tc>
          <w:tcPr>
            <w:tcW w:w="1268" w:type="dxa"/>
            <w:vMerge/>
            <w:tcBorders>
              <w:left w:val="single" w:sz="4" w:space="0" w:color="000000"/>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c>
          <w:tcPr>
            <w:tcW w:w="1368" w:type="dxa"/>
            <w:vMerge/>
            <w:tcBorders>
              <w:left w:val="single" w:sz="4" w:space="0" w:color="000000"/>
              <w:bottom w:val="single" w:sz="4" w:space="0" w:color="000000"/>
              <w:right w:val="single" w:sz="4" w:space="0" w:color="000000"/>
            </w:tcBorders>
          </w:tcPr>
          <w:p>
            <w:pPr/>
          </w:p>
        </w:tc>
        <w:tc>
          <w:tcPr>
            <w:tcW w:w="1242" w:type="dxa"/>
            <w:vMerge/>
            <w:tcBorders>
              <w:left w:val="single" w:sz="4" w:space="0" w:color="000000"/>
              <w:bottom w:val="single" w:sz="4" w:space="0" w:color="000000"/>
              <w:right w:val="single" w:sz="4" w:space="0" w:color="000000"/>
            </w:tcBorders>
          </w:tcPr>
          <w:p>
            <w:pPr/>
          </w:p>
        </w:tc>
        <w:tc>
          <w:tcPr>
            <w:tcW w:w="1418" w:type="dxa"/>
            <w:vMerge/>
            <w:tcBorders>
              <w:left w:val="single" w:sz="4" w:space="0" w:color="000000"/>
              <w:bottom w:val="single" w:sz="4" w:space="0" w:color="000000"/>
              <w:right w:val="single" w:sz="4" w:space="0" w:color="000000"/>
            </w:tcBorders>
          </w:tcPr>
          <w:p>
            <w:pPr/>
          </w:p>
        </w:tc>
      </w:tr>
      <w:tr>
        <w:trPr>
          <w:trHeight w:val="714"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22" w:right="57"/>
              <w:jc w:val="left"/>
              <w:rPr>
                <w:rFonts w:ascii="宋体" w:hAnsi="宋体" w:cs="宋体" w:eastAsia="宋体" w:hint="default"/>
                <w:sz w:val="21"/>
                <w:szCs w:val="21"/>
              </w:rPr>
            </w:pPr>
            <w:r>
              <w:rPr>
                <w:rFonts w:ascii="宋体" w:hAnsi="宋体" w:cs="宋体" w:eastAsia="宋体" w:hint="default"/>
                <w:sz w:val="21"/>
                <w:szCs w:val="21"/>
              </w:rPr>
              <w:t>对联营、合营企 业投资</w:t>
            </w:r>
          </w:p>
        </w:tc>
        <w:tc>
          <w:tcPr>
            <w:tcW w:w="127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73,098,570.</w:t>
            </w:r>
          </w:p>
          <w:p>
            <w:pPr>
              <w:pStyle w:val="TableParagraph"/>
              <w:spacing w:line="240" w:lineRule="auto" w:before="38"/>
              <w:ind w:right="20"/>
              <w:jc w:val="right"/>
              <w:rPr>
                <w:rFonts w:ascii="宋体" w:hAnsi="宋体" w:cs="宋体" w:eastAsia="宋体" w:hint="default"/>
                <w:sz w:val="21"/>
                <w:szCs w:val="21"/>
              </w:rPr>
            </w:pPr>
            <w:r>
              <w:rPr>
                <w:rFonts w:ascii="宋体"/>
                <w:sz w:val="21"/>
              </w:rPr>
              <w:t>01</w:t>
            </w:r>
          </w:p>
        </w:tc>
        <w:tc>
          <w:tcPr>
            <w:tcW w:w="12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9"/>
              <w:jc w:val="right"/>
              <w:rPr>
                <w:rFonts w:ascii="宋体" w:hAnsi="宋体" w:cs="宋体" w:eastAsia="宋体" w:hint="default"/>
                <w:sz w:val="21"/>
                <w:szCs w:val="21"/>
              </w:rPr>
            </w:pPr>
            <w:r>
              <w:rPr>
                <w:rFonts w:ascii="宋体"/>
                <w:sz w:val="21"/>
              </w:rPr>
              <w:t>73,098,570.0</w:t>
            </w:r>
          </w:p>
          <w:p>
            <w:pPr>
              <w:pStyle w:val="TableParagraph"/>
              <w:spacing w:line="240" w:lineRule="auto" w:before="38"/>
              <w:ind w:right="20"/>
              <w:jc w:val="right"/>
              <w:rPr>
                <w:rFonts w:ascii="宋体" w:hAnsi="宋体" w:cs="宋体" w:eastAsia="宋体" w:hint="default"/>
                <w:sz w:val="21"/>
                <w:szCs w:val="21"/>
              </w:rPr>
            </w:pPr>
            <w:r>
              <w:rPr>
                <w:rFonts w:ascii="宋体"/>
                <w:sz w:val="21"/>
              </w:rPr>
              <w:t>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9"/>
              <w:jc w:val="right"/>
              <w:rPr>
                <w:rFonts w:ascii="宋体" w:hAnsi="宋体" w:cs="宋体" w:eastAsia="宋体" w:hint="default"/>
                <w:sz w:val="21"/>
                <w:szCs w:val="21"/>
              </w:rPr>
            </w:pPr>
            <w:r>
              <w:rPr>
                <w:rFonts w:ascii="宋体"/>
                <w:sz w:val="21"/>
              </w:rPr>
              <w:t>164,283,266.</w:t>
            </w:r>
          </w:p>
          <w:p>
            <w:pPr>
              <w:pStyle w:val="TableParagraph"/>
              <w:spacing w:line="240" w:lineRule="auto" w:before="38"/>
              <w:ind w:right="19"/>
              <w:jc w:val="right"/>
              <w:rPr>
                <w:rFonts w:ascii="宋体" w:hAnsi="宋体" w:cs="宋体" w:eastAsia="宋体" w:hint="default"/>
                <w:sz w:val="21"/>
                <w:szCs w:val="21"/>
              </w:rPr>
            </w:pPr>
            <w:r>
              <w:rPr>
                <w:rFonts w:ascii="宋体"/>
                <w:sz w:val="21"/>
              </w:rPr>
              <w:t>37</w:t>
            </w:r>
          </w:p>
        </w:tc>
        <w:tc>
          <w:tcPr>
            <w:tcW w:w="1242"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9"/>
              <w:jc w:val="right"/>
              <w:rPr>
                <w:rFonts w:ascii="宋体" w:hAnsi="宋体" w:cs="宋体" w:eastAsia="宋体" w:hint="default"/>
                <w:sz w:val="21"/>
                <w:szCs w:val="21"/>
              </w:rPr>
            </w:pPr>
            <w:r>
              <w:rPr>
                <w:rFonts w:ascii="宋体"/>
                <w:sz w:val="21"/>
              </w:rPr>
              <w:t>164,283,266.</w:t>
            </w:r>
          </w:p>
          <w:p>
            <w:pPr>
              <w:pStyle w:val="TableParagraph"/>
              <w:spacing w:line="240" w:lineRule="auto" w:before="38"/>
              <w:ind w:right="19"/>
              <w:jc w:val="right"/>
              <w:rPr>
                <w:rFonts w:ascii="宋体" w:hAnsi="宋体" w:cs="宋体" w:eastAsia="宋体" w:hint="default"/>
                <w:sz w:val="21"/>
                <w:szCs w:val="21"/>
              </w:rPr>
            </w:pPr>
            <w:r>
              <w:rPr>
                <w:rFonts w:ascii="宋体"/>
                <w:sz w:val="21"/>
              </w:rPr>
              <w:t>37</w:t>
            </w:r>
          </w:p>
        </w:tc>
      </w:tr>
      <w:tr>
        <w:trPr>
          <w:trHeight w:val="161" w:hRule="exact"/>
        </w:trPr>
        <w:tc>
          <w:tcPr>
            <w:tcW w:w="1560" w:type="dxa"/>
            <w:tcBorders>
              <w:top w:val="single" w:sz="4" w:space="0" w:color="000000"/>
              <w:left w:val="single" w:sz="4" w:space="0" w:color="000000"/>
              <w:bottom w:val="nil" w:sz="6" w:space="0" w:color="auto"/>
              <w:right w:val="single" w:sz="4" w:space="0" w:color="000000"/>
            </w:tcBorders>
            <w:shd w:val="clear" w:color="auto" w:fill="D2D2D2"/>
          </w:tcPr>
          <w:p>
            <w:pPr/>
          </w:p>
        </w:tc>
        <w:tc>
          <w:tcPr>
            <w:tcW w:w="1276" w:type="dxa"/>
            <w:vMerge w:val="restart"/>
            <w:tcBorders>
              <w:top w:val="single" w:sz="4" w:space="0" w:color="000000"/>
              <w:left w:val="single" w:sz="9" w:space="0" w:color="D2D2D2"/>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487,263,427</w:t>
            </w:r>
          </w:p>
          <w:p>
            <w:pPr>
              <w:pStyle w:val="TableParagraph"/>
              <w:spacing w:line="240" w:lineRule="auto" w:before="38"/>
              <w:ind w:right="21"/>
              <w:jc w:val="right"/>
              <w:rPr>
                <w:rFonts w:ascii="宋体" w:hAnsi="宋体" w:cs="宋体" w:eastAsia="宋体" w:hint="default"/>
                <w:sz w:val="21"/>
                <w:szCs w:val="21"/>
              </w:rPr>
            </w:pPr>
            <w:r>
              <w:rPr>
                <w:rFonts w:ascii="宋体"/>
                <w:sz w:val="21"/>
              </w:rPr>
              <w:t>.84</w:t>
            </w:r>
          </w:p>
        </w:tc>
        <w:tc>
          <w:tcPr>
            <w:tcW w:w="1268" w:type="dxa"/>
            <w:vMerge w:val="restart"/>
            <w:tcBorders>
              <w:top w:val="single" w:sz="4" w:space="0" w:color="000000"/>
              <w:left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53,949,157.</w:t>
            </w:r>
          </w:p>
          <w:p>
            <w:pPr>
              <w:pStyle w:val="TableParagraph"/>
              <w:spacing w:line="240" w:lineRule="auto" w:before="38"/>
              <w:ind w:right="19"/>
              <w:jc w:val="right"/>
              <w:rPr>
                <w:rFonts w:ascii="宋体" w:hAnsi="宋体" w:cs="宋体" w:eastAsia="宋体" w:hint="default"/>
                <w:sz w:val="21"/>
                <w:szCs w:val="21"/>
              </w:rPr>
            </w:pPr>
            <w:r>
              <w:rPr>
                <w:rFonts w:ascii="宋体"/>
                <w:sz w:val="21"/>
              </w:rPr>
              <w:t>83</w:t>
            </w:r>
          </w:p>
        </w:tc>
        <w:tc>
          <w:tcPr>
            <w:tcW w:w="1367" w:type="dxa"/>
            <w:vMerge w:val="restart"/>
            <w:tcBorders>
              <w:top w:val="single" w:sz="4" w:space="0" w:color="000000"/>
              <w:left w:val="single" w:sz="4" w:space="0" w:color="000000"/>
              <w:right w:val="single" w:sz="4" w:space="0" w:color="000000"/>
            </w:tcBorders>
          </w:tcPr>
          <w:p>
            <w:pPr>
              <w:pStyle w:val="TableParagraph"/>
              <w:spacing w:line="240" w:lineRule="auto" w:before="26"/>
              <w:ind w:right="19"/>
              <w:jc w:val="right"/>
              <w:rPr>
                <w:rFonts w:ascii="宋体" w:hAnsi="宋体" w:cs="宋体" w:eastAsia="宋体" w:hint="default"/>
                <w:sz w:val="21"/>
                <w:szCs w:val="21"/>
              </w:rPr>
            </w:pPr>
            <w:r>
              <w:rPr>
                <w:rFonts w:ascii="宋体"/>
                <w:sz w:val="21"/>
              </w:rPr>
              <w:t>433,314,270.</w:t>
            </w:r>
          </w:p>
          <w:p>
            <w:pPr>
              <w:pStyle w:val="TableParagraph"/>
              <w:spacing w:line="240" w:lineRule="auto" w:before="38"/>
              <w:ind w:right="19"/>
              <w:jc w:val="right"/>
              <w:rPr>
                <w:rFonts w:ascii="宋体" w:hAnsi="宋体" w:cs="宋体" w:eastAsia="宋体" w:hint="default"/>
                <w:sz w:val="21"/>
                <w:szCs w:val="21"/>
              </w:rPr>
            </w:pPr>
            <w:r>
              <w:rPr>
                <w:rFonts w:ascii="宋体"/>
                <w:sz w:val="21"/>
              </w:rPr>
              <w:t>01</w:t>
            </w:r>
          </w:p>
        </w:tc>
        <w:tc>
          <w:tcPr>
            <w:tcW w:w="1368" w:type="dxa"/>
            <w:vMerge w:val="restart"/>
            <w:tcBorders>
              <w:top w:val="single" w:sz="4" w:space="0" w:color="000000"/>
              <w:left w:val="single" w:sz="4" w:space="0" w:color="000000"/>
              <w:right w:val="single" w:sz="4" w:space="0" w:color="000000"/>
            </w:tcBorders>
          </w:tcPr>
          <w:p>
            <w:pPr>
              <w:pStyle w:val="TableParagraph"/>
              <w:spacing w:line="240" w:lineRule="auto" w:before="26"/>
              <w:ind w:right="19"/>
              <w:jc w:val="right"/>
              <w:rPr>
                <w:rFonts w:ascii="宋体" w:hAnsi="宋体" w:cs="宋体" w:eastAsia="宋体" w:hint="default"/>
                <w:sz w:val="21"/>
                <w:szCs w:val="21"/>
              </w:rPr>
            </w:pPr>
            <w:r>
              <w:rPr>
                <w:rFonts w:ascii="宋体"/>
                <w:sz w:val="21"/>
              </w:rPr>
              <w:t>513,181,524.</w:t>
            </w:r>
          </w:p>
          <w:p>
            <w:pPr>
              <w:pStyle w:val="TableParagraph"/>
              <w:spacing w:line="240" w:lineRule="auto" w:before="38"/>
              <w:ind w:right="19"/>
              <w:jc w:val="right"/>
              <w:rPr>
                <w:rFonts w:ascii="宋体" w:hAnsi="宋体" w:cs="宋体" w:eastAsia="宋体" w:hint="default"/>
                <w:sz w:val="21"/>
                <w:szCs w:val="21"/>
              </w:rPr>
            </w:pPr>
            <w:r>
              <w:rPr>
                <w:rFonts w:ascii="宋体"/>
                <w:sz w:val="21"/>
              </w:rPr>
              <w:t>20</w:t>
            </w:r>
          </w:p>
        </w:tc>
        <w:tc>
          <w:tcPr>
            <w:tcW w:w="1242" w:type="dxa"/>
            <w:vMerge w:val="restart"/>
            <w:tcBorders>
              <w:top w:val="single" w:sz="4" w:space="0" w:color="000000"/>
              <w:left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31,635,457.</w:t>
            </w:r>
          </w:p>
          <w:p>
            <w:pPr>
              <w:pStyle w:val="TableParagraph"/>
              <w:spacing w:line="240" w:lineRule="auto" w:before="38"/>
              <w:ind w:right="19"/>
              <w:jc w:val="right"/>
              <w:rPr>
                <w:rFonts w:ascii="宋体" w:hAnsi="宋体" w:cs="宋体" w:eastAsia="宋体" w:hint="default"/>
                <w:sz w:val="21"/>
                <w:szCs w:val="21"/>
              </w:rPr>
            </w:pPr>
            <w:r>
              <w:rPr>
                <w:rFonts w:ascii="宋体"/>
                <w:sz w:val="21"/>
              </w:rPr>
              <w:t>83</w:t>
            </w:r>
          </w:p>
        </w:tc>
        <w:tc>
          <w:tcPr>
            <w:tcW w:w="1418" w:type="dxa"/>
            <w:vMerge w:val="restart"/>
            <w:tcBorders>
              <w:top w:val="single" w:sz="4" w:space="0" w:color="000000"/>
              <w:left w:val="single" w:sz="4" w:space="0" w:color="000000"/>
              <w:right w:val="single" w:sz="4" w:space="0" w:color="000000"/>
            </w:tcBorders>
          </w:tcPr>
          <w:p>
            <w:pPr>
              <w:pStyle w:val="TableParagraph"/>
              <w:spacing w:line="240" w:lineRule="auto" w:before="26"/>
              <w:ind w:right="19"/>
              <w:jc w:val="right"/>
              <w:rPr>
                <w:rFonts w:ascii="宋体" w:hAnsi="宋体" w:cs="宋体" w:eastAsia="宋体" w:hint="default"/>
                <w:sz w:val="21"/>
                <w:szCs w:val="21"/>
              </w:rPr>
            </w:pPr>
            <w:r>
              <w:rPr>
                <w:rFonts w:ascii="宋体"/>
                <w:sz w:val="21"/>
              </w:rPr>
              <w:t>481,546,066.</w:t>
            </w:r>
          </w:p>
          <w:p>
            <w:pPr>
              <w:pStyle w:val="TableParagraph"/>
              <w:spacing w:line="240" w:lineRule="auto" w:before="38"/>
              <w:ind w:right="19"/>
              <w:jc w:val="right"/>
              <w:rPr>
                <w:rFonts w:ascii="宋体" w:hAnsi="宋体" w:cs="宋体" w:eastAsia="宋体" w:hint="default"/>
                <w:sz w:val="21"/>
                <w:szCs w:val="21"/>
              </w:rPr>
            </w:pPr>
            <w:r>
              <w:rPr>
                <w:rFonts w:ascii="宋体"/>
                <w:sz w:val="21"/>
              </w:rPr>
              <w:t>37</w:t>
            </w:r>
          </w:p>
        </w:tc>
      </w:tr>
      <w:tr>
        <w:trPr>
          <w:trHeight w:val="392" w:hRule="exact"/>
        </w:trPr>
        <w:tc>
          <w:tcPr>
            <w:tcW w:w="156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276" w:type="dxa"/>
            <w:vMerge/>
            <w:tcBorders>
              <w:left w:val="single" w:sz="9" w:space="0" w:color="D2D2D2"/>
              <w:right w:val="single" w:sz="4" w:space="0" w:color="000000"/>
            </w:tcBorders>
          </w:tcPr>
          <w:p>
            <w:pPr/>
          </w:p>
        </w:tc>
        <w:tc>
          <w:tcPr>
            <w:tcW w:w="1268"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8" w:type="dxa"/>
            <w:vMerge/>
            <w:tcBorders>
              <w:left w:val="single" w:sz="4" w:space="0" w:color="000000"/>
              <w:right w:val="single" w:sz="4" w:space="0" w:color="000000"/>
            </w:tcBorders>
          </w:tcPr>
          <w:p>
            <w:pPr/>
          </w:p>
        </w:tc>
        <w:tc>
          <w:tcPr>
            <w:tcW w:w="1242"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r>
      <w:tr>
        <w:trPr>
          <w:trHeight w:val="161" w:hRule="exact"/>
        </w:trPr>
        <w:tc>
          <w:tcPr>
            <w:tcW w:w="1560" w:type="dxa"/>
            <w:tcBorders>
              <w:top w:val="nil" w:sz="6" w:space="0" w:color="auto"/>
              <w:left w:val="single" w:sz="4" w:space="0" w:color="000000"/>
              <w:bottom w:val="single" w:sz="4" w:space="0" w:color="000000"/>
              <w:right w:val="single" w:sz="4" w:space="0" w:color="000000"/>
            </w:tcBorders>
            <w:shd w:val="clear" w:color="auto" w:fill="D2D2D2"/>
          </w:tcPr>
          <w:p>
            <w:pPr/>
          </w:p>
        </w:tc>
        <w:tc>
          <w:tcPr>
            <w:tcW w:w="1276" w:type="dxa"/>
            <w:vMerge/>
            <w:tcBorders>
              <w:left w:val="single" w:sz="9" w:space="0" w:color="D2D2D2"/>
              <w:bottom w:val="single" w:sz="4" w:space="0" w:color="000000"/>
              <w:right w:val="single" w:sz="4" w:space="0" w:color="000000"/>
            </w:tcBorders>
          </w:tcPr>
          <w:p>
            <w:pPr/>
          </w:p>
        </w:tc>
        <w:tc>
          <w:tcPr>
            <w:tcW w:w="1268" w:type="dxa"/>
            <w:vMerge/>
            <w:tcBorders>
              <w:left w:val="single" w:sz="4" w:space="0" w:color="000000"/>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c>
          <w:tcPr>
            <w:tcW w:w="1368" w:type="dxa"/>
            <w:vMerge/>
            <w:tcBorders>
              <w:left w:val="single" w:sz="4" w:space="0" w:color="000000"/>
              <w:bottom w:val="single" w:sz="4" w:space="0" w:color="000000"/>
              <w:right w:val="single" w:sz="4" w:space="0" w:color="000000"/>
            </w:tcBorders>
          </w:tcPr>
          <w:p>
            <w:pPr/>
          </w:p>
        </w:tc>
        <w:tc>
          <w:tcPr>
            <w:tcW w:w="1242" w:type="dxa"/>
            <w:vMerge/>
            <w:tcBorders>
              <w:left w:val="single" w:sz="4" w:space="0" w:color="000000"/>
              <w:bottom w:val="single" w:sz="4" w:space="0" w:color="000000"/>
              <w:right w:val="single" w:sz="4" w:space="0" w:color="000000"/>
            </w:tcBorders>
          </w:tcPr>
          <w:p>
            <w:pPr/>
          </w:p>
        </w:tc>
        <w:tc>
          <w:tcPr>
            <w:tcW w:w="1418" w:type="dxa"/>
            <w:vMerge/>
            <w:tcBorders>
              <w:left w:val="single" w:sz="4" w:space="0" w:color="000000"/>
              <w:bottom w:val="single" w:sz="4" w:space="0" w:color="000000"/>
              <w:right w:val="single" w:sz="4" w:space="0" w:color="000000"/>
            </w:tcBorders>
          </w:tcPr>
          <w:p>
            <w:pPr/>
          </w:p>
        </w:tc>
      </w:tr>
    </w:tbl>
    <w:p>
      <w:pPr>
        <w:spacing w:line="240" w:lineRule="auto" w:before="9"/>
        <w:rPr>
          <w:rFonts w:ascii="宋体" w:hAnsi="宋体" w:cs="宋体" w:eastAsia="宋体" w:hint="default"/>
          <w:sz w:val="6"/>
          <w:szCs w:val="6"/>
        </w:rPr>
      </w:pPr>
    </w:p>
    <w:p>
      <w:pPr>
        <w:spacing w:before="35"/>
        <w:ind w:left="816" w:right="1117" w:firstLine="0"/>
        <w:jc w:val="left"/>
        <w:rPr>
          <w:rFonts w:ascii="宋体" w:hAnsi="宋体" w:cs="宋体" w:eastAsia="宋体" w:hint="default"/>
          <w:sz w:val="21"/>
          <w:szCs w:val="21"/>
        </w:rPr>
      </w:pPr>
      <w:bookmarkStart w:name="（1）对子公司投资" w:id="544"/>
      <w:bookmarkEnd w:id="544"/>
      <w:r>
        <w:rPr/>
      </w:r>
      <w:r>
        <w:rPr>
          <w:rFonts w:ascii="宋体" w:hAnsi="宋体" w:cs="宋体" w:eastAsia="宋体" w:hint="default"/>
          <w:b/>
          <w:bCs/>
          <w:sz w:val="21"/>
          <w:szCs w:val="21"/>
        </w:rPr>
        <w:t>（</w:t>
      </w:r>
      <w:r>
        <w:rPr>
          <w:rFonts w:ascii="宋体" w:hAnsi="宋体" w:cs="宋体" w:eastAsia="宋体" w:hint="default"/>
          <w:b/>
          <w:bCs/>
          <w:sz w:val="21"/>
          <w:szCs w:val="21"/>
        </w:rPr>
        <w:t>1</w:t>
      </w:r>
      <w:r>
        <w:rPr>
          <w:rFonts w:ascii="宋体" w:hAnsi="宋体" w:cs="宋体" w:eastAsia="宋体" w:hint="default"/>
          <w:b/>
          <w:bCs/>
          <w:sz w:val="21"/>
          <w:szCs w:val="21"/>
        </w:rPr>
        <w:t>）对子公司投资</w:t>
      </w:r>
      <w:r>
        <w:rPr>
          <w:rFonts w:ascii="宋体" w:hAnsi="宋体" w:cs="宋体" w:eastAsia="宋体" w:hint="default"/>
          <w:sz w:val="21"/>
          <w:szCs w:val="21"/>
        </w:rPr>
      </w:r>
    </w:p>
    <w:p>
      <w:pPr>
        <w:spacing w:before="88"/>
        <w:ind w:left="0" w:right="1129" w:firstLine="0"/>
        <w:jc w:val="right"/>
        <w:rPr>
          <w:rFonts w:ascii="宋体" w:hAnsi="宋体" w:cs="宋体" w:eastAsia="宋体" w:hint="default"/>
          <w:sz w:val="21"/>
          <w:szCs w:val="21"/>
        </w:rPr>
      </w:pPr>
      <w:r>
        <w:rPr>
          <w:rFonts w:ascii="宋体" w:hAnsi="宋体" w:cs="宋体" w:eastAsia="宋体" w:hint="default"/>
          <w:sz w:val="21"/>
          <w:szCs w:val="21"/>
        </w:rPr>
        <w:t>单位： 元</w:t>
      </w:r>
    </w:p>
    <w:p>
      <w:pPr>
        <w:spacing w:line="240" w:lineRule="auto" w:before="13"/>
        <w:rPr>
          <w:rFonts w:ascii="宋体" w:hAnsi="宋体" w:cs="宋体" w:eastAsia="宋体" w:hint="default"/>
          <w:sz w:val="6"/>
          <w:szCs w:val="6"/>
        </w:rPr>
      </w:pPr>
    </w:p>
    <w:tbl>
      <w:tblPr>
        <w:tblW w:w="0" w:type="auto"/>
        <w:jc w:val="left"/>
        <w:tblInd w:w="389" w:type="dxa"/>
        <w:tblLayout w:type="fixed"/>
        <w:tblCellMar>
          <w:top w:w="0" w:type="dxa"/>
          <w:left w:w="0" w:type="dxa"/>
          <w:bottom w:w="0" w:type="dxa"/>
          <w:right w:w="0" w:type="dxa"/>
        </w:tblCellMar>
        <w:tblLook w:val="01E0"/>
      </w:tblPr>
      <w:tblGrid>
        <w:gridCol w:w="1448"/>
        <w:gridCol w:w="1530"/>
        <w:gridCol w:w="1559"/>
        <w:gridCol w:w="568"/>
        <w:gridCol w:w="1560"/>
        <w:gridCol w:w="1514"/>
        <w:gridCol w:w="1604"/>
      </w:tblGrid>
      <w:tr>
        <w:trPr>
          <w:trHeight w:val="713"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193" w:right="0"/>
              <w:jc w:val="left"/>
              <w:rPr>
                <w:rFonts w:ascii="宋体" w:hAnsi="宋体" w:cs="宋体" w:eastAsia="宋体" w:hint="default"/>
                <w:sz w:val="21"/>
                <w:szCs w:val="21"/>
              </w:rPr>
            </w:pPr>
            <w:r>
              <w:rPr>
                <w:rFonts w:ascii="宋体" w:hAnsi="宋体" w:cs="宋体" w:eastAsia="宋体" w:hint="default"/>
                <w:sz w:val="21"/>
                <w:szCs w:val="21"/>
              </w:rPr>
              <w:t>被投资单位</w:t>
            </w:r>
          </w:p>
        </w:tc>
        <w:tc>
          <w:tcPr>
            <w:tcW w:w="1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339"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354"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5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68" w:right="67"/>
              <w:jc w:val="left"/>
              <w:rPr>
                <w:rFonts w:ascii="宋体" w:hAnsi="宋体" w:cs="宋体" w:eastAsia="宋体" w:hint="default"/>
                <w:sz w:val="21"/>
                <w:szCs w:val="21"/>
              </w:rPr>
            </w:pPr>
            <w:r>
              <w:rPr>
                <w:rFonts w:ascii="宋体" w:hAnsi="宋体" w:cs="宋体" w:eastAsia="宋体" w:hint="default"/>
                <w:sz w:val="21"/>
                <w:szCs w:val="21"/>
              </w:rPr>
              <w:t>本期 减少</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353"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541" w:right="120" w:hanging="421"/>
              <w:jc w:val="left"/>
              <w:rPr>
                <w:rFonts w:ascii="宋体" w:hAnsi="宋体" w:cs="宋体" w:eastAsia="宋体" w:hint="default"/>
                <w:sz w:val="21"/>
                <w:szCs w:val="21"/>
              </w:rPr>
            </w:pPr>
            <w:r>
              <w:rPr>
                <w:rFonts w:ascii="宋体" w:hAnsi="宋体" w:cs="宋体" w:eastAsia="宋体" w:hint="default"/>
                <w:sz w:val="21"/>
                <w:szCs w:val="21"/>
              </w:rPr>
              <w:t>本期计提减值 准备</w:t>
            </w:r>
          </w:p>
        </w:tc>
        <w:tc>
          <w:tcPr>
            <w:tcW w:w="16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691" w:right="61" w:hanging="630"/>
              <w:jc w:val="left"/>
              <w:rPr>
                <w:rFonts w:ascii="宋体" w:hAnsi="宋体" w:cs="宋体" w:eastAsia="宋体" w:hint="default"/>
                <w:sz w:val="21"/>
                <w:szCs w:val="21"/>
              </w:rPr>
            </w:pPr>
            <w:r>
              <w:rPr>
                <w:rFonts w:ascii="宋体" w:hAnsi="宋体" w:cs="宋体" w:eastAsia="宋体" w:hint="default"/>
                <w:sz w:val="21"/>
                <w:szCs w:val="21"/>
              </w:rPr>
              <w:t>减值准备期末余 额</w:t>
            </w: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7"/>
              <w:ind w:left="22" w:right="153"/>
              <w:jc w:val="left"/>
              <w:rPr>
                <w:rFonts w:ascii="宋体" w:hAnsi="宋体" w:cs="宋体" w:eastAsia="宋体" w:hint="default"/>
                <w:sz w:val="21"/>
                <w:szCs w:val="21"/>
              </w:rPr>
            </w:pPr>
            <w:r>
              <w:rPr>
                <w:rFonts w:ascii="宋体" w:hAnsi="宋体" w:cs="宋体" w:eastAsia="宋体" w:hint="default"/>
                <w:sz w:val="21"/>
                <w:szCs w:val="21"/>
              </w:rPr>
              <w:t>河南辉煌软件 有限公司</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21"/>
              <w:jc w:val="right"/>
              <w:rPr>
                <w:rFonts w:ascii="宋体" w:hAnsi="宋体" w:cs="宋体" w:eastAsia="宋体" w:hint="default"/>
                <w:sz w:val="21"/>
                <w:szCs w:val="21"/>
              </w:rPr>
            </w:pPr>
            <w:r>
              <w:rPr>
                <w:rFonts w:ascii="宋体"/>
                <w:sz w:val="21"/>
              </w:rPr>
              <w:t>15,000,000.00</w:t>
            </w:r>
          </w:p>
        </w:tc>
        <w:tc>
          <w:tcPr>
            <w:tcW w:w="1559"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21"/>
              <w:jc w:val="right"/>
              <w:rPr>
                <w:rFonts w:ascii="宋体" w:hAnsi="宋体" w:cs="宋体" w:eastAsia="宋体" w:hint="default"/>
                <w:sz w:val="21"/>
                <w:szCs w:val="21"/>
              </w:rPr>
            </w:pPr>
            <w:r>
              <w:rPr>
                <w:rFonts w:ascii="宋体"/>
                <w:sz w:val="21"/>
              </w:rPr>
              <w:t>15,000,000.00</w:t>
            </w:r>
          </w:p>
        </w:tc>
        <w:tc>
          <w:tcPr>
            <w:tcW w:w="1514" w:type="dxa"/>
            <w:tcBorders>
              <w:top w:val="single" w:sz="4" w:space="0" w:color="000000"/>
              <w:left w:val="single" w:sz="4" w:space="0" w:color="000000"/>
              <w:bottom w:val="single" w:sz="4" w:space="0" w:color="000000"/>
              <w:right w:val="single" w:sz="4" w:space="0" w:color="000000"/>
            </w:tcBorders>
          </w:tcPr>
          <w:p>
            <w:pPr/>
          </w:p>
        </w:tc>
        <w:tc>
          <w:tcPr>
            <w:tcW w:w="1604"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7"/>
              <w:ind w:left="22" w:right="153"/>
              <w:jc w:val="both"/>
              <w:rPr>
                <w:rFonts w:ascii="宋体" w:hAnsi="宋体" w:cs="宋体" w:eastAsia="宋体" w:hint="default"/>
                <w:sz w:val="21"/>
                <w:szCs w:val="21"/>
              </w:rPr>
            </w:pPr>
            <w:r>
              <w:rPr>
                <w:rFonts w:ascii="宋体" w:hAnsi="宋体" w:cs="宋体" w:eastAsia="宋体" w:hint="default"/>
                <w:sz w:val="21"/>
                <w:szCs w:val="21"/>
              </w:rPr>
              <w:t>北京全路信通 软件科技有限 公司</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right="20"/>
              <w:jc w:val="right"/>
              <w:rPr>
                <w:rFonts w:ascii="宋体" w:hAnsi="宋体" w:cs="宋体" w:eastAsia="宋体" w:hint="default"/>
                <w:sz w:val="21"/>
                <w:szCs w:val="21"/>
              </w:rPr>
            </w:pPr>
            <w:r>
              <w:rPr>
                <w:rFonts w:ascii="宋体"/>
                <w:sz w:val="21"/>
              </w:rPr>
              <w:t>5,000,000.00</w:t>
            </w:r>
          </w:p>
        </w:tc>
        <w:tc>
          <w:tcPr>
            <w:tcW w:w="1559"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right="20"/>
              <w:jc w:val="right"/>
              <w:rPr>
                <w:rFonts w:ascii="宋体" w:hAnsi="宋体" w:cs="宋体" w:eastAsia="宋体" w:hint="default"/>
                <w:sz w:val="21"/>
                <w:szCs w:val="21"/>
              </w:rPr>
            </w:pPr>
            <w:r>
              <w:rPr>
                <w:rFonts w:ascii="宋体"/>
                <w:sz w:val="21"/>
              </w:rPr>
              <w:t>5,000,000.00</w:t>
            </w:r>
          </w:p>
        </w:tc>
        <w:tc>
          <w:tcPr>
            <w:tcW w:w="1514" w:type="dxa"/>
            <w:tcBorders>
              <w:top w:val="single" w:sz="4" w:space="0" w:color="000000"/>
              <w:left w:val="single" w:sz="4" w:space="0" w:color="000000"/>
              <w:bottom w:val="single" w:sz="4" w:space="0" w:color="000000"/>
              <w:right w:val="single" w:sz="4" w:space="0" w:color="000000"/>
            </w:tcBorders>
          </w:tcPr>
          <w:p>
            <w:pPr/>
          </w:p>
        </w:tc>
        <w:tc>
          <w:tcPr>
            <w:tcW w:w="160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7"/>
              <w:ind w:left="22" w:right="153"/>
              <w:jc w:val="left"/>
              <w:rPr>
                <w:rFonts w:ascii="宋体" w:hAnsi="宋体" w:cs="宋体" w:eastAsia="宋体" w:hint="default"/>
                <w:sz w:val="21"/>
                <w:szCs w:val="21"/>
              </w:rPr>
            </w:pPr>
            <w:r>
              <w:rPr>
                <w:rFonts w:ascii="宋体" w:hAnsi="宋体" w:cs="宋体" w:eastAsia="宋体" w:hint="default"/>
                <w:sz w:val="21"/>
                <w:szCs w:val="21"/>
              </w:rPr>
              <w:t>北京国铁路阳 技术有限公司</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20"/>
              <w:jc w:val="right"/>
              <w:rPr>
                <w:rFonts w:ascii="宋体" w:hAnsi="宋体" w:cs="宋体" w:eastAsia="宋体" w:hint="default"/>
                <w:sz w:val="21"/>
                <w:szCs w:val="21"/>
              </w:rPr>
            </w:pPr>
            <w:r>
              <w:rPr>
                <w:rFonts w:ascii="宋体"/>
                <w:sz w:val="21"/>
              </w:rPr>
              <w:t>279,762,800.00</w:t>
            </w:r>
          </w:p>
        </w:tc>
        <w:tc>
          <w:tcPr>
            <w:tcW w:w="1559"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20"/>
              <w:jc w:val="right"/>
              <w:rPr>
                <w:rFonts w:ascii="宋体" w:hAnsi="宋体" w:cs="宋体" w:eastAsia="宋体" w:hint="default"/>
                <w:sz w:val="21"/>
                <w:szCs w:val="21"/>
              </w:rPr>
            </w:pPr>
            <w:r>
              <w:rPr>
                <w:rFonts w:ascii="宋体"/>
                <w:sz w:val="21"/>
              </w:rPr>
              <w:t>279,762,800.00</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20"/>
              <w:jc w:val="right"/>
              <w:rPr>
                <w:rFonts w:ascii="宋体" w:hAnsi="宋体" w:cs="宋体" w:eastAsia="宋体" w:hint="default"/>
                <w:sz w:val="21"/>
                <w:szCs w:val="21"/>
              </w:rPr>
            </w:pPr>
            <w:r>
              <w:rPr>
                <w:rFonts w:ascii="宋体"/>
                <w:sz w:val="21"/>
              </w:rPr>
              <w:t>22,313,700.00</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21"/>
              <w:jc w:val="right"/>
              <w:rPr>
                <w:rFonts w:ascii="宋体" w:hAnsi="宋体" w:cs="宋体" w:eastAsia="宋体" w:hint="default"/>
                <w:sz w:val="21"/>
                <w:szCs w:val="21"/>
              </w:rPr>
            </w:pPr>
            <w:r>
              <w:rPr>
                <w:rFonts w:ascii="宋体"/>
                <w:sz w:val="21"/>
              </w:rPr>
              <w:t>53,949,157.83</w:t>
            </w: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7"/>
              <w:ind w:left="22" w:right="153"/>
              <w:jc w:val="left"/>
              <w:rPr>
                <w:rFonts w:ascii="宋体" w:hAnsi="宋体" w:cs="宋体" w:eastAsia="宋体" w:hint="default"/>
                <w:sz w:val="21"/>
                <w:szCs w:val="21"/>
              </w:rPr>
            </w:pPr>
            <w:r>
              <w:rPr>
                <w:rFonts w:ascii="宋体" w:hAnsi="宋体" w:cs="宋体" w:eastAsia="宋体" w:hint="default"/>
                <w:sz w:val="21"/>
                <w:szCs w:val="21"/>
              </w:rPr>
              <w:t>河南辉煌信通 软件有限公司</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20"/>
              <w:jc w:val="right"/>
              <w:rPr>
                <w:rFonts w:ascii="宋体" w:hAnsi="宋体" w:cs="宋体" w:eastAsia="宋体" w:hint="default"/>
                <w:sz w:val="21"/>
                <w:szCs w:val="21"/>
              </w:rPr>
            </w:pPr>
            <w:r>
              <w:rPr>
                <w:rFonts w:ascii="宋体"/>
                <w:sz w:val="21"/>
              </w:rPr>
              <w:t>9,500,000.00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21"/>
              <w:jc w:val="right"/>
              <w:rPr>
                <w:rFonts w:ascii="宋体" w:hAnsi="宋体" w:cs="宋体" w:eastAsia="宋体" w:hint="default"/>
                <w:sz w:val="21"/>
                <w:szCs w:val="21"/>
              </w:rPr>
            </w:pPr>
            <w:r>
              <w:rPr>
                <w:rFonts w:ascii="宋体"/>
                <w:sz w:val="21"/>
              </w:rPr>
              <w:t>3,000,000.00</w:t>
            </w:r>
          </w:p>
        </w:tc>
        <w:tc>
          <w:tcPr>
            <w:tcW w:w="56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21"/>
              <w:jc w:val="right"/>
              <w:rPr>
                <w:rFonts w:ascii="宋体" w:hAnsi="宋体" w:cs="宋体" w:eastAsia="宋体" w:hint="default"/>
                <w:sz w:val="21"/>
                <w:szCs w:val="21"/>
              </w:rPr>
            </w:pPr>
            <w:r>
              <w:rPr>
                <w:rFonts w:ascii="宋体"/>
                <w:sz w:val="21"/>
              </w:rPr>
              <w:t>12,500,000.00</w:t>
            </w:r>
          </w:p>
        </w:tc>
        <w:tc>
          <w:tcPr>
            <w:tcW w:w="1514" w:type="dxa"/>
            <w:tcBorders>
              <w:top w:val="single" w:sz="4" w:space="0" w:color="000000"/>
              <w:left w:val="single" w:sz="4" w:space="0" w:color="000000"/>
              <w:bottom w:val="single" w:sz="4" w:space="0" w:color="000000"/>
              <w:right w:val="single" w:sz="4" w:space="0" w:color="000000"/>
            </w:tcBorders>
          </w:tcPr>
          <w:p>
            <w:pPr/>
          </w:p>
        </w:tc>
        <w:tc>
          <w:tcPr>
            <w:tcW w:w="160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7"/>
              <w:ind w:left="22" w:right="153"/>
              <w:jc w:val="left"/>
              <w:rPr>
                <w:rFonts w:ascii="宋体" w:hAnsi="宋体" w:cs="宋体" w:eastAsia="宋体" w:hint="default"/>
                <w:sz w:val="21"/>
                <w:szCs w:val="21"/>
              </w:rPr>
            </w:pPr>
            <w:r>
              <w:rPr>
                <w:rFonts w:ascii="宋体" w:hAnsi="宋体" w:cs="宋体" w:eastAsia="宋体" w:hint="default"/>
                <w:sz w:val="21"/>
                <w:szCs w:val="21"/>
              </w:rPr>
              <w:t>河南辉煌城轨 科技有限公司</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20"/>
              <w:jc w:val="right"/>
              <w:rPr>
                <w:rFonts w:ascii="宋体" w:hAnsi="宋体" w:cs="宋体" w:eastAsia="宋体" w:hint="default"/>
                <w:sz w:val="21"/>
                <w:szCs w:val="21"/>
              </w:rPr>
            </w:pPr>
            <w:r>
              <w:rPr>
                <w:rFonts w:ascii="宋体"/>
                <w:sz w:val="21"/>
              </w:rPr>
              <w:t>8,000,000.00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21"/>
              <w:jc w:val="right"/>
              <w:rPr>
                <w:rFonts w:ascii="宋体" w:hAnsi="宋体" w:cs="宋体" w:eastAsia="宋体" w:hint="default"/>
                <w:sz w:val="21"/>
                <w:szCs w:val="21"/>
              </w:rPr>
            </w:pPr>
            <w:r>
              <w:rPr>
                <w:rFonts w:ascii="宋体"/>
                <w:sz w:val="21"/>
              </w:rPr>
              <w:t>8,000,000.00</w:t>
            </w:r>
          </w:p>
        </w:tc>
        <w:tc>
          <w:tcPr>
            <w:tcW w:w="56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21"/>
              <w:jc w:val="right"/>
              <w:rPr>
                <w:rFonts w:ascii="宋体" w:hAnsi="宋体" w:cs="宋体" w:eastAsia="宋体" w:hint="default"/>
                <w:sz w:val="21"/>
                <w:szCs w:val="21"/>
              </w:rPr>
            </w:pPr>
            <w:r>
              <w:rPr>
                <w:rFonts w:ascii="宋体"/>
                <w:sz w:val="21"/>
              </w:rPr>
              <w:t>16,000,000.00</w:t>
            </w:r>
          </w:p>
        </w:tc>
        <w:tc>
          <w:tcPr>
            <w:tcW w:w="1514" w:type="dxa"/>
            <w:tcBorders>
              <w:top w:val="single" w:sz="4" w:space="0" w:color="000000"/>
              <w:left w:val="single" w:sz="4" w:space="0" w:color="000000"/>
              <w:bottom w:val="single" w:sz="4" w:space="0" w:color="000000"/>
              <w:right w:val="single" w:sz="4" w:space="0" w:color="000000"/>
            </w:tcBorders>
          </w:tcPr>
          <w:p>
            <w:pPr/>
          </w:p>
        </w:tc>
        <w:tc>
          <w:tcPr>
            <w:tcW w:w="1604"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7"/>
              <w:ind w:left="22" w:right="153"/>
              <w:jc w:val="both"/>
              <w:rPr>
                <w:rFonts w:ascii="宋体" w:hAnsi="宋体" w:cs="宋体" w:eastAsia="宋体" w:hint="default"/>
                <w:sz w:val="21"/>
                <w:szCs w:val="21"/>
              </w:rPr>
            </w:pPr>
            <w:r>
              <w:rPr>
                <w:rFonts w:ascii="宋体" w:hAnsi="宋体" w:cs="宋体" w:eastAsia="宋体" w:hint="default"/>
                <w:sz w:val="21"/>
                <w:szCs w:val="21"/>
              </w:rPr>
              <w:t>成都西南交大 驱动技术有限 责任公司</w:t>
            </w:r>
          </w:p>
        </w:tc>
        <w:tc>
          <w:tcPr>
            <w:tcW w:w="1530"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right="21"/>
              <w:jc w:val="right"/>
              <w:rPr>
                <w:rFonts w:ascii="宋体" w:hAnsi="宋体" w:cs="宋体" w:eastAsia="宋体" w:hint="default"/>
                <w:sz w:val="21"/>
                <w:szCs w:val="21"/>
              </w:rPr>
            </w:pPr>
            <w:r>
              <w:rPr>
                <w:rFonts w:ascii="宋体"/>
                <w:sz w:val="21"/>
              </w:rPr>
              <w:t>54,266,600.00</w:t>
            </w:r>
          </w:p>
        </w:tc>
        <w:tc>
          <w:tcPr>
            <w:tcW w:w="56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right="21"/>
              <w:jc w:val="right"/>
              <w:rPr>
                <w:rFonts w:ascii="宋体" w:hAnsi="宋体" w:cs="宋体" w:eastAsia="宋体" w:hint="default"/>
                <w:sz w:val="21"/>
                <w:szCs w:val="21"/>
              </w:rPr>
            </w:pPr>
            <w:r>
              <w:rPr>
                <w:rFonts w:ascii="宋体"/>
                <w:sz w:val="21"/>
              </w:rPr>
              <w:t>54,266,600.00</w:t>
            </w:r>
          </w:p>
        </w:tc>
        <w:tc>
          <w:tcPr>
            <w:tcW w:w="1514" w:type="dxa"/>
            <w:tcBorders>
              <w:top w:val="single" w:sz="4" w:space="0" w:color="000000"/>
              <w:left w:val="single" w:sz="4" w:space="0" w:color="000000"/>
              <w:bottom w:val="single" w:sz="4" w:space="0" w:color="000000"/>
              <w:right w:val="single" w:sz="4" w:space="0" w:color="000000"/>
            </w:tcBorders>
          </w:tcPr>
          <w:p>
            <w:pPr/>
          </w:p>
        </w:tc>
        <w:tc>
          <w:tcPr>
            <w:tcW w:w="160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53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7"/>
              <w:ind w:right="20"/>
              <w:jc w:val="right"/>
              <w:rPr>
                <w:rFonts w:ascii="宋体" w:hAnsi="宋体" w:cs="宋体" w:eastAsia="宋体" w:hint="default"/>
                <w:sz w:val="21"/>
                <w:szCs w:val="21"/>
              </w:rPr>
            </w:pPr>
            <w:r>
              <w:rPr>
                <w:rFonts w:ascii="宋体"/>
                <w:sz w:val="21"/>
              </w:rPr>
              <w:t>317,262,800.00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1"/>
              <w:jc w:val="right"/>
              <w:rPr>
                <w:rFonts w:ascii="宋体" w:hAnsi="宋体" w:cs="宋体" w:eastAsia="宋体" w:hint="default"/>
                <w:sz w:val="21"/>
                <w:szCs w:val="21"/>
              </w:rPr>
            </w:pPr>
            <w:r>
              <w:rPr>
                <w:rFonts w:ascii="宋体"/>
                <w:sz w:val="21"/>
              </w:rPr>
              <w:t>65,266,600.00</w:t>
            </w:r>
          </w:p>
        </w:tc>
        <w:tc>
          <w:tcPr>
            <w:tcW w:w="56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0"/>
              <w:jc w:val="right"/>
              <w:rPr>
                <w:rFonts w:ascii="宋体" w:hAnsi="宋体" w:cs="宋体" w:eastAsia="宋体" w:hint="default"/>
                <w:sz w:val="21"/>
                <w:szCs w:val="21"/>
              </w:rPr>
            </w:pPr>
            <w:r>
              <w:rPr>
                <w:rFonts w:ascii="宋体"/>
                <w:sz w:val="21"/>
              </w:rPr>
              <w:t>382,529,400.00</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0"/>
              <w:jc w:val="right"/>
              <w:rPr>
                <w:rFonts w:ascii="宋体" w:hAnsi="宋体" w:cs="宋体" w:eastAsia="宋体" w:hint="default"/>
                <w:sz w:val="21"/>
                <w:szCs w:val="21"/>
              </w:rPr>
            </w:pPr>
            <w:r>
              <w:rPr>
                <w:rFonts w:ascii="宋体"/>
                <w:sz w:val="21"/>
              </w:rPr>
              <w:t>22,313,700.00</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1"/>
              <w:jc w:val="right"/>
              <w:rPr>
                <w:rFonts w:ascii="宋体" w:hAnsi="宋体" w:cs="宋体" w:eastAsia="宋体" w:hint="default"/>
                <w:sz w:val="21"/>
                <w:szCs w:val="21"/>
              </w:rPr>
            </w:pPr>
            <w:r>
              <w:rPr>
                <w:rFonts w:ascii="宋体"/>
                <w:sz w:val="21"/>
              </w:rPr>
              <w:t>53,949,157.83</w:t>
            </w:r>
          </w:p>
        </w:tc>
      </w:tr>
    </w:tbl>
    <w:p>
      <w:pPr>
        <w:spacing w:line="240" w:lineRule="auto" w:before="9"/>
        <w:rPr>
          <w:rFonts w:ascii="宋体" w:hAnsi="宋体" w:cs="宋体" w:eastAsia="宋体" w:hint="default"/>
          <w:sz w:val="6"/>
          <w:szCs w:val="6"/>
        </w:rPr>
      </w:pPr>
    </w:p>
    <w:p>
      <w:pPr>
        <w:spacing w:after="0" w:line="240" w:lineRule="auto"/>
        <w:rPr>
          <w:rFonts w:ascii="宋体" w:hAnsi="宋体" w:cs="宋体" w:eastAsia="宋体" w:hint="default"/>
          <w:sz w:val="6"/>
          <w:szCs w:val="6"/>
        </w:rPr>
        <w:sectPr>
          <w:pgSz w:w="11910" w:h="16840"/>
          <w:pgMar w:header="747" w:footer="979" w:top="1060" w:bottom="1160" w:left="740" w:right="0"/>
        </w:sectPr>
      </w:pPr>
    </w:p>
    <w:p>
      <w:pPr>
        <w:spacing w:before="35"/>
        <w:ind w:left="816" w:right="0" w:firstLine="0"/>
        <w:jc w:val="left"/>
        <w:rPr>
          <w:rFonts w:ascii="宋体" w:hAnsi="宋体" w:cs="宋体" w:eastAsia="宋体" w:hint="default"/>
          <w:sz w:val="21"/>
          <w:szCs w:val="21"/>
        </w:rPr>
      </w:pPr>
      <w:bookmarkStart w:name="（2）对联营、合营企业投资" w:id="545"/>
      <w:bookmarkEnd w:id="545"/>
      <w:r>
        <w:rPr/>
      </w:r>
      <w:r>
        <w:rPr>
          <w:rFonts w:ascii="宋体" w:hAnsi="宋体" w:cs="宋体" w:eastAsia="宋体" w:hint="default"/>
          <w:b/>
          <w:bCs/>
          <w:w w:val="95"/>
          <w:sz w:val="21"/>
          <w:szCs w:val="21"/>
        </w:rPr>
        <w:t>（</w:t>
      </w:r>
      <w:r>
        <w:rPr>
          <w:rFonts w:ascii="宋体" w:hAnsi="宋体" w:cs="宋体" w:eastAsia="宋体" w:hint="default"/>
          <w:b/>
          <w:bCs/>
          <w:w w:val="95"/>
          <w:sz w:val="21"/>
          <w:szCs w:val="21"/>
        </w:rPr>
        <w:t>2</w:t>
      </w:r>
      <w:r>
        <w:rPr>
          <w:rFonts w:ascii="宋体" w:hAnsi="宋体" w:cs="宋体" w:eastAsia="宋体" w:hint="default"/>
          <w:b/>
          <w:bCs/>
          <w:w w:val="95"/>
          <w:sz w:val="21"/>
          <w:szCs w:val="21"/>
        </w:rPr>
        <w:t>）对联营、合营企业投资</w:t>
      </w:r>
      <w:r>
        <w:rPr>
          <w:rFonts w:ascii="宋体" w:hAnsi="宋体" w:cs="宋体" w:eastAsia="宋体" w:hint="default"/>
          <w:sz w:val="21"/>
          <w:szCs w:val="21"/>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line="240" w:lineRule="auto" w:before="4"/>
        <w:rPr>
          <w:rFonts w:ascii="宋体" w:hAnsi="宋体" w:cs="宋体" w:eastAsia="宋体" w:hint="default"/>
          <w:b/>
          <w:bCs/>
          <w:sz w:val="14"/>
          <w:szCs w:val="14"/>
        </w:rPr>
      </w:pPr>
    </w:p>
    <w:p>
      <w:pPr>
        <w:spacing w:before="0"/>
        <w:ind w:left="816"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60" w:left="740" w:right="0"/>
          <w:cols w:num="2" w:equalWidth="0">
            <w:col w:w="3452" w:space="4956"/>
            <w:col w:w="2762"/>
          </w:cols>
        </w:sectPr>
      </w:pPr>
    </w:p>
    <w:p>
      <w:pPr>
        <w:spacing w:line="240" w:lineRule="auto" w:before="1"/>
        <w:rPr>
          <w:rFonts w:ascii="宋体" w:hAnsi="宋体" w:cs="宋体" w:eastAsia="宋体" w:hint="default"/>
          <w:sz w:val="8"/>
          <w:szCs w:val="8"/>
        </w:rPr>
      </w:pPr>
    </w:p>
    <w:tbl>
      <w:tblPr>
        <w:tblW w:w="0" w:type="auto"/>
        <w:jc w:val="left"/>
        <w:tblInd w:w="105" w:type="dxa"/>
        <w:tblLayout w:type="fixed"/>
        <w:tblCellMar>
          <w:top w:w="0" w:type="dxa"/>
          <w:left w:w="0" w:type="dxa"/>
          <w:bottom w:w="0" w:type="dxa"/>
          <w:right w:w="0" w:type="dxa"/>
        </w:tblCellMar>
        <w:tblLook w:val="01E0"/>
      </w:tblPr>
      <w:tblGrid>
        <w:gridCol w:w="1080"/>
        <w:gridCol w:w="1189"/>
        <w:gridCol w:w="992"/>
        <w:gridCol w:w="425"/>
        <w:gridCol w:w="994"/>
        <w:gridCol w:w="566"/>
        <w:gridCol w:w="620"/>
        <w:gridCol w:w="797"/>
        <w:gridCol w:w="566"/>
        <w:gridCol w:w="1134"/>
        <w:gridCol w:w="992"/>
        <w:gridCol w:w="500"/>
      </w:tblGrid>
      <w:tr>
        <w:trPr>
          <w:trHeight w:val="402" w:hRule="exact"/>
        </w:trPr>
        <w:tc>
          <w:tcPr>
            <w:tcW w:w="108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1"/>
              <w:ind w:left="114" w:right="0"/>
              <w:jc w:val="left"/>
              <w:rPr>
                <w:rFonts w:ascii="宋体" w:hAnsi="宋体" w:cs="宋体" w:eastAsia="宋体" w:hint="default"/>
                <w:sz w:val="21"/>
                <w:szCs w:val="21"/>
              </w:rPr>
            </w:pPr>
            <w:r>
              <w:rPr>
                <w:rFonts w:ascii="宋体" w:hAnsi="宋体" w:cs="宋体" w:eastAsia="宋体" w:hint="default"/>
                <w:sz w:val="21"/>
                <w:szCs w:val="21"/>
              </w:rPr>
              <w:t>投资单位</w:t>
            </w:r>
          </w:p>
        </w:tc>
        <w:tc>
          <w:tcPr>
            <w:tcW w:w="118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1"/>
              <w:ind w:left="170"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6096"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本期增减变动</w:t>
            </w:r>
          </w:p>
        </w:tc>
        <w:tc>
          <w:tcPr>
            <w:tcW w:w="9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1"/>
              <w:ind w:left="71"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50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7"/>
                <w:szCs w:val="17"/>
              </w:rPr>
            </w:pPr>
          </w:p>
          <w:p>
            <w:pPr>
              <w:pStyle w:val="TableParagraph"/>
              <w:spacing w:line="273" w:lineRule="auto"/>
              <w:ind w:left="34" w:right="35"/>
              <w:jc w:val="both"/>
              <w:rPr>
                <w:rFonts w:ascii="宋体" w:hAnsi="宋体" w:cs="宋体" w:eastAsia="宋体" w:hint="default"/>
                <w:sz w:val="21"/>
                <w:szCs w:val="21"/>
              </w:rPr>
            </w:pPr>
            <w:r>
              <w:rPr>
                <w:rFonts w:ascii="宋体" w:hAnsi="宋体" w:cs="宋体" w:eastAsia="宋体" w:hint="default"/>
                <w:sz w:val="21"/>
                <w:szCs w:val="21"/>
              </w:rPr>
              <w:t>减值 准备 期末 余额</w:t>
            </w:r>
          </w:p>
        </w:tc>
      </w:tr>
      <w:tr>
        <w:trPr>
          <w:trHeight w:val="1338" w:hRule="exact"/>
        </w:trPr>
        <w:tc>
          <w:tcPr>
            <w:tcW w:w="1080" w:type="dxa"/>
            <w:vMerge/>
            <w:tcBorders>
              <w:left w:val="single" w:sz="4" w:space="0" w:color="000000"/>
              <w:bottom w:val="single" w:sz="4" w:space="0" w:color="000000"/>
              <w:right w:val="single" w:sz="4" w:space="0" w:color="000000"/>
            </w:tcBorders>
            <w:shd w:val="clear" w:color="auto" w:fill="D2D2D2"/>
          </w:tcPr>
          <w:p>
            <w:pPr/>
          </w:p>
        </w:tc>
        <w:tc>
          <w:tcPr>
            <w:tcW w:w="1189" w:type="dxa"/>
            <w:vMerge/>
            <w:tcBorders>
              <w:left w:val="single" w:sz="4" w:space="0" w:color="000000"/>
              <w:bottom w:val="single" w:sz="4" w:space="0" w:color="000000"/>
              <w:right w:val="single" w:sz="4" w:space="0" w:color="000000"/>
            </w:tcBorders>
            <w:shd w:val="clear" w:color="auto" w:fill="D2D2D2"/>
          </w:tcPr>
          <w:p>
            <w:pP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70" w:right="0"/>
              <w:jc w:val="left"/>
              <w:rPr>
                <w:rFonts w:ascii="宋体" w:hAnsi="宋体" w:cs="宋体" w:eastAsia="宋体" w:hint="default"/>
                <w:sz w:val="21"/>
                <w:szCs w:val="21"/>
              </w:rPr>
            </w:pPr>
            <w:r>
              <w:rPr>
                <w:rFonts w:ascii="宋体" w:hAnsi="宋体" w:cs="宋体" w:eastAsia="宋体" w:hint="default"/>
                <w:sz w:val="21"/>
                <w:szCs w:val="21"/>
              </w:rPr>
              <w:t>追加投资</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101" w:right="101"/>
              <w:jc w:val="both"/>
              <w:rPr>
                <w:rFonts w:ascii="宋体" w:hAnsi="宋体" w:cs="宋体" w:eastAsia="宋体" w:hint="default"/>
                <w:sz w:val="21"/>
                <w:szCs w:val="21"/>
              </w:rPr>
            </w:pPr>
            <w:r>
              <w:rPr>
                <w:rFonts w:ascii="宋体" w:hAnsi="宋体" w:cs="宋体" w:eastAsia="宋体" w:hint="default"/>
                <w:sz w:val="21"/>
                <w:szCs w:val="21"/>
              </w:rPr>
              <w:t>减 少 投 资</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73" w:lineRule="auto"/>
              <w:ind w:left="70" w:right="71"/>
              <w:jc w:val="both"/>
              <w:rPr>
                <w:rFonts w:ascii="宋体" w:hAnsi="宋体" w:cs="宋体" w:eastAsia="宋体" w:hint="default"/>
                <w:sz w:val="21"/>
                <w:szCs w:val="21"/>
              </w:rPr>
            </w:pPr>
            <w:r>
              <w:rPr>
                <w:rFonts w:ascii="宋体" w:hAnsi="宋体" w:cs="宋体" w:eastAsia="宋体" w:hint="default"/>
                <w:sz w:val="21"/>
                <w:szCs w:val="21"/>
              </w:rPr>
              <w:t>权益法下 确认的投 资损益</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68" w:right="66"/>
              <w:jc w:val="both"/>
              <w:rPr>
                <w:rFonts w:ascii="宋体" w:hAnsi="宋体" w:cs="宋体" w:eastAsia="宋体" w:hint="default"/>
                <w:sz w:val="21"/>
                <w:szCs w:val="21"/>
              </w:rPr>
            </w:pPr>
            <w:r>
              <w:rPr>
                <w:rFonts w:ascii="宋体" w:hAnsi="宋体" w:cs="宋体" w:eastAsia="宋体" w:hint="default"/>
                <w:sz w:val="21"/>
                <w:szCs w:val="21"/>
              </w:rPr>
              <w:t>其他 综合 收益 调整</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73" w:lineRule="auto"/>
              <w:ind w:left="94" w:right="95"/>
              <w:jc w:val="both"/>
              <w:rPr>
                <w:rFonts w:ascii="宋体" w:hAnsi="宋体" w:cs="宋体" w:eastAsia="宋体" w:hint="default"/>
                <w:sz w:val="21"/>
                <w:szCs w:val="21"/>
              </w:rPr>
            </w:pPr>
            <w:r>
              <w:rPr>
                <w:rFonts w:ascii="宋体" w:hAnsi="宋体" w:cs="宋体" w:eastAsia="宋体" w:hint="default"/>
                <w:sz w:val="21"/>
                <w:szCs w:val="21"/>
              </w:rPr>
              <w:t>其他 权益 变动</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77" w:right="77"/>
              <w:jc w:val="both"/>
              <w:rPr>
                <w:rFonts w:ascii="宋体" w:hAnsi="宋体" w:cs="宋体" w:eastAsia="宋体" w:hint="default"/>
                <w:sz w:val="21"/>
                <w:szCs w:val="21"/>
              </w:rPr>
            </w:pPr>
            <w:r>
              <w:rPr>
                <w:rFonts w:ascii="宋体" w:hAnsi="宋体" w:cs="宋体" w:eastAsia="宋体" w:hint="default"/>
                <w:sz w:val="21"/>
                <w:szCs w:val="21"/>
              </w:rPr>
              <w:t>宣告发 放现金 股利或 利润</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73" w:lineRule="auto"/>
              <w:ind w:left="68" w:right="66"/>
              <w:jc w:val="both"/>
              <w:rPr>
                <w:rFonts w:ascii="宋体" w:hAnsi="宋体" w:cs="宋体" w:eastAsia="宋体" w:hint="default"/>
                <w:sz w:val="21"/>
                <w:szCs w:val="21"/>
              </w:rPr>
            </w:pPr>
            <w:r>
              <w:rPr>
                <w:rFonts w:ascii="宋体" w:hAnsi="宋体" w:cs="宋体" w:eastAsia="宋体" w:hint="default"/>
                <w:sz w:val="21"/>
                <w:szCs w:val="21"/>
              </w:rPr>
              <w:t>计提 减值 准备</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35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992" w:type="dxa"/>
            <w:vMerge/>
            <w:tcBorders>
              <w:left w:val="single" w:sz="4" w:space="0" w:color="000000"/>
              <w:bottom w:val="single" w:sz="4" w:space="0" w:color="000000"/>
              <w:right w:val="single" w:sz="4" w:space="0" w:color="000000"/>
            </w:tcBorders>
            <w:shd w:val="clear" w:color="auto" w:fill="D2D2D2"/>
          </w:tcPr>
          <w:p>
            <w:pPr/>
          </w:p>
        </w:tc>
        <w:tc>
          <w:tcPr>
            <w:tcW w:w="500"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9857"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3" w:right="0"/>
              <w:jc w:val="left"/>
              <w:rPr>
                <w:rFonts w:ascii="宋体" w:hAnsi="宋体" w:cs="宋体" w:eastAsia="宋体" w:hint="default"/>
                <w:sz w:val="21"/>
                <w:szCs w:val="21"/>
              </w:rPr>
            </w:pPr>
            <w:r>
              <w:rPr>
                <w:rFonts w:ascii="宋体" w:hAnsi="宋体" w:cs="宋体" w:eastAsia="宋体" w:hint="default"/>
                <w:sz w:val="21"/>
                <w:szCs w:val="21"/>
              </w:rPr>
              <w:t>一．合营企业</w:t>
            </w:r>
          </w:p>
        </w:tc>
      </w:tr>
    </w:tbl>
    <w:p>
      <w:pPr>
        <w:spacing w:after="0" w:line="240" w:lineRule="auto"/>
        <w:jc w:val="left"/>
        <w:rPr>
          <w:rFonts w:ascii="宋体" w:hAnsi="宋体" w:cs="宋体" w:eastAsia="宋体" w:hint="default"/>
          <w:sz w:val="21"/>
          <w:szCs w:val="21"/>
        </w:rPr>
        <w:sectPr>
          <w:type w:val="continuous"/>
          <w:pgSz w:w="11910" w:h="16840"/>
          <w:pgMar w:top="1060" w:bottom="1160" w:left="740" w:right="0"/>
        </w:sectPr>
      </w:pPr>
    </w:p>
    <w:p>
      <w:pPr>
        <w:spacing w:line="240" w:lineRule="auto" w:before="6"/>
        <w:rPr>
          <w:rFonts w:ascii="宋体" w:hAnsi="宋体" w:cs="宋体" w:eastAsia="宋体" w:hint="default"/>
          <w:sz w:val="28"/>
          <w:szCs w:val="28"/>
        </w:rPr>
      </w:pPr>
    </w:p>
    <w:tbl>
      <w:tblPr>
        <w:tblW w:w="0" w:type="auto"/>
        <w:jc w:val="left"/>
        <w:tblInd w:w="104" w:type="dxa"/>
        <w:tblLayout w:type="fixed"/>
        <w:tblCellMar>
          <w:top w:w="0" w:type="dxa"/>
          <w:left w:w="0" w:type="dxa"/>
          <w:bottom w:w="0" w:type="dxa"/>
          <w:right w:w="0" w:type="dxa"/>
        </w:tblCellMar>
        <w:tblLook w:val="01E0"/>
      </w:tblPr>
      <w:tblGrid>
        <w:gridCol w:w="1080"/>
        <w:gridCol w:w="1189"/>
        <w:gridCol w:w="992"/>
        <w:gridCol w:w="425"/>
        <w:gridCol w:w="994"/>
        <w:gridCol w:w="566"/>
        <w:gridCol w:w="620"/>
        <w:gridCol w:w="797"/>
        <w:gridCol w:w="566"/>
        <w:gridCol w:w="1134"/>
        <w:gridCol w:w="992"/>
        <w:gridCol w:w="500"/>
      </w:tblGrid>
      <w:tr>
        <w:trPr>
          <w:trHeight w:val="402" w:hRule="exact"/>
        </w:trPr>
        <w:tc>
          <w:tcPr>
            <w:tcW w:w="9858"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4" w:right="0"/>
              <w:jc w:val="left"/>
              <w:rPr>
                <w:rFonts w:ascii="宋体" w:hAnsi="宋体" w:cs="宋体" w:eastAsia="宋体" w:hint="default"/>
                <w:sz w:val="21"/>
                <w:szCs w:val="21"/>
              </w:rPr>
            </w:pPr>
            <w:r>
              <w:rPr>
                <w:rFonts w:ascii="宋体" w:hAnsi="宋体" w:cs="宋体" w:eastAsia="宋体" w:hint="default"/>
                <w:sz w:val="21"/>
                <w:szCs w:val="21"/>
              </w:rPr>
              <w:t>二．联营企业</w:t>
            </w:r>
          </w:p>
        </w:tc>
      </w:tr>
      <w:tr>
        <w:trPr>
          <w:trHeight w:val="1338"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4" w:right="203"/>
              <w:jc w:val="both"/>
              <w:rPr>
                <w:rFonts w:ascii="宋体" w:hAnsi="宋体" w:cs="宋体" w:eastAsia="宋体" w:hint="default"/>
                <w:sz w:val="21"/>
                <w:szCs w:val="21"/>
              </w:rPr>
            </w:pPr>
            <w:r>
              <w:rPr>
                <w:rFonts w:ascii="宋体" w:hAnsi="宋体" w:cs="宋体" w:eastAsia="宋体" w:hint="default"/>
                <w:sz w:val="21"/>
                <w:szCs w:val="21"/>
              </w:rPr>
              <w:t>飞天联合 </w:t>
            </w:r>
            <w:r>
              <w:rPr>
                <w:rFonts w:ascii="宋体" w:hAnsi="宋体" w:cs="宋体" w:eastAsia="宋体" w:hint="default"/>
                <w:sz w:val="21"/>
                <w:szCs w:val="21"/>
              </w:rPr>
              <w:t>(</w:t>
            </w:r>
            <w:r>
              <w:rPr>
                <w:rFonts w:ascii="宋体" w:hAnsi="宋体" w:cs="宋体" w:eastAsia="宋体" w:hint="default"/>
                <w:sz w:val="21"/>
                <w:szCs w:val="21"/>
              </w:rPr>
              <w:t>北京</w:t>
            </w:r>
            <w:r>
              <w:rPr>
                <w:rFonts w:ascii="宋体" w:hAnsi="宋体" w:cs="宋体" w:eastAsia="宋体" w:hint="default"/>
                <w:sz w:val="21"/>
                <w:szCs w:val="21"/>
              </w:rPr>
              <w:t>)</w:t>
            </w:r>
            <w:r>
              <w:rPr>
                <w:rFonts w:ascii="宋体" w:hAnsi="宋体" w:cs="宋体" w:eastAsia="宋体" w:hint="default"/>
                <w:sz w:val="21"/>
                <w:szCs w:val="21"/>
              </w:rPr>
              <w:t>系 统技术有 限公司</w:t>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20"/>
              <w:jc w:val="right"/>
              <w:rPr>
                <w:rFonts w:ascii="宋体" w:hAnsi="宋体" w:cs="宋体" w:eastAsia="宋体" w:hint="default"/>
                <w:sz w:val="21"/>
                <w:szCs w:val="21"/>
              </w:rPr>
            </w:pPr>
            <w:r>
              <w:rPr>
                <w:rFonts w:ascii="宋体"/>
                <w:sz w:val="21"/>
              </w:rPr>
              <w:t>81,582,114</w:t>
            </w:r>
          </w:p>
          <w:p>
            <w:pPr>
              <w:pStyle w:val="TableParagraph"/>
              <w:spacing w:line="240" w:lineRule="auto" w:before="38"/>
              <w:ind w:right="20"/>
              <w:jc w:val="right"/>
              <w:rPr>
                <w:rFonts w:ascii="宋体" w:hAnsi="宋体" w:cs="宋体" w:eastAsia="宋体" w:hint="default"/>
                <w:sz w:val="21"/>
                <w:szCs w:val="21"/>
              </w:rPr>
            </w:pPr>
            <w:r>
              <w:rPr>
                <w:rFonts w:ascii="宋体"/>
                <w:sz w:val="21"/>
              </w:rPr>
              <w:t>.74</w:t>
            </w:r>
          </w:p>
        </w:tc>
        <w:tc>
          <w:tcPr>
            <w:tcW w:w="99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left="120" w:right="0"/>
              <w:jc w:val="left"/>
              <w:rPr>
                <w:rFonts w:ascii="宋体" w:hAnsi="宋体" w:cs="宋体" w:eastAsia="宋体" w:hint="default"/>
                <w:sz w:val="21"/>
                <w:szCs w:val="21"/>
              </w:rPr>
            </w:pPr>
            <w:r>
              <w:rPr>
                <w:rFonts w:ascii="宋体"/>
                <w:sz w:val="21"/>
              </w:rPr>
              <w:t>-8,483,5</w:t>
            </w:r>
          </w:p>
          <w:p>
            <w:pPr>
              <w:pStyle w:val="TableParagraph"/>
              <w:spacing w:line="240" w:lineRule="auto" w:before="38"/>
              <w:ind w:left="436" w:right="0"/>
              <w:jc w:val="left"/>
              <w:rPr>
                <w:rFonts w:ascii="宋体" w:hAnsi="宋体" w:cs="宋体" w:eastAsia="宋体" w:hint="default"/>
                <w:sz w:val="21"/>
                <w:szCs w:val="21"/>
              </w:rPr>
            </w:pPr>
            <w:r>
              <w:rPr>
                <w:rFonts w:ascii="宋体"/>
                <w:sz w:val="21"/>
              </w:rPr>
              <w:t>44.73</w:t>
            </w:r>
          </w:p>
        </w:tc>
        <w:tc>
          <w:tcPr>
            <w:tcW w:w="566" w:type="dxa"/>
            <w:tcBorders>
              <w:top w:val="single" w:sz="4" w:space="0" w:color="000000"/>
              <w:left w:val="single" w:sz="4" w:space="0" w:color="000000"/>
              <w:bottom w:val="single" w:sz="4" w:space="0" w:color="000000"/>
              <w:right w:val="single" w:sz="4" w:space="0" w:color="000000"/>
            </w:tcBorders>
          </w:tcPr>
          <w:p>
            <w:pPr/>
          </w:p>
        </w:tc>
        <w:tc>
          <w:tcPr>
            <w:tcW w:w="62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left="120" w:right="0"/>
              <w:jc w:val="left"/>
              <w:rPr>
                <w:rFonts w:ascii="宋体" w:hAnsi="宋体" w:cs="宋体" w:eastAsia="宋体" w:hint="default"/>
                <w:sz w:val="21"/>
                <w:szCs w:val="21"/>
              </w:rPr>
            </w:pPr>
            <w:r>
              <w:rPr>
                <w:rFonts w:ascii="宋体"/>
                <w:sz w:val="21"/>
              </w:rPr>
              <w:t>73,098,5</w:t>
            </w:r>
          </w:p>
          <w:p>
            <w:pPr>
              <w:pStyle w:val="TableParagraph"/>
              <w:spacing w:line="240" w:lineRule="auto" w:before="38"/>
              <w:ind w:left="435" w:right="0"/>
              <w:jc w:val="left"/>
              <w:rPr>
                <w:rFonts w:ascii="宋体" w:hAnsi="宋体" w:cs="宋体" w:eastAsia="宋体" w:hint="default"/>
                <w:sz w:val="21"/>
                <w:szCs w:val="21"/>
              </w:rPr>
            </w:pPr>
            <w:r>
              <w:rPr>
                <w:rFonts w:ascii="宋体"/>
                <w:sz w:val="21"/>
              </w:rPr>
              <w:t>70.01</w:t>
            </w:r>
          </w:p>
        </w:tc>
        <w:tc>
          <w:tcPr>
            <w:tcW w:w="500"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4" w:right="204"/>
              <w:jc w:val="both"/>
              <w:rPr>
                <w:rFonts w:ascii="宋体" w:hAnsi="宋体" w:cs="宋体" w:eastAsia="宋体" w:hint="default"/>
                <w:sz w:val="21"/>
                <w:szCs w:val="21"/>
              </w:rPr>
            </w:pPr>
            <w:r>
              <w:rPr>
                <w:rFonts w:ascii="宋体" w:hAnsi="宋体" w:cs="宋体" w:eastAsia="宋体" w:hint="default"/>
                <w:sz w:val="21"/>
                <w:szCs w:val="21"/>
              </w:rPr>
              <w:t>北京赛弗 网络科技 有限责任 公司</w:t>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20"/>
              <w:jc w:val="right"/>
              <w:rPr>
                <w:rFonts w:ascii="宋体" w:hAnsi="宋体" w:cs="宋体" w:eastAsia="宋体" w:hint="default"/>
                <w:sz w:val="21"/>
                <w:szCs w:val="21"/>
              </w:rPr>
            </w:pPr>
            <w:r>
              <w:rPr>
                <w:rFonts w:ascii="宋体"/>
                <w:sz w:val="21"/>
              </w:rPr>
              <w:t>82,701,151</w:t>
            </w:r>
          </w:p>
          <w:p>
            <w:pPr>
              <w:pStyle w:val="TableParagraph"/>
              <w:spacing w:line="240" w:lineRule="auto" w:before="38"/>
              <w:ind w:right="20"/>
              <w:jc w:val="right"/>
              <w:rPr>
                <w:rFonts w:ascii="宋体" w:hAnsi="宋体" w:cs="宋体" w:eastAsia="宋体" w:hint="default"/>
                <w:sz w:val="21"/>
                <w:szCs w:val="21"/>
              </w:rPr>
            </w:pPr>
            <w:r>
              <w:rPr>
                <w:rFonts w:ascii="宋体"/>
                <w:sz w:val="21"/>
              </w:rPr>
              <w:t>.63</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left="118" w:right="0"/>
              <w:jc w:val="left"/>
              <w:rPr>
                <w:rFonts w:ascii="宋体" w:hAnsi="宋体" w:cs="宋体" w:eastAsia="宋体" w:hint="default"/>
                <w:sz w:val="21"/>
                <w:szCs w:val="21"/>
              </w:rPr>
            </w:pPr>
            <w:r>
              <w:rPr>
                <w:rFonts w:ascii="宋体"/>
                <w:sz w:val="21"/>
              </w:rPr>
              <w:t>3,460,00</w:t>
            </w:r>
          </w:p>
          <w:p>
            <w:pPr>
              <w:pStyle w:val="TableParagraph"/>
              <w:spacing w:line="240" w:lineRule="auto" w:before="38"/>
              <w:ind w:left="538" w:right="0"/>
              <w:jc w:val="left"/>
              <w:rPr>
                <w:rFonts w:ascii="宋体" w:hAnsi="宋体" w:cs="宋体" w:eastAsia="宋体" w:hint="default"/>
                <w:sz w:val="21"/>
                <w:szCs w:val="21"/>
              </w:rPr>
            </w:pPr>
            <w:r>
              <w:rPr>
                <w:rFonts w:ascii="宋体"/>
                <w:sz w:val="21"/>
              </w:rPr>
              <w:t>0.00</w:t>
            </w:r>
          </w:p>
        </w:tc>
        <w:tc>
          <w:tcPr>
            <w:tcW w:w="425"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2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left="52" w:right="0"/>
              <w:jc w:val="left"/>
              <w:rPr>
                <w:rFonts w:ascii="宋体" w:hAnsi="宋体" w:cs="宋体" w:eastAsia="宋体" w:hint="default"/>
                <w:sz w:val="21"/>
                <w:szCs w:val="21"/>
              </w:rPr>
            </w:pPr>
            <w:r>
              <w:rPr>
                <w:rFonts w:ascii="宋体"/>
                <w:sz w:val="21"/>
              </w:rPr>
              <w:t>-86,161,15</w:t>
            </w:r>
          </w:p>
          <w:p>
            <w:pPr>
              <w:pStyle w:val="TableParagraph"/>
              <w:spacing w:line="240" w:lineRule="auto" w:before="38"/>
              <w:ind w:left="682" w:right="0"/>
              <w:jc w:val="left"/>
              <w:rPr>
                <w:rFonts w:ascii="宋体" w:hAnsi="宋体" w:cs="宋体" w:eastAsia="宋体" w:hint="default"/>
                <w:sz w:val="21"/>
                <w:szCs w:val="21"/>
              </w:rPr>
            </w:pPr>
            <w:r>
              <w:rPr>
                <w:rFonts w:ascii="宋体"/>
                <w:sz w:val="21"/>
              </w:rPr>
              <w:t>1.63</w:t>
            </w:r>
          </w:p>
        </w:tc>
        <w:tc>
          <w:tcPr>
            <w:tcW w:w="992" w:type="dxa"/>
            <w:tcBorders>
              <w:top w:val="single" w:sz="4" w:space="0" w:color="000000"/>
              <w:left w:val="single" w:sz="4" w:space="0" w:color="000000"/>
              <w:bottom w:val="single" w:sz="4" w:space="0" w:color="000000"/>
              <w:right w:val="single" w:sz="4" w:space="0" w:color="000000"/>
            </w:tcBorders>
          </w:tcPr>
          <w:p>
            <w:pPr/>
          </w:p>
        </w:tc>
        <w:tc>
          <w:tcPr>
            <w:tcW w:w="5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06" w:right="0"/>
              <w:jc w:val="left"/>
              <w:rPr>
                <w:rFonts w:ascii="宋体" w:hAnsi="宋体" w:cs="宋体" w:eastAsia="宋体" w:hint="default"/>
                <w:sz w:val="21"/>
                <w:szCs w:val="21"/>
              </w:rPr>
            </w:pPr>
            <w:r>
              <w:rPr>
                <w:rFonts w:ascii="宋体"/>
                <w:sz w:val="21"/>
              </w:rPr>
              <w:t>164,283,26</w:t>
            </w:r>
          </w:p>
          <w:p>
            <w:pPr>
              <w:pStyle w:val="TableParagraph"/>
              <w:spacing w:line="240" w:lineRule="auto" w:before="38"/>
              <w:ind w:left="736" w:right="0"/>
              <w:jc w:val="left"/>
              <w:rPr>
                <w:rFonts w:ascii="宋体" w:hAnsi="宋体" w:cs="宋体" w:eastAsia="宋体" w:hint="default"/>
                <w:sz w:val="21"/>
                <w:szCs w:val="21"/>
              </w:rPr>
            </w:pPr>
            <w:r>
              <w:rPr>
                <w:rFonts w:ascii="宋体"/>
                <w:sz w:val="21"/>
              </w:rPr>
              <w:t>6.37</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18" w:right="0"/>
              <w:jc w:val="left"/>
              <w:rPr>
                <w:rFonts w:ascii="宋体" w:hAnsi="宋体" w:cs="宋体" w:eastAsia="宋体" w:hint="default"/>
                <w:sz w:val="21"/>
                <w:szCs w:val="21"/>
              </w:rPr>
            </w:pPr>
            <w:r>
              <w:rPr>
                <w:rFonts w:ascii="宋体"/>
                <w:sz w:val="21"/>
              </w:rPr>
              <w:t>3,460,00</w:t>
            </w:r>
          </w:p>
          <w:p>
            <w:pPr>
              <w:pStyle w:val="TableParagraph"/>
              <w:spacing w:line="240" w:lineRule="auto" w:before="38"/>
              <w:ind w:left="538" w:right="0"/>
              <w:jc w:val="left"/>
              <w:rPr>
                <w:rFonts w:ascii="宋体" w:hAnsi="宋体" w:cs="宋体" w:eastAsia="宋体" w:hint="default"/>
                <w:sz w:val="21"/>
                <w:szCs w:val="21"/>
              </w:rPr>
            </w:pPr>
            <w:r>
              <w:rPr>
                <w:rFonts w:ascii="宋体"/>
                <w:sz w:val="21"/>
              </w:rPr>
              <w:t>0.00</w:t>
            </w:r>
          </w:p>
        </w:tc>
        <w:tc>
          <w:tcPr>
            <w:tcW w:w="425"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20" w:right="0"/>
              <w:jc w:val="left"/>
              <w:rPr>
                <w:rFonts w:ascii="宋体" w:hAnsi="宋体" w:cs="宋体" w:eastAsia="宋体" w:hint="default"/>
                <w:sz w:val="21"/>
                <w:szCs w:val="21"/>
              </w:rPr>
            </w:pPr>
            <w:r>
              <w:rPr>
                <w:rFonts w:ascii="宋体"/>
                <w:sz w:val="21"/>
              </w:rPr>
              <w:t>-8,483,5</w:t>
            </w:r>
          </w:p>
          <w:p>
            <w:pPr>
              <w:pStyle w:val="TableParagraph"/>
              <w:spacing w:line="240" w:lineRule="auto" w:before="38"/>
              <w:ind w:left="436" w:right="0"/>
              <w:jc w:val="left"/>
              <w:rPr>
                <w:rFonts w:ascii="宋体" w:hAnsi="宋体" w:cs="宋体" w:eastAsia="宋体" w:hint="default"/>
                <w:sz w:val="21"/>
                <w:szCs w:val="21"/>
              </w:rPr>
            </w:pPr>
            <w:r>
              <w:rPr>
                <w:rFonts w:ascii="宋体"/>
                <w:sz w:val="21"/>
              </w:rPr>
              <w:t>44.73</w:t>
            </w:r>
          </w:p>
        </w:tc>
        <w:tc>
          <w:tcPr>
            <w:tcW w:w="566" w:type="dxa"/>
            <w:tcBorders>
              <w:top w:val="single" w:sz="4" w:space="0" w:color="000000"/>
              <w:left w:val="single" w:sz="4" w:space="0" w:color="000000"/>
              <w:bottom w:val="single" w:sz="4" w:space="0" w:color="000000"/>
              <w:right w:val="single" w:sz="4" w:space="0" w:color="000000"/>
            </w:tcBorders>
          </w:tcPr>
          <w:p>
            <w:pPr/>
          </w:p>
        </w:tc>
        <w:tc>
          <w:tcPr>
            <w:tcW w:w="62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52" w:right="0"/>
              <w:jc w:val="left"/>
              <w:rPr>
                <w:rFonts w:ascii="宋体" w:hAnsi="宋体" w:cs="宋体" w:eastAsia="宋体" w:hint="default"/>
                <w:sz w:val="21"/>
                <w:szCs w:val="21"/>
              </w:rPr>
            </w:pPr>
            <w:r>
              <w:rPr>
                <w:rFonts w:ascii="宋体"/>
                <w:sz w:val="21"/>
              </w:rPr>
              <w:t>-86,161,15</w:t>
            </w:r>
          </w:p>
          <w:p>
            <w:pPr>
              <w:pStyle w:val="TableParagraph"/>
              <w:spacing w:line="240" w:lineRule="auto" w:before="38"/>
              <w:ind w:left="682" w:right="0"/>
              <w:jc w:val="left"/>
              <w:rPr>
                <w:rFonts w:ascii="宋体" w:hAnsi="宋体" w:cs="宋体" w:eastAsia="宋体" w:hint="default"/>
                <w:sz w:val="21"/>
                <w:szCs w:val="21"/>
              </w:rPr>
            </w:pPr>
            <w:r>
              <w:rPr>
                <w:rFonts w:ascii="宋体"/>
                <w:sz w:val="21"/>
              </w:rPr>
              <w:t>1.63</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20" w:right="0"/>
              <w:jc w:val="left"/>
              <w:rPr>
                <w:rFonts w:ascii="宋体" w:hAnsi="宋体" w:cs="宋体" w:eastAsia="宋体" w:hint="default"/>
                <w:sz w:val="21"/>
                <w:szCs w:val="21"/>
              </w:rPr>
            </w:pPr>
            <w:r>
              <w:rPr>
                <w:rFonts w:ascii="宋体"/>
                <w:sz w:val="21"/>
              </w:rPr>
              <w:t>73,098,5</w:t>
            </w:r>
          </w:p>
          <w:p>
            <w:pPr>
              <w:pStyle w:val="TableParagraph"/>
              <w:spacing w:line="240" w:lineRule="auto" w:before="38"/>
              <w:ind w:left="435" w:right="0"/>
              <w:jc w:val="left"/>
              <w:rPr>
                <w:rFonts w:ascii="宋体" w:hAnsi="宋体" w:cs="宋体" w:eastAsia="宋体" w:hint="default"/>
                <w:sz w:val="21"/>
                <w:szCs w:val="21"/>
              </w:rPr>
            </w:pPr>
            <w:r>
              <w:rPr>
                <w:rFonts w:ascii="宋体"/>
                <w:sz w:val="21"/>
              </w:rPr>
              <w:t>70.01</w:t>
            </w:r>
          </w:p>
        </w:tc>
        <w:tc>
          <w:tcPr>
            <w:tcW w:w="5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06" w:right="0"/>
              <w:jc w:val="left"/>
              <w:rPr>
                <w:rFonts w:ascii="宋体" w:hAnsi="宋体" w:cs="宋体" w:eastAsia="宋体" w:hint="default"/>
                <w:sz w:val="21"/>
                <w:szCs w:val="21"/>
              </w:rPr>
            </w:pPr>
            <w:r>
              <w:rPr>
                <w:rFonts w:ascii="宋体"/>
                <w:sz w:val="21"/>
              </w:rPr>
              <w:t>164,283,26</w:t>
            </w:r>
          </w:p>
          <w:p>
            <w:pPr>
              <w:pStyle w:val="TableParagraph"/>
              <w:spacing w:line="240" w:lineRule="auto" w:before="38"/>
              <w:ind w:left="736" w:right="0"/>
              <w:jc w:val="left"/>
              <w:rPr>
                <w:rFonts w:ascii="宋体" w:hAnsi="宋体" w:cs="宋体" w:eastAsia="宋体" w:hint="default"/>
                <w:sz w:val="21"/>
                <w:szCs w:val="21"/>
              </w:rPr>
            </w:pPr>
            <w:r>
              <w:rPr>
                <w:rFonts w:ascii="宋体"/>
                <w:sz w:val="21"/>
              </w:rPr>
              <w:t>6.37</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18" w:right="0"/>
              <w:jc w:val="left"/>
              <w:rPr>
                <w:rFonts w:ascii="宋体" w:hAnsi="宋体" w:cs="宋体" w:eastAsia="宋体" w:hint="default"/>
                <w:sz w:val="21"/>
                <w:szCs w:val="21"/>
              </w:rPr>
            </w:pPr>
            <w:r>
              <w:rPr>
                <w:rFonts w:ascii="宋体"/>
                <w:sz w:val="21"/>
              </w:rPr>
              <w:t>3,460,00</w:t>
            </w:r>
          </w:p>
          <w:p>
            <w:pPr>
              <w:pStyle w:val="TableParagraph"/>
              <w:spacing w:line="240" w:lineRule="auto" w:before="38"/>
              <w:ind w:left="538" w:right="0"/>
              <w:jc w:val="left"/>
              <w:rPr>
                <w:rFonts w:ascii="宋体" w:hAnsi="宋体" w:cs="宋体" w:eastAsia="宋体" w:hint="default"/>
                <w:sz w:val="21"/>
                <w:szCs w:val="21"/>
              </w:rPr>
            </w:pPr>
            <w:r>
              <w:rPr>
                <w:rFonts w:ascii="宋体"/>
                <w:sz w:val="21"/>
              </w:rPr>
              <w:t>0.00</w:t>
            </w:r>
          </w:p>
        </w:tc>
        <w:tc>
          <w:tcPr>
            <w:tcW w:w="425"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20" w:right="0"/>
              <w:jc w:val="left"/>
              <w:rPr>
                <w:rFonts w:ascii="宋体" w:hAnsi="宋体" w:cs="宋体" w:eastAsia="宋体" w:hint="default"/>
                <w:sz w:val="21"/>
                <w:szCs w:val="21"/>
              </w:rPr>
            </w:pPr>
            <w:r>
              <w:rPr>
                <w:rFonts w:ascii="宋体"/>
                <w:sz w:val="21"/>
              </w:rPr>
              <w:t>-8,483,5</w:t>
            </w:r>
          </w:p>
          <w:p>
            <w:pPr>
              <w:pStyle w:val="TableParagraph"/>
              <w:spacing w:line="240" w:lineRule="auto" w:before="38"/>
              <w:ind w:left="436" w:right="0"/>
              <w:jc w:val="left"/>
              <w:rPr>
                <w:rFonts w:ascii="宋体" w:hAnsi="宋体" w:cs="宋体" w:eastAsia="宋体" w:hint="default"/>
                <w:sz w:val="21"/>
                <w:szCs w:val="21"/>
              </w:rPr>
            </w:pPr>
            <w:r>
              <w:rPr>
                <w:rFonts w:ascii="宋体"/>
                <w:sz w:val="21"/>
              </w:rPr>
              <w:t>44.73</w:t>
            </w:r>
          </w:p>
        </w:tc>
        <w:tc>
          <w:tcPr>
            <w:tcW w:w="566" w:type="dxa"/>
            <w:tcBorders>
              <w:top w:val="single" w:sz="4" w:space="0" w:color="000000"/>
              <w:left w:val="single" w:sz="4" w:space="0" w:color="000000"/>
              <w:bottom w:val="single" w:sz="4" w:space="0" w:color="000000"/>
              <w:right w:val="single" w:sz="4" w:space="0" w:color="000000"/>
            </w:tcBorders>
          </w:tcPr>
          <w:p>
            <w:pPr/>
          </w:p>
        </w:tc>
        <w:tc>
          <w:tcPr>
            <w:tcW w:w="62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52" w:right="0"/>
              <w:jc w:val="left"/>
              <w:rPr>
                <w:rFonts w:ascii="宋体" w:hAnsi="宋体" w:cs="宋体" w:eastAsia="宋体" w:hint="default"/>
                <w:sz w:val="21"/>
                <w:szCs w:val="21"/>
              </w:rPr>
            </w:pPr>
            <w:r>
              <w:rPr>
                <w:rFonts w:ascii="宋体"/>
                <w:sz w:val="21"/>
              </w:rPr>
              <w:t>-86,161,15</w:t>
            </w:r>
          </w:p>
          <w:p>
            <w:pPr>
              <w:pStyle w:val="TableParagraph"/>
              <w:spacing w:line="240" w:lineRule="auto" w:before="38"/>
              <w:ind w:left="682" w:right="0"/>
              <w:jc w:val="left"/>
              <w:rPr>
                <w:rFonts w:ascii="宋体" w:hAnsi="宋体" w:cs="宋体" w:eastAsia="宋体" w:hint="default"/>
                <w:sz w:val="21"/>
                <w:szCs w:val="21"/>
              </w:rPr>
            </w:pPr>
            <w:r>
              <w:rPr>
                <w:rFonts w:ascii="宋体"/>
                <w:sz w:val="21"/>
              </w:rPr>
              <w:t>1.63</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20" w:right="0"/>
              <w:jc w:val="left"/>
              <w:rPr>
                <w:rFonts w:ascii="宋体" w:hAnsi="宋体" w:cs="宋体" w:eastAsia="宋体" w:hint="default"/>
                <w:sz w:val="21"/>
                <w:szCs w:val="21"/>
              </w:rPr>
            </w:pPr>
            <w:r>
              <w:rPr>
                <w:rFonts w:ascii="宋体"/>
                <w:sz w:val="21"/>
              </w:rPr>
              <w:t>73,098,5</w:t>
            </w:r>
          </w:p>
          <w:p>
            <w:pPr>
              <w:pStyle w:val="TableParagraph"/>
              <w:spacing w:line="240" w:lineRule="auto" w:before="38"/>
              <w:ind w:left="435" w:right="0"/>
              <w:jc w:val="left"/>
              <w:rPr>
                <w:rFonts w:ascii="宋体" w:hAnsi="宋体" w:cs="宋体" w:eastAsia="宋体" w:hint="default"/>
                <w:sz w:val="21"/>
                <w:szCs w:val="21"/>
              </w:rPr>
            </w:pPr>
            <w:r>
              <w:rPr>
                <w:rFonts w:ascii="宋体"/>
                <w:sz w:val="21"/>
              </w:rPr>
              <w:t>70.01</w:t>
            </w:r>
          </w:p>
        </w:tc>
        <w:tc>
          <w:tcPr>
            <w:tcW w:w="50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9"/>
        <w:rPr>
          <w:rFonts w:ascii="宋体" w:hAnsi="宋体" w:cs="宋体" w:eastAsia="宋体" w:hint="default"/>
          <w:sz w:val="6"/>
          <w:szCs w:val="6"/>
        </w:rPr>
      </w:pPr>
    </w:p>
    <w:p>
      <w:pPr>
        <w:spacing w:before="35"/>
        <w:ind w:left="816" w:right="1117" w:firstLine="0"/>
        <w:jc w:val="left"/>
        <w:rPr>
          <w:rFonts w:ascii="宋体" w:hAnsi="宋体" w:cs="宋体" w:eastAsia="宋体" w:hint="default"/>
          <w:sz w:val="21"/>
          <w:szCs w:val="21"/>
        </w:rPr>
      </w:pPr>
      <w:bookmarkStart w:name="（3）其他说明" w:id="546"/>
      <w:bookmarkEnd w:id="546"/>
      <w:r>
        <w:rPr/>
      </w:r>
      <w:r>
        <w:rPr>
          <w:rFonts w:ascii="宋体" w:hAnsi="宋体" w:cs="宋体" w:eastAsia="宋体" w:hint="default"/>
          <w:b/>
          <w:bCs/>
          <w:sz w:val="21"/>
          <w:szCs w:val="21"/>
        </w:rPr>
        <w:t>（</w:t>
      </w:r>
      <w:r>
        <w:rPr>
          <w:rFonts w:ascii="宋体" w:hAnsi="宋体" w:cs="宋体" w:eastAsia="宋体" w:hint="default"/>
          <w:b/>
          <w:bCs/>
          <w:sz w:val="21"/>
          <w:szCs w:val="21"/>
        </w:rPr>
        <w:t>3</w:t>
      </w:r>
      <w:r>
        <w:rPr>
          <w:rFonts w:ascii="宋体" w:hAnsi="宋体" w:cs="宋体" w:eastAsia="宋体" w:hint="default"/>
          <w:b/>
          <w:bCs/>
          <w:sz w:val="21"/>
          <w:szCs w:val="21"/>
        </w:rPr>
        <w:t>）其他说明</w:t>
      </w:r>
      <w:r>
        <w:rPr>
          <w:rFonts w:ascii="宋体" w:hAnsi="宋体" w:cs="宋体" w:eastAsia="宋体" w:hint="default"/>
          <w:sz w:val="21"/>
          <w:szCs w:val="21"/>
        </w:rPr>
      </w:r>
    </w:p>
    <w:p>
      <w:pPr>
        <w:pStyle w:val="BodyText"/>
        <w:spacing w:line="240" w:lineRule="auto" w:before="151"/>
        <w:ind w:left="873" w:right="1117"/>
        <w:jc w:val="left"/>
      </w:pPr>
      <w:r>
        <w:rPr/>
        <w:t>对子公司长期股权投资说明：</w:t>
      </w:r>
    </w:p>
    <w:p>
      <w:pPr>
        <w:pStyle w:val="BodyText"/>
        <w:spacing w:line="350" w:lineRule="auto" w:before="145"/>
        <w:ind w:left="393" w:right="1109" w:firstLine="480"/>
        <w:jc w:val="right"/>
      </w:pPr>
      <w:r>
        <w:rPr/>
        <w:t>根据公司第五届董事会第二十八次会议决议，于</w:t>
      </w:r>
      <w:r>
        <w:rPr>
          <w:spacing w:val="-60"/>
        </w:rPr>
        <w:t> </w:t>
      </w:r>
      <w:r>
        <w:rPr>
          <w:rFonts w:ascii="宋体" w:hAnsi="宋体" w:cs="宋体" w:eastAsia="宋体" w:hint="default"/>
        </w:rPr>
        <w:t>2017</w:t>
      </w:r>
      <w:r>
        <w:rPr>
          <w:rFonts w:ascii="宋体" w:hAnsi="宋体" w:cs="宋体" w:eastAsia="宋体" w:hint="default"/>
          <w:spacing w:val="-60"/>
        </w:rPr>
        <w:t> </w:t>
      </w:r>
      <w:r>
        <w:rPr/>
        <w:t>年</w:t>
      </w:r>
      <w:r>
        <w:rPr>
          <w:spacing w:val="-60"/>
        </w:rPr>
        <w:t> </w:t>
      </w:r>
      <w:r>
        <w:rPr>
          <w:rFonts w:ascii="宋体" w:hAnsi="宋体" w:cs="宋体" w:eastAsia="宋体" w:hint="default"/>
        </w:rPr>
        <w:t>1</w:t>
      </w:r>
      <w:r>
        <w:rPr>
          <w:rFonts w:ascii="宋体" w:hAnsi="宋体" w:cs="宋体" w:eastAsia="宋体" w:hint="default"/>
          <w:spacing w:val="-60"/>
        </w:rPr>
        <w:t> </w:t>
      </w:r>
      <w:r>
        <w:rPr/>
        <w:t>月</w:t>
      </w:r>
      <w:r>
        <w:rPr>
          <w:spacing w:val="-60"/>
        </w:rPr>
        <w:t> </w:t>
      </w:r>
      <w:r>
        <w:rPr>
          <w:rFonts w:ascii="宋体" w:hAnsi="宋体" w:cs="宋体" w:eastAsia="宋体" w:hint="default"/>
        </w:rPr>
        <w:t>20</w:t>
      </w:r>
      <w:r>
        <w:rPr>
          <w:rFonts w:ascii="宋体" w:hAnsi="宋体" w:cs="宋体" w:eastAsia="宋体" w:hint="default"/>
          <w:spacing w:val="-60"/>
        </w:rPr>
        <w:t> </w:t>
      </w:r>
      <w:r>
        <w:rPr/>
        <w:t>日与成都西南交大驱动 </w:t>
      </w:r>
      <w:r>
        <w:rPr>
          <w:spacing w:val="-6"/>
        </w:rPr>
        <w:t>技术有限责任公司（以下简称“交大驱动”）、柯坚、王志国、吴文海、秦剑（上述四名自然</w:t>
      </w:r>
      <w:r>
        <w:rPr/>
        <w:t> </w:t>
      </w:r>
      <w:r>
        <w:rPr>
          <w:spacing w:val="-6"/>
        </w:rPr>
        <w:t>人合称时为“原股东”）签署了《关于成都西南交大驱动技术有限责任公司之投资协议》，以</w:t>
      </w:r>
      <w:r>
        <w:rPr/>
        <w:t> 自有资金</w:t>
      </w:r>
      <w:r>
        <w:rPr>
          <w:spacing w:val="-59"/>
        </w:rPr>
        <w:t> </w:t>
      </w:r>
      <w:r>
        <w:rPr>
          <w:rFonts w:ascii="宋体" w:hAnsi="宋体" w:cs="宋体" w:eastAsia="宋体" w:hint="default"/>
        </w:rPr>
        <w:t>2,128.10</w:t>
      </w:r>
      <w:r>
        <w:rPr>
          <w:rFonts w:ascii="宋体" w:hAnsi="宋体" w:cs="宋体" w:eastAsia="宋体" w:hint="default"/>
          <w:spacing w:val="-59"/>
        </w:rPr>
        <w:t> </w:t>
      </w:r>
      <w:r>
        <w:rPr/>
        <w:t>万元认购交大驱动注册资本</w:t>
      </w:r>
      <w:r>
        <w:rPr>
          <w:spacing w:val="-59"/>
        </w:rPr>
        <w:t> </w:t>
      </w:r>
      <w:r>
        <w:rPr>
          <w:rFonts w:ascii="宋体" w:hAnsi="宋体" w:cs="宋体" w:eastAsia="宋体" w:hint="default"/>
        </w:rPr>
        <w:t>300.00</w:t>
      </w:r>
      <w:r>
        <w:rPr>
          <w:rFonts w:ascii="宋体" w:hAnsi="宋体" w:cs="宋体" w:eastAsia="宋体" w:hint="default"/>
          <w:spacing w:val="-59"/>
        </w:rPr>
        <w:t> </w:t>
      </w:r>
      <w:r>
        <w:rPr>
          <w:spacing w:val="-12"/>
        </w:rPr>
        <w:t>万元，占其总股本的</w:t>
      </w:r>
      <w:r>
        <w:rPr>
          <w:spacing w:val="-59"/>
        </w:rPr>
        <w:t> </w:t>
      </w:r>
      <w:r>
        <w:rPr>
          <w:rFonts w:ascii="宋体" w:hAnsi="宋体" w:cs="宋体" w:eastAsia="宋体" w:hint="default"/>
          <w:spacing w:val="-21"/>
        </w:rPr>
        <w:t>20%</w:t>
      </w:r>
      <w:r>
        <w:rPr>
          <w:spacing w:val="-21"/>
        </w:rPr>
        <w:t>；以</w:t>
      </w:r>
      <w:r>
        <w:rPr>
          <w:spacing w:val="-59"/>
        </w:rPr>
        <w:t> </w:t>
      </w:r>
      <w:r>
        <w:rPr>
          <w:rFonts w:ascii="宋体" w:hAnsi="宋体" w:cs="宋体" w:eastAsia="宋体" w:hint="default"/>
        </w:rPr>
        <w:t>3,298.56 </w:t>
      </w:r>
      <w:r>
        <w:rPr/>
        <w:t>万元受让原股东转让的</w:t>
      </w:r>
      <w:r>
        <w:rPr>
          <w:spacing w:val="-60"/>
        </w:rPr>
        <w:t> </w:t>
      </w:r>
      <w:r>
        <w:rPr>
          <w:rFonts w:ascii="宋体" w:hAnsi="宋体" w:cs="宋体" w:eastAsia="宋体" w:hint="default"/>
        </w:rPr>
        <w:t>465.00</w:t>
      </w:r>
      <w:r>
        <w:rPr>
          <w:rFonts w:ascii="宋体" w:hAnsi="宋体" w:cs="宋体" w:eastAsia="宋体" w:hint="default"/>
          <w:spacing w:val="-60"/>
        </w:rPr>
        <w:t> </w:t>
      </w:r>
      <w:r>
        <w:rPr/>
        <w:t>万元注册资本。交易完成后，共计持有交大驱动</w:t>
      </w:r>
      <w:r>
        <w:rPr>
          <w:spacing w:val="-60"/>
        </w:rPr>
        <w:t> </w:t>
      </w:r>
      <w:r>
        <w:rPr>
          <w:rFonts w:ascii="宋体" w:hAnsi="宋体" w:cs="宋体" w:eastAsia="宋体" w:hint="default"/>
        </w:rPr>
        <w:t>51%</w:t>
      </w:r>
      <w:r>
        <w:rPr/>
        <w:t>的股权。 根据公司第五届董事会第四次会议决议，投资设立全资子公司河南辉煌信通软件有限公 司，注册资本</w:t>
      </w:r>
      <w:r>
        <w:rPr>
          <w:spacing w:val="-63"/>
        </w:rPr>
        <w:t> </w:t>
      </w:r>
      <w:r>
        <w:rPr>
          <w:rFonts w:ascii="宋体" w:hAnsi="宋体" w:cs="宋体" w:eastAsia="宋体" w:hint="default"/>
        </w:rPr>
        <w:t>1,500.00</w:t>
      </w:r>
      <w:r>
        <w:rPr>
          <w:rFonts w:ascii="宋体" w:hAnsi="宋体" w:cs="宋体" w:eastAsia="宋体" w:hint="default"/>
          <w:spacing w:val="-63"/>
        </w:rPr>
        <w:t> </w:t>
      </w:r>
      <w:r>
        <w:rPr/>
        <w:t>万元，</w:t>
      </w:r>
      <w:r>
        <w:rPr>
          <w:rFonts w:ascii="宋体" w:hAnsi="宋体" w:cs="宋体" w:eastAsia="宋体" w:hint="default"/>
        </w:rPr>
        <w:t>2014</w:t>
      </w:r>
      <w:r>
        <w:rPr>
          <w:rFonts w:ascii="宋体" w:hAnsi="宋体" w:cs="宋体" w:eastAsia="宋体" w:hint="default"/>
          <w:spacing w:val="-63"/>
        </w:rPr>
        <w:t> </w:t>
      </w:r>
      <w:r>
        <w:rPr/>
        <w:t>年出资</w:t>
      </w:r>
      <w:r>
        <w:rPr>
          <w:spacing w:val="-63"/>
        </w:rPr>
        <w:t> </w:t>
      </w:r>
      <w:r>
        <w:rPr>
          <w:rFonts w:ascii="宋体" w:hAnsi="宋体" w:cs="宋体" w:eastAsia="宋体" w:hint="default"/>
        </w:rPr>
        <w:t>110.00</w:t>
      </w:r>
      <w:r>
        <w:rPr>
          <w:rFonts w:ascii="宋体" w:hAnsi="宋体" w:cs="宋体" w:eastAsia="宋体" w:hint="default"/>
          <w:spacing w:val="-63"/>
        </w:rPr>
        <w:t> </w:t>
      </w:r>
      <w:r>
        <w:rPr/>
        <w:t>万元，</w:t>
      </w:r>
      <w:r>
        <w:rPr>
          <w:rFonts w:ascii="宋体" w:hAnsi="宋体" w:cs="宋体" w:eastAsia="宋体" w:hint="default"/>
        </w:rPr>
        <w:t>2015</w:t>
      </w:r>
      <w:r>
        <w:rPr>
          <w:rFonts w:ascii="宋体" w:hAnsi="宋体" w:cs="宋体" w:eastAsia="宋体" w:hint="default"/>
          <w:spacing w:val="-63"/>
        </w:rPr>
        <w:t> </w:t>
      </w:r>
      <w:r>
        <w:rPr/>
        <w:t>年出资</w:t>
      </w:r>
      <w:r>
        <w:rPr>
          <w:spacing w:val="-63"/>
        </w:rPr>
        <w:t> </w:t>
      </w:r>
      <w:r>
        <w:rPr>
          <w:rFonts w:ascii="宋体" w:hAnsi="宋体" w:cs="宋体" w:eastAsia="宋体" w:hint="default"/>
        </w:rPr>
        <w:t>440.00</w:t>
      </w:r>
      <w:r>
        <w:rPr>
          <w:rFonts w:ascii="宋体" w:hAnsi="宋体" w:cs="宋体" w:eastAsia="宋体" w:hint="default"/>
          <w:spacing w:val="-63"/>
        </w:rPr>
        <w:t> </w:t>
      </w:r>
      <w:r>
        <w:rPr/>
        <w:t>万元，</w:t>
      </w:r>
      <w:r>
        <w:rPr>
          <w:rFonts w:ascii="宋体" w:hAnsi="宋体" w:cs="宋体" w:eastAsia="宋体" w:hint="default"/>
        </w:rPr>
        <w:t>2016</w:t>
      </w:r>
      <w:r>
        <w:rPr>
          <w:rFonts w:ascii="宋体" w:hAnsi="宋体" w:cs="宋体" w:eastAsia="宋体" w:hint="default"/>
          <w:spacing w:val="-62"/>
        </w:rPr>
        <w:t> </w:t>
      </w:r>
      <w:r>
        <w:rPr/>
        <w:t>年 出资</w:t>
      </w:r>
      <w:r>
        <w:rPr>
          <w:spacing w:val="-61"/>
        </w:rPr>
        <w:t> </w:t>
      </w:r>
      <w:r>
        <w:rPr>
          <w:rFonts w:ascii="宋体" w:hAnsi="宋体" w:cs="宋体" w:eastAsia="宋体" w:hint="default"/>
        </w:rPr>
        <w:t>400.00</w:t>
      </w:r>
      <w:r>
        <w:rPr>
          <w:rFonts w:ascii="宋体" w:hAnsi="宋体" w:cs="宋体" w:eastAsia="宋体" w:hint="default"/>
          <w:spacing w:val="-61"/>
        </w:rPr>
        <w:t> </w:t>
      </w:r>
      <w:r>
        <w:rPr/>
        <w:t>万元，</w:t>
      </w:r>
      <w:r>
        <w:rPr>
          <w:rFonts w:ascii="宋体" w:hAnsi="宋体" w:cs="宋体" w:eastAsia="宋体" w:hint="default"/>
        </w:rPr>
        <w:t>2017</w:t>
      </w:r>
      <w:r>
        <w:rPr>
          <w:rFonts w:ascii="宋体" w:hAnsi="宋体" w:cs="宋体" w:eastAsia="宋体" w:hint="default"/>
          <w:spacing w:val="-61"/>
        </w:rPr>
        <w:t> </w:t>
      </w:r>
      <w:r>
        <w:rPr/>
        <w:t>年出资</w:t>
      </w:r>
      <w:r>
        <w:rPr>
          <w:spacing w:val="-61"/>
        </w:rPr>
        <w:t> </w:t>
      </w:r>
      <w:r>
        <w:rPr>
          <w:rFonts w:ascii="宋体" w:hAnsi="宋体" w:cs="宋体" w:eastAsia="宋体" w:hint="default"/>
        </w:rPr>
        <w:t>300.00</w:t>
      </w:r>
      <w:r>
        <w:rPr>
          <w:rFonts w:ascii="宋体" w:hAnsi="宋体" w:cs="宋体" w:eastAsia="宋体" w:hint="default"/>
          <w:spacing w:val="-61"/>
        </w:rPr>
        <w:t> </w:t>
      </w:r>
      <w:r>
        <w:rPr>
          <w:spacing w:val="-3"/>
        </w:rPr>
        <w:t>万元，截止</w:t>
      </w:r>
      <w:r>
        <w:rPr>
          <w:spacing w:val="-61"/>
        </w:rPr>
        <w:t> </w:t>
      </w:r>
      <w:r>
        <w:rPr>
          <w:rFonts w:ascii="宋体" w:hAnsi="宋体" w:cs="宋体" w:eastAsia="宋体" w:hint="default"/>
        </w:rPr>
        <w:t>2017</w:t>
      </w:r>
      <w:r>
        <w:rPr>
          <w:rFonts w:ascii="宋体" w:hAnsi="宋体" w:cs="宋体" w:eastAsia="宋体" w:hint="default"/>
          <w:spacing w:val="-61"/>
        </w:rPr>
        <w:t> </w:t>
      </w:r>
      <w:r>
        <w:rPr/>
        <w:t>年</w:t>
      </w:r>
      <w:r>
        <w:rPr>
          <w:spacing w:val="-61"/>
        </w:rPr>
        <w:t> </w:t>
      </w:r>
      <w:r>
        <w:rPr>
          <w:rFonts w:ascii="宋体" w:hAnsi="宋体" w:cs="宋体" w:eastAsia="宋体" w:hint="default"/>
        </w:rPr>
        <w:t>12</w:t>
      </w:r>
      <w:r>
        <w:rPr>
          <w:rFonts w:ascii="宋体" w:hAnsi="宋体" w:cs="宋体" w:eastAsia="宋体" w:hint="default"/>
          <w:spacing w:val="-61"/>
        </w:rPr>
        <w:t> </w:t>
      </w:r>
      <w:r>
        <w:rPr/>
        <w:t>月</w:t>
      </w:r>
      <w:r>
        <w:rPr>
          <w:spacing w:val="-61"/>
        </w:rPr>
        <w:t> </w:t>
      </w:r>
      <w:r>
        <w:rPr>
          <w:rFonts w:ascii="宋体" w:hAnsi="宋体" w:cs="宋体" w:eastAsia="宋体" w:hint="default"/>
        </w:rPr>
        <w:t>31</w:t>
      </w:r>
      <w:r>
        <w:rPr>
          <w:rFonts w:ascii="宋体" w:hAnsi="宋体" w:cs="宋体" w:eastAsia="宋体" w:hint="default"/>
          <w:spacing w:val="-61"/>
        </w:rPr>
        <w:t> </w:t>
      </w:r>
      <w:r>
        <w:rPr/>
        <w:t>日实际出资</w:t>
      </w:r>
      <w:r>
        <w:rPr>
          <w:spacing w:val="-61"/>
        </w:rPr>
        <w:t> </w:t>
      </w:r>
      <w:r>
        <w:rPr>
          <w:rFonts w:ascii="宋体" w:hAnsi="宋体" w:cs="宋体" w:eastAsia="宋体" w:hint="default"/>
        </w:rPr>
        <w:t>1,250.00</w:t>
      </w:r>
      <w:r>
        <w:rPr>
          <w:rFonts w:ascii="宋体" w:hAnsi="宋体" w:cs="宋体" w:eastAsia="宋体" w:hint="default"/>
          <w:spacing w:val="-61"/>
        </w:rPr>
        <w:t> </w:t>
      </w:r>
      <w:r>
        <w:rPr/>
        <w:t>万</w:t>
      </w:r>
    </w:p>
    <w:p>
      <w:pPr>
        <w:pStyle w:val="BodyText"/>
        <w:spacing w:line="240" w:lineRule="auto"/>
        <w:ind w:left="394" w:right="1117"/>
        <w:jc w:val="left"/>
      </w:pPr>
      <w:r>
        <w:rPr/>
        <w:t>元。</w:t>
      </w:r>
    </w:p>
    <w:p>
      <w:pPr>
        <w:pStyle w:val="BodyText"/>
        <w:spacing w:line="350" w:lineRule="auto" w:before="145"/>
        <w:ind w:left="394" w:right="1169" w:firstLine="480"/>
        <w:jc w:val="both"/>
      </w:pPr>
      <w:r>
        <w:rPr/>
        <w:t>根据公司第五届董事会第十五次会议决议，投资设立全资子公司河南辉煌城轨科技有限 公司，注册资本</w:t>
      </w:r>
      <w:r>
        <w:rPr>
          <w:spacing w:val="-60"/>
        </w:rPr>
        <w:t> </w:t>
      </w:r>
      <w:r>
        <w:rPr>
          <w:rFonts w:ascii="宋体" w:hAnsi="宋体" w:cs="宋体" w:eastAsia="宋体" w:hint="default"/>
        </w:rPr>
        <w:t>5,000.00</w:t>
      </w:r>
      <w:r>
        <w:rPr>
          <w:rFonts w:ascii="宋体" w:hAnsi="宋体" w:cs="宋体" w:eastAsia="宋体" w:hint="default"/>
          <w:spacing w:val="-60"/>
        </w:rPr>
        <w:t> </w:t>
      </w:r>
      <w:r>
        <w:rPr/>
        <w:t>万元，</w:t>
      </w:r>
      <w:r>
        <w:rPr>
          <w:rFonts w:ascii="宋体" w:hAnsi="宋体" w:cs="宋体" w:eastAsia="宋体" w:hint="default"/>
        </w:rPr>
        <w:t>2016</w:t>
      </w:r>
      <w:r>
        <w:rPr>
          <w:rFonts w:ascii="宋体" w:hAnsi="宋体" w:cs="宋体" w:eastAsia="宋体" w:hint="default"/>
          <w:spacing w:val="-60"/>
        </w:rPr>
        <w:t> </w:t>
      </w:r>
      <w:r>
        <w:rPr/>
        <w:t>年出资</w:t>
      </w:r>
      <w:r>
        <w:rPr>
          <w:spacing w:val="-60"/>
        </w:rPr>
        <w:t> </w:t>
      </w:r>
      <w:r>
        <w:rPr>
          <w:rFonts w:ascii="宋体" w:hAnsi="宋体" w:cs="宋体" w:eastAsia="宋体" w:hint="default"/>
        </w:rPr>
        <w:t>800.00</w:t>
      </w:r>
      <w:r>
        <w:rPr>
          <w:rFonts w:ascii="宋体" w:hAnsi="宋体" w:cs="宋体" w:eastAsia="宋体" w:hint="default"/>
          <w:spacing w:val="-60"/>
        </w:rPr>
        <w:t> </w:t>
      </w:r>
      <w:r>
        <w:rPr/>
        <w:t>万元，</w:t>
      </w:r>
      <w:r>
        <w:rPr>
          <w:rFonts w:ascii="宋体" w:hAnsi="宋体" w:cs="宋体" w:eastAsia="宋体" w:hint="default"/>
        </w:rPr>
        <w:t>2017</w:t>
      </w:r>
      <w:r>
        <w:rPr>
          <w:rFonts w:ascii="宋体" w:hAnsi="宋体" w:cs="宋体" w:eastAsia="宋体" w:hint="default"/>
          <w:spacing w:val="-60"/>
        </w:rPr>
        <w:t> </w:t>
      </w:r>
      <w:r>
        <w:rPr/>
        <w:t>年出资</w:t>
      </w:r>
      <w:r>
        <w:rPr>
          <w:spacing w:val="-60"/>
        </w:rPr>
        <w:t> </w:t>
      </w:r>
      <w:r>
        <w:rPr>
          <w:rFonts w:ascii="宋体" w:hAnsi="宋体" w:cs="宋体" w:eastAsia="宋体" w:hint="default"/>
        </w:rPr>
        <w:t>800.00</w:t>
      </w:r>
      <w:r>
        <w:rPr>
          <w:rFonts w:ascii="宋体" w:hAnsi="宋体" w:cs="宋体" w:eastAsia="宋体" w:hint="default"/>
          <w:spacing w:val="-60"/>
        </w:rPr>
        <w:t> </w:t>
      </w:r>
      <w:r>
        <w:rPr/>
        <w:t>万元，截止</w:t>
      </w:r>
    </w:p>
    <w:p>
      <w:pPr>
        <w:pStyle w:val="BodyText"/>
        <w:spacing w:line="240" w:lineRule="auto"/>
        <w:ind w:left="393" w:right="1117"/>
        <w:jc w:val="left"/>
      </w:pPr>
      <w:r>
        <w:rPr>
          <w:rFonts w:ascii="宋体" w:hAnsi="宋体" w:cs="宋体" w:eastAsia="宋体" w:hint="default"/>
        </w:rPr>
        <w:t>2017</w:t>
      </w:r>
      <w:r>
        <w:rPr>
          <w:rFonts w:ascii="宋体" w:hAnsi="宋体" w:cs="宋体" w:eastAsia="宋体" w:hint="default"/>
          <w:spacing w:val="-60"/>
        </w:rPr>
        <w:t> </w:t>
      </w:r>
      <w:r>
        <w:rPr/>
        <w:t>年</w:t>
      </w:r>
      <w:r>
        <w:rPr>
          <w:spacing w:val="-60"/>
        </w:rPr>
        <w:t> </w:t>
      </w:r>
      <w:r>
        <w:rPr>
          <w:rFonts w:ascii="宋体" w:hAnsi="宋体" w:cs="宋体" w:eastAsia="宋体" w:hint="default"/>
        </w:rPr>
        <w:t>12</w:t>
      </w:r>
      <w:r>
        <w:rPr>
          <w:rFonts w:ascii="宋体" w:hAnsi="宋体" w:cs="宋体" w:eastAsia="宋体" w:hint="default"/>
          <w:spacing w:val="-60"/>
        </w:rPr>
        <w:t> </w:t>
      </w:r>
      <w:r>
        <w:rPr/>
        <w:t>月</w:t>
      </w:r>
      <w:r>
        <w:rPr>
          <w:spacing w:val="-60"/>
        </w:rPr>
        <w:t> </w:t>
      </w:r>
      <w:r>
        <w:rPr>
          <w:rFonts w:ascii="宋体" w:hAnsi="宋体" w:cs="宋体" w:eastAsia="宋体" w:hint="default"/>
        </w:rPr>
        <w:t>31</w:t>
      </w:r>
      <w:r>
        <w:rPr>
          <w:rFonts w:ascii="宋体" w:hAnsi="宋体" w:cs="宋体" w:eastAsia="宋体" w:hint="default"/>
          <w:spacing w:val="-60"/>
        </w:rPr>
        <w:t> </w:t>
      </w:r>
      <w:r>
        <w:rPr/>
        <w:t>日实际出资</w:t>
      </w:r>
      <w:r>
        <w:rPr>
          <w:spacing w:val="-60"/>
        </w:rPr>
        <w:t> </w:t>
      </w:r>
      <w:r>
        <w:rPr>
          <w:rFonts w:ascii="宋体" w:hAnsi="宋体" w:cs="宋体" w:eastAsia="宋体" w:hint="default"/>
        </w:rPr>
        <w:t>1,600.00</w:t>
      </w:r>
      <w:r>
        <w:rPr>
          <w:rFonts w:ascii="宋体" w:hAnsi="宋体" w:cs="宋体" w:eastAsia="宋体" w:hint="default"/>
          <w:spacing w:val="-60"/>
        </w:rPr>
        <w:t> </w:t>
      </w:r>
      <w:r>
        <w:rPr/>
        <w:t>万元。</w:t>
      </w:r>
    </w:p>
    <w:p>
      <w:pPr>
        <w:pStyle w:val="BodyText"/>
        <w:spacing w:line="352" w:lineRule="auto" w:before="145"/>
        <w:ind w:left="394" w:right="1131" w:firstLine="480"/>
        <w:jc w:val="both"/>
      </w:pPr>
      <w:r>
        <w:rPr/>
        <w:t>截止</w:t>
      </w:r>
      <w:r>
        <w:rPr>
          <w:spacing w:val="-60"/>
        </w:rPr>
        <w:t> </w:t>
      </w:r>
      <w:r>
        <w:rPr>
          <w:rFonts w:ascii="宋体" w:hAnsi="宋体" w:cs="宋体" w:eastAsia="宋体" w:hint="default"/>
        </w:rPr>
        <w:t>2017</w:t>
      </w:r>
      <w:r>
        <w:rPr>
          <w:rFonts w:ascii="宋体" w:hAnsi="宋体" w:cs="宋体" w:eastAsia="宋体" w:hint="default"/>
          <w:spacing w:val="-60"/>
        </w:rPr>
        <w:t> </w:t>
      </w:r>
      <w:r>
        <w:rPr/>
        <w:t>年</w:t>
      </w:r>
      <w:r>
        <w:rPr>
          <w:spacing w:val="-60"/>
        </w:rPr>
        <w:t> </w:t>
      </w:r>
      <w:r>
        <w:rPr>
          <w:rFonts w:ascii="宋体" w:hAnsi="宋体" w:cs="宋体" w:eastAsia="宋体" w:hint="default"/>
        </w:rPr>
        <w:t>12</w:t>
      </w:r>
      <w:r>
        <w:rPr>
          <w:rFonts w:ascii="宋体" w:hAnsi="宋体" w:cs="宋体" w:eastAsia="宋体" w:hint="default"/>
          <w:spacing w:val="-60"/>
        </w:rPr>
        <w:t> </w:t>
      </w:r>
      <w:r>
        <w:rPr/>
        <w:t>月</w:t>
      </w:r>
      <w:r>
        <w:rPr>
          <w:spacing w:val="-60"/>
        </w:rPr>
        <w:t> </w:t>
      </w:r>
      <w:r>
        <w:rPr>
          <w:rFonts w:ascii="宋体" w:hAnsi="宋体" w:cs="宋体" w:eastAsia="宋体" w:hint="default"/>
        </w:rPr>
        <w:t>31</w:t>
      </w:r>
      <w:r>
        <w:rPr>
          <w:rFonts w:ascii="宋体" w:hAnsi="宋体" w:cs="宋体" w:eastAsia="宋体" w:hint="default"/>
          <w:spacing w:val="-60"/>
        </w:rPr>
        <w:t> </w:t>
      </w:r>
      <w:r>
        <w:rPr>
          <w:spacing w:val="-3"/>
        </w:rPr>
        <w:t>日中联资产评估集团有限公司运用“收益法”对国铁路阳的全部权</w:t>
      </w:r>
      <w:r>
        <w:rPr/>
        <w:t> 益进行评估，根据公司以往获利能力及营运资金情况估计公司资产的未来获利能力、净现金 流量，并以</w:t>
      </w:r>
      <w:r>
        <w:rPr>
          <w:spacing w:val="-60"/>
        </w:rPr>
        <w:t> </w:t>
      </w:r>
      <w:r>
        <w:rPr>
          <w:rFonts w:ascii="宋体" w:hAnsi="宋体" w:cs="宋体" w:eastAsia="宋体" w:hint="default"/>
        </w:rPr>
        <w:t>13.85%</w:t>
      </w:r>
      <w:r>
        <w:rPr/>
        <w:t>的折现率进行折现，确认评估基准日</w:t>
      </w:r>
      <w:r>
        <w:rPr>
          <w:spacing w:val="-60"/>
        </w:rPr>
        <w:t> </w:t>
      </w:r>
      <w:r>
        <w:rPr>
          <w:rFonts w:ascii="宋体" w:hAnsi="宋体" w:cs="宋体" w:eastAsia="宋体" w:hint="default"/>
        </w:rPr>
        <w:t>2017</w:t>
      </w:r>
      <w:r>
        <w:rPr>
          <w:rFonts w:ascii="宋体" w:hAnsi="宋体" w:cs="宋体" w:eastAsia="宋体" w:hint="default"/>
          <w:spacing w:val="-60"/>
        </w:rPr>
        <w:t> </w:t>
      </w:r>
      <w:r>
        <w:rPr/>
        <w:t>年</w:t>
      </w:r>
      <w:r>
        <w:rPr>
          <w:spacing w:val="-60"/>
        </w:rPr>
        <w:t> </w:t>
      </w:r>
      <w:r>
        <w:rPr>
          <w:rFonts w:ascii="宋体" w:hAnsi="宋体" w:cs="宋体" w:eastAsia="宋体" w:hint="default"/>
        </w:rPr>
        <w:t>12</w:t>
      </w:r>
      <w:r>
        <w:rPr>
          <w:rFonts w:ascii="宋体" w:hAnsi="宋体" w:cs="宋体" w:eastAsia="宋体" w:hint="default"/>
          <w:spacing w:val="-60"/>
        </w:rPr>
        <w:t> </w:t>
      </w:r>
      <w:r>
        <w:rPr/>
        <w:t>月</w:t>
      </w:r>
      <w:r>
        <w:rPr>
          <w:spacing w:val="-60"/>
        </w:rPr>
        <w:t> </w:t>
      </w:r>
      <w:r>
        <w:rPr>
          <w:rFonts w:ascii="宋体" w:hAnsi="宋体" w:cs="宋体" w:eastAsia="宋体" w:hint="default"/>
        </w:rPr>
        <w:t>31</w:t>
      </w:r>
      <w:r>
        <w:rPr>
          <w:rFonts w:ascii="宋体" w:hAnsi="宋体" w:cs="宋体" w:eastAsia="宋体" w:hint="default"/>
          <w:spacing w:val="-60"/>
        </w:rPr>
        <w:t> </w:t>
      </w:r>
      <w:r>
        <w:rPr/>
        <w:t>日国铁路阳全部权</w:t>
      </w:r>
    </w:p>
    <w:p>
      <w:pPr>
        <w:pStyle w:val="BodyText"/>
        <w:spacing w:line="240" w:lineRule="auto" w:before="33"/>
        <w:ind w:left="393" w:right="1117"/>
        <w:jc w:val="left"/>
      </w:pPr>
      <w:r>
        <w:rPr/>
        <w:t>益价值为</w:t>
      </w:r>
      <w:r>
        <w:rPr>
          <w:spacing w:val="-60"/>
        </w:rPr>
        <w:t> </w:t>
      </w:r>
      <w:r>
        <w:rPr>
          <w:rFonts w:ascii="宋体" w:hAnsi="宋体" w:cs="宋体" w:eastAsia="宋体" w:hint="default"/>
        </w:rPr>
        <w:t>25,744.91</w:t>
      </w:r>
      <w:r>
        <w:rPr>
          <w:rFonts w:ascii="宋体" w:hAnsi="宋体" w:cs="宋体" w:eastAsia="宋体" w:hint="default"/>
          <w:spacing w:val="-60"/>
        </w:rPr>
        <w:t> </w:t>
      </w:r>
      <w:r>
        <w:rPr/>
        <w:t>万元，由此确认该长期股权投资的可收回金额，本公司对可收回金额低</w:t>
      </w:r>
    </w:p>
    <w:p>
      <w:pPr>
        <w:pStyle w:val="BodyText"/>
        <w:spacing w:line="352" w:lineRule="auto" w:before="145"/>
        <w:ind w:left="873" w:right="1153" w:hanging="480"/>
        <w:jc w:val="left"/>
      </w:pPr>
      <w:r>
        <w:rPr/>
        <w:t>于账面价值的部分</w:t>
      </w:r>
      <w:r>
        <w:rPr>
          <w:spacing w:val="-60"/>
        </w:rPr>
        <w:t> </w:t>
      </w:r>
      <w:r>
        <w:rPr>
          <w:rFonts w:ascii="宋体" w:hAnsi="宋体" w:cs="宋体" w:eastAsia="宋体" w:hint="default"/>
        </w:rPr>
        <w:t>2,231.37</w:t>
      </w:r>
      <w:r>
        <w:rPr>
          <w:rFonts w:ascii="宋体" w:hAnsi="宋体" w:cs="宋体" w:eastAsia="宋体" w:hint="default"/>
          <w:spacing w:val="-60"/>
        </w:rPr>
        <w:t> </w:t>
      </w:r>
      <w:r>
        <w:rPr/>
        <w:t>万元计提了长期股权投资减值准备。 本期将所持有的的北京赛弗网络科技有限责任公司无偿划转至全资子公司河南辉煌软件</w:t>
      </w:r>
    </w:p>
    <w:p>
      <w:pPr>
        <w:spacing w:after="0" w:line="352" w:lineRule="auto"/>
        <w:jc w:val="left"/>
        <w:sectPr>
          <w:pgSz w:w="11910" w:h="16840"/>
          <w:pgMar w:header="747" w:footer="979" w:top="1060" w:bottom="1160" w:left="740" w:right="0"/>
        </w:sectPr>
      </w:pPr>
    </w:p>
    <w:p>
      <w:pPr>
        <w:spacing w:line="240" w:lineRule="auto" w:before="0"/>
        <w:rPr>
          <w:rFonts w:ascii="宋体" w:hAnsi="宋体" w:cs="宋体" w:eastAsia="宋体" w:hint="default"/>
          <w:sz w:val="20"/>
          <w:szCs w:val="20"/>
        </w:rPr>
      </w:pPr>
    </w:p>
    <w:p>
      <w:pPr>
        <w:pStyle w:val="BodyText"/>
        <w:spacing w:line="240" w:lineRule="auto" w:before="199"/>
        <w:ind w:right="996"/>
        <w:jc w:val="left"/>
      </w:pPr>
      <w:r>
        <w:rPr/>
        <w:t>有限公司。</w:t>
      </w:r>
    </w:p>
    <w:p>
      <w:pPr>
        <w:spacing w:line="240" w:lineRule="auto" w:before="1"/>
        <w:rPr>
          <w:rFonts w:ascii="宋体" w:hAnsi="宋体" w:cs="宋体" w:eastAsia="宋体" w:hint="default"/>
          <w:sz w:val="11"/>
          <w:szCs w:val="11"/>
        </w:rPr>
      </w:pPr>
    </w:p>
    <w:p>
      <w:pPr>
        <w:spacing w:before="35"/>
        <w:ind w:left="576" w:right="996" w:firstLine="0"/>
        <w:jc w:val="left"/>
        <w:rPr>
          <w:rFonts w:ascii="宋体" w:hAnsi="宋体" w:cs="宋体" w:eastAsia="宋体" w:hint="default"/>
          <w:sz w:val="21"/>
          <w:szCs w:val="21"/>
        </w:rPr>
      </w:pPr>
      <w:bookmarkStart w:name="4、营业收入和营业成本" w:id="547"/>
      <w:bookmarkEnd w:id="547"/>
      <w:r>
        <w:rPr/>
      </w:r>
      <w:r>
        <w:rPr>
          <w:rFonts w:ascii="宋体" w:hAnsi="宋体" w:cs="宋体" w:eastAsia="宋体" w:hint="default"/>
          <w:b/>
          <w:bCs/>
          <w:sz w:val="21"/>
          <w:szCs w:val="21"/>
        </w:rPr>
        <w:t>4</w:t>
      </w:r>
      <w:r>
        <w:rPr>
          <w:rFonts w:ascii="宋体" w:hAnsi="宋体" w:cs="宋体" w:eastAsia="宋体" w:hint="default"/>
          <w:b/>
          <w:bCs/>
          <w:sz w:val="21"/>
          <w:szCs w:val="21"/>
        </w:rPr>
        <w:t>、营业收入和营业成本</w:t>
      </w:r>
      <w:r>
        <w:rPr>
          <w:rFonts w:ascii="宋体" w:hAnsi="宋体" w:cs="宋体" w:eastAsia="宋体" w:hint="default"/>
          <w:sz w:val="21"/>
          <w:szCs w:val="21"/>
        </w:rPr>
      </w:r>
    </w:p>
    <w:p>
      <w:pPr>
        <w:spacing w:before="88"/>
        <w:ind w:left="0" w:right="1129" w:firstLine="0"/>
        <w:jc w:val="right"/>
        <w:rPr>
          <w:rFonts w:ascii="宋体" w:hAnsi="宋体" w:cs="宋体" w:eastAsia="宋体" w:hint="default"/>
          <w:sz w:val="21"/>
          <w:szCs w:val="21"/>
        </w:rPr>
      </w:pPr>
      <w:r>
        <w:rPr>
          <w:rFonts w:ascii="宋体" w:hAnsi="宋体" w:cs="宋体" w:eastAsia="宋体" w:hint="default"/>
          <w:sz w:val="21"/>
          <w:szCs w:val="21"/>
        </w:rPr>
        <w:t>单位： 元</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1983"/>
        <w:gridCol w:w="1838"/>
        <w:gridCol w:w="1913"/>
        <w:gridCol w:w="1913"/>
        <w:gridCol w:w="1913"/>
      </w:tblGrid>
      <w:tr>
        <w:trPr>
          <w:trHeight w:val="207" w:hRule="exact"/>
        </w:trPr>
        <w:tc>
          <w:tcPr>
            <w:tcW w:w="1983" w:type="dxa"/>
            <w:tcBorders>
              <w:top w:val="single" w:sz="4" w:space="0" w:color="000000"/>
              <w:left w:val="single" w:sz="4" w:space="0" w:color="000000"/>
              <w:bottom w:val="nil" w:sz="6" w:space="0" w:color="auto"/>
              <w:right w:val="single" w:sz="4" w:space="0" w:color="000000"/>
            </w:tcBorders>
            <w:shd w:val="clear" w:color="auto" w:fill="D2D2D2"/>
          </w:tcPr>
          <w:p>
            <w:pPr/>
          </w:p>
        </w:tc>
        <w:tc>
          <w:tcPr>
            <w:tcW w:w="375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7"/>
              <w:ind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8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7"/>
              <w:ind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196" w:hRule="exact"/>
        </w:trPr>
        <w:tc>
          <w:tcPr>
            <w:tcW w:w="198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6"/>
              <w:ind w:right="11"/>
              <w:jc w:val="center"/>
              <w:rPr>
                <w:rFonts w:ascii="宋体" w:hAnsi="宋体" w:cs="宋体" w:eastAsia="宋体" w:hint="default"/>
                <w:sz w:val="21"/>
                <w:szCs w:val="21"/>
              </w:rPr>
            </w:pPr>
            <w:r>
              <w:rPr>
                <w:rFonts w:ascii="宋体" w:hAnsi="宋体" w:cs="宋体" w:eastAsia="宋体" w:hint="default"/>
                <w:sz w:val="21"/>
                <w:szCs w:val="21"/>
              </w:rPr>
              <w:t>项目</w:t>
            </w:r>
          </w:p>
        </w:tc>
        <w:tc>
          <w:tcPr>
            <w:tcW w:w="3750" w:type="dxa"/>
            <w:gridSpan w:val="2"/>
            <w:vMerge/>
            <w:tcBorders>
              <w:left w:val="single" w:sz="4" w:space="0" w:color="000000"/>
              <w:bottom w:val="single" w:sz="4" w:space="0" w:color="000000"/>
              <w:right w:val="single" w:sz="4" w:space="0" w:color="000000"/>
            </w:tcBorders>
            <w:shd w:val="clear" w:color="auto" w:fill="D2D2D2"/>
          </w:tcPr>
          <w:p>
            <w:pPr/>
          </w:p>
        </w:tc>
        <w:tc>
          <w:tcPr>
            <w:tcW w:w="3826" w:type="dxa"/>
            <w:gridSpan w:val="2"/>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983" w:type="dxa"/>
            <w:vMerge/>
            <w:tcBorders>
              <w:left w:val="single" w:sz="4" w:space="0" w:color="000000"/>
              <w:bottom w:val="nil" w:sz="6" w:space="0" w:color="auto"/>
              <w:right w:val="single" w:sz="4" w:space="0" w:color="000000"/>
            </w:tcBorders>
            <w:shd w:val="clear" w:color="auto" w:fill="D2D2D2"/>
          </w:tcPr>
          <w:p>
            <w:pPr/>
          </w:p>
        </w:tc>
        <w:tc>
          <w:tcPr>
            <w:tcW w:w="183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收入</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成本</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收入</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成本</w:t>
            </w:r>
          </w:p>
        </w:tc>
      </w:tr>
      <w:tr>
        <w:trPr>
          <w:trHeight w:val="205" w:hRule="exact"/>
        </w:trPr>
        <w:tc>
          <w:tcPr>
            <w:tcW w:w="1983" w:type="dxa"/>
            <w:tcBorders>
              <w:top w:val="nil" w:sz="6" w:space="0" w:color="auto"/>
              <w:left w:val="single" w:sz="4" w:space="0" w:color="000000"/>
              <w:bottom w:val="single" w:sz="4" w:space="0" w:color="000000"/>
              <w:right w:val="single" w:sz="4" w:space="0" w:color="000000"/>
            </w:tcBorders>
            <w:shd w:val="clear" w:color="auto" w:fill="D2D2D2"/>
          </w:tcPr>
          <w:p>
            <w:pPr/>
          </w:p>
        </w:tc>
        <w:tc>
          <w:tcPr>
            <w:tcW w:w="1838"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11" w:right="0"/>
              <w:jc w:val="left"/>
              <w:rPr>
                <w:rFonts w:ascii="宋体" w:hAnsi="宋体" w:cs="宋体" w:eastAsia="宋体" w:hint="default"/>
                <w:sz w:val="21"/>
                <w:szCs w:val="21"/>
              </w:rPr>
            </w:pPr>
            <w:r>
              <w:rPr>
                <w:rFonts w:ascii="宋体" w:hAnsi="宋体" w:cs="宋体" w:eastAsia="宋体" w:hint="default"/>
                <w:sz w:val="21"/>
                <w:szCs w:val="21"/>
              </w:rPr>
              <w:t>主营业务</w:t>
            </w:r>
          </w:p>
        </w:tc>
        <w:tc>
          <w:tcPr>
            <w:tcW w:w="18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7"/>
              <w:ind w:right="21"/>
              <w:jc w:val="right"/>
              <w:rPr>
                <w:rFonts w:ascii="宋体" w:hAnsi="宋体" w:cs="宋体" w:eastAsia="宋体" w:hint="default"/>
                <w:sz w:val="21"/>
                <w:szCs w:val="21"/>
              </w:rPr>
            </w:pPr>
            <w:r>
              <w:rPr>
                <w:rFonts w:ascii="宋体"/>
                <w:sz w:val="21"/>
              </w:rPr>
              <w:t>320,334,275.85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9"/>
              <w:jc w:val="right"/>
              <w:rPr>
                <w:rFonts w:ascii="宋体" w:hAnsi="宋体" w:cs="宋体" w:eastAsia="宋体" w:hint="default"/>
                <w:sz w:val="21"/>
                <w:szCs w:val="21"/>
              </w:rPr>
            </w:pPr>
            <w:r>
              <w:rPr>
                <w:rFonts w:ascii="宋体"/>
                <w:sz w:val="21"/>
              </w:rPr>
              <w:t>179,396,685.32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1"/>
              <w:jc w:val="right"/>
              <w:rPr>
                <w:rFonts w:ascii="宋体" w:hAnsi="宋体" w:cs="宋体" w:eastAsia="宋体" w:hint="default"/>
                <w:sz w:val="21"/>
                <w:szCs w:val="21"/>
              </w:rPr>
            </w:pPr>
            <w:r>
              <w:rPr>
                <w:rFonts w:ascii="宋体"/>
                <w:sz w:val="21"/>
              </w:rPr>
              <w:t>365,698,300.79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9"/>
              <w:jc w:val="right"/>
              <w:rPr>
                <w:rFonts w:ascii="宋体" w:hAnsi="宋体" w:cs="宋体" w:eastAsia="宋体" w:hint="default"/>
                <w:sz w:val="21"/>
                <w:szCs w:val="21"/>
              </w:rPr>
            </w:pPr>
            <w:r>
              <w:rPr>
                <w:rFonts w:ascii="宋体"/>
                <w:sz w:val="21"/>
              </w:rPr>
              <w:t>214,059,448.34</w:t>
            </w:r>
          </w:p>
        </w:tc>
      </w:tr>
      <w:tr>
        <w:trPr>
          <w:trHeight w:val="402" w:hRule="exact"/>
        </w:trPr>
        <w:tc>
          <w:tcPr>
            <w:tcW w:w="1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11" w:right="0"/>
              <w:jc w:val="left"/>
              <w:rPr>
                <w:rFonts w:ascii="宋体" w:hAnsi="宋体" w:cs="宋体" w:eastAsia="宋体" w:hint="default"/>
                <w:sz w:val="21"/>
                <w:szCs w:val="21"/>
              </w:rPr>
            </w:pPr>
            <w:r>
              <w:rPr>
                <w:rFonts w:ascii="宋体" w:hAnsi="宋体" w:cs="宋体" w:eastAsia="宋体" w:hint="default"/>
                <w:sz w:val="21"/>
                <w:szCs w:val="21"/>
              </w:rPr>
              <w:t>其他业务</w:t>
            </w:r>
          </w:p>
        </w:tc>
        <w:tc>
          <w:tcPr>
            <w:tcW w:w="18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7"/>
              <w:ind w:right="21"/>
              <w:jc w:val="right"/>
              <w:rPr>
                <w:rFonts w:ascii="宋体" w:hAnsi="宋体" w:cs="宋体" w:eastAsia="宋体" w:hint="default"/>
                <w:sz w:val="21"/>
                <w:szCs w:val="21"/>
              </w:rPr>
            </w:pPr>
            <w:r>
              <w:rPr>
                <w:rFonts w:ascii="宋体"/>
                <w:sz w:val="21"/>
              </w:rPr>
              <w:t>79,056,225.53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0"/>
              <w:jc w:val="right"/>
              <w:rPr>
                <w:rFonts w:ascii="宋体" w:hAnsi="宋体" w:cs="宋体" w:eastAsia="宋体" w:hint="default"/>
                <w:sz w:val="21"/>
                <w:szCs w:val="21"/>
              </w:rPr>
            </w:pPr>
            <w:r>
              <w:rPr>
                <w:rFonts w:ascii="宋体"/>
                <w:sz w:val="21"/>
              </w:rPr>
              <w:t>50,178,008.22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0"/>
              <w:jc w:val="right"/>
              <w:rPr>
                <w:rFonts w:ascii="宋体" w:hAnsi="宋体" w:cs="宋体" w:eastAsia="宋体" w:hint="default"/>
                <w:sz w:val="21"/>
                <w:szCs w:val="21"/>
              </w:rPr>
            </w:pPr>
            <w:r>
              <w:rPr>
                <w:rFonts w:ascii="宋体"/>
                <w:sz w:val="21"/>
              </w:rPr>
              <w:t>42,821,672.51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0"/>
              <w:jc w:val="right"/>
              <w:rPr>
                <w:rFonts w:ascii="宋体" w:hAnsi="宋体" w:cs="宋体" w:eastAsia="宋体" w:hint="default"/>
                <w:sz w:val="21"/>
                <w:szCs w:val="21"/>
              </w:rPr>
            </w:pPr>
            <w:r>
              <w:rPr>
                <w:rFonts w:ascii="宋体"/>
                <w:sz w:val="21"/>
              </w:rPr>
              <w:t>17,825,244.20</w:t>
            </w:r>
          </w:p>
        </w:tc>
      </w:tr>
      <w:tr>
        <w:trPr>
          <w:trHeight w:val="403" w:hRule="exact"/>
        </w:trPr>
        <w:tc>
          <w:tcPr>
            <w:tcW w:w="1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11"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8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7"/>
              <w:ind w:right="21"/>
              <w:jc w:val="right"/>
              <w:rPr>
                <w:rFonts w:ascii="宋体" w:hAnsi="宋体" w:cs="宋体" w:eastAsia="宋体" w:hint="default"/>
                <w:sz w:val="21"/>
                <w:szCs w:val="21"/>
              </w:rPr>
            </w:pPr>
            <w:r>
              <w:rPr>
                <w:rFonts w:ascii="宋体"/>
                <w:sz w:val="21"/>
              </w:rPr>
              <w:t>399,390,501.38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9"/>
              <w:jc w:val="right"/>
              <w:rPr>
                <w:rFonts w:ascii="宋体" w:hAnsi="宋体" w:cs="宋体" w:eastAsia="宋体" w:hint="default"/>
                <w:sz w:val="21"/>
                <w:szCs w:val="21"/>
              </w:rPr>
            </w:pPr>
            <w:r>
              <w:rPr>
                <w:rFonts w:ascii="宋体"/>
                <w:sz w:val="21"/>
              </w:rPr>
              <w:t>229,574,693.54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1"/>
              <w:jc w:val="right"/>
              <w:rPr>
                <w:rFonts w:ascii="宋体" w:hAnsi="宋体" w:cs="宋体" w:eastAsia="宋体" w:hint="default"/>
                <w:sz w:val="21"/>
                <w:szCs w:val="21"/>
              </w:rPr>
            </w:pPr>
            <w:r>
              <w:rPr>
                <w:rFonts w:ascii="宋体"/>
                <w:sz w:val="21"/>
              </w:rPr>
              <w:t>408,519,973.30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9"/>
              <w:jc w:val="right"/>
              <w:rPr>
                <w:rFonts w:ascii="宋体" w:hAnsi="宋体" w:cs="宋体" w:eastAsia="宋体" w:hint="default"/>
                <w:sz w:val="21"/>
                <w:szCs w:val="21"/>
              </w:rPr>
            </w:pPr>
            <w:r>
              <w:rPr>
                <w:rFonts w:ascii="宋体"/>
                <w:sz w:val="21"/>
              </w:rPr>
              <w:t>231,884,692.54</w:t>
            </w:r>
          </w:p>
        </w:tc>
      </w:tr>
    </w:tbl>
    <w:p>
      <w:pPr>
        <w:spacing w:line="240" w:lineRule="auto" w:before="10"/>
        <w:rPr>
          <w:rFonts w:ascii="宋体" w:hAnsi="宋体" w:cs="宋体" w:eastAsia="宋体" w:hint="default"/>
          <w:sz w:val="4"/>
          <w:szCs w:val="4"/>
        </w:rPr>
      </w:pPr>
    </w:p>
    <w:p>
      <w:pPr>
        <w:pStyle w:val="BodyText"/>
        <w:spacing w:line="240" w:lineRule="auto" w:before="26"/>
        <w:ind w:left="634" w:right="996"/>
        <w:jc w:val="left"/>
      </w:pPr>
      <w:r>
        <w:rPr/>
        <w:t>其他说明：</w:t>
      </w:r>
    </w:p>
    <w:p>
      <w:pPr>
        <w:spacing w:line="240" w:lineRule="auto" w:before="5"/>
        <w:rPr>
          <w:rFonts w:ascii="宋体" w:hAnsi="宋体" w:cs="宋体" w:eastAsia="宋体" w:hint="default"/>
          <w:sz w:val="4"/>
          <w:szCs w:val="4"/>
        </w:rPr>
      </w:pPr>
    </w:p>
    <w:tbl>
      <w:tblPr>
        <w:tblW w:w="0" w:type="auto"/>
        <w:jc w:val="left"/>
        <w:tblInd w:w="149" w:type="dxa"/>
        <w:tblLayout w:type="fixed"/>
        <w:tblCellMar>
          <w:top w:w="0" w:type="dxa"/>
          <w:left w:w="0" w:type="dxa"/>
          <w:bottom w:w="0" w:type="dxa"/>
          <w:right w:w="0" w:type="dxa"/>
        </w:tblCellMar>
        <w:tblLook w:val="01E0"/>
      </w:tblPr>
      <w:tblGrid>
        <w:gridCol w:w="4112"/>
        <w:gridCol w:w="2834"/>
        <w:gridCol w:w="2553"/>
      </w:tblGrid>
      <w:tr>
        <w:trPr>
          <w:trHeight w:val="342" w:hRule="exact"/>
        </w:trPr>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940" w:right="0"/>
              <w:jc w:val="left"/>
              <w:rPr>
                <w:rFonts w:ascii="宋体" w:hAnsi="宋体" w:cs="宋体" w:eastAsia="宋体" w:hint="default"/>
                <w:sz w:val="21"/>
                <w:szCs w:val="21"/>
              </w:rPr>
            </w:pPr>
            <w:r>
              <w:rPr>
                <w:rFonts w:ascii="宋体" w:hAnsi="宋体" w:cs="宋体" w:eastAsia="宋体" w:hint="default"/>
                <w:sz w:val="21"/>
                <w:szCs w:val="21"/>
              </w:rPr>
              <w:t>本年发生额</w:t>
            </w:r>
          </w:p>
        </w:tc>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746" w:right="0"/>
              <w:jc w:val="left"/>
              <w:rPr>
                <w:rFonts w:ascii="宋体" w:hAnsi="宋体" w:cs="宋体" w:eastAsia="宋体" w:hint="default"/>
                <w:sz w:val="21"/>
                <w:szCs w:val="21"/>
              </w:rPr>
            </w:pPr>
            <w:r>
              <w:rPr>
                <w:rFonts w:ascii="宋体" w:hAnsi="宋体" w:cs="宋体" w:eastAsia="宋体" w:hint="default"/>
                <w:sz w:val="21"/>
                <w:szCs w:val="21"/>
              </w:rPr>
              <w:t>上年发生额</w:t>
            </w:r>
          </w:p>
        </w:tc>
      </w:tr>
      <w:tr>
        <w:trPr>
          <w:trHeight w:val="342" w:hRule="exact"/>
        </w:trPr>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 w:right="0"/>
              <w:jc w:val="left"/>
              <w:rPr>
                <w:rFonts w:ascii="宋体" w:hAnsi="宋体" w:cs="宋体" w:eastAsia="宋体" w:hint="default"/>
                <w:sz w:val="21"/>
                <w:szCs w:val="21"/>
              </w:rPr>
            </w:pPr>
            <w:r>
              <w:rPr>
                <w:rFonts w:ascii="宋体" w:hAnsi="宋体" w:cs="宋体" w:eastAsia="宋体" w:hint="default"/>
                <w:sz w:val="21"/>
                <w:szCs w:val="21"/>
              </w:rPr>
              <w:t>主营业务收入</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2"/>
              <w:jc w:val="right"/>
              <w:rPr>
                <w:rFonts w:ascii="宋体" w:hAnsi="宋体" w:cs="宋体" w:eastAsia="宋体" w:hint="default"/>
                <w:sz w:val="21"/>
                <w:szCs w:val="21"/>
              </w:rPr>
            </w:pPr>
            <w:r>
              <w:rPr>
                <w:rFonts w:ascii="宋体"/>
                <w:spacing w:val="-1"/>
                <w:sz w:val="21"/>
              </w:rPr>
              <w:t>320,334,275.85</w:t>
            </w:r>
          </w:p>
        </w:tc>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2"/>
              <w:jc w:val="right"/>
              <w:rPr>
                <w:rFonts w:ascii="宋体" w:hAnsi="宋体" w:cs="宋体" w:eastAsia="宋体" w:hint="default"/>
                <w:sz w:val="21"/>
                <w:szCs w:val="21"/>
              </w:rPr>
            </w:pPr>
            <w:r>
              <w:rPr>
                <w:rFonts w:ascii="宋体"/>
                <w:spacing w:val="-1"/>
                <w:sz w:val="21"/>
              </w:rPr>
              <w:t>365,698,300.79</w:t>
            </w:r>
          </w:p>
        </w:tc>
      </w:tr>
      <w:tr>
        <w:trPr>
          <w:trHeight w:val="342" w:hRule="exact"/>
        </w:trPr>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1.</w:t>
            </w:r>
            <w:r>
              <w:rPr>
                <w:rFonts w:ascii="宋体" w:hAnsi="宋体" w:cs="宋体" w:eastAsia="宋体" w:hint="default"/>
                <w:sz w:val="21"/>
                <w:szCs w:val="21"/>
              </w:rPr>
              <w:t>系统集成（含软件服务费）收入</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2"/>
              <w:jc w:val="right"/>
              <w:rPr>
                <w:rFonts w:ascii="宋体" w:hAnsi="宋体" w:cs="宋体" w:eastAsia="宋体" w:hint="default"/>
                <w:sz w:val="21"/>
                <w:szCs w:val="21"/>
              </w:rPr>
            </w:pPr>
            <w:r>
              <w:rPr>
                <w:rFonts w:ascii="宋体"/>
                <w:spacing w:val="-1"/>
                <w:sz w:val="21"/>
              </w:rPr>
              <w:t>320,334,275.85</w:t>
            </w:r>
          </w:p>
        </w:tc>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2"/>
              <w:jc w:val="right"/>
              <w:rPr>
                <w:rFonts w:ascii="宋体" w:hAnsi="宋体" w:cs="宋体" w:eastAsia="宋体" w:hint="default"/>
                <w:sz w:val="21"/>
                <w:szCs w:val="21"/>
              </w:rPr>
            </w:pPr>
            <w:r>
              <w:rPr>
                <w:rFonts w:ascii="宋体"/>
                <w:spacing w:val="-1"/>
                <w:sz w:val="21"/>
              </w:rPr>
              <w:t>365,698,300.79</w:t>
            </w:r>
          </w:p>
        </w:tc>
      </w:tr>
      <w:tr>
        <w:trPr>
          <w:trHeight w:val="342" w:hRule="exact"/>
        </w:trPr>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635"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其他 </w:t>
            </w:r>
            <w:r>
              <w:rPr>
                <w:rFonts w:ascii="宋体" w:hAnsi="宋体" w:cs="宋体" w:eastAsia="宋体" w:hint="default"/>
                <w:sz w:val="21"/>
                <w:szCs w:val="21"/>
              </w:rPr>
              <w:t>IT</w:t>
            </w:r>
            <w:r>
              <w:rPr>
                <w:rFonts w:ascii="宋体" w:hAnsi="宋体" w:cs="宋体" w:eastAsia="宋体" w:hint="default"/>
                <w:spacing w:val="-4"/>
                <w:sz w:val="21"/>
                <w:szCs w:val="21"/>
              </w:rPr>
              <w:t> </w:t>
            </w:r>
            <w:r>
              <w:rPr>
                <w:rFonts w:ascii="宋体" w:hAnsi="宋体" w:cs="宋体" w:eastAsia="宋体" w:hint="default"/>
                <w:sz w:val="21"/>
                <w:szCs w:val="21"/>
              </w:rPr>
              <w:t>类收入</w:t>
            </w:r>
          </w:p>
        </w:tc>
        <w:tc>
          <w:tcPr>
            <w:tcW w:w="2834" w:type="dxa"/>
            <w:tcBorders>
              <w:top w:val="single" w:sz="4" w:space="0" w:color="000000"/>
              <w:left w:val="single" w:sz="4" w:space="0" w:color="000000"/>
              <w:bottom w:val="single" w:sz="4" w:space="0" w:color="000000"/>
              <w:right w:val="single" w:sz="4" w:space="0" w:color="000000"/>
            </w:tcBorders>
          </w:tcPr>
          <w:p>
            <w:pPr/>
          </w:p>
        </w:tc>
        <w:tc>
          <w:tcPr>
            <w:tcW w:w="2553"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635" w:right="0"/>
              <w:jc w:val="left"/>
              <w:rPr>
                <w:rFonts w:ascii="宋体" w:hAnsi="宋体" w:cs="宋体" w:eastAsia="宋体" w:hint="default"/>
                <w:sz w:val="21"/>
                <w:szCs w:val="21"/>
              </w:rPr>
            </w:pPr>
            <w:r>
              <w:rPr>
                <w:rFonts w:ascii="宋体" w:hAnsi="宋体" w:cs="宋体" w:eastAsia="宋体" w:hint="default"/>
                <w:sz w:val="21"/>
                <w:szCs w:val="21"/>
              </w:rPr>
              <w:t>3. </w:t>
            </w:r>
            <w:r>
              <w:rPr>
                <w:rFonts w:ascii="宋体" w:hAnsi="宋体" w:cs="宋体" w:eastAsia="宋体" w:hint="default"/>
                <w:sz w:val="21"/>
                <w:szCs w:val="21"/>
              </w:rPr>
              <w:t>非 </w:t>
            </w:r>
            <w:r>
              <w:rPr>
                <w:rFonts w:ascii="宋体" w:hAnsi="宋体" w:cs="宋体" w:eastAsia="宋体" w:hint="default"/>
                <w:sz w:val="21"/>
                <w:szCs w:val="21"/>
              </w:rPr>
              <w:t>IT</w:t>
            </w:r>
            <w:r>
              <w:rPr>
                <w:rFonts w:ascii="宋体" w:hAnsi="宋体" w:cs="宋体" w:eastAsia="宋体" w:hint="default"/>
                <w:spacing w:val="-1"/>
                <w:sz w:val="21"/>
                <w:szCs w:val="21"/>
              </w:rPr>
              <w:t> </w:t>
            </w:r>
            <w:r>
              <w:rPr>
                <w:rFonts w:ascii="宋体" w:hAnsi="宋体" w:cs="宋体" w:eastAsia="宋体" w:hint="default"/>
                <w:sz w:val="21"/>
                <w:szCs w:val="21"/>
              </w:rPr>
              <w:t>类收入</w:t>
            </w:r>
          </w:p>
        </w:tc>
        <w:tc>
          <w:tcPr>
            <w:tcW w:w="2834" w:type="dxa"/>
            <w:tcBorders>
              <w:top w:val="single" w:sz="4" w:space="0" w:color="000000"/>
              <w:left w:val="single" w:sz="4" w:space="0" w:color="000000"/>
              <w:bottom w:val="single" w:sz="4" w:space="0" w:color="000000"/>
              <w:right w:val="single" w:sz="4" w:space="0" w:color="000000"/>
            </w:tcBorders>
          </w:tcPr>
          <w:p>
            <w:pPr/>
          </w:p>
        </w:tc>
        <w:tc>
          <w:tcPr>
            <w:tcW w:w="2553"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 w:right="0"/>
              <w:jc w:val="left"/>
              <w:rPr>
                <w:rFonts w:ascii="宋体" w:hAnsi="宋体" w:cs="宋体" w:eastAsia="宋体" w:hint="default"/>
                <w:sz w:val="21"/>
                <w:szCs w:val="21"/>
              </w:rPr>
            </w:pPr>
            <w:r>
              <w:rPr>
                <w:rFonts w:ascii="宋体" w:hAnsi="宋体" w:cs="宋体" w:eastAsia="宋体" w:hint="default"/>
                <w:sz w:val="21"/>
                <w:szCs w:val="21"/>
              </w:rPr>
              <w:t>其他业务收入</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3"/>
              <w:jc w:val="right"/>
              <w:rPr>
                <w:rFonts w:ascii="宋体" w:hAnsi="宋体" w:cs="宋体" w:eastAsia="宋体" w:hint="default"/>
                <w:sz w:val="21"/>
                <w:szCs w:val="21"/>
              </w:rPr>
            </w:pPr>
            <w:r>
              <w:rPr>
                <w:rFonts w:ascii="宋体"/>
                <w:spacing w:val="-1"/>
                <w:sz w:val="21"/>
              </w:rPr>
              <w:t>79,056,225.53</w:t>
            </w:r>
          </w:p>
        </w:tc>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3"/>
              <w:jc w:val="right"/>
              <w:rPr>
                <w:rFonts w:ascii="宋体" w:hAnsi="宋体" w:cs="宋体" w:eastAsia="宋体" w:hint="default"/>
                <w:sz w:val="21"/>
                <w:szCs w:val="21"/>
              </w:rPr>
            </w:pPr>
            <w:r>
              <w:rPr>
                <w:rFonts w:ascii="宋体"/>
                <w:spacing w:val="-1"/>
                <w:sz w:val="21"/>
              </w:rPr>
              <w:t>42,821,672.51</w:t>
            </w:r>
          </w:p>
        </w:tc>
      </w:tr>
      <w:tr>
        <w:trPr>
          <w:trHeight w:val="342" w:hRule="exact"/>
        </w:trPr>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1.</w:t>
            </w:r>
            <w:r>
              <w:rPr>
                <w:rFonts w:ascii="宋体" w:hAnsi="宋体" w:cs="宋体" w:eastAsia="宋体" w:hint="default"/>
                <w:sz w:val="21"/>
                <w:szCs w:val="21"/>
              </w:rPr>
              <w:t>系统集成（含软件服务费）收入</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2"/>
              <w:jc w:val="right"/>
              <w:rPr>
                <w:rFonts w:ascii="宋体" w:hAnsi="宋体" w:cs="宋体" w:eastAsia="宋体" w:hint="default"/>
                <w:sz w:val="21"/>
                <w:szCs w:val="21"/>
              </w:rPr>
            </w:pPr>
            <w:r>
              <w:rPr>
                <w:rFonts w:ascii="宋体"/>
                <w:spacing w:val="-1"/>
                <w:sz w:val="21"/>
              </w:rPr>
              <w:t>7,930,275.67</w:t>
            </w:r>
          </w:p>
        </w:tc>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2"/>
              <w:jc w:val="right"/>
              <w:rPr>
                <w:rFonts w:ascii="宋体" w:hAnsi="宋体" w:cs="宋体" w:eastAsia="宋体" w:hint="default"/>
                <w:sz w:val="21"/>
                <w:szCs w:val="21"/>
              </w:rPr>
            </w:pPr>
            <w:r>
              <w:rPr>
                <w:rFonts w:ascii="宋体"/>
                <w:spacing w:val="-1"/>
                <w:sz w:val="21"/>
              </w:rPr>
              <w:t>5,434,085.80</w:t>
            </w:r>
          </w:p>
        </w:tc>
      </w:tr>
      <w:tr>
        <w:trPr>
          <w:trHeight w:val="342" w:hRule="exact"/>
        </w:trPr>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635"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其他 </w:t>
            </w:r>
            <w:r>
              <w:rPr>
                <w:rFonts w:ascii="宋体" w:hAnsi="宋体" w:cs="宋体" w:eastAsia="宋体" w:hint="default"/>
                <w:sz w:val="21"/>
                <w:szCs w:val="21"/>
              </w:rPr>
              <w:t>IT</w:t>
            </w:r>
            <w:r>
              <w:rPr>
                <w:rFonts w:ascii="宋体" w:hAnsi="宋体" w:cs="宋体" w:eastAsia="宋体" w:hint="default"/>
                <w:spacing w:val="-4"/>
                <w:sz w:val="21"/>
                <w:szCs w:val="21"/>
              </w:rPr>
              <w:t> </w:t>
            </w:r>
            <w:r>
              <w:rPr>
                <w:rFonts w:ascii="宋体" w:hAnsi="宋体" w:cs="宋体" w:eastAsia="宋体" w:hint="default"/>
                <w:sz w:val="21"/>
                <w:szCs w:val="21"/>
              </w:rPr>
              <w:t>类收入</w:t>
            </w:r>
          </w:p>
        </w:tc>
        <w:tc>
          <w:tcPr>
            <w:tcW w:w="2834" w:type="dxa"/>
            <w:tcBorders>
              <w:top w:val="single" w:sz="4" w:space="0" w:color="000000"/>
              <w:left w:val="single" w:sz="4" w:space="0" w:color="000000"/>
              <w:bottom w:val="single" w:sz="4" w:space="0" w:color="000000"/>
              <w:right w:val="single" w:sz="4" w:space="0" w:color="000000"/>
            </w:tcBorders>
          </w:tcPr>
          <w:p>
            <w:pPr/>
          </w:p>
        </w:tc>
        <w:tc>
          <w:tcPr>
            <w:tcW w:w="2553"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635" w:right="0"/>
              <w:jc w:val="left"/>
              <w:rPr>
                <w:rFonts w:ascii="宋体" w:hAnsi="宋体" w:cs="宋体" w:eastAsia="宋体" w:hint="default"/>
                <w:sz w:val="21"/>
                <w:szCs w:val="21"/>
              </w:rPr>
            </w:pPr>
            <w:r>
              <w:rPr>
                <w:rFonts w:ascii="宋体" w:hAnsi="宋体" w:cs="宋体" w:eastAsia="宋体" w:hint="default"/>
                <w:sz w:val="21"/>
                <w:szCs w:val="21"/>
              </w:rPr>
              <w:t>3. </w:t>
            </w:r>
            <w:r>
              <w:rPr>
                <w:rFonts w:ascii="宋体" w:hAnsi="宋体" w:cs="宋体" w:eastAsia="宋体" w:hint="default"/>
                <w:sz w:val="21"/>
                <w:szCs w:val="21"/>
              </w:rPr>
              <w:t>非 </w:t>
            </w:r>
            <w:r>
              <w:rPr>
                <w:rFonts w:ascii="宋体" w:hAnsi="宋体" w:cs="宋体" w:eastAsia="宋体" w:hint="default"/>
                <w:sz w:val="21"/>
                <w:szCs w:val="21"/>
              </w:rPr>
              <w:t>IT</w:t>
            </w:r>
            <w:r>
              <w:rPr>
                <w:rFonts w:ascii="宋体" w:hAnsi="宋体" w:cs="宋体" w:eastAsia="宋体" w:hint="default"/>
                <w:spacing w:val="-1"/>
                <w:sz w:val="21"/>
                <w:szCs w:val="21"/>
              </w:rPr>
              <w:t> </w:t>
            </w:r>
            <w:r>
              <w:rPr>
                <w:rFonts w:ascii="宋体" w:hAnsi="宋体" w:cs="宋体" w:eastAsia="宋体" w:hint="default"/>
                <w:sz w:val="21"/>
                <w:szCs w:val="21"/>
              </w:rPr>
              <w:t>类收入</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3"/>
              <w:jc w:val="right"/>
              <w:rPr>
                <w:rFonts w:ascii="宋体" w:hAnsi="宋体" w:cs="宋体" w:eastAsia="宋体" w:hint="default"/>
                <w:sz w:val="21"/>
                <w:szCs w:val="21"/>
              </w:rPr>
            </w:pPr>
            <w:r>
              <w:rPr>
                <w:rFonts w:ascii="宋体"/>
                <w:spacing w:val="-1"/>
                <w:sz w:val="21"/>
              </w:rPr>
              <w:t>71,125,949.86</w:t>
            </w:r>
          </w:p>
        </w:tc>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3"/>
              <w:jc w:val="right"/>
              <w:rPr>
                <w:rFonts w:ascii="宋体" w:hAnsi="宋体" w:cs="宋体" w:eastAsia="宋体" w:hint="default"/>
                <w:sz w:val="21"/>
                <w:szCs w:val="21"/>
              </w:rPr>
            </w:pPr>
            <w:r>
              <w:rPr>
                <w:rFonts w:ascii="宋体"/>
                <w:spacing w:val="-1"/>
                <w:sz w:val="21"/>
              </w:rPr>
              <w:t>37,387,586.71</w:t>
            </w:r>
          </w:p>
        </w:tc>
      </w:tr>
    </w:tbl>
    <w:p>
      <w:pPr>
        <w:spacing w:line="240" w:lineRule="auto" w:before="10"/>
        <w:rPr>
          <w:rFonts w:ascii="宋体" w:hAnsi="宋体" w:cs="宋体" w:eastAsia="宋体" w:hint="default"/>
          <w:sz w:val="4"/>
          <w:szCs w:val="4"/>
        </w:rPr>
      </w:pPr>
    </w:p>
    <w:p>
      <w:pPr>
        <w:pStyle w:val="BodyText"/>
        <w:spacing w:line="240" w:lineRule="auto" w:before="26"/>
        <w:ind w:left="634" w:right="996"/>
        <w:jc w:val="left"/>
      </w:pPr>
      <w:r>
        <w:rPr/>
        <w:t>注：上表中分类系按照计算机信息系统等级评定条件及实施细则进行分类列示。</w:t>
      </w:r>
    </w:p>
    <w:p>
      <w:pPr>
        <w:spacing w:line="240" w:lineRule="auto" w:before="2"/>
        <w:rPr>
          <w:rFonts w:ascii="宋体" w:hAnsi="宋体" w:cs="宋体" w:eastAsia="宋体" w:hint="default"/>
          <w:sz w:val="23"/>
          <w:szCs w:val="23"/>
        </w:rPr>
      </w:pPr>
    </w:p>
    <w:p>
      <w:pPr>
        <w:pStyle w:val="BodyText"/>
        <w:spacing w:line="240" w:lineRule="auto" w:before="0"/>
        <w:ind w:left="633" w:right="996"/>
        <w:jc w:val="left"/>
      </w:pPr>
      <w:r>
        <w:rPr/>
        <w:t>（</w:t>
      </w:r>
      <w:r>
        <w:rPr>
          <w:rFonts w:ascii="宋体" w:hAnsi="宋体" w:cs="宋体" w:eastAsia="宋体" w:hint="default"/>
        </w:rPr>
        <w:t>1</w:t>
      </w:r>
      <w:r>
        <w:rPr/>
        <w:t>）主营业务（分产品）</w:t>
      </w:r>
    </w:p>
    <w:p>
      <w:pPr>
        <w:spacing w:line="240" w:lineRule="auto" w:before="4"/>
        <w:rPr>
          <w:rFonts w:ascii="宋体" w:hAnsi="宋体" w:cs="宋体" w:eastAsia="宋体" w:hint="default"/>
          <w:sz w:val="16"/>
          <w:szCs w:val="16"/>
        </w:rPr>
      </w:pPr>
    </w:p>
    <w:tbl>
      <w:tblPr>
        <w:tblW w:w="0" w:type="auto"/>
        <w:jc w:val="left"/>
        <w:tblInd w:w="149" w:type="dxa"/>
        <w:tblLayout w:type="fixed"/>
        <w:tblCellMar>
          <w:top w:w="0" w:type="dxa"/>
          <w:left w:w="0" w:type="dxa"/>
          <w:bottom w:w="0" w:type="dxa"/>
          <w:right w:w="0" w:type="dxa"/>
        </w:tblCellMar>
        <w:tblLook w:val="01E0"/>
      </w:tblPr>
      <w:tblGrid>
        <w:gridCol w:w="2268"/>
        <w:gridCol w:w="1844"/>
        <w:gridCol w:w="1700"/>
        <w:gridCol w:w="1702"/>
        <w:gridCol w:w="1843"/>
      </w:tblGrid>
      <w:tr>
        <w:trPr>
          <w:trHeight w:val="342" w:hRule="exact"/>
        </w:trPr>
        <w:tc>
          <w:tcPr>
            <w:tcW w:w="2268" w:type="dxa"/>
            <w:vMerge w:val="restart"/>
            <w:tcBorders>
              <w:top w:val="single" w:sz="4" w:space="0" w:color="000000"/>
              <w:left w:val="single" w:sz="4" w:space="0" w:color="000000"/>
              <w:right w:val="single" w:sz="4"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3544" w:type="dxa"/>
            <w:gridSpan w:val="2"/>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545" w:type="dxa"/>
            <w:gridSpan w:val="2"/>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1"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342" w:hRule="exact"/>
        </w:trPr>
        <w:tc>
          <w:tcPr>
            <w:tcW w:w="2268" w:type="dxa"/>
            <w:vMerge/>
            <w:tcBorders>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95"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24"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26"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95" w:right="0"/>
              <w:jc w:val="left"/>
              <w:rPr>
                <w:rFonts w:ascii="宋体" w:hAnsi="宋体" w:cs="宋体" w:eastAsia="宋体" w:hint="default"/>
                <w:sz w:val="21"/>
                <w:szCs w:val="21"/>
              </w:rPr>
            </w:pPr>
            <w:r>
              <w:rPr>
                <w:rFonts w:ascii="宋体" w:hAnsi="宋体" w:cs="宋体" w:eastAsia="宋体" w:hint="default"/>
                <w:sz w:val="21"/>
                <w:szCs w:val="21"/>
              </w:rPr>
              <w:t>营业成本</w:t>
            </w:r>
          </w:p>
        </w:tc>
      </w:tr>
      <w:tr>
        <w:trPr>
          <w:trHeight w:val="342"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 w:right="0"/>
              <w:jc w:val="left"/>
              <w:rPr>
                <w:rFonts w:ascii="宋体" w:hAnsi="宋体" w:cs="宋体" w:eastAsia="宋体" w:hint="default"/>
                <w:sz w:val="21"/>
                <w:szCs w:val="21"/>
              </w:rPr>
            </w:pPr>
            <w:r>
              <w:rPr>
                <w:rFonts w:ascii="宋体" w:hAnsi="宋体" w:cs="宋体" w:eastAsia="宋体" w:hint="default"/>
                <w:sz w:val="21"/>
                <w:szCs w:val="21"/>
              </w:rPr>
              <w:t>设备监测类产品</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4"/>
              <w:jc w:val="right"/>
              <w:rPr>
                <w:rFonts w:ascii="宋体" w:hAnsi="宋体" w:cs="宋体" w:eastAsia="宋体" w:hint="default"/>
                <w:sz w:val="21"/>
                <w:szCs w:val="21"/>
              </w:rPr>
            </w:pPr>
            <w:r>
              <w:rPr>
                <w:rFonts w:ascii="宋体"/>
                <w:spacing w:val="-1"/>
                <w:sz w:val="21"/>
              </w:rPr>
              <w:t>193,346,243.33</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3"/>
              <w:jc w:val="right"/>
              <w:rPr>
                <w:rFonts w:ascii="宋体" w:hAnsi="宋体" w:cs="宋体" w:eastAsia="宋体" w:hint="default"/>
                <w:sz w:val="21"/>
                <w:szCs w:val="21"/>
              </w:rPr>
            </w:pPr>
            <w:r>
              <w:rPr>
                <w:rFonts w:ascii="宋体"/>
                <w:spacing w:val="-1"/>
                <w:sz w:val="21"/>
              </w:rPr>
              <w:t>95,664,702.57</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3"/>
              <w:jc w:val="right"/>
              <w:rPr>
                <w:rFonts w:ascii="宋体" w:hAnsi="宋体" w:cs="宋体" w:eastAsia="宋体" w:hint="default"/>
                <w:sz w:val="21"/>
                <w:szCs w:val="21"/>
              </w:rPr>
            </w:pPr>
            <w:r>
              <w:rPr>
                <w:rFonts w:ascii="宋体"/>
                <w:spacing w:val="-1"/>
                <w:sz w:val="21"/>
              </w:rPr>
              <w:t>146,234,560.16</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4"/>
              <w:jc w:val="right"/>
              <w:rPr>
                <w:rFonts w:ascii="宋体" w:hAnsi="宋体" w:cs="宋体" w:eastAsia="宋体" w:hint="default"/>
                <w:sz w:val="21"/>
                <w:szCs w:val="21"/>
              </w:rPr>
            </w:pPr>
            <w:r>
              <w:rPr>
                <w:rFonts w:ascii="宋体"/>
                <w:spacing w:val="-1"/>
                <w:sz w:val="21"/>
              </w:rPr>
              <w:t>75,412,205.43</w:t>
            </w:r>
          </w:p>
        </w:tc>
      </w:tr>
      <w:tr>
        <w:trPr>
          <w:trHeight w:val="342"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 w:right="0"/>
              <w:jc w:val="left"/>
              <w:rPr>
                <w:rFonts w:ascii="宋体" w:hAnsi="宋体" w:cs="宋体" w:eastAsia="宋体" w:hint="default"/>
                <w:sz w:val="21"/>
                <w:szCs w:val="21"/>
              </w:rPr>
            </w:pPr>
            <w:r>
              <w:rPr>
                <w:rFonts w:ascii="宋体" w:hAnsi="宋体" w:cs="宋体" w:eastAsia="宋体" w:hint="default"/>
                <w:sz w:val="21"/>
                <w:szCs w:val="21"/>
              </w:rPr>
              <w:t>安防类产品</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4"/>
              <w:jc w:val="right"/>
              <w:rPr>
                <w:rFonts w:ascii="宋体" w:hAnsi="宋体" w:cs="宋体" w:eastAsia="宋体" w:hint="default"/>
                <w:sz w:val="21"/>
                <w:szCs w:val="21"/>
              </w:rPr>
            </w:pPr>
            <w:r>
              <w:rPr>
                <w:rFonts w:ascii="宋体"/>
                <w:spacing w:val="-1"/>
                <w:sz w:val="21"/>
              </w:rPr>
              <w:t>103,844,659.91</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3"/>
              <w:jc w:val="right"/>
              <w:rPr>
                <w:rFonts w:ascii="宋体" w:hAnsi="宋体" w:cs="宋体" w:eastAsia="宋体" w:hint="default"/>
                <w:sz w:val="21"/>
                <w:szCs w:val="21"/>
              </w:rPr>
            </w:pPr>
            <w:r>
              <w:rPr>
                <w:rFonts w:ascii="宋体"/>
                <w:spacing w:val="-1"/>
                <w:sz w:val="21"/>
              </w:rPr>
              <w:t>67,366,224.37</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3"/>
              <w:jc w:val="right"/>
              <w:rPr>
                <w:rFonts w:ascii="宋体" w:hAnsi="宋体" w:cs="宋体" w:eastAsia="宋体" w:hint="default"/>
                <w:sz w:val="21"/>
                <w:szCs w:val="21"/>
              </w:rPr>
            </w:pPr>
            <w:r>
              <w:rPr>
                <w:rFonts w:ascii="宋体"/>
                <w:spacing w:val="-1"/>
                <w:sz w:val="21"/>
              </w:rPr>
              <w:t>191,932,240.59</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4"/>
              <w:jc w:val="right"/>
              <w:rPr>
                <w:rFonts w:ascii="宋体" w:hAnsi="宋体" w:cs="宋体" w:eastAsia="宋体" w:hint="default"/>
                <w:sz w:val="21"/>
                <w:szCs w:val="21"/>
              </w:rPr>
            </w:pPr>
            <w:r>
              <w:rPr>
                <w:rFonts w:ascii="宋体"/>
                <w:spacing w:val="-1"/>
                <w:sz w:val="21"/>
              </w:rPr>
              <w:t>121,181,332.53</w:t>
            </w:r>
          </w:p>
        </w:tc>
      </w:tr>
      <w:tr>
        <w:trPr>
          <w:trHeight w:val="654"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4" w:right="5"/>
              <w:jc w:val="left"/>
              <w:rPr>
                <w:rFonts w:ascii="宋体" w:hAnsi="宋体" w:cs="宋体" w:eastAsia="宋体" w:hint="default"/>
                <w:sz w:val="21"/>
                <w:szCs w:val="21"/>
              </w:rPr>
            </w:pPr>
            <w:r>
              <w:rPr>
                <w:rFonts w:ascii="宋体" w:hAnsi="宋体" w:cs="宋体" w:eastAsia="宋体" w:hint="default"/>
                <w:spacing w:val="14"/>
                <w:sz w:val="21"/>
                <w:szCs w:val="21"/>
              </w:rPr>
              <w:t>生产指挥及运输调度信</w:t>
            </w:r>
            <w:r>
              <w:rPr>
                <w:rFonts w:ascii="宋体" w:hAnsi="宋体" w:cs="宋体" w:eastAsia="宋体" w:hint="default"/>
                <w:sz w:val="21"/>
                <w:szCs w:val="21"/>
              </w:rPr>
              <w:t> 息化类产品</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5"/>
              <w:jc w:val="right"/>
              <w:rPr>
                <w:rFonts w:ascii="宋体" w:hAnsi="宋体" w:cs="宋体" w:eastAsia="宋体" w:hint="default"/>
                <w:sz w:val="21"/>
                <w:szCs w:val="21"/>
              </w:rPr>
            </w:pPr>
            <w:r>
              <w:rPr>
                <w:rFonts w:ascii="宋体"/>
                <w:spacing w:val="-1"/>
                <w:sz w:val="21"/>
              </w:rPr>
              <w:t>14,869,140.99</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3"/>
              <w:jc w:val="right"/>
              <w:rPr>
                <w:rFonts w:ascii="宋体" w:hAnsi="宋体" w:cs="宋体" w:eastAsia="宋体" w:hint="default"/>
                <w:sz w:val="21"/>
                <w:szCs w:val="21"/>
              </w:rPr>
            </w:pPr>
            <w:r>
              <w:rPr>
                <w:rFonts w:ascii="宋体"/>
                <w:spacing w:val="-1"/>
                <w:sz w:val="21"/>
              </w:rPr>
              <w:t>10,782,208.04</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3"/>
              <w:jc w:val="right"/>
              <w:rPr>
                <w:rFonts w:ascii="宋体" w:hAnsi="宋体" w:cs="宋体" w:eastAsia="宋体" w:hint="default"/>
                <w:sz w:val="21"/>
                <w:szCs w:val="21"/>
              </w:rPr>
            </w:pPr>
            <w:r>
              <w:rPr>
                <w:rFonts w:ascii="宋体"/>
                <w:spacing w:val="-1"/>
                <w:sz w:val="21"/>
              </w:rPr>
              <w:t>11,716,611.13</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4"/>
              <w:jc w:val="right"/>
              <w:rPr>
                <w:rFonts w:ascii="宋体" w:hAnsi="宋体" w:cs="宋体" w:eastAsia="宋体" w:hint="default"/>
                <w:sz w:val="21"/>
                <w:szCs w:val="21"/>
              </w:rPr>
            </w:pPr>
            <w:r>
              <w:rPr>
                <w:rFonts w:ascii="宋体"/>
                <w:spacing w:val="-1"/>
                <w:sz w:val="21"/>
              </w:rPr>
              <w:t>6,935,198.57</w:t>
            </w:r>
          </w:p>
        </w:tc>
      </w:tr>
      <w:tr>
        <w:trPr>
          <w:trHeight w:val="342"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 w:right="0"/>
              <w:jc w:val="left"/>
              <w:rPr>
                <w:rFonts w:ascii="宋体" w:hAnsi="宋体" w:cs="宋体" w:eastAsia="宋体" w:hint="default"/>
                <w:sz w:val="21"/>
                <w:szCs w:val="21"/>
              </w:rPr>
            </w:pPr>
            <w:r>
              <w:rPr>
                <w:rFonts w:ascii="宋体" w:hAnsi="宋体" w:cs="宋体" w:eastAsia="宋体" w:hint="default"/>
                <w:sz w:val="21"/>
                <w:szCs w:val="21"/>
              </w:rPr>
              <w:t>信号控制类产品</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3"/>
              <w:jc w:val="right"/>
              <w:rPr>
                <w:rFonts w:ascii="宋体" w:hAnsi="宋体" w:cs="宋体" w:eastAsia="宋体" w:hint="default"/>
                <w:sz w:val="21"/>
                <w:szCs w:val="21"/>
              </w:rPr>
            </w:pPr>
            <w:r>
              <w:rPr>
                <w:rFonts w:ascii="宋体"/>
                <w:spacing w:val="-1"/>
                <w:sz w:val="21"/>
              </w:rPr>
              <w:t>8,274,231.62</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2"/>
              <w:jc w:val="right"/>
              <w:rPr>
                <w:rFonts w:ascii="宋体" w:hAnsi="宋体" w:cs="宋体" w:eastAsia="宋体" w:hint="default"/>
                <w:sz w:val="21"/>
                <w:szCs w:val="21"/>
              </w:rPr>
            </w:pPr>
            <w:r>
              <w:rPr>
                <w:rFonts w:ascii="宋体"/>
                <w:spacing w:val="-1"/>
                <w:sz w:val="21"/>
              </w:rPr>
              <w:t>5,583,550.34</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3"/>
              <w:jc w:val="right"/>
              <w:rPr>
                <w:rFonts w:ascii="宋体" w:hAnsi="宋体" w:cs="宋体" w:eastAsia="宋体" w:hint="default"/>
                <w:sz w:val="21"/>
                <w:szCs w:val="21"/>
              </w:rPr>
            </w:pPr>
            <w:r>
              <w:rPr>
                <w:rFonts w:ascii="宋体"/>
                <w:spacing w:val="-1"/>
                <w:sz w:val="21"/>
              </w:rPr>
              <w:t>15,814,888.91</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4"/>
              <w:jc w:val="right"/>
              <w:rPr>
                <w:rFonts w:ascii="宋体" w:hAnsi="宋体" w:cs="宋体" w:eastAsia="宋体" w:hint="default"/>
                <w:sz w:val="21"/>
                <w:szCs w:val="21"/>
              </w:rPr>
            </w:pPr>
            <w:r>
              <w:rPr>
                <w:rFonts w:ascii="宋体"/>
                <w:spacing w:val="-1"/>
                <w:sz w:val="21"/>
              </w:rPr>
              <w:t>10,530,711.81</w:t>
            </w:r>
          </w:p>
        </w:tc>
      </w:tr>
      <w:tr>
        <w:trPr>
          <w:trHeight w:val="342"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498"/>
              <w:jc w:val="right"/>
              <w:rPr>
                <w:rFonts w:ascii="宋体" w:hAnsi="宋体" w:cs="宋体" w:eastAsia="宋体" w:hint="default"/>
                <w:sz w:val="21"/>
                <w:szCs w:val="21"/>
              </w:rPr>
            </w:pPr>
            <w:r>
              <w:rPr>
                <w:rFonts w:ascii="宋体" w:hAnsi="宋体" w:cs="宋体" w:eastAsia="宋体" w:hint="default"/>
                <w:sz w:val="21"/>
                <w:szCs w:val="21"/>
              </w:rPr>
              <w:t>主营业务小计</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4"/>
              <w:jc w:val="right"/>
              <w:rPr>
                <w:rFonts w:ascii="宋体" w:hAnsi="宋体" w:cs="宋体" w:eastAsia="宋体" w:hint="default"/>
                <w:sz w:val="21"/>
                <w:szCs w:val="21"/>
              </w:rPr>
            </w:pPr>
            <w:r>
              <w:rPr>
                <w:rFonts w:ascii="宋体"/>
                <w:spacing w:val="-1"/>
                <w:sz w:val="21"/>
              </w:rPr>
              <w:t>320,334,275.85</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2"/>
              <w:jc w:val="right"/>
              <w:rPr>
                <w:rFonts w:ascii="宋体" w:hAnsi="宋体" w:cs="宋体" w:eastAsia="宋体" w:hint="default"/>
                <w:sz w:val="21"/>
                <w:szCs w:val="21"/>
              </w:rPr>
            </w:pPr>
            <w:r>
              <w:rPr>
                <w:rFonts w:ascii="宋体"/>
                <w:spacing w:val="-1"/>
                <w:sz w:val="21"/>
              </w:rPr>
              <w:t>179,396,685.32</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3"/>
              <w:jc w:val="right"/>
              <w:rPr>
                <w:rFonts w:ascii="宋体" w:hAnsi="宋体" w:cs="宋体" w:eastAsia="宋体" w:hint="default"/>
                <w:sz w:val="21"/>
                <w:szCs w:val="21"/>
              </w:rPr>
            </w:pPr>
            <w:r>
              <w:rPr>
                <w:rFonts w:ascii="宋体"/>
                <w:spacing w:val="-1"/>
                <w:sz w:val="21"/>
              </w:rPr>
              <w:t>365,698,300.79</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4"/>
              <w:jc w:val="right"/>
              <w:rPr>
                <w:rFonts w:ascii="宋体" w:hAnsi="宋体" w:cs="宋体" w:eastAsia="宋体" w:hint="default"/>
                <w:sz w:val="21"/>
                <w:szCs w:val="21"/>
              </w:rPr>
            </w:pPr>
            <w:r>
              <w:rPr>
                <w:rFonts w:ascii="宋体"/>
                <w:spacing w:val="-1"/>
                <w:sz w:val="21"/>
              </w:rPr>
              <w:t>214,059,448.34</w:t>
            </w:r>
          </w:p>
        </w:tc>
      </w:tr>
      <w:tr>
        <w:trPr>
          <w:trHeight w:val="342"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 w:right="0"/>
              <w:jc w:val="left"/>
              <w:rPr>
                <w:rFonts w:ascii="宋体" w:hAnsi="宋体" w:cs="宋体" w:eastAsia="宋体" w:hint="default"/>
                <w:sz w:val="21"/>
                <w:szCs w:val="21"/>
              </w:rPr>
            </w:pPr>
            <w:r>
              <w:rPr>
                <w:rFonts w:ascii="宋体" w:hAnsi="宋体" w:cs="宋体" w:eastAsia="宋体" w:hint="default"/>
                <w:sz w:val="21"/>
                <w:szCs w:val="21"/>
              </w:rPr>
              <w:t>原材料销售</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5"/>
              <w:jc w:val="right"/>
              <w:rPr>
                <w:rFonts w:ascii="宋体" w:hAnsi="宋体" w:cs="宋体" w:eastAsia="宋体" w:hint="default"/>
                <w:sz w:val="21"/>
                <w:szCs w:val="21"/>
              </w:rPr>
            </w:pPr>
            <w:r>
              <w:rPr>
                <w:rFonts w:ascii="宋体"/>
                <w:spacing w:val="-1"/>
                <w:sz w:val="21"/>
              </w:rPr>
              <w:t>49,769,058.53</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3"/>
              <w:jc w:val="right"/>
              <w:rPr>
                <w:rFonts w:ascii="宋体" w:hAnsi="宋体" w:cs="宋体" w:eastAsia="宋体" w:hint="default"/>
                <w:sz w:val="21"/>
                <w:szCs w:val="21"/>
              </w:rPr>
            </w:pPr>
            <w:r>
              <w:rPr>
                <w:rFonts w:ascii="宋体"/>
                <w:spacing w:val="-1"/>
                <w:sz w:val="21"/>
              </w:rPr>
              <w:t>41,653,933.47</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3"/>
              <w:jc w:val="right"/>
              <w:rPr>
                <w:rFonts w:ascii="宋体" w:hAnsi="宋体" w:cs="宋体" w:eastAsia="宋体" w:hint="default"/>
                <w:sz w:val="21"/>
                <w:szCs w:val="21"/>
              </w:rPr>
            </w:pPr>
            <w:r>
              <w:rPr>
                <w:rFonts w:ascii="宋体"/>
                <w:spacing w:val="-1"/>
                <w:sz w:val="21"/>
              </w:rPr>
              <w:t>21,734,480.17</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4"/>
              <w:jc w:val="right"/>
              <w:rPr>
                <w:rFonts w:ascii="宋体" w:hAnsi="宋体" w:cs="宋体" w:eastAsia="宋体" w:hint="default"/>
                <w:sz w:val="21"/>
                <w:szCs w:val="21"/>
              </w:rPr>
            </w:pPr>
            <w:r>
              <w:rPr>
                <w:rFonts w:ascii="宋体"/>
                <w:spacing w:val="-1"/>
                <w:sz w:val="21"/>
              </w:rPr>
              <w:t>16,997,770.56</w:t>
            </w:r>
          </w:p>
        </w:tc>
      </w:tr>
      <w:tr>
        <w:trPr>
          <w:trHeight w:val="342"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 w:right="0"/>
              <w:jc w:val="left"/>
              <w:rPr>
                <w:rFonts w:ascii="宋体" w:hAnsi="宋体" w:cs="宋体" w:eastAsia="宋体" w:hint="default"/>
                <w:sz w:val="21"/>
                <w:szCs w:val="21"/>
              </w:rPr>
            </w:pPr>
            <w:r>
              <w:rPr>
                <w:rFonts w:ascii="宋体" w:hAnsi="宋体" w:cs="宋体" w:eastAsia="宋体" w:hint="default"/>
                <w:sz w:val="21"/>
                <w:szCs w:val="21"/>
              </w:rPr>
              <w:t>维修服务</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5"/>
              <w:jc w:val="right"/>
              <w:rPr>
                <w:rFonts w:ascii="宋体" w:hAnsi="宋体" w:cs="宋体" w:eastAsia="宋体" w:hint="default"/>
                <w:sz w:val="21"/>
                <w:szCs w:val="21"/>
              </w:rPr>
            </w:pPr>
            <w:r>
              <w:rPr>
                <w:rFonts w:ascii="宋体"/>
                <w:spacing w:val="-1"/>
                <w:sz w:val="21"/>
              </w:rPr>
              <w:t>10,720,098.88</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1"/>
              <w:jc w:val="right"/>
              <w:rPr>
                <w:rFonts w:ascii="宋体" w:hAnsi="宋体" w:cs="宋体" w:eastAsia="宋体" w:hint="default"/>
                <w:sz w:val="21"/>
                <w:szCs w:val="21"/>
              </w:rPr>
            </w:pPr>
            <w:r>
              <w:rPr>
                <w:rFonts w:ascii="宋体"/>
                <w:sz w:val="21"/>
              </w:rPr>
              <w:t>515,492.40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3"/>
              <w:jc w:val="right"/>
              <w:rPr>
                <w:rFonts w:ascii="宋体" w:hAnsi="宋体" w:cs="宋体" w:eastAsia="宋体" w:hint="default"/>
                <w:sz w:val="21"/>
                <w:szCs w:val="21"/>
              </w:rPr>
            </w:pPr>
            <w:r>
              <w:rPr>
                <w:rFonts w:ascii="宋体"/>
                <w:spacing w:val="-1"/>
                <w:sz w:val="21"/>
              </w:rPr>
              <w:t>13,722,485.47</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2"/>
              <w:jc w:val="right"/>
              <w:rPr>
                <w:rFonts w:ascii="宋体" w:hAnsi="宋体" w:cs="宋体" w:eastAsia="宋体" w:hint="default"/>
                <w:sz w:val="21"/>
                <w:szCs w:val="21"/>
              </w:rPr>
            </w:pPr>
            <w:r>
              <w:rPr>
                <w:rFonts w:ascii="宋体"/>
                <w:sz w:val="21"/>
              </w:rPr>
              <w:t>618,825.51</w:t>
            </w:r>
          </w:p>
        </w:tc>
      </w:tr>
      <w:tr>
        <w:trPr>
          <w:trHeight w:val="342"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 w:right="0"/>
              <w:jc w:val="left"/>
              <w:rPr>
                <w:rFonts w:ascii="宋体" w:hAnsi="宋体" w:cs="宋体" w:eastAsia="宋体" w:hint="default"/>
                <w:sz w:val="21"/>
                <w:szCs w:val="21"/>
              </w:rPr>
            </w:pPr>
            <w:r>
              <w:rPr>
                <w:rFonts w:ascii="宋体" w:hAnsi="宋体" w:cs="宋体" w:eastAsia="宋体" w:hint="default"/>
                <w:sz w:val="21"/>
                <w:szCs w:val="21"/>
              </w:rPr>
              <w:t>技术服务</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4"/>
              <w:jc w:val="right"/>
              <w:rPr>
                <w:rFonts w:ascii="宋体" w:hAnsi="宋体" w:cs="宋体" w:eastAsia="宋体" w:hint="default"/>
                <w:sz w:val="21"/>
                <w:szCs w:val="21"/>
              </w:rPr>
            </w:pPr>
            <w:r>
              <w:rPr>
                <w:rFonts w:ascii="宋体"/>
                <w:spacing w:val="-1"/>
                <w:sz w:val="21"/>
              </w:rPr>
              <w:t>7,930,275.67</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1"/>
              <w:jc w:val="right"/>
              <w:rPr>
                <w:rFonts w:ascii="宋体" w:hAnsi="宋体" w:cs="宋体" w:eastAsia="宋体" w:hint="default"/>
                <w:sz w:val="21"/>
                <w:szCs w:val="21"/>
              </w:rPr>
            </w:pPr>
            <w:r>
              <w:rPr>
                <w:rFonts w:ascii="宋体"/>
                <w:sz w:val="21"/>
              </w:rPr>
              <w:t>382,911.02</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3"/>
              <w:jc w:val="right"/>
              <w:rPr>
                <w:rFonts w:ascii="宋体" w:hAnsi="宋体" w:cs="宋体" w:eastAsia="宋体" w:hint="default"/>
                <w:sz w:val="21"/>
                <w:szCs w:val="21"/>
              </w:rPr>
            </w:pPr>
            <w:r>
              <w:rPr>
                <w:rFonts w:ascii="宋体"/>
                <w:spacing w:val="-1"/>
                <w:sz w:val="21"/>
              </w:rPr>
              <w:t>5,434,085.80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2"/>
              <w:jc w:val="right"/>
              <w:rPr>
                <w:rFonts w:ascii="宋体" w:hAnsi="宋体" w:cs="宋体" w:eastAsia="宋体" w:hint="default"/>
                <w:sz w:val="21"/>
                <w:szCs w:val="21"/>
              </w:rPr>
            </w:pPr>
            <w:r>
              <w:rPr>
                <w:rFonts w:ascii="宋体"/>
                <w:sz w:val="21"/>
              </w:rPr>
              <w:t>208,648.13</w:t>
            </w:r>
          </w:p>
        </w:tc>
      </w:tr>
      <w:tr>
        <w:trPr>
          <w:trHeight w:val="342"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 w:right="0"/>
              <w:jc w:val="left"/>
              <w:rPr>
                <w:rFonts w:ascii="宋体" w:hAnsi="宋体" w:cs="宋体" w:eastAsia="宋体" w:hint="default"/>
                <w:sz w:val="21"/>
                <w:szCs w:val="21"/>
              </w:rPr>
            </w:pPr>
            <w:r>
              <w:rPr>
                <w:rFonts w:ascii="宋体" w:hAnsi="宋体" w:cs="宋体" w:eastAsia="宋体" w:hint="default"/>
                <w:sz w:val="21"/>
                <w:szCs w:val="21"/>
              </w:rPr>
              <w:t>广告服务费</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4"/>
              <w:jc w:val="right"/>
              <w:rPr>
                <w:rFonts w:ascii="宋体" w:hAnsi="宋体" w:cs="宋体" w:eastAsia="宋体" w:hint="default"/>
                <w:sz w:val="21"/>
                <w:szCs w:val="21"/>
              </w:rPr>
            </w:pPr>
            <w:r>
              <w:rPr>
                <w:rFonts w:ascii="宋体"/>
                <w:spacing w:val="-1"/>
                <w:sz w:val="21"/>
              </w:rPr>
              <w:t>8,396,226.41</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2"/>
              <w:jc w:val="right"/>
              <w:rPr>
                <w:rFonts w:ascii="宋体" w:hAnsi="宋体" w:cs="宋体" w:eastAsia="宋体" w:hint="default"/>
                <w:sz w:val="21"/>
                <w:szCs w:val="21"/>
              </w:rPr>
            </w:pPr>
            <w:r>
              <w:rPr>
                <w:rFonts w:ascii="宋体"/>
                <w:spacing w:val="-1"/>
                <w:sz w:val="21"/>
              </w:rPr>
              <w:t>7,625,671.33</w:t>
            </w:r>
          </w:p>
        </w:tc>
        <w:tc>
          <w:tcPr>
            <w:tcW w:w="1702"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 w:right="0"/>
              <w:jc w:val="left"/>
              <w:rPr>
                <w:rFonts w:ascii="宋体" w:hAnsi="宋体" w:cs="宋体" w:eastAsia="宋体" w:hint="default"/>
                <w:sz w:val="21"/>
                <w:szCs w:val="21"/>
              </w:rPr>
            </w:pPr>
            <w:r>
              <w:rPr>
                <w:rFonts w:ascii="宋体" w:hAnsi="宋体" w:cs="宋体" w:eastAsia="宋体" w:hint="default"/>
                <w:sz w:val="21"/>
                <w:szCs w:val="21"/>
              </w:rPr>
              <w:t>资金拆借利息</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4"/>
              <w:jc w:val="right"/>
              <w:rPr>
                <w:rFonts w:ascii="宋体" w:hAnsi="宋体" w:cs="宋体" w:eastAsia="宋体" w:hint="default"/>
                <w:sz w:val="21"/>
                <w:szCs w:val="21"/>
              </w:rPr>
            </w:pPr>
            <w:r>
              <w:rPr>
                <w:rFonts w:ascii="宋体"/>
                <w:spacing w:val="-1"/>
                <w:sz w:val="21"/>
              </w:rPr>
              <w:t>2,240,566.04</w:t>
            </w:r>
          </w:p>
        </w:tc>
        <w:tc>
          <w:tcPr>
            <w:tcW w:w="170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3"/>
              <w:jc w:val="right"/>
              <w:rPr>
                <w:rFonts w:ascii="宋体" w:hAnsi="宋体" w:cs="宋体" w:eastAsia="宋体" w:hint="default"/>
                <w:sz w:val="21"/>
                <w:szCs w:val="21"/>
              </w:rPr>
            </w:pPr>
            <w:r>
              <w:rPr>
                <w:rFonts w:ascii="宋体"/>
                <w:spacing w:val="-1"/>
                <w:sz w:val="21"/>
              </w:rPr>
              <w:t>1,930,621.07</w:t>
            </w: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498"/>
              <w:jc w:val="right"/>
              <w:rPr>
                <w:rFonts w:ascii="宋体" w:hAnsi="宋体" w:cs="宋体" w:eastAsia="宋体" w:hint="default"/>
                <w:sz w:val="21"/>
                <w:szCs w:val="21"/>
              </w:rPr>
            </w:pPr>
            <w:r>
              <w:rPr>
                <w:rFonts w:ascii="宋体" w:hAnsi="宋体" w:cs="宋体" w:eastAsia="宋体" w:hint="default"/>
                <w:sz w:val="21"/>
                <w:szCs w:val="21"/>
              </w:rPr>
              <w:t>其他业务小计</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5"/>
              <w:jc w:val="right"/>
              <w:rPr>
                <w:rFonts w:ascii="宋体" w:hAnsi="宋体" w:cs="宋体" w:eastAsia="宋体" w:hint="default"/>
                <w:sz w:val="21"/>
                <w:szCs w:val="21"/>
              </w:rPr>
            </w:pPr>
            <w:r>
              <w:rPr>
                <w:rFonts w:ascii="宋体"/>
                <w:spacing w:val="-1"/>
                <w:sz w:val="21"/>
              </w:rPr>
              <w:t>79,056,225.53</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3"/>
              <w:jc w:val="right"/>
              <w:rPr>
                <w:rFonts w:ascii="宋体" w:hAnsi="宋体" w:cs="宋体" w:eastAsia="宋体" w:hint="default"/>
                <w:sz w:val="21"/>
                <w:szCs w:val="21"/>
              </w:rPr>
            </w:pPr>
            <w:r>
              <w:rPr>
                <w:rFonts w:ascii="宋体"/>
                <w:spacing w:val="-1"/>
                <w:sz w:val="21"/>
              </w:rPr>
              <w:t>50,178,008.22</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3"/>
              <w:jc w:val="right"/>
              <w:rPr>
                <w:rFonts w:ascii="宋体" w:hAnsi="宋体" w:cs="宋体" w:eastAsia="宋体" w:hint="default"/>
                <w:sz w:val="21"/>
                <w:szCs w:val="21"/>
              </w:rPr>
            </w:pPr>
            <w:r>
              <w:rPr>
                <w:rFonts w:ascii="宋体"/>
                <w:spacing w:val="-1"/>
                <w:sz w:val="21"/>
              </w:rPr>
              <w:t>42,821,672.51</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4"/>
              <w:jc w:val="right"/>
              <w:rPr>
                <w:rFonts w:ascii="宋体" w:hAnsi="宋体" w:cs="宋体" w:eastAsia="宋体" w:hint="default"/>
                <w:sz w:val="21"/>
                <w:szCs w:val="21"/>
              </w:rPr>
            </w:pPr>
            <w:r>
              <w:rPr>
                <w:rFonts w:ascii="宋体"/>
                <w:spacing w:val="-1"/>
                <w:sz w:val="21"/>
              </w:rPr>
              <w:t>17,825,244.20</w:t>
            </w:r>
          </w:p>
        </w:tc>
      </w:tr>
      <w:tr>
        <w:trPr>
          <w:trHeight w:val="342"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3"/>
              <w:jc w:val="right"/>
              <w:rPr>
                <w:rFonts w:ascii="宋体" w:hAnsi="宋体" w:cs="宋体" w:eastAsia="宋体" w:hint="default"/>
                <w:sz w:val="21"/>
                <w:szCs w:val="21"/>
              </w:rPr>
            </w:pPr>
            <w:r>
              <w:rPr>
                <w:rFonts w:ascii="宋体"/>
                <w:sz w:val="21"/>
              </w:rPr>
              <w:t>399,390,501.38</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1"/>
              <w:jc w:val="right"/>
              <w:rPr>
                <w:rFonts w:ascii="宋体" w:hAnsi="宋体" w:cs="宋体" w:eastAsia="宋体" w:hint="default"/>
                <w:sz w:val="21"/>
                <w:szCs w:val="21"/>
              </w:rPr>
            </w:pPr>
            <w:r>
              <w:rPr>
                <w:rFonts w:ascii="宋体"/>
                <w:sz w:val="21"/>
              </w:rPr>
              <w:t>229,574,693.54</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2"/>
              <w:jc w:val="right"/>
              <w:rPr>
                <w:rFonts w:ascii="宋体" w:hAnsi="宋体" w:cs="宋体" w:eastAsia="宋体" w:hint="default"/>
                <w:sz w:val="21"/>
                <w:szCs w:val="21"/>
              </w:rPr>
            </w:pPr>
            <w:r>
              <w:rPr>
                <w:rFonts w:ascii="宋体"/>
                <w:spacing w:val="-1"/>
                <w:sz w:val="21"/>
              </w:rPr>
              <w:t>408,519,973.30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2"/>
              <w:jc w:val="right"/>
              <w:rPr>
                <w:rFonts w:ascii="宋体" w:hAnsi="宋体" w:cs="宋体" w:eastAsia="宋体" w:hint="default"/>
                <w:sz w:val="21"/>
                <w:szCs w:val="21"/>
              </w:rPr>
            </w:pPr>
            <w:r>
              <w:rPr>
                <w:rFonts w:ascii="宋体"/>
                <w:sz w:val="21"/>
              </w:rPr>
              <w:t>231,884,692.54</w:t>
            </w:r>
          </w:p>
        </w:tc>
      </w:tr>
    </w:tbl>
    <w:p>
      <w:pPr>
        <w:spacing w:line="240" w:lineRule="auto" w:before="9"/>
        <w:rPr>
          <w:rFonts w:ascii="宋体" w:hAnsi="宋体" w:cs="宋体" w:eastAsia="宋体" w:hint="default"/>
          <w:sz w:val="16"/>
          <w:szCs w:val="16"/>
        </w:rPr>
      </w:pPr>
    </w:p>
    <w:p>
      <w:pPr>
        <w:pStyle w:val="BodyText"/>
        <w:spacing w:line="240" w:lineRule="auto" w:before="26"/>
        <w:ind w:left="634" w:right="996"/>
        <w:jc w:val="left"/>
      </w:pPr>
      <w:r>
        <w:rPr/>
        <w:t>（</w:t>
      </w:r>
      <w:r>
        <w:rPr>
          <w:rFonts w:ascii="宋体" w:hAnsi="宋体" w:cs="宋体" w:eastAsia="宋体" w:hint="default"/>
        </w:rPr>
        <w:t>2</w:t>
      </w:r>
      <w:r>
        <w:rPr/>
        <w:t>）主营业务（分地区）</w:t>
      </w:r>
    </w:p>
    <w:p>
      <w:pPr>
        <w:spacing w:after="0" w:line="240" w:lineRule="auto"/>
        <w:jc w:val="left"/>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090"/>
        <w:gridCol w:w="2022"/>
        <w:gridCol w:w="1700"/>
        <w:gridCol w:w="1844"/>
        <w:gridCol w:w="1702"/>
      </w:tblGrid>
      <w:tr>
        <w:trPr>
          <w:trHeight w:val="342" w:hRule="exact"/>
        </w:trPr>
        <w:tc>
          <w:tcPr>
            <w:tcW w:w="2090" w:type="dxa"/>
            <w:vMerge w:val="restart"/>
            <w:tcBorders>
              <w:top w:val="single" w:sz="4" w:space="0" w:color="000000"/>
              <w:left w:val="single" w:sz="4" w:space="0" w:color="000000"/>
              <w:right w:val="single" w:sz="4"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地区</w:t>
            </w:r>
          </w:p>
        </w:tc>
        <w:tc>
          <w:tcPr>
            <w:tcW w:w="3723" w:type="dxa"/>
            <w:gridSpan w:val="2"/>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545" w:type="dxa"/>
            <w:gridSpan w:val="2"/>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1"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342" w:hRule="exact"/>
        </w:trPr>
        <w:tc>
          <w:tcPr>
            <w:tcW w:w="2090" w:type="dxa"/>
            <w:vMerge/>
            <w:tcBorders>
              <w:left w:val="single" w:sz="4" w:space="0" w:color="000000"/>
              <w:bottom w:val="single" w:sz="4" w:space="0" w:color="000000"/>
              <w:right w:val="single" w:sz="4" w:space="0" w:color="000000"/>
            </w:tcBorders>
          </w:tcPr>
          <w:p>
            <w:pPr/>
          </w:p>
        </w:tc>
        <w:tc>
          <w:tcPr>
            <w:tcW w:w="2022"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585"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24"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96"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24" w:right="0"/>
              <w:jc w:val="left"/>
              <w:rPr>
                <w:rFonts w:ascii="宋体" w:hAnsi="宋体" w:cs="宋体" w:eastAsia="宋体" w:hint="default"/>
                <w:sz w:val="21"/>
                <w:szCs w:val="21"/>
              </w:rPr>
            </w:pPr>
            <w:r>
              <w:rPr>
                <w:rFonts w:ascii="宋体" w:hAnsi="宋体" w:cs="宋体" w:eastAsia="宋体" w:hint="default"/>
                <w:sz w:val="21"/>
                <w:szCs w:val="21"/>
              </w:rPr>
              <w:t>营业成本</w:t>
            </w:r>
          </w:p>
        </w:tc>
      </w:tr>
      <w:tr>
        <w:trPr>
          <w:trHeight w:val="342" w:hRule="exact"/>
        </w:trPr>
        <w:tc>
          <w:tcPr>
            <w:tcW w:w="209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 w:right="0"/>
              <w:jc w:val="left"/>
              <w:rPr>
                <w:rFonts w:ascii="宋体" w:hAnsi="宋体" w:cs="宋体" w:eastAsia="宋体" w:hint="default"/>
                <w:sz w:val="21"/>
                <w:szCs w:val="21"/>
              </w:rPr>
            </w:pPr>
            <w:r>
              <w:rPr>
                <w:rFonts w:ascii="宋体" w:hAnsi="宋体" w:cs="宋体" w:eastAsia="宋体" w:hint="default"/>
                <w:sz w:val="21"/>
                <w:szCs w:val="21"/>
              </w:rPr>
              <w:t>华东区</w:t>
            </w:r>
          </w:p>
        </w:tc>
        <w:tc>
          <w:tcPr>
            <w:tcW w:w="2022"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3"/>
              <w:jc w:val="right"/>
              <w:rPr>
                <w:rFonts w:ascii="宋体" w:hAnsi="宋体" w:cs="宋体" w:eastAsia="宋体" w:hint="default"/>
                <w:sz w:val="21"/>
                <w:szCs w:val="21"/>
              </w:rPr>
            </w:pPr>
            <w:r>
              <w:rPr>
                <w:rFonts w:ascii="宋体"/>
                <w:sz w:val="21"/>
              </w:rPr>
              <w:t>72,796,067.94</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2"/>
              <w:jc w:val="right"/>
              <w:rPr>
                <w:rFonts w:ascii="宋体" w:hAnsi="宋体" w:cs="宋体" w:eastAsia="宋体" w:hint="default"/>
                <w:sz w:val="21"/>
                <w:szCs w:val="21"/>
              </w:rPr>
            </w:pPr>
            <w:r>
              <w:rPr>
                <w:rFonts w:ascii="宋体"/>
                <w:sz w:val="21"/>
              </w:rPr>
              <w:t>29,298,097.53</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3"/>
              <w:jc w:val="right"/>
              <w:rPr>
                <w:rFonts w:ascii="宋体" w:hAnsi="宋体" w:cs="宋体" w:eastAsia="宋体" w:hint="default"/>
                <w:sz w:val="21"/>
                <w:szCs w:val="21"/>
              </w:rPr>
            </w:pPr>
            <w:r>
              <w:rPr>
                <w:rFonts w:ascii="宋体"/>
                <w:spacing w:val="-1"/>
                <w:sz w:val="21"/>
              </w:rPr>
              <w:t>49,446,737.16</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4"/>
              <w:jc w:val="right"/>
              <w:rPr>
                <w:rFonts w:ascii="宋体" w:hAnsi="宋体" w:cs="宋体" w:eastAsia="宋体" w:hint="default"/>
                <w:sz w:val="21"/>
                <w:szCs w:val="21"/>
              </w:rPr>
            </w:pPr>
            <w:r>
              <w:rPr>
                <w:rFonts w:ascii="宋体"/>
                <w:spacing w:val="-1"/>
                <w:sz w:val="21"/>
              </w:rPr>
              <w:t>23,900,529.70</w:t>
            </w:r>
          </w:p>
        </w:tc>
      </w:tr>
      <w:tr>
        <w:trPr>
          <w:trHeight w:val="342" w:hRule="exact"/>
        </w:trPr>
        <w:tc>
          <w:tcPr>
            <w:tcW w:w="209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 w:right="0"/>
              <w:jc w:val="left"/>
              <w:rPr>
                <w:rFonts w:ascii="宋体" w:hAnsi="宋体" w:cs="宋体" w:eastAsia="宋体" w:hint="default"/>
                <w:sz w:val="21"/>
                <w:szCs w:val="21"/>
              </w:rPr>
            </w:pPr>
            <w:r>
              <w:rPr>
                <w:rFonts w:ascii="宋体" w:hAnsi="宋体" w:cs="宋体" w:eastAsia="宋体" w:hint="default"/>
                <w:sz w:val="21"/>
                <w:szCs w:val="21"/>
              </w:rPr>
              <w:t>南方</w:t>
            </w:r>
          </w:p>
        </w:tc>
        <w:tc>
          <w:tcPr>
            <w:tcW w:w="2022"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4"/>
              <w:jc w:val="right"/>
              <w:rPr>
                <w:rFonts w:ascii="宋体" w:hAnsi="宋体" w:cs="宋体" w:eastAsia="宋体" w:hint="default"/>
                <w:sz w:val="21"/>
                <w:szCs w:val="21"/>
              </w:rPr>
            </w:pPr>
            <w:r>
              <w:rPr>
                <w:rFonts w:ascii="宋体"/>
                <w:spacing w:val="-1"/>
                <w:sz w:val="21"/>
              </w:rPr>
              <w:t>147,210,635.54</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2"/>
              <w:jc w:val="right"/>
              <w:rPr>
                <w:rFonts w:ascii="宋体" w:hAnsi="宋体" w:cs="宋体" w:eastAsia="宋体" w:hint="default"/>
                <w:sz w:val="21"/>
                <w:szCs w:val="21"/>
              </w:rPr>
            </w:pPr>
            <w:r>
              <w:rPr>
                <w:rFonts w:ascii="宋体"/>
                <w:sz w:val="21"/>
              </w:rPr>
              <w:t>98,974,999.18</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3"/>
              <w:jc w:val="right"/>
              <w:rPr>
                <w:rFonts w:ascii="宋体" w:hAnsi="宋体" w:cs="宋体" w:eastAsia="宋体" w:hint="default"/>
                <w:sz w:val="21"/>
                <w:szCs w:val="21"/>
              </w:rPr>
            </w:pPr>
            <w:r>
              <w:rPr>
                <w:rFonts w:ascii="宋体"/>
                <w:spacing w:val="-1"/>
                <w:sz w:val="21"/>
              </w:rPr>
              <w:t>222,990,199.32</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4"/>
              <w:jc w:val="right"/>
              <w:rPr>
                <w:rFonts w:ascii="宋体" w:hAnsi="宋体" w:cs="宋体" w:eastAsia="宋体" w:hint="default"/>
                <w:sz w:val="21"/>
                <w:szCs w:val="21"/>
              </w:rPr>
            </w:pPr>
            <w:r>
              <w:rPr>
                <w:rFonts w:ascii="宋体"/>
                <w:spacing w:val="-1"/>
                <w:sz w:val="21"/>
              </w:rPr>
              <w:t>137,488,116.27</w:t>
            </w:r>
          </w:p>
        </w:tc>
      </w:tr>
      <w:tr>
        <w:trPr>
          <w:trHeight w:val="342" w:hRule="exact"/>
        </w:trPr>
        <w:tc>
          <w:tcPr>
            <w:tcW w:w="209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 w:right="0"/>
              <w:jc w:val="left"/>
              <w:rPr>
                <w:rFonts w:ascii="宋体" w:hAnsi="宋体" w:cs="宋体" w:eastAsia="宋体" w:hint="default"/>
                <w:sz w:val="21"/>
                <w:szCs w:val="21"/>
              </w:rPr>
            </w:pPr>
            <w:r>
              <w:rPr>
                <w:rFonts w:ascii="宋体" w:hAnsi="宋体" w:cs="宋体" w:eastAsia="宋体" w:hint="default"/>
                <w:sz w:val="21"/>
                <w:szCs w:val="21"/>
              </w:rPr>
              <w:t>北方</w:t>
            </w:r>
          </w:p>
        </w:tc>
        <w:tc>
          <w:tcPr>
            <w:tcW w:w="2022"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3"/>
              <w:jc w:val="right"/>
              <w:rPr>
                <w:rFonts w:ascii="宋体" w:hAnsi="宋体" w:cs="宋体" w:eastAsia="宋体" w:hint="default"/>
                <w:sz w:val="21"/>
                <w:szCs w:val="21"/>
              </w:rPr>
            </w:pPr>
            <w:r>
              <w:rPr>
                <w:rFonts w:ascii="宋体"/>
                <w:sz w:val="21"/>
              </w:rPr>
              <w:t>100,327,572.37</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2"/>
              <w:jc w:val="right"/>
              <w:rPr>
                <w:rFonts w:ascii="宋体" w:hAnsi="宋体" w:cs="宋体" w:eastAsia="宋体" w:hint="default"/>
                <w:sz w:val="21"/>
                <w:szCs w:val="21"/>
              </w:rPr>
            </w:pPr>
            <w:r>
              <w:rPr>
                <w:rFonts w:ascii="宋体"/>
                <w:sz w:val="21"/>
              </w:rPr>
              <w:t>51,123,588.61</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2"/>
              <w:jc w:val="right"/>
              <w:rPr>
                <w:rFonts w:ascii="宋体" w:hAnsi="宋体" w:cs="宋体" w:eastAsia="宋体" w:hint="default"/>
                <w:sz w:val="21"/>
                <w:szCs w:val="21"/>
              </w:rPr>
            </w:pPr>
            <w:r>
              <w:rPr>
                <w:rFonts w:ascii="宋体"/>
                <w:spacing w:val="-1"/>
                <w:sz w:val="21"/>
              </w:rPr>
              <w:t>93,261,364.31</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4"/>
              <w:jc w:val="right"/>
              <w:rPr>
                <w:rFonts w:ascii="宋体" w:hAnsi="宋体" w:cs="宋体" w:eastAsia="宋体" w:hint="default"/>
                <w:sz w:val="21"/>
                <w:szCs w:val="21"/>
              </w:rPr>
            </w:pPr>
            <w:r>
              <w:rPr>
                <w:rFonts w:ascii="宋体"/>
                <w:spacing w:val="-1"/>
                <w:sz w:val="21"/>
              </w:rPr>
              <w:t>52,670,802.37</w:t>
            </w:r>
          </w:p>
        </w:tc>
      </w:tr>
      <w:tr>
        <w:trPr>
          <w:trHeight w:val="342" w:hRule="exact"/>
        </w:trPr>
        <w:tc>
          <w:tcPr>
            <w:tcW w:w="209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022"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4"/>
              <w:jc w:val="right"/>
              <w:rPr>
                <w:rFonts w:ascii="宋体" w:hAnsi="宋体" w:cs="宋体" w:eastAsia="宋体" w:hint="default"/>
                <w:sz w:val="21"/>
                <w:szCs w:val="21"/>
              </w:rPr>
            </w:pPr>
            <w:r>
              <w:rPr>
                <w:rFonts w:ascii="宋体"/>
                <w:spacing w:val="-1"/>
                <w:sz w:val="21"/>
              </w:rPr>
              <w:t>320,334,275.85</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2"/>
              <w:jc w:val="right"/>
              <w:rPr>
                <w:rFonts w:ascii="宋体" w:hAnsi="宋体" w:cs="宋体" w:eastAsia="宋体" w:hint="default"/>
                <w:sz w:val="21"/>
                <w:szCs w:val="21"/>
              </w:rPr>
            </w:pPr>
            <w:r>
              <w:rPr>
                <w:rFonts w:ascii="宋体"/>
                <w:spacing w:val="-1"/>
                <w:sz w:val="21"/>
              </w:rPr>
              <w:t>179,396,685.32</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3"/>
              <w:jc w:val="right"/>
              <w:rPr>
                <w:rFonts w:ascii="宋体" w:hAnsi="宋体" w:cs="宋体" w:eastAsia="宋体" w:hint="default"/>
                <w:sz w:val="21"/>
                <w:szCs w:val="21"/>
              </w:rPr>
            </w:pPr>
            <w:r>
              <w:rPr>
                <w:rFonts w:ascii="宋体"/>
                <w:spacing w:val="-1"/>
                <w:sz w:val="21"/>
              </w:rPr>
              <w:t>365,698,300.79</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4"/>
              <w:jc w:val="right"/>
              <w:rPr>
                <w:rFonts w:ascii="宋体" w:hAnsi="宋体" w:cs="宋体" w:eastAsia="宋体" w:hint="default"/>
                <w:sz w:val="21"/>
                <w:szCs w:val="21"/>
              </w:rPr>
            </w:pPr>
            <w:r>
              <w:rPr>
                <w:rFonts w:ascii="宋体"/>
                <w:spacing w:val="-1"/>
                <w:sz w:val="21"/>
              </w:rPr>
              <w:t>214,059,448.34</w:t>
            </w:r>
          </w:p>
        </w:tc>
      </w:tr>
    </w:tbl>
    <w:p>
      <w:pPr>
        <w:spacing w:line="240" w:lineRule="auto" w:before="9"/>
        <w:rPr>
          <w:rFonts w:ascii="宋体" w:hAnsi="宋体" w:cs="宋体" w:eastAsia="宋体" w:hint="default"/>
          <w:sz w:val="16"/>
          <w:szCs w:val="16"/>
        </w:rPr>
      </w:pPr>
    </w:p>
    <w:p>
      <w:pPr>
        <w:pStyle w:val="BodyText"/>
        <w:spacing w:line="240" w:lineRule="auto" w:before="26"/>
        <w:ind w:left="634" w:right="996"/>
        <w:jc w:val="left"/>
      </w:pPr>
      <w:r>
        <w:rPr/>
        <w:t>（</w:t>
      </w:r>
      <w:r>
        <w:rPr>
          <w:rFonts w:ascii="宋体" w:hAnsi="宋体" w:cs="宋体" w:eastAsia="宋体" w:hint="default"/>
        </w:rPr>
        <w:t>3</w:t>
      </w:r>
      <w:r>
        <w:rPr/>
        <w:t>）主营业务按客户类别分类</w:t>
      </w:r>
    </w:p>
    <w:p>
      <w:pPr>
        <w:spacing w:line="240" w:lineRule="auto" w:before="5"/>
        <w:rPr>
          <w:rFonts w:ascii="宋体" w:hAnsi="宋体" w:cs="宋体" w:eastAsia="宋体" w:hint="default"/>
          <w:sz w:val="16"/>
          <w:szCs w:val="16"/>
        </w:rPr>
      </w:pPr>
    </w:p>
    <w:tbl>
      <w:tblPr>
        <w:tblW w:w="0" w:type="auto"/>
        <w:jc w:val="left"/>
        <w:tblInd w:w="149" w:type="dxa"/>
        <w:tblLayout w:type="fixed"/>
        <w:tblCellMar>
          <w:top w:w="0" w:type="dxa"/>
          <w:left w:w="0" w:type="dxa"/>
          <w:bottom w:w="0" w:type="dxa"/>
          <w:right w:w="0" w:type="dxa"/>
        </w:tblCellMar>
        <w:tblLook w:val="01E0"/>
      </w:tblPr>
      <w:tblGrid>
        <w:gridCol w:w="1952"/>
        <w:gridCol w:w="2160"/>
        <w:gridCol w:w="1700"/>
        <w:gridCol w:w="1844"/>
        <w:gridCol w:w="1702"/>
      </w:tblGrid>
      <w:tr>
        <w:trPr>
          <w:trHeight w:val="342" w:hRule="exact"/>
        </w:trPr>
        <w:tc>
          <w:tcPr>
            <w:tcW w:w="1952" w:type="dxa"/>
            <w:vMerge w:val="restart"/>
            <w:tcBorders>
              <w:top w:val="single" w:sz="4" w:space="0" w:color="000000"/>
              <w:left w:val="single" w:sz="4" w:space="0" w:color="000000"/>
              <w:right w:val="single" w:sz="4" w:space="0" w:color="000000"/>
            </w:tcBorders>
          </w:tcPr>
          <w:p>
            <w:pPr>
              <w:pStyle w:val="TableParagraph"/>
              <w:spacing w:line="270" w:lineRule="exact"/>
              <w:ind w:right="1"/>
              <w:jc w:val="center"/>
              <w:rPr>
                <w:rFonts w:ascii="宋体" w:hAnsi="宋体" w:cs="宋体" w:eastAsia="宋体" w:hint="default"/>
                <w:sz w:val="21"/>
                <w:szCs w:val="21"/>
              </w:rPr>
            </w:pPr>
            <w:r>
              <w:rPr>
                <w:rFonts w:ascii="宋体" w:hAnsi="宋体" w:cs="宋体" w:eastAsia="宋体" w:hint="default"/>
                <w:sz w:val="21"/>
                <w:szCs w:val="21"/>
              </w:rPr>
              <w:t>类别</w:t>
            </w:r>
          </w:p>
        </w:tc>
        <w:tc>
          <w:tcPr>
            <w:tcW w:w="3861" w:type="dxa"/>
            <w:gridSpan w:val="2"/>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545" w:type="dxa"/>
            <w:gridSpan w:val="2"/>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1"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342" w:hRule="exact"/>
        </w:trPr>
        <w:tc>
          <w:tcPr>
            <w:tcW w:w="1952" w:type="dxa"/>
            <w:vMerge/>
            <w:tcBorders>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654"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424"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496"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424" w:right="0"/>
              <w:jc w:val="left"/>
              <w:rPr>
                <w:rFonts w:ascii="宋体" w:hAnsi="宋体" w:cs="宋体" w:eastAsia="宋体" w:hint="default"/>
                <w:sz w:val="21"/>
                <w:szCs w:val="21"/>
              </w:rPr>
            </w:pPr>
            <w:r>
              <w:rPr>
                <w:rFonts w:ascii="宋体" w:hAnsi="宋体" w:cs="宋体" w:eastAsia="宋体" w:hint="default"/>
                <w:sz w:val="21"/>
                <w:szCs w:val="21"/>
              </w:rPr>
              <w:t>营业成本</w:t>
            </w:r>
          </w:p>
        </w:tc>
      </w:tr>
      <w:tr>
        <w:trPr>
          <w:trHeight w:val="342" w:hRule="exact"/>
        </w:trPr>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4" w:right="0"/>
              <w:jc w:val="left"/>
              <w:rPr>
                <w:rFonts w:ascii="宋体" w:hAnsi="宋体" w:cs="宋体" w:eastAsia="宋体" w:hint="default"/>
                <w:sz w:val="21"/>
                <w:szCs w:val="21"/>
              </w:rPr>
            </w:pPr>
            <w:r>
              <w:rPr>
                <w:rFonts w:ascii="宋体" w:hAnsi="宋体" w:cs="宋体" w:eastAsia="宋体" w:hint="default"/>
                <w:sz w:val="21"/>
                <w:szCs w:val="21"/>
              </w:rPr>
              <w:t>国家铁路</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3"/>
              <w:jc w:val="right"/>
              <w:rPr>
                <w:rFonts w:ascii="宋体" w:hAnsi="宋体" w:cs="宋体" w:eastAsia="宋体" w:hint="default"/>
                <w:sz w:val="21"/>
                <w:szCs w:val="21"/>
              </w:rPr>
            </w:pPr>
            <w:r>
              <w:rPr>
                <w:rFonts w:ascii="宋体"/>
                <w:sz w:val="21"/>
              </w:rPr>
              <w:t>245,112,553.83</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1"/>
              <w:jc w:val="right"/>
              <w:rPr>
                <w:rFonts w:ascii="宋体" w:hAnsi="宋体" w:cs="宋体" w:eastAsia="宋体" w:hint="default"/>
                <w:sz w:val="21"/>
                <w:szCs w:val="21"/>
              </w:rPr>
            </w:pPr>
            <w:r>
              <w:rPr>
                <w:rFonts w:ascii="宋体"/>
                <w:sz w:val="21"/>
              </w:rPr>
              <w:t>121,634,725.60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3"/>
              <w:jc w:val="right"/>
              <w:rPr>
                <w:rFonts w:ascii="宋体" w:hAnsi="宋体" w:cs="宋体" w:eastAsia="宋体" w:hint="default"/>
                <w:sz w:val="21"/>
                <w:szCs w:val="21"/>
              </w:rPr>
            </w:pPr>
            <w:r>
              <w:rPr>
                <w:rFonts w:ascii="宋体"/>
                <w:spacing w:val="-1"/>
                <w:sz w:val="21"/>
              </w:rPr>
              <w:t>267,883,764.15</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4"/>
              <w:jc w:val="right"/>
              <w:rPr>
                <w:rFonts w:ascii="宋体" w:hAnsi="宋体" w:cs="宋体" w:eastAsia="宋体" w:hint="default"/>
                <w:sz w:val="21"/>
                <w:szCs w:val="21"/>
              </w:rPr>
            </w:pPr>
            <w:r>
              <w:rPr>
                <w:rFonts w:ascii="宋体"/>
                <w:spacing w:val="-1"/>
                <w:sz w:val="21"/>
              </w:rPr>
              <w:t>145,020,053.87</w:t>
            </w:r>
          </w:p>
        </w:tc>
      </w:tr>
      <w:tr>
        <w:trPr>
          <w:trHeight w:val="342" w:hRule="exact"/>
        </w:trPr>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4" w:right="0"/>
              <w:jc w:val="left"/>
              <w:rPr>
                <w:rFonts w:ascii="宋体" w:hAnsi="宋体" w:cs="宋体" w:eastAsia="宋体" w:hint="default"/>
                <w:sz w:val="21"/>
                <w:szCs w:val="21"/>
              </w:rPr>
            </w:pPr>
            <w:r>
              <w:rPr>
                <w:rFonts w:ascii="宋体" w:hAnsi="宋体" w:cs="宋体" w:eastAsia="宋体" w:hint="default"/>
                <w:sz w:val="21"/>
                <w:szCs w:val="21"/>
              </w:rPr>
              <w:t>厂矿企业及地方铁路</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3"/>
              <w:jc w:val="right"/>
              <w:rPr>
                <w:rFonts w:ascii="宋体" w:hAnsi="宋体" w:cs="宋体" w:eastAsia="宋体" w:hint="default"/>
                <w:sz w:val="21"/>
                <w:szCs w:val="21"/>
              </w:rPr>
            </w:pPr>
            <w:r>
              <w:rPr>
                <w:rFonts w:ascii="宋体"/>
                <w:sz w:val="21"/>
              </w:rPr>
              <w:t>493,744.44</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1"/>
              <w:jc w:val="right"/>
              <w:rPr>
                <w:rFonts w:ascii="宋体" w:hAnsi="宋体" w:cs="宋体" w:eastAsia="宋体" w:hint="default"/>
                <w:sz w:val="21"/>
                <w:szCs w:val="21"/>
              </w:rPr>
            </w:pPr>
            <w:r>
              <w:rPr>
                <w:rFonts w:ascii="宋体"/>
                <w:sz w:val="21"/>
              </w:rPr>
              <w:t>360,995.50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2"/>
              <w:jc w:val="right"/>
              <w:rPr>
                <w:rFonts w:ascii="宋体" w:hAnsi="宋体" w:cs="宋体" w:eastAsia="宋体" w:hint="default"/>
                <w:sz w:val="21"/>
                <w:szCs w:val="21"/>
              </w:rPr>
            </w:pPr>
            <w:r>
              <w:rPr>
                <w:rFonts w:ascii="宋体"/>
                <w:spacing w:val="-1"/>
                <w:sz w:val="21"/>
              </w:rPr>
              <w:t>3,108,974.35</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4"/>
              <w:jc w:val="right"/>
              <w:rPr>
                <w:rFonts w:ascii="宋体" w:hAnsi="宋体" w:cs="宋体" w:eastAsia="宋体" w:hint="default"/>
                <w:sz w:val="21"/>
                <w:szCs w:val="21"/>
              </w:rPr>
            </w:pPr>
            <w:r>
              <w:rPr>
                <w:rFonts w:ascii="宋体"/>
                <w:spacing w:val="-1"/>
                <w:sz w:val="21"/>
              </w:rPr>
              <w:t>1,543,576.22</w:t>
            </w:r>
          </w:p>
        </w:tc>
      </w:tr>
      <w:tr>
        <w:trPr>
          <w:trHeight w:val="342" w:hRule="exact"/>
        </w:trPr>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4" w:right="0"/>
              <w:jc w:val="left"/>
              <w:rPr>
                <w:rFonts w:ascii="宋体" w:hAnsi="宋体" w:cs="宋体" w:eastAsia="宋体" w:hint="default"/>
                <w:sz w:val="21"/>
                <w:szCs w:val="21"/>
              </w:rPr>
            </w:pPr>
            <w:r>
              <w:rPr>
                <w:rFonts w:ascii="宋体" w:hAnsi="宋体" w:cs="宋体" w:eastAsia="宋体" w:hint="default"/>
                <w:sz w:val="21"/>
                <w:szCs w:val="21"/>
              </w:rPr>
              <w:t>城市轨道交通</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5"/>
              <w:jc w:val="right"/>
              <w:rPr>
                <w:rFonts w:ascii="宋体" w:hAnsi="宋体" w:cs="宋体" w:eastAsia="宋体" w:hint="default"/>
                <w:sz w:val="21"/>
                <w:szCs w:val="21"/>
              </w:rPr>
            </w:pPr>
            <w:r>
              <w:rPr>
                <w:rFonts w:ascii="宋体"/>
                <w:spacing w:val="-1"/>
                <w:sz w:val="21"/>
              </w:rPr>
              <w:t>64,548,136.23</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3"/>
              <w:jc w:val="right"/>
              <w:rPr>
                <w:rFonts w:ascii="宋体" w:hAnsi="宋体" w:cs="宋体" w:eastAsia="宋体" w:hint="default"/>
                <w:sz w:val="21"/>
                <w:szCs w:val="21"/>
              </w:rPr>
            </w:pPr>
            <w:r>
              <w:rPr>
                <w:rFonts w:ascii="宋体"/>
                <w:spacing w:val="-1"/>
                <w:sz w:val="21"/>
              </w:rPr>
              <w:t>53,095,323.23</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3"/>
              <w:jc w:val="right"/>
              <w:rPr>
                <w:rFonts w:ascii="宋体" w:hAnsi="宋体" w:cs="宋体" w:eastAsia="宋体" w:hint="default"/>
                <w:sz w:val="21"/>
                <w:szCs w:val="21"/>
              </w:rPr>
            </w:pPr>
            <w:r>
              <w:rPr>
                <w:rFonts w:ascii="宋体"/>
                <w:spacing w:val="-1"/>
                <w:sz w:val="21"/>
              </w:rPr>
              <w:t>90,223,837.31</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4"/>
              <w:jc w:val="right"/>
              <w:rPr>
                <w:rFonts w:ascii="宋体" w:hAnsi="宋体" w:cs="宋体" w:eastAsia="宋体" w:hint="default"/>
                <w:sz w:val="21"/>
                <w:szCs w:val="21"/>
              </w:rPr>
            </w:pPr>
            <w:r>
              <w:rPr>
                <w:rFonts w:ascii="宋体"/>
                <w:spacing w:val="-1"/>
                <w:sz w:val="21"/>
              </w:rPr>
              <w:t>66,620,207.37</w:t>
            </w:r>
          </w:p>
        </w:tc>
      </w:tr>
      <w:tr>
        <w:trPr>
          <w:trHeight w:val="342" w:hRule="exact"/>
        </w:trPr>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4"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3"/>
              <w:jc w:val="right"/>
              <w:rPr>
                <w:rFonts w:ascii="宋体" w:hAnsi="宋体" w:cs="宋体" w:eastAsia="宋体" w:hint="default"/>
                <w:sz w:val="21"/>
                <w:szCs w:val="21"/>
              </w:rPr>
            </w:pPr>
            <w:r>
              <w:rPr>
                <w:rFonts w:ascii="宋体"/>
                <w:sz w:val="21"/>
              </w:rPr>
              <w:t>10,179,841.35</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1"/>
              <w:jc w:val="right"/>
              <w:rPr>
                <w:rFonts w:ascii="宋体" w:hAnsi="宋体" w:cs="宋体" w:eastAsia="宋体" w:hint="default"/>
                <w:sz w:val="21"/>
                <w:szCs w:val="21"/>
              </w:rPr>
            </w:pPr>
            <w:r>
              <w:rPr>
                <w:rFonts w:ascii="宋体"/>
                <w:sz w:val="21"/>
              </w:rPr>
              <w:t>4,305,640.99</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3"/>
              <w:jc w:val="right"/>
              <w:rPr>
                <w:rFonts w:ascii="宋体" w:hAnsi="宋体" w:cs="宋体" w:eastAsia="宋体" w:hint="default"/>
                <w:sz w:val="21"/>
                <w:szCs w:val="21"/>
              </w:rPr>
            </w:pPr>
            <w:r>
              <w:rPr>
                <w:rFonts w:ascii="宋体"/>
                <w:spacing w:val="-1"/>
                <w:sz w:val="21"/>
              </w:rPr>
              <w:t>4,481,724.98</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2"/>
              <w:jc w:val="right"/>
              <w:rPr>
                <w:rFonts w:ascii="宋体" w:hAnsi="宋体" w:cs="宋体" w:eastAsia="宋体" w:hint="default"/>
                <w:sz w:val="21"/>
                <w:szCs w:val="21"/>
              </w:rPr>
            </w:pPr>
            <w:r>
              <w:rPr>
                <w:rFonts w:ascii="宋体"/>
                <w:sz w:val="21"/>
              </w:rPr>
              <w:t>875,610.88</w:t>
            </w:r>
          </w:p>
        </w:tc>
      </w:tr>
      <w:tr>
        <w:trPr>
          <w:trHeight w:val="342" w:hRule="exact"/>
        </w:trPr>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3"/>
              <w:jc w:val="right"/>
              <w:rPr>
                <w:rFonts w:ascii="宋体" w:hAnsi="宋体" w:cs="宋体" w:eastAsia="宋体" w:hint="default"/>
                <w:sz w:val="21"/>
                <w:szCs w:val="21"/>
              </w:rPr>
            </w:pPr>
            <w:r>
              <w:rPr>
                <w:rFonts w:ascii="宋体"/>
                <w:sz w:val="21"/>
              </w:rPr>
              <w:t>320,334,275.85</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1"/>
              <w:jc w:val="right"/>
              <w:rPr>
                <w:rFonts w:ascii="宋体" w:hAnsi="宋体" w:cs="宋体" w:eastAsia="宋体" w:hint="default"/>
                <w:sz w:val="21"/>
                <w:szCs w:val="21"/>
              </w:rPr>
            </w:pPr>
            <w:r>
              <w:rPr>
                <w:rFonts w:ascii="宋体"/>
                <w:sz w:val="21"/>
              </w:rPr>
              <w:t>179,396,685.32</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3"/>
              <w:jc w:val="right"/>
              <w:rPr>
                <w:rFonts w:ascii="宋体" w:hAnsi="宋体" w:cs="宋体" w:eastAsia="宋体" w:hint="default"/>
                <w:sz w:val="21"/>
                <w:szCs w:val="21"/>
              </w:rPr>
            </w:pPr>
            <w:r>
              <w:rPr>
                <w:rFonts w:ascii="宋体"/>
                <w:sz w:val="21"/>
              </w:rPr>
              <w:t>365,698,300.79</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2"/>
              <w:jc w:val="right"/>
              <w:rPr>
                <w:rFonts w:ascii="宋体" w:hAnsi="宋体" w:cs="宋体" w:eastAsia="宋体" w:hint="default"/>
                <w:sz w:val="21"/>
                <w:szCs w:val="21"/>
              </w:rPr>
            </w:pPr>
            <w:r>
              <w:rPr>
                <w:rFonts w:ascii="宋体"/>
                <w:sz w:val="21"/>
              </w:rPr>
              <w:t>214,059,448.34</w:t>
            </w:r>
          </w:p>
        </w:tc>
      </w:tr>
    </w:tbl>
    <w:p>
      <w:pPr>
        <w:spacing w:line="240" w:lineRule="auto" w:before="9"/>
        <w:rPr>
          <w:rFonts w:ascii="宋体" w:hAnsi="宋体" w:cs="宋体" w:eastAsia="宋体" w:hint="default"/>
          <w:sz w:val="16"/>
          <w:szCs w:val="16"/>
        </w:rPr>
      </w:pPr>
    </w:p>
    <w:p>
      <w:pPr>
        <w:pStyle w:val="BodyText"/>
        <w:spacing w:line="240" w:lineRule="auto" w:before="26"/>
        <w:ind w:left="634" w:right="996"/>
        <w:jc w:val="left"/>
      </w:pPr>
      <w:r>
        <w:rPr/>
        <w:t>（</w:t>
      </w:r>
      <w:r>
        <w:rPr>
          <w:rFonts w:ascii="宋体" w:hAnsi="宋体" w:cs="宋体" w:eastAsia="宋体" w:hint="default"/>
        </w:rPr>
        <w:t>4</w:t>
      </w:r>
      <w:r>
        <w:rPr/>
        <w:t>）公司前五名客户的营业收入情况</w:t>
      </w:r>
    </w:p>
    <w:p>
      <w:pPr>
        <w:spacing w:line="240" w:lineRule="auto" w:before="4"/>
        <w:rPr>
          <w:rFonts w:ascii="宋体" w:hAnsi="宋体" w:cs="宋体" w:eastAsia="宋体" w:hint="default"/>
          <w:sz w:val="16"/>
          <w:szCs w:val="16"/>
        </w:rPr>
      </w:pPr>
    </w:p>
    <w:tbl>
      <w:tblPr>
        <w:tblW w:w="0" w:type="auto"/>
        <w:jc w:val="left"/>
        <w:tblInd w:w="149" w:type="dxa"/>
        <w:tblLayout w:type="fixed"/>
        <w:tblCellMar>
          <w:top w:w="0" w:type="dxa"/>
          <w:left w:w="0" w:type="dxa"/>
          <w:bottom w:w="0" w:type="dxa"/>
          <w:right w:w="0" w:type="dxa"/>
        </w:tblCellMar>
        <w:tblLook w:val="01E0"/>
      </w:tblPr>
      <w:tblGrid>
        <w:gridCol w:w="3510"/>
        <w:gridCol w:w="2268"/>
        <w:gridCol w:w="3294"/>
      </w:tblGrid>
      <w:tr>
        <w:trPr>
          <w:trHeight w:val="342" w:hRule="exact"/>
        </w:trPr>
        <w:tc>
          <w:tcPr>
            <w:tcW w:w="351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客户名称</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98" w:right="0"/>
              <w:jc w:val="left"/>
              <w:rPr>
                <w:rFonts w:ascii="宋体" w:hAnsi="宋体" w:cs="宋体" w:eastAsia="宋体" w:hint="default"/>
                <w:sz w:val="21"/>
                <w:szCs w:val="21"/>
              </w:rPr>
            </w:pPr>
            <w:r>
              <w:rPr>
                <w:rFonts w:ascii="宋体" w:hAnsi="宋体" w:cs="宋体" w:eastAsia="宋体" w:hint="default"/>
                <w:sz w:val="21"/>
                <w:szCs w:val="21"/>
              </w:rPr>
              <w:t>营业收入总额</w:t>
            </w:r>
          </w:p>
        </w:tc>
        <w:tc>
          <w:tcPr>
            <w:tcW w:w="3294"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224" w:right="0"/>
              <w:jc w:val="left"/>
              <w:rPr>
                <w:rFonts w:ascii="宋体" w:hAnsi="宋体" w:cs="宋体" w:eastAsia="宋体" w:hint="default"/>
                <w:sz w:val="21"/>
                <w:szCs w:val="21"/>
              </w:rPr>
            </w:pPr>
            <w:r>
              <w:rPr>
                <w:rFonts w:ascii="宋体" w:hAnsi="宋体" w:cs="宋体" w:eastAsia="宋体" w:hint="default"/>
                <w:sz w:val="21"/>
                <w:szCs w:val="21"/>
              </w:rPr>
              <w:t>占公司全部营业收入的比例</w:t>
            </w:r>
            <w:r>
              <w:rPr>
                <w:rFonts w:ascii="宋体" w:hAnsi="宋体" w:cs="宋体" w:eastAsia="宋体" w:hint="default"/>
                <w:sz w:val="21"/>
                <w:szCs w:val="21"/>
              </w:rPr>
              <w:t>(%)</w:t>
            </w:r>
          </w:p>
        </w:tc>
      </w:tr>
      <w:tr>
        <w:trPr>
          <w:trHeight w:val="342" w:hRule="exact"/>
        </w:trPr>
        <w:tc>
          <w:tcPr>
            <w:tcW w:w="351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110" w:right="0"/>
              <w:jc w:val="left"/>
              <w:rPr>
                <w:rFonts w:ascii="宋体" w:hAnsi="宋体" w:cs="宋体" w:eastAsia="宋体" w:hint="default"/>
                <w:sz w:val="21"/>
                <w:szCs w:val="21"/>
              </w:rPr>
            </w:pPr>
            <w:r>
              <w:rPr>
                <w:rFonts w:ascii="宋体" w:hAnsi="宋体" w:cs="宋体" w:eastAsia="宋体" w:hint="default"/>
                <w:sz w:val="21"/>
                <w:szCs w:val="21"/>
              </w:rPr>
              <w:t>郑州市轨道交通有限公司</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4"/>
              <w:jc w:val="right"/>
              <w:rPr>
                <w:rFonts w:ascii="宋体" w:hAnsi="宋体" w:cs="宋体" w:eastAsia="宋体" w:hint="default"/>
                <w:sz w:val="21"/>
                <w:szCs w:val="21"/>
              </w:rPr>
            </w:pPr>
            <w:r>
              <w:rPr>
                <w:rFonts w:ascii="宋体"/>
                <w:spacing w:val="-1"/>
                <w:sz w:val="21"/>
              </w:rPr>
              <w:t>57,425,794.24</w:t>
            </w:r>
          </w:p>
        </w:tc>
        <w:tc>
          <w:tcPr>
            <w:tcW w:w="3294"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3"/>
              <w:jc w:val="right"/>
              <w:rPr>
                <w:rFonts w:ascii="宋体" w:hAnsi="宋体" w:cs="宋体" w:eastAsia="宋体" w:hint="default"/>
                <w:sz w:val="21"/>
                <w:szCs w:val="21"/>
              </w:rPr>
            </w:pPr>
            <w:r>
              <w:rPr>
                <w:rFonts w:ascii="宋体"/>
                <w:sz w:val="21"/>
              </w:rPr>
              <w:t>14.38</w:t>
            </w:r>
          </w:p>
        </w:tc>
      </w:tr>
      <w:tr>
        <w:trPr>
          <w:trHeight w:val="342" w:hRule="exact"/>
        </w:trPr>
        <w:tc>
          <w:tcPr>
            <w:tcW w:w="351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110" w:right="0"/>
              <w:jc w:val="left"/>
              <w:rPr>
                <w:rFonts w:ascii="宋体" w:hAnsi="宋体" w:cs="宋体" w:eastAsia="宋体" w:hint="default"/>
                <w:sz w:val="21"/>
                <w:szCs w:val="21"/>
              </w:rPr>
            </w:pPr>
            <w:r>
              <w:rPr>
                <w:rFonts w:ascii="宋体" w:hAnsi="宋体" w:cs="宋体" w:eastAsia="宋体" w:hint="default"/>
                <w:sz w:val="21"/>
                <w:szCs w:val="21"/>
              </w:rPr>
              <w:t>方正国际软件（北京）有限公司</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4"/>
              <w:jc w:val="right"/>
              <w:rPr>
                <w:rFonts w:ascii="宋体" w:hAnsi="宋体" w:cs="宋体" w:eastAsia="宋体" w:hint="default"/>
                <w:sz w:val="21"/>
                <w:szCs w:val="21"/>
              </w:rPr>
            </w:pPr>
            <w:r>
              <w:rPr>
                <w:rFonts w:ascii="宋体"/>
                <w:spacing w:val="-1"/>
                <w:sz w:val="21"/>
              </w:rPr>
              <w:t>31,536,461.54</w:t>
            </w:r>
          </w:p>
        </w:tc>
        <w:tc>
          <w:tcPr>
            <w:tcW w:w="3294"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4"/>
              <w:jc w:val="right"/>
              <w:rPr>
                <w:rFonts w:ascii="宋体" w:hAnsi="宋体" w:cs="宋体" w:eastAsia="宋体" w:hint="default"/>
                <w:sz w:val="21"/>
                <w:szCs w:val="21"/>
              </w:rPr>
            </w:pPr>
            <w:r>
              <w:rPr>
                <w:rFonts w:ascii="宋体"/>
                <w:sz w:val="21"/>
              </w:rPr>
              <w:t>7.90</w:t>
            </w:r>
          </w:p>
        </w:tc>
      </w:tr>
      <w:tr>
        <w:trPr>
          <w:trHeight w:val="342" w:hRule="exact"/>
        </w:trPr>
        <w:tc>
          <w:tcPr>
            <w:tcW w:w="351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110" w:right="0"/>
              <w:jc w:val="left"/>
              <w:rPr>
                <w:rFonts w:ascii="宋体" w:hAnsi="宋体" w:cs="宋体" w:eastAsia="宋体" w:hint="default"/>
                <w:sz w:val="21"/>
                <w:szCs w:val="21"/>
              </w:rPr>
            </w:pPr>
            <w:r>
              <w:rPr>
                <w:rFonts w:ascii="宋体" w:hAnsi="宋体" w:cs="宋体" w:eastAsia="宋体" w:hint="default"/>
                <w:sz w:val="21"/>
                <w:szCs w:val="21"/>
              </w:rPr>
              <w:t>中国铁建电气化局集团有限公司</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4"/>
              <w:jc w:val="right"/>
              <w:rPr>
                <w:rFonts w:ascii="宋体" w:hAnsi="宋体" w:cs="宋体" w:eastAsia="宋体" w:hint="default"/>
                <w:sz w:val="21"/>
                <w:szCs w:val="21"/>
              </w:rPr>
            </w:pPr>
            <w:r>
              <w:rPr>
                <w:rFonts w:ascii="宋体"/>
                <w:spacing w:val="-1"/>
                <w:sz w:val="21"/>
              </w:rPr>
              <w:t>14,862,500.01</w:t>
            </w:r>
          </w:p>
        </w:tc>
        <w:tc>
          <w:tcPr>
            <w:tcW w:w="3294"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4"/>
              <w:jc w:val="right"/>
              <w:rPr>
                <w:rFonts w:ascii="宋体" w:hAnsi="宋体" w:cs="宋体" w:eastAsia="宋体" w:hint="default"/>
                <w:sz w:val="21"/>
                <w:szCs w:val="21"/>
              </w:rPr>
            </w:pPr>
            <w:r>
              <w:rPr>
                <w:rFonts w:ascii="宋体"/>
                <w:sz w:val="21"/>
              </w:rPr>
              <w:t>3.72</w:t>
            </w:r>
          </w:p>
        </w:tc>
      </w:tr>
      <w:tr>
        <w:trPr>
          <w:trHeight w:val="342" w:hRule="exact"/>
        </w:trPr>
        <w:tc>
          <w:tcPr>
            <w:tcW w:w="351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110" w:right="0"/>
              <w:jc w:val="left"/>
              <w:rPr>
                <w:rFonts w:ascii="宋体" w:hAnsi="宋体" w:cs="宋体" w:eastAsia="宋体" w:hint="default"/>
                <w:sz w:val="21"/>
                <w:szCs w:val="21"/>
              </w:rPr>
            </w:pPr>
            <w:r>
              <w:rPr>
                <w:rFonts w:ascii="宋体" w:hAnsi="宋体" w:cs="宋体" w:eastAsia="宋体" w:hint="default"/>
                <w:sz w:val="21"/>
                <w:szCs w:val="21"/>
              </w:rPr>
              <w:t>中国铁路青藏集团有限公司</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4"/>
              <w:jc w:val="right"/>
              <w:rPr>
                <w:rFonts w:ascii="宋体" w:hAnsi="宋体" w:cs="宋体" w:eastAsia="宋体" w:hint="default"/>
                <w:sz w:val="21"/>
                <w:szCs w:val="21"/>
              </w:rPr>
            </w:pPr>
            <w:r>
              <w:rPr>
                <w:rFonts w:ascii="宋体"/>
                <w:spacing w:val="-1"/>
                <w:sz w:val="21"/>
              </w:rPr>
              <w:t>15,888,745.29</w:t>
            </w:r>
          </w:p>
        </w:tc>
        <w:tc>
          <w:tcPr>
            <w:tcW w:w="3294"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4"/>
              <w:jc w:val="right"/>
              <w:rPr>
                <w:rFonts w:ascii="宋体" w:hAnsi="宋体" w:cs="宋体" w:eastAsia="宋体" w:hint="default"/>
                <w:sz w:val="21"/>
                <w:szCs w:val="21"/>
              </w:rPr>
            </w:pPr>
            <w:r>
              <w:rPr>
                <w:rFonts w:ascii="宋体"/>
                <w:sz w:val="21"/>
              </w:rPr>
              <w:t>3.98</w:t>
            </w:r>
          </w:p>
        </w:tc>
      </w:tr>
      <w:tr>
        <w:trPr>
          <w:trHeight w:val="342" w:hRule="exact"/>
        </w:trPr>
        <w:tc>
          <w:tcPr>
            <w:tcW w:w="351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110" w:right="0"/>
              <w:jc w:val="left"/>
              <w:rPr>
                <w:rFonts w:ascii="宋体" w:hAnsi="宋体" w:cs="宋体" w:eastAsia="宋体" w:hint="default"/>
                <w:sz w:val="21"/>
                <w:szCs w:val="21"/>
              </w:rPr>
            </w:pPr>
            <w:r>
              <w:rPr>
                <w:rFonts w:ascii="宋体" w:hAnsi="宋体" w:cs="宋体" w:eastAsia="宋体" w:hint="default"/>
                <w:sz w:val="21"/>
                <w:szCs w:val="21"/>
              </w:rPr>
              <w:t>中国铁路武汉局集团有限公司</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4"/>
              <w:jc w:val="right"/>
              <w:rPr>
                <w:rFonts w:ascii="宋体" w:hAnsi="宋体" w:cs="宋体" w:eastAsia="宋体" w:hint="default"/>
                <w:sz w:val="21"/>
                <w:szCs w:val="21"/>
              </w:rPr>
            </w:pPr>
            <w:r>
              <w:rPr>
                <w:rFonts w:ascii="宋体"/>
                <w:spacing w:val="-1"/>
                <w:sz w:val="21"/>
              </w:rPr>
              <w:t>11,023,638.92</w:t>
            </w:r>
          </w:p>
        </w:tc>
        <w:tc>
          <w:tcPr>
            <w:tcW w:w="3294"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4"/>
              <w:jc w:val="right"/>
              <w:rPr>
                <w:rFonts w:ascii="宋体" w:hAnsi="宋体" w:cs="宋体" w:eastAsia="宋体" w:hint="default"/>
                <w:sz w:val="21"/>
                <w:szCs w:val="21"/>
              </w:rPr>
            </w:pPr>
            <w:r>
              <w:rPr>
                <w:rFonts w:ascii="宋体"/>
                <w:sz w:val="21"/>
              </w:rPr>
              <w:t>2.76</w:t>
            </w:r>
          </w:p>
        </w:tc>
      </w:tr>
      <w:tr>
        <w:trPr>
          <w:trHeight w:val="343" w:hRule="exact"/>
        </w:trPr>
        <w:tc>
          <w:tcPr>
            <w:tcW w:w="351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4"/>
              <w:jc w:val="right"/>
              <w:rPr>
                <w:rFonts w:ascii="宋体" w:hAnsi="宋体" w:cs="宋体" w:eastAsia="宋体" w:hint="default"/>
                <w:sz w:val="21"/>
                <w:szCs w:val="21"/>
              </w:rPr>
            </w:pPr>
            <w:r>
              <w:rPr>
                <w:rFonts w:ascii="宋体"/>
                <w:spacing w:val="-1"/>
                <w:sz w:val="21"/>
              </w:rPr>
              <w:t>130,737,140.00</w:t>
            </w:r>
          </w:p>
        </w:tc>
        <w:tc>
          <w:tcPr>
            <w:tcW w:w="3294"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3"/>
              <w:jc w:val="right"/>
              <w:rPr>
                <w:rFonts w:ascii="宋体" w:hAnsi="宋体" w:cs="宋体" w:eastAsia="宋体" w:hint="default"/>
                <w:sz w:val="21"/>
                <w:szCs w:val="21"/>
              </w:rPr>
            </w:pPr>
            <w:r>
              <w:rPr>
                <w:rFonts w:ascii="宋体"/>
                <w:sz w:val="21"/>
              </w:rPr>
              <w:t>32.73</w:t>
            </w:r>
          </w:p>
        </w:tc>
      </w:tr>
    </w:tbl>
    <w:p>
      <w:pPr>
        <w:spacing w:line="240" w:lineRule="auto" w:before="9"/>
        <w:rPr>
          <w:rFonts w:ascii="宋体" w:hAnsi="宋体" w:cs="宋体" w:eastAsia="宋体" w:hint="default"/>
          <w:sz w:val="6"/>
          <w:szCs w:val="6"/>
        </w:rPr>
      </w:pPr>
    </w:p>
    <w:p>
      <w:pPr>
        <w:spacing w:before="35"/>
        <w:ind w:left="576" w:right="996" w:firstLine="0"/>
        <w:jc w:val="left"/>
        <w:rPr>
          <w:rFonts w:ascii="宋体" w:hAnsi="宋体" w:cs="宋体" w:eastAsia="宋体" w:hint="default"/>
          <w:sz w:val="21"/>
          <w:szCs w:val="21"/>
        </w:rPr>
      </w:pPr>
      <w:bookmarkStart w:name="5、投资收益" w:id="548"/>
      <w:bookmarkEnd w:id="548"/>
      <w:r>
        <w:rPr/>
      </w:r>
      <w:r>
        <w:rPr>
          <w:rFonts w:ascii="宋体" w:hAnsi="宋体" w:cs="宋体" w:eastAsia="宋体" w:hint="default"/>
          <w:b/>
          <w:bCs/>
          <w:sz w:val="21"/>
          <w:szCs w:val="21"/>
        </w:rPr>
        <w:t>5</w:t>
      </w:r>
      <w:r>
        <w:rPr>
          <w:rFonts w:ascii="宋体" w:hAnsi="宋体" w:cs="宋体" w:eastAsia="宋体" w:hint="default"/>
          <w:b/>
          <w:bCs/>
          <w:sz w:val="21"/>
          <w:szCs w:val="21"/>
        </w:rPr>
        <w:t>、投资收益</w:t>
      </w:r>
      <w:r>
        <w:rPr>
          <w:rFonts w:ascii="宋体" w:hAnsi="宋体" w:cs="宋体" w:eastAsia="宋体" w:hint="default"/>
          <w:sz w:val="21"/>
          <w:szCs w:val="21"/>
        </w:rPr>
      </w:r>
    </w:p>
    <w:p>
      <w:pPr>
        <w:spacing w:before="87"/>
        <w:ind w:left="0" w:right="1129" w:firstLine="0"/>
        <w:jc w:val="right"/>
        <w:rPr>
          <w:rFonts w:ascii="宋体" w:hAnsi="宋体" w:cs="宋体" w:eastAsia="宋体" w:hint="default"/>
          <w:sz w:val="21"/>
          <w:szCs w:val="21"/>
        </w:rPr>
      </w:pPr>
      <w:r>
        <w:rPr>
          <w:rFonts w:ascii="宋体" w:hAnsi="宋体" w:cs="宋体" w:eastAsia="宋体" w:hint="default"/>
          <w:sz w:val="21"/>
          <w:szCs w:val="21"/>
        </w:rPr>
        <w:t>单位： 元</w:t>
      </w:r>
    </w:p>
    <w:p>
      <w:pPr>
        <w:spacing w:line="240" w:lineRule="auto" w:before="0"/>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302"/>
        <w:gridCol w:w="3071"/>
        <w:gridCol w:w="3186"/>
      </w:tblGrid>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010"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权益法核算的长期股权投资收益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2"/>
              <w:jc w:val="right"/>
              <w:rPr>
                <w:rFonts w:ascii="宋体" w:hAnsi="宋体" w:cs="宋体" w:eastAsia="宋体" w:hint="default"/>
                <w:sz w:val="21"/>
                <w:szCs w:val="21"/>
              </w:rPr>
            </w:pPr>
            <w:r>
              <w:rPr>
                <w:rFonts w:ascii="宋体"/>
                <w:spacing w:val="-1"/>
                <w:sz w:val="21"/>
              </w:rPr>
              <w:t>-8,483,544.73</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pacing w:val="-1"/>
                <w:sz w:val="21"/>
              </w:rPr>
              <w:t>-14,175,147.38</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2"/>
              <w:jc w:val="right"/>
              <w:rPr>
                <w:rFonts w:ascii="宋体" w:hAnsi="宋体" w:cs="宋体" w:eastAsia="宋体" w:hint="default"/>
                <w:sz w:val="21"/>
                <w:szCs w:val="21"/>
              </w:rPr>
            </w:pPr>
            <w:r>
              <w:rPr>
                <w:rFonts w:ascii="宋体"/>
                <w:spacing w:val="-1"/>
                <w:sz w:val="21"/>
              </w:rPr>
              <w:t>-8,483,544.73</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pacing w:val="-1"/>
                <w:sz w:val="21"/>
              </w:rPr>
              <w:t>-14,175,147.38</w:t>
            </w:r>
          </w:p>
        </w:tc>
      </w:tr>
    </w:tbl>
    <w:p>
      <w:pPr>
        <w:spacing w:line="240" w:lineRule="auto" w:before="9"/>
        <w:rPr>
          <w:rFonts w:ascii="宋体" w:hAnsi="宋体" w:cs="宋体" w:eastAsia="宋体" w:hint="default"/>
          <w:sz w:val="6"/>
          <w:szCs w:val="6"/>
        </w:rPr>
      </w:pPr>
    </w:p>
    <w:p>
      <w:pPr>
        <w:spacing w:before="35"/>
        <w:ind w:left="576" w:right="996" w:firstLine="0"/>
        <w:jc w:val="left"/>
        <w:rPr>
          <w:rFonts w:ascii="宋体" w:hAnsi="宋体" w:cs="宋体" w:eastAsia="宋体" w:hint="default"/>
          <w:sz w:val="21"/>
          <w:szCs w:val="21"/>
        </w:rPr>
      </w:pPr>
      <w:bookmarkStart w:name="6、其他" w:id="549"/>
      <w:bookmarkEnd w:id="549"/>
      <w:r>
        <w:rPr/>
      </w:r>
      <w:r>
        <w:rPr>
          <w:rFonts w:ascii="宋体" w:hAnsi="宋体" w:cs="宋体" w:eastAsia="宋体" w:hint="default"/>
          <w:b/>
          <w:bCs/>
          <w:sz w:val="21"/>
          <w:szCs w:val="21"/>
        </w:rPr>
        <w:t>6</w:t>
      </w:r>
      <w:r>
        <w:rPr>
          <w:rFonts w:ascii="宋体" w:hAnsi="宋体" w:cs="宋体" w:eastAsia="宋体" w:hint="default"/>
          <w:b/>
          <w:bCs/>
          <w:sz w:val="21"/>
          <w:szCs w:val="21"/>
        </w:rPr>
        <w:t>、其他</w:t>
      </w:r>
      <w:r>
        <w:rPr>
          <w:rFonts w:ascii="宋体" w:hAnsi="宋体" w:cs="宋体" w:eastAsia="宋体" w:hint="default"/>
          <w:sz w:val="21"/>
          <w:szCs w:val="21"/>
        </w:rPr>
      </w:r>
    </w:p>
    <w:p>
      <w:pPr>
        <w:spacing w:line="487" w:lineRule="auto" w:before="149"/>
        <w:ind w:left="153" w:right="9066" w:firstLine="480"/>
        <w:jc w:val="left"/>
        <w:rPr>
          <w:rFonts w:ascii="宋体" w:hAnsi="宋体" w:cs="宋体" w:eastAsia="宋体" w:hint="default"/>
          <w:sz w:val="24"/>
          <w:szCs w:val="24"/>
        </w:rPr>
      </w:pPr>
      <w:r>
        <w:rPr>
          <w:rFonts w:ascii="宋体" w:hAnsi="宋体" w:cs="宋体" w:eastAsia="宋体" w:hint="default"/>
          <w:sz w:val="24"/>
          <w:szCs w:val="24"/>
        </w:rPr>
        <w:t>无 </w:t>
      </w:r>
      <w:bookmarkStart w:name="十八、补充资料" w:id="550"/>
      <w:bookmarkEnd w:id="550"/>
      <w:r>
        <w:rPr>
          <w:rFonts w:ascii="宋体" w:hAnsi="宋体" w:cs="宋体" w:eastAsia="宋体" w:hint="default"/>
          <w:sz w:val="24"/>
          <w:szCs w:val="24"/>
        </w:rPr>
      </w:r>
      <w:r>
        <w:rPr>
          <w:rFonts w:ascii="宋体" w:hAnsi="宋体" w:cs="宋体" w:eastAsia="宋体" w:hint="default"/>
          <w:b/>
          <w:bCs/>
          <w:sz w:val="24"/>
          <w:szCs w:val="24"/>
        </w:rPr>
        <w:t>十八、补充资料</w:t>
      </w:r>
      <w:r>
        <w:rPr>
          <w:rFonts w:ascii="宋体" w:hAnsi="宋体" w:cs="宋体" w:eastAsia="宋体" w:hint="default"/>
          <w:sz w:val="24"/>
          <w:szCs w:val="24"/>
        </w:rPr>
      </w:r>
    </w:p>
    <w:p>
      <w:pPr>
        <w:spacing w:line="240" w:lineRule="auto" w:before="7"/>
        <w:rPr>
          <w:rFonts w:ascii="宋体" w:hAnsi="宋体" w:cs="宋体" w:eastAsia="宋体" w:hint="default"/>
          <w:b/>
          <w:bCs/>
          <w:sz w:val="13"/>
          <w:szCs w:val="13"/>
        </w:rPr>
      </w:pPr>
    </w:p>
    <w:p>
      <w:pPr>
        <w:spacing w:before="35"/>
        <w:ind w:left="576" w:right="996" w:firstLine="0"/>
        <w:jc w:val="left"/>
        <w:rPr>
          <w:rFonts w:ascii="宋体" w:hAnsi="宋体" w:cs="宋体" w:eastAsia="宋体" w:hint="default"/>
          <w:sz w:val="21"/>
          <w:szCs w:val="21"/>
        </w:rPr>
      </w:pPr>
      <w:bookmarkStart w:name="1、当期非经常性损益明细表" w:id="551"/>
      <w:bookmarkEnd w:id="551"/>
      <w:r>
        <w:rPr/>
      </w:r>
      <w:r>
        <w:rPr>
          <w:rFonts w:ascii="宋体" w:hAnsi="宋体" w:cs="宋体" w:eastAsia="宋体" w:hint="default"/>
          <w:b/>
          <w:bCs/>
          <w:sz w:val="21"/>
          <w:szCs w:val="21"/>
        </w:rPr>
        <w:t>1</w:t>
      </w:r>
      <w:r>
        <w:rPr>
          <w:rFonts w:ascii="宋体" w:hAnsi="宋体" w:cs="宋体" w:eastAsia="宋体" w:hint="default"/>
          <w:b/>
          <w:bCs/>
          <w:sz w:val="21"/>
          <w:szCs w:val="21"/>
        </w:rPr>
        <w:t>、当期非经常性损益明细表</w:t>
      </w:r>
      <w:r>
        <w:rPr>
          <w:rFonts w:ascii="宋体" w:hAnsi="宋体" w:cs="宋体" w:eastAsia="宋体" w:hint="default"/>
          <w:sz w:val="21"/>
          <w:szCs w:val="21"/>
        </w:rPr>
      </w:r>
    </w:p>
    <w:p>
      <w:pPr>
        <w:spacing w:before="87"/>
        <w:ind w:left="0" w:right="1129" w:firstLine="0"/>
        <w:jc w:val="right"/>
        <w:rPr>
          <w:rFonts w:ascii="宋体" w:hAnsi="宋体" w:cs="宋体" w:eastAsia="宋体" w:hint="default"/>
          <w:sz w:val="21"/>
          <w:szCs w:val="21"/>
        </w:rPr>
      </w:pPr>
      <w:r>
        <w:rPr>
          <w:rFonts w:ascii="宋体" w:hAnsi="宋体" w:cs="宋体" w:eastAsia="宋体" w:hint="default"/>
          <w:sz w:val="21"/>
          <w:szCs w:val="21"/>
        </w:rPr>
        <w:t>单位： 元</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6380"/>
        <w:gridCol w:w="1844"/>
        <w:gridCol w:w="1335"/>
      </w:tblGrid>
      <w:tr>
        <w:trPr>
          <w:trHeight w:val="402" w:hRule="exact"/>
        </w:trPr>
        <w:tc>
          <w:tcPr>
            <w:tcW w:w="6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13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center"/>
              <w:rPr>
                <w:rFonts w:ascii="宋体" w:hAnsi="宋体" w:cs="宋体" w:eastAsia="宋体" w:hint="default"/>
                <w:sz w:val="21"/>
                <w:szCs w:val="21"/>
              </w:rPr>
            </w:pPr>
            <w:r>
              <w:rPr>
                <w:rFonts w:ascii="宋体" w:hAnsi="宋体" w:cs="宋体" w:eastAsia="宋体" w:hint="default"/>
                <w:sz w:val="21"/>
                <w:szCs w:val="21"/>
              </w:rPr>
              <w:t>说明</w:t>
            </w:r>
          </w:p>
        </w:tc>
      </w:tr>
    </w:tbl>
    <w:p>
      <w:pPr>
        <w:spacing w:after="0" w:line="240" w:lineRule="auto"/>
        <w:jc w:val="center"/>
        <w:rPr>
          <w:rFonts w:ascii="宋体" w:hAnsi="宋体" w:cs="宋体" w:eastAsia="宋体" w:hint="default"/>
          <w:sz w:val="21"/>
          <w:szCs w:val="21"/>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6380"/>
        <w:gridCol w:w="1844"/>
        <w:gridCol w:w="1346"/>
      </w:tblGrid>
      <w:tr>
        <w:trPr>
          <w:trHeight w:val="402" w:hRule="exact"/>
        </w:trPr>
        <w:tc>
          <w:tcPr>
            <w:tcW w:w="6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非流动资产处置损益</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-12,381.05</w:t>
            </w:r>
          </w:p>
        </w:tc>
        <w:tc>
          <w:tcPr>
            <w:tcW w:w="134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6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22" w:right="45"/>
              <w:jc w:val="left"/>
              <w:rPr>
                <w:rFonts w:ascii="宋体" w:hAnsi="宋体" w:cs="宋体" w:eastAsia="宋体" w:hint="default"/>
                <w:sz w:val="21"/>
                <w:szCs w:val="21"/>
              </w:rPr>
            </w:pPr>
            <w:r>
              <w:rPr>
                <w:rFonts w:ascii="宋体" w:hAnsi="宋体" w:cs="宋体" w:eastAsia="宋体" w:hint="default"/>
                <w:sz w:val="21"/>
                <w:szCs w:val="21"/>
              </w:rPr>
              <w:t>计入当期损益的政府补助（与企业业务密切相关，按照国家统一标准 定额或定量享受的政府补助除外）</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1"/>
              <w:jc w:val="right"/>
              <w:rPr>
                <w:rFonts w:ascii="宋体" w:hAnsi="宋体" w:cs="宋体" w:eastAsia="宋体" w:hint="default"/>
                <w:sz w:val="21"/>
                <w:szCs w:val="21"/>
              </w:rPr>
            </w:pPr>
            <w:r>
              <w:rPr>
                <w:rFonts w:ascii="宋体"/>
                <w:sz w:val="21"/>
              </w:rPr>
              <w:t>4,047,876.18</w:t>
            </w:r>
          </w:p>
        </w:tc>
        <w:tc>
          <w:tcPr>
            <w:tcW w:w="134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委托他人投资或管理资产的损益</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3"/>
              <w:jc w:val="right"/>
              <w:rPr>
                <w:rFonts w:ascii="宋体" w:hAnsi="宋体" w:cs="宋体" w:eastAsia="宋体" w:hint="default"/>
                <w:sz w:val="21"/>
                <w:szCs w:val="21"/>
              </w:rPr>
            </w:pPr>
            <w:r>
              <w:rPr>
                <w:rFonts w:ascii="宋体"/>
                <w:sz w:val="21"/>
              </w:rPr>
              <w:t>195,569.93</w:t>
            </w:r>
          </w:p>
        </w:tc>
        <w:tc>
          <w:tcPr>
            <w:tcW w:w="134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除上述各项之外的其他营业外收入和支出</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2"/>
              <w:jc w:val="right"/>
              <w:rPr>
                <w:rFonts w:ascii="宋体" w:hAnsi="宋体" w:cs="宋体" w:eastAsia="宋体" w:hint="default"/>
                <w:sz w:val="21"/>
                <w:szCs w:val="21"/>
              </w:rPr>
            </w:pPr>
            <w:r>
              <w:rPr>
                <w:rFonts w:ascii="宋体"/>
                <w:spacing w:val="-1"/>
                <w:sz w:val="21"/>
              </w:rPr>
              <w:t>-5,291,844.94</w:t>
            </w:r>
          </w:p>
        </w:tc>
        <w:tc>
          <w:tcPr>
            <w:tcW w:w="134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减：所得税影响额</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-106,790.73</w:t>
            </w:r>
          </w:p>
        </w:tc>
        <w:tc>
          <w:tcPr>
            <w:tcW w:w="134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42" w:right="0"/>
              <w:jc w:val="left"/>
              <w:rPr>
                <w:rFonts w:ascii="宋体" w:hAnsi="宋体" w:cs="宋体" w:eastAsia="宋体" w:hint="default"/>
                <w:sz w:val="21"/>
                <w:szCs w:val="21"/>
              </w:rPr>
            </w:pPr>
            <w:r>
              <w:rPr>
                <w:rFonts w:ascii="宋体" w:hAnsi="宋体" w:cs="宋体" w:eastAsia="宋体" w:hint="default"/>
                <w:sz w:val="21"/>
                <w:szCs w:val="21"/>
              </w:rPr>
              <w:t>少数股东权益影响额</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3"/>
              <w:jc w:val="right"/>
              <w:rPr>
                <w:rFonts w:ascii="宋体" w:hAnsi="宋体" w:cs="宋体" w:eastAsia="宋体" w:hint="default"/>
                <w:sz w:val="21"/>
                <w:szCs w:val="21"/>
              </w:rPr>
            </w:pPr>
            <w:r>
              <w:rPr>
                <w:rFonts w:ascii="宋体"/>
                <w:sz w:val="21"/>
              </w:rPr>
              <w:t>515,035.63</w:t>
            </w:r>
          </w:p>
        </w:tc>
        <w:tc>
          <w:tcPr>
            <w:tcW w:w="134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2"/>
              <w:jc w:val="right"/>
              <w:rPr>
                <w:rFonts w:ascii="宋体" w:hAnsi="宋体" w:cs="宋体" w:eastAsia="宋体" w:hint="default"/>
                <w:sz w:val="21"/>
                <w:szCs w:val="21"/>
              </w:rPr>
            </w:pPr>
            <w:r>
              <w:rPr>
                <w:rFonts w:ascii="宋体"/>
                <w:spacing w:val="-1"/>
                <w:sz w:val="21"/>
              </w:rPr>
              <w:t>-1,469,024.78</w:t>
            </w:r>
          </w:p>
        </w:tc>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sz w:val="21"/>
              </w:rPr>
              <w:t>--</w:t>
            </w:r>
          </w:p>
        </w:tc>
      </w:tr>
    </w:tbl>
    <w:p>
      <w:pPr>
        <w:spacing w:line="240" w:lineRule="auto" w:before="10"/>
        <w:rPr>
          <w:rFonts w:ascii="宋体" w:hAnsi="宋体" w:cs="宋体" w:eastAsia="宋体" w:hint="default"/>
          <w:sz w:val="4"/>
          <w:szCs w:val="4"/>
        </w:rPr>
      </w:pPr>
    </w:p>
    <w:p>
      <w:pPr>
        <w:pStyle w:val="BodyText"/>
        <w:spacing w:line="240" w:lineRule="auto" w:before="26"/>
        <w:ind w:left="634" w:right="996"/>
        <w:jc w:val="left"/>
      </w:pPr>
      <w:r>
        <w:rPr/>
        <w:t>对公司根据《公开发行证券的公司信息披露解释性公告第</w:t>
      </w:r>
      <w:r>
        <w:rPr>
          <w:spacing w:val="-60"/>
        </w:rPr>
        <w:t> </w:t>
      </w:r>
      <w:r>
        <w:rPr>
          <w:rFonts w:ascii="宋体" w:hAnsi="宋体" w:cs="宋体" w:eastAsia="宋体" w:hint="default"/>
        </w:rPr>
        <w:t>1</w:t>
      </w:r>
      <w:r>
        <w:rPr>
          <w:rFonts w:ascii="宋体" w:hAnsi="宋体" w:cs="宋体" w:eastAsia="宋体" w:hint="default"/>
          <w:spacing w:val="-60"/>
        </w:rPr>
        <w:t> </w:t>
      </w:r>
      <w:r>
        <w:rPr/>
        <w:t>号</w:t>
      </w:r>
      <w:r>
        <w:rPr>
          <w:rFonts w:ascii="Times New Roman" w:hAnsi="Times New Roman" w:cs="Times New Roman" w:eastAsia="Times New Roman" w:hint="default"/>
        </w:rPr>
        <w:t>——</w:t>
      </w:r>
      <w:r>
        <w:rPr/>
        <w:t>非经常性损益》定义</w:t>
      </w:r>
    </w:p>
    <w:p>
      <w:pPr>
        <w:pStyle w:val="BodyText"/>
        <w:spacing w:line="331" w:lineRule="auto" w:before="128"/>
        <w:ind w:right="1152"/>
        <w:jc w:val="left"/>
      </w:pPr>
      <w:r>
        <w:rPr/>
        <w:t>界定的非经常性损益项目，以及把《公开发行证券的公司信息披露解释性公告第</w:t>
      </w:r>
      <w:r>
        <w:rPr>
          <w:spacing w:val="-59"/>
        </w:rPr>
        <w:t> </w:t>
      </w:r>
      <w:r>
        <w:rPr>
          <w:rFonts w:ascii="宋体" w:hAnsi="宋体" w:cs="宋体" w:eastAsia="宋体" w:hint="default"/>
        </w:rPr>
        <w:t>1</w:t>
      </w:r>
      <w:r>
        <w:rPr>
          <w:rFonts w:ascii="宋体" w:hAnsi="宋体" w:cs="宋体" w:eastAsia="宋体" w:hint="default"/>
          <w:spacing w:val="-60"/>
        </w:rPr>
        <w:t> </w:t>
      </w:r>
      <w:r>
        <w:rPr/>
        <w:t>号</w:t>
      </w:r>
      <w:r>
        <w:rPr>
          <w:rFonts w:ascii="Times New Roman" w:hAnsi="Times New Roman" w:cs="Times New Roman" w:eastAsia="Times New Roman" w:hint="default"/>
        </w:rPr>
        <w:t>——</w:t>
      </w:r>
      <w:r>
        <w:rPr/>
        <w:t>非 经常性损益》中列举的非经常性损益项目界定为经常性损益的项目，应说明原因。</w:t>
      </w:r>
    </w:p>
    <w:p>
      <w:pPr>
        <w:pStyle w:val="BodyText"/>
        <w:spacing w:line="240" w:lineRule="auto" w:before="54"/>
        <w:ind w:left="633" w:right="996"/>
        <w:jc w:val="left"/>
      </w:pPr>
      <w:r>
        <w:rPr/>
        <w:t>□ 适用 √ 不适用</w:t>
      </w:r>
    </w:p>
    <w:p>
      <w:pPr>
        <w:spacing w:before="181"/>
        <w:ind w:left="576" w:right="996" w:firstLine="0"/>
        <w:jc w:val="left"/>
        <w:rPr>
          <w:rFonts w:ascii="宋体" w:hAnsi="宋体" w:cs="宋体" w:eastAsia="宋体" w:hint="default"/>
          <w:sz w:val="21"/>
          <w:szCs w:val="21"/>
        </w:rPr>
      </w:pPr>
      <w:bookmarkStart w:name="2、净资产收益率及每股收益" w:id="552"/>
      <w:bookmarkEnd w:id="552"/>
      <w:r>
        <w:rPr/>
      </w:r>
      <w:r>
        <w:rPr>
          <w:rFonts w:ascii="宋体" w:hAnsi="宋体" w:cs="宋体" w:eastAsia="宋体" w:hint="default"/>
          <w:b/>
          <w:bCs/>
          <w:sz w:val="21"/>
          <w:szCs w:val="21"/>
        </w:rPr>
        <w:t>2</w:t>
      </w:r>
      <w:r>
        <w:rPr>
          <w:rFonts w:ascii="宋体" w:hAnsi="宋体" w:cs="宋体" w:eastAsia="宋体" w:hint="default"/>
          <w:b/>
          <w:bCs/>
          <w:sz w:val="21"/>
          <w:szCs w:val="21"/>
        </w:rPr>
        <w:t>、净资产收益率及每股收益</w:t>
      </w:r>
      <w:r>
        <w:rPr>
          <w:rFonts w:ascii="宋体" w:hAnsi="宋体" w:cs="宋体" w:eastAsia="宋体" w:hint="default"/>
          <w:sz w:val="21"/>
          <w:szCs w:val="21"/>
        </w:rPr>
      </w:r>
    </w:p>
    <w:p>
      <w:pPr>
        <w:spacing w:line="240" w:lineRule="auto" w:before="9"/>
        <w:rPr>
          <w:rFonts w:ascii="宋体" w:hAnsi="宋体" w:cs="宋体" w:eastAsia="宋体" w:hint="default"/>
          <w:b/>
          <w:bCs/>
          <w:sz w:val="4"/>
          <w:szCs w:val="4"/>
        </w:rPr>
      </w:pPr>
    </w:p>
    <w:tbl>
      <w:tblPr>
        <w:tblW w:w="0" w:type="auto"/>
        <w:jc w:val="left"/>
        <w:tblInd w:w="160" w:type="dxa"/>
        <w:tblLayout w:type="fixed"/>
        <w:tblCellMar>
          <w:top w:w="0" w:type="dxa"/>
          <w:left w:w="0" w:type="dxa"/>
          <w:bottom w:w="0" w:type="dxa"/>
          <w:right w:w="0" w:type="dxa"/>
        </w:tblCellMar>
        <w:tblLook w:val="01E0"/>
      </w:tblPr>
      <w:tblGrid>
        <w:gridCol w:w="3251"/>
        <w:gridCol w:w="2481"/>
        <w:gridCol w:w="1913"/>
        <w:gridCol w:w="1913"/>
      </w:tblGrid>
      <w:tr>
        <w:trPr>
          <w:trHeight w:val="380" w:hRule="exact"/>
        </w:trPr>
        <w:tc>
          <w:tcPr>
            <w:tcW w:w="3251" w:type="dxa"/>
            <w:tcBorders>
              <w:top w:val="single" w:sz="4" w:space="0" w:color="000000"/>
              <w:left w:val="single" w:sz="4" w:space="0" w:color="000000"/>
              <w:bottom w:val="single" w:sz="14" w:space="0" w:color="FFFFFF"/>
              <w:right w:val="single" w:sz="4" w:space="0" w:color="000000"/>
            </w:tcBorders>
            <w:shd w:val="clear" w:color="auto" w:fill="D2D2D2"/>
          </w:tcPr>
          <w:p>
            <w:pPr/>
          </w:p>
        </w:tc>
        <w:tc>
          <w:tcPr>
            <w:tcW w:w="2481" w:type="dxa"/>
            <w:tcBorders>
              <w:top w:val="single" w:sz="4" w:space="0" w:color="000000"/>
              <w:left w:val="single" w:sz="4" w:space="0" w:color="000000"/>
              <w:bottom w:val="single" w:sz="14" w:space="0" w:color="FFFFFF"/>
              <w:right w:val="single" w:sz="4" w:space="0" w:color="000000"/>
            </w:tcBorders>
            <w:shd w:val="clear" w:color="auto" w:fill="D2D2D2"/>
          </w:tcPr>
          <w:p>
            <w:pPr/>
          </w:p>
        </w:tc>
        <w:tc>
          <w:tcPr>
            <w:tcW w:w="3826" w:type="dxa"/>
            <w:gridSpan w:val="2"/>
            <w:tcBorders>
              <w:top w:val="single" w:sz="4" w:space="0" w:color="000000"/>
              <w:left w:val="single" w:sz="4" w:space="0" w:color="000000"/>
              <w:bottom w:val="single" w:sz="14" w:space="0" w:color="FFFFFF"/>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每股收益</w:t>
            </w:r>
          </w:p>
        </w:tc>
      </w:tr>
      <w:tr>
        <w:trPr>
          <w:trHeight w:val="374" w:hRule="exact"/>
        </w:trPr>
        <w:tc>
          <w:tcPr>
            <w:tcW w:w="3251" w:type="dxa"/>
            <w:tcBorders>
              <w:top w:val="single" w:sz="14" w:space="0" w:color="FFFFFF"/>
              <w:left w:val="single" w:sz="4" w:space="0" w:color="000000"/>
              <w:bottom w:val="nil" w:sz="6" w:space="0" w:color="auto"/>
              <w:right w:val="single" w:sz="4" w:space="0" w:color="000000"/>
            </w:tcBorders>
            <w:shd w:val="clear" w:color="auto" w:fill="D2D2D2"/>
          </w:tcPr>
          <w:p>
            <w:pPr>
              <w:pStyle w:val="TableParagraph"/>
              <w:spacing w:line="266" w:lineRule="exact"/>
              <w:ind w:right="10"/>
              <w:jc w:val="center"/>
              <w:rPr>
                <w:rFonts w:ascii="宋体" w:hAnsi="宋体" w:cs="宋体" w:eastAsia="宋体" w:hint="default"/>
                <w:sz w:val="21"/>
                <w:szCs w:val="21"/>
              </w:rPr>
            </w:pPr>
            <w:r>
              <w:rPr>
                <w:rFonts w:ascii="宋体" w:hAnsi="宋体" w:cs="宋体" w:eastAsia="宋体" w:hint="default"/>
                <w:sz w:val="21"/>
                <w:szCs w:val="21"/>
              </w:rPr>
              <w:t>报告期利润</w:t>
            </w:r>
          </w:p>
        </w:tc>
        <w:tc>
          <w:tcPr>
            <w:tcW w:w="2481" w:type="dxa"/>
            <w:tcBorders>
              <w:top w:val="single" w:sz="14" w:space="0" w:color="FFFFFF"/>
              <w:left w:val="single" w:sz="4" w:space="0" w:color="000000"/>
              <w:bottom w:val="nil" w:sz="6" w:space="0" w:color="auto"/>
              <w:right w:val="single" w:sz="4" w:space="0" w:color="000000"/>
            </w:tcBorders>
            <w:shd w:val="clear" w:color="auto" w:fill="D2D2D2"/>
          </w:tcPr>
          <w:p>
            <w:pPr>
              <w:pStyle w:val="TableParagraph"/>
              <w:spacing w:line="266" w:lineRule="exact"/>
              <w:ind w:left="184" w:right="0"/>
              <w:jc w:val="left"/>
              <w:rPr>
                <w:rFonts w:ascii="宋体" w:hAnsi="宋体" w:cs="宋体" w:eastAsia="宋体" w:hint="default"/>
                <w:sz w:val="21"/>
                <w:szCs w:val="21"/>
              </w:rPr>
            </w:pPr>
            <w:r>
              <w:rPr>
                <w:rFonts w:ascii="宋体" w:hAnsi="宋体" w:cs="宋体" w:eastAsia="宋体" w:hint="default"/>
                <w:sz w:val="21"/>
                <w:szCs w:val="21"/>
              </w:rPr>
              <w:t>加权平均净资产收益率</w:t>
            </w:r>
          </w:p>
        </w:tc>
        <w:tc>
          <w:tcPr>
            <w:tcW w:w="1913" w:type="dxa"/>
            <w:vMerge w:val="restart"/>
            <w:tcBorders>
              <w:top w:val="single" w:sz="14" w:space="0" w:color="FFFFFF"/>
              <w:left w:val="single" w:sz="4" w:space="0" w:color="000000"/>
              <w:right w:val="single" w:sz="4" w:space="0" w:color="000000"/>
            </w:tcBorders>
            <w:shd w:val="clear" w:color="auto" w:fill="D2D2D2"/>
          </w:tcPr>
          <w:p>
            <w:pPr>
              <w:pStyle w:val="TableParagraph"/>
              <w:spacing w:line="273" w:lineRule="auto" w:before="35"/>
              <w:ind w:left="741" w:right="57" w:hanging="683"/>
              <w:jc w:val="left"/>
              <w:rPr>
                <w:rFonts w:ascii="宋体" w:hAnsi="宋体" w:cs="宋体" w:eastAsia="宋体" w:hint="default"/>
                <w:sz w:val="21"/>
                <w:szCs w:val="21"/>
              </w:rPr>
            </w:pPr>
            <w:r>
              <w:rPr>
                <w:rFonts w:ascii="宋体" w:hAnsi="宋体" w:cs="宋体" w:eastAsia="宋体" w:hint="default"/>
                <w:sz w:val="21"/>
                <w:szCs w:val="21"/>
              </w:rPr>
              <w:t>基本每股收益（元</w:t>
            </w:r>
            <w:r>
              <w:rPr>
                <w:rFonts w:ascii="宋体" w:hAnsi="宋体" w:cs="宋体" w:eastAsia="宋体" w:hint="default"/>
                <w:sz w:val="21"/>
                <w:szCs w:val="21"/>
              </w:rPr>
              <w:t>/ </w:t>
            </w:r>
            <w:r>
              <w:rPr>
                <w:rFonts w:ascii="宋体" w:hAnsi="宋体" w:cs="宋体" w:eastAsia="宋体" w:hint="default"/>
                <w:sz w:val="21"/>
                <w:szCs w:val="21"/>
              </w:rPr>
              <w:t>股）</w:t>
            </w:r>
          </w:p>
        </w:tc>
        <w:tc>
          <w:tcPr>
            <w:tcW w:w="1913" w:type="dxa"/>
            <w:vMerge w:val="restart"/>
            <w:tcBorders>
              <w:top w:val="single" w:sz="14" w:space="0" w:color="FFFFFF"/>
              <w:left w:val="single" w:sz="4" w:space="0" w:color="000000"/>
              <w:right w:val="single" w:sz="4" w:space="0" w:color="000000"/>
            </w:tcBorders>
            <w:shd w:val="clear" w:color="auto" w:fill="D2D2D2"/>
          </w:tcPr>
          <w:p>
            <w:pPr>
              <w:pStyle w:val="TableParagraph"/>
              <w:spacing w:line="273" w:lineRule="auto" w:before="35"/>
              <w:ind w:left="741" w:right="57" w:hanging="683"/>
              <w:jc w:val="left"/>
              <w:rPr>
                <w:rFonts w:ascii="宋体" w:hAnsi="宋体" w:cs="宋体" w:eastAsia="宋体" w:hint="default"/>
                <w:sz w:val="21"/>
                <w:szCs w:val="21"/>
              </w:rPr>
            </w:pPr>
            <w:r>
              <w:rPr>
                <w:rFonts w:ascii="宋体" w:hAnsi="宋体" w:cs="宋体" w:eastAsia="宋体" w:hint="default"/>
                <w:sz w:val="21"/>
                <w:szCs w:val="21"/>
              </w:rPr>
              <w:t>稀释每股收益（元</w:t>
            </w:r>
            <w:r>
              <w:rPr>
                <w:rFonts w:ascii="宋体" w:hAnsi="宋体" w:cs="宋体" w:eastAsia="宋体" w:hint="default"/>
                <w:sz w:val="21"/>
                <w:szCs w:val="21"/>
              </w:rPr>
              <w:t>/ </w:t>
            </w:r>
            <w:r>
              <w:rPr>
                <w:rFonts w:ascii="宋体" w:hAnsi="宋体" w:cs="宋体" w:eastAsia="宋体" w:hint="default"/>
                <w:sz w:val="21"/>
                <w:szCs w:val="21"/>
              </w:rPr>
              <w:t>股）</w:t>
            </w:r>
          </w:p>
        </w:tc>
      </w:tr>
      <w:tr>
        <w:trPr>
          <w:trHeight w:val="362" w:hRule="exact"/>
        </w:trPr>
        <w:tc>
          <w:tcPr>
            <w:tcW w:w="3251" w:type="dxa"/>
            <w:tcBorders>
              <w:top w:val="nil" w:sz="6" w:space="0" w:color="auto"/>
              <w:left w:val="single" w:sz="4" w:space="0" w:color="000000"/>
              <w:bottom w:val="single" w:sz="4" w:space="0" w:color="000000"/>
              <w:right w:val="single" w:sz="4" w:space="0" w:color="000000"/>
            </w:tcBorders>
            <w:shd w:val="clear" w:color="auto" w:fill="D2D2D2"/>
          </w:tcPr>
          <w:p>
            <w:pPr/>
          </w:p>
        </w:tc>
        <w:tc>
          <w:tcPr>
            <w:tcW w:w="248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32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归属于公司普通股股东的净利润</w:t>
            </w:r>
          </w:p>
        </w:tc>
        <w:tc>
          <w:tcPr>
            <w:tcW w:w="24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19"/>
              <w:jc w:val="right"/>
              <w:rPr>
                <w:rFonts w:ascii="宋体" w:hAnsi="宋体" w:cs="宋体" w:eastAsia="宋体" w:hint="default"/>
                <w:sz w:val="21"/>
                <w:szCs w:val="21"/>
              </w:rPr>
            </w:pPr>
            <w:r>
              <w:rPr>
                <w:rFonts w:ascii="宋体"/>
                <w:sz w:val="21"/>
              </w:rPr>
              <w:t>-10.36%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9"/>
              <w:jc w:val="right"/>
              <w:rPr>
                <w:rFonts w:ascii="宋体" w:hAnsi="宋体" w:cs="宋体" w:eastAsia="宋体" w:hint="default"/>
                <w:sz w:val="21"/>
                <w:szCs w:val="21"/>
              </w:rPr>
            </w:pPr>
            <w:r>
              <w:rPr>
                <w:rFonts w:ascii="宋体"/>
                <w:sz w:val="21"/>
              </w:rPr>
              <w:t>-0.4029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9"/>
              <w:jc w:val="right"/>
              <w:rPr>
                <w:rFonts w:ascii="宋体" w:hAnsi="宋体" w:cs="宋体" w:eastAsia="宋体" w:hint="default"/>
                <w:sz w:val="21"/>
                <w:szCs w:val="21"/>
              </w:rPr>
            </w:pPr>
            <w:r>
              <w:rPr>
                <w:rFonts w:ascii="宋体"/>
                <w:sz w:val="21"/>
              </w:rPr>
              <w:t>-0.4029</w:t>
            </w:r>
          </w:p>
        </w:tc>
      </w:tr>
      <w:tr>
        <w:trPr>
          <w:trHeight w:val="714" w:hRule="exact"/>
        </w:trPr>
        <w:tc>
          <w:tcPr>
            <w:tcW w:w="32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11" w:right="77"/>
              <w:jc w:val="left"/>
              <w:rPr>
                <w:rFonts w:ascii="宋体" w:hAnsi="宋体" w:cs="宋体" w:eastAsia="宋体" w:hint="default"/>
                <w:sz w:val="21"/>
                <w:szCs w:val="21"/>
              </w:rPr>
            </w:pPr>
            <w:r>
              <w:rPr>
                <w:rFonts w:ascii="宋体" w:hAnsi="宋体" w:cs="宋体" w:eastAsia="宋体" w:hint="default"/>
                <w:sz w:val="21"/>
                <w:szCs w:val="21"/>
              </w:rPr>
              <w:t>扣除非经常性损益后归属于公司普 通股股东的净利润</w:t>
            </w:r>
          </w:p>
        </w:tc>
        <w:tc>
          <w:tcPr>
            <w:tcW w:w="24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19"/>
              <w:jc w:val="right"/>
              <w:rPr>
                <w:rFonts w:ascii="宋体" w:hAnsi="宋体" w:cs="宋体" w:eastAsia="宋体" w:hint="default"/>
                <w:sz w:val="21"/>
                <w:szCs w:val="21"/>
              </w:rPr>
            </w:pPr>
            <w:r>
              <w:rPr>
                <w:rFonts w:ascii="宋体"/>
                <w:sz w:val="21"/>
              </w:rPr>
              <w:t>-10.26%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19"/>
              <w:jc w:val="right"/>
              <w:rPr>
                <w:rFonts w:ascii="宋体" w:hAnsi="宋体" w:cs="宋体" w:eastAsia="宋体" w:hint="default"/>
                <w:sz w:val="21"/>
                <w:szCs w:val="21"/>
              </w:rPr>
            </w:pPr>
            <w:r>
              <w:rPr>
                <w:rFonts w:ascii="宋体"/>
                <w:sz w:val="21"/>
              </w:rPr>
              <w:t>-0.3990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19"/>
              <w:jc w:val="right"/>
              <w:rPr>
                <w:rFonts w:ascii="宋体" w:hAnsi="宋体" w:cs="宋体" w:eastAsia="宋体" w:hint="default"/>
                <w:sz w:val="21"/>
                <w:szCs w:val="21"/>
              </w:rPr>
            </w:pPr>
            <w:r>
              <w:rPr>
                <w:rFonts w:ascii="宋体"/>
                <w:sz w:val="21"/>
              </w:rPr>
              <w:t>-0.3990</w:t>
            </w:r>
          </w:p>
        </w:tc>
      </w:tr>
    </w:tbl>
    <w:p>
      <w:pPr>
        <w:spacing w:line="240" w:lineRule="auto" w:before="9"/>
        <w:rPr>
          <w:rFonts w:ascii="宋体" w:hAnsi="宋体" w:cs="宋体" w:eastAsia="宋体" w:hint="default"/>
          <w:b/>
          <w:bCs/>
          <w:sz w:val="6"/>
          <w:szCs w:val="6"/>
        </w:rPr>
      </w:pPr>
    </w:p>
    <w:p>
      <w:pPr>
        <w:spacing w:before="35"/>
        <w:ind w:left="576" w:right="996" w:firstLine="0"/>
        <w:jc w:val="left"/>
        <w:rPr>
          <w:rFonts w:ascii="宋体" w:hAnsi="宋体" w:cs="宋体" w:eastAsia="宋体" w:hint="default"/>
          <w:sz w:val="21"/>
          <w:szCs w:val="21"/>
        </w:rPr>
      </w:pPr>
      <w:bookmarkStart w:name="3、境内外会计准则下会计数据差异" w:id="553"/>
      <w:bookmarkEnd w:id="553"/>
      <w:r>
        <w:rPr/>
      </w:r>
      <w:r>
        <w:rPr>
          <w:rFonts w:ascii="宋体" w:hAnsi="宋体" w:cs="宋体" w:eastAsia="宋体" w:hint="default"/>
          <w:b/>
          <w:bCs/>
          <w:sz w:val="21"/>
          <w:szCs w:val="21"/>
        </w:rPr>
        <w:t>3</w:t>
      </w:r>
      <w:r>
        <w:rPr>
          <w:rFonts w:ascii="宋体" w:hAnsi="宋体" w:cs="宋体" w:eastAsia="宋体" w:hint="default"/>
          <w:b/>
          <w:bCs/>
          <w:sz w:val="21"/>
          <w:szCs w:val="21"/>
        </w:rPr>
        <w:t>、境内外会计准则下会计数据差异</w:t>
      </w:r>
      <w:r>
        <w:rPr>
          <w:rFonts w:ascii="宋体" w:hAnsi="宋体" w:cs="宋体" w:eastAsia="宋体" w:hint="default"/>
          <w:sz w:val="21"/>
          <w:szCs w:val="21"/>
        </w:rPr>
      </w:r>
    </w:p>
    <w:p>
      <w:pPr>
        <w:spacing w:line="240" w:lineRule="auto" w:before="3"/>
        <w:rPr>
          <w:rFonts w:ascii="宋体" w:hAnsi="宋体" w:cs="宋体" w:eastAsia="宋体" w:hint="default"/>
          <w:b/>
          <w:bCs/>
          <w:sz w:val="14"/>
          <w:szCs w:val="14"/>
        </w:rPr>
      </w:pPr>
    </w:p>
    <w:p>
      <w:pPr>
        <w:spacing w:before="0"/>
        <w:ind w:left="576" w:right="996" w:firstLine="0"/>
        <w:jc w:val="left"/>
        <w:rPr>
          <w:rFonts w:ascii="宋体" w:hAnsi="宋体" w:cs="宋体" w:eastAsia="宋体" w:hint="default"/>
          <w:sz w:val="21"/>
          <w:szCs w:val="21"/>
        </w:rPr>
      </w:pPr>
      <w:bookmarkStart w:name="（1）同时按照国际会计准则与按中国会计准则披露的财务报告中净利润和净资产差异情况" w:id="554"/>
      <w:bookmarkEnd w:id="554"/>
      <w:r>
        <w:rPr/>
      </w:r>
      <w:r>
        <w:rPr>
          <w:rFonts w:ascii="宋体" w:hAnsi="宋体" w:cs="宋体" w:eastAsia="宋体" w:hint="default"/>
          <w:b/>
          <w:bCs/>
          <w:sz w:val="21"/>
          <w:szCs w:val="21"/>
        </w:rPr>
        <w:t>（</w:t>
      </w:r>
      <w:r>
        <w:rPr>
          <w:rFonts w:ascii="宋体" w:hAnsi="宋体" w:cs="宋体" w:eastAsia="宋体" w:hint="default"/>
          <w:b/>
          <w:bCs/>
          <w:sz w:val="21"/>
          <w:szCs w:val="21"/>
        </w:rPr>
        <w:t>1</w:t>
      </w:r>
      <w:r>
        <w:rPr>
          <w:rFonts w:ascii="宋体" w:hAnsi="宋体" w:cs="宋体" w:eastAsia="宋体" w:hint="default"/>
          <w:b/>
          <w:bCs/>
          <w:sz w:val="21"/>
          <w:szCs w:val="21"/>
        </w:rPr>
        <w:t>）同时按照国际会计准则与按中国会计准则披露的财务报告中净利润和净资产差异情况</w:t>
      </w:r>
      <w:r>
        <w:rPr>
          <w:rFonts w:ascii="宋体" w:hAnsi="宋体" w:cs="宋体" w:eastAsia="宋体" w:hint="default"/>
          <w:sz w:val="21"/>
          <w:szCs w:val="21"/>
        </w:rPr>
      </w:r>
    </w:p>
    <w:p>
      <w:pPr>
        <w:pStyle w:val="BodyText"/>
        <w:spacing w:line="240" w:lineRule="auto" w:before="149"/>
        <w:ind w:left="633" w:right="996"/>
        <w:jc w:val="left"/>
      </w:pPr>
      <w:r>
        <w:rPr/>
        <w:t>□ 适用 √ 不适用</w:t>
      </w:r>
    </w:p>
    <w:p>
      <w:pPr>
        <w:spacing w:before="180"/>
        <w:ind w:left="576" w:right="996" w:firstLine="0"/>
        <w:jc w:val="left"/>
        <w:rPr>
          <w:rFonts w:ascii="宋体" w:hAnsi="宋体" w:cs="宋体" w:eastAsia="宋体" w:hint="default"/>
          <w:sz w:val="21"/>
          <w:szCs w:val="21"/>
        </w:rPr>
      </w:pPr>
      <w:bookmarkStart w:name="（2）同时按照境外会计准则与按中国会计准则披露的财务报告中净利润和净资产差异情况" w:id="555"/>
      <w:bookmarkEnd w:id="555"/>
      <w:r>
        <w:rPr/>
      </w:r>
      <w:r>
        <w:rPr>
          <w:rFonts w:ascii="宋体" w:hAnsi="宋体" w:cs="宋体" w:eastAsia="宋体" w:hint="default"/>
          <w:b/>
          <w:bCs/>
          <w:sz w:val="21"/>
          <w:szCs w:val="21"/>
        </w:rPr>
        <w:t>（</w:t>
      </w:r>
      <w:r>
        <w:rPr>
          <w:rFonts w:ascii="宋体" w:hAnsi="宋体" w:cs="宋体" w:eastAsia="宋体" w:hint="default"/>
          <w:b/>
          <w:bCs/>
          <w:sz w:val="21"/>
          <w:szCs w:val="21"/>
        </w:rPr>
        <w:t>2</w:t>
      </w:r>
      <w:r>
        <w:rPr>
          <w:rFonts w:ascii="宋体" w:hAnsi="宋体" w:cs="宋体" w:eastAsia="宋体" w:hint="default"/>
          <w:b/>
          <w:bCs/>
          <w:sz w:val="21"/>
          <w:szCs w:val="21"/>
        </w:rPr>
        <w:t>）同时按照境外会计准则与按中国会计准则披露的财务报告中净利润和净资产差异情况</w:t>
      </w:r>
      <w:r>
        <w:rPr>
          <w:rFonts w:ascii="宋体" w:hAnsi="宋体" w:cs="宋体" w:eastAsia="宋体" w:hint="default"/>
          <w:sz w:val="21"/>
          <w:szCs w:val="21"/>
        </w:rPr>
      </w:r>
    </w:p>
    <w:p>
      <w:pPr>
        <w:pStyle w:val="BodyText"/>
        <w:spacing w:line="240" w:lineRule="auto" w:before="151"/>
        <w:ind w:left="634" w:right="996"/>
        <w:jc w:val="left"/>
      </w:pPr>
      <w:r>
        <w:rPr/>
        <w:t>□ 适用 √ 不适用</w:t>
      </w:r>
    </w:p>
    <w:p>
      <w:pPr>
        <w:spacing w:line="400" w:lineRule="auto" w:before="180"/>
        <w:ind w:left="153" w:right="996" w:firstLine="422"/>
        <w:jc w:val="left"/>
        <w:rPr>
          <w:rFonts w:ascii="宋体" w:hAnsi="宋体" w:cs="宋体" w:eastAsia="宋体" w:hint="default"/>
          <w:sz w:val="21"/>
          <w:szCs w:val="21"/>
        </w:rPr>
      </w:pPr>
      <w:bookmarkStart w:name="（3）境内外会计准则下会计数据差异原因说明，对已经境外审计机构审计的数据进行差异" w:id="556"/>
      <w:bookmarkEnd w:id="556"/>
      <w:r>
        <w:rPr/>
      </w:r>
      <w:r>
        <w:rPr>
          <w:rFonts w:ascii="宋体" w:hAnsi="宋体" w:cs="宋体" w:eastAsia="宋体" w:hint="default"/>
          <w:b/>
          <w:bCs/>
          <w:sz w:val="21"/>
          <w:szCs w:val="21"/>
        </w:rPr>
        <w:t>（</w:t>
      </w:r>
      <w:r>
        <w:rPr>
          <w:rFonts w:ascii="宋体" w:hAnsi="宋体" w:cs="宋体" w:eastAsia="宋体" w:hint="default"/>
          <w:b/>
          <w:bCs/>
          <w:sz w:val="21"/>
          <w:szCs w:val="21"/>
        </w:rPr>
        <w:t>3</w:t>
      </w:r>
      <w:r>
        <w:rPr>
          <w:rFonts w:ascii="宋体" w:hAnsi="宋体" w:cs="宋体" w:eastAsia="宋体" w:hint="default"/>
          <w:b/>
          <w:bCs/>
          <w:sz w:val="21"/>
          <w:szCs w:val="21"/>
        </w:rPr>
        <w:t>）境内外会计准则下会计数据差异原因说明，对已经境外审计机构审计的数据进行差异调节的，</w:t>
      </w:r>
      <w:r>
        <w:rPr>
          <w:rFonts w:ascii="宋体" w:hAnsi="宋体" w:cs="宋体" w:eastAsia="宋体" w:hint="default"/>
          <w:b/>
          <w:bCs/>
          <w:w w:val="99"/>
          <w:sz w:val="21"/>
          <w:szCs w:val="21"/>
        </w:rPr>
        <w:t> </w:t>
      </w:r>
      <w:r>
        <w:rPr>
          <w:rFonts w:ascii="宋体" w:hAnsi="宋体" w:cs="宋体" w:eastAsia="宋体" w:hint="default"/>
          <w:b/>
          <w:bCs/>
          <w:sz w:val="21"/>
          <w:szCs w:val="21"/>
        </w:rPr>
        <w:t>应注明该境外机构的名称</w:t>
      </w:r>
      <w:r>
        <w:rPr>
          <w:rFonts w:ascii="宋体" w:hAnsi="宋体" w:cs="宋体" w:eastAsia="宋体" w:hint="default"/>
          <w:sz w:val="21"/>
          <w:szCs w:val="21"/>
        </w:rPr>
      </w:r>
    </w:p>
    <w:p>
      <w:pPr>
        <w:spacing w:line="374" w:lineRule="auto" w:before="10"/>
        <w:ind w:left="576" w:right="9592" w:firstLine="57"/>
        <w:jc w:val="left"/>
        <w:rPr>
          <w:rFonts w:ascii="宋体" w:hAnsi="宋体" w:cs="宋体" w:eastAsia="宋体" w:hint="default"/>
          <w:sz w:val="24"/>
          <w:szCs w:val="24"/>
        </w:rPr>
      </w:pPr>
      <w:r>
        <w:rPr>
          <w:rFonts w:ascii="宋体" w:hAnsi="宋体" w:cs="宋体" w:eastAsia="宋体" w:hint="default"/>
          <w:sz w:val="24"/>
          <w:szCs w:val="24"/>
        </w:rPr>
        <w:t>无 </w:t>
      </w:r>
      <w:bookmarkStart w:name="4、其他" w:id="557"/>
      <w:bookmarkEnd w:id="557"/>
      <w:r>
        <w:rPr>
          <w:rFonts w:ascii="宋体" w:hAnsi="宋体" w:cs="宋体" w:eastAsia="宋体" w:hint="default"/>
          <w:sz w:val="24"/>
          <w:szCs w:val="24"/>
        </w:rPr>
      </w:r>
      <w:r>
        <w:rPr>
          <w:rFonts w:ascii="宋体" w:hAnsi="宋体" w:cs="宋体" w:eastAsia="宋体" w:hint="default"/>
          <w:b/>
          <w:bCs/>
          <w:sz w:val="21"/>
          <w:szCs w:val="21"/>
        </w:rPr>
        <w:t>4</w:t>
      </w:r>
      <w:r>
        <w:rPr>
          <w:rFonts w:ascii="宋体" w:hAnsi="宋体" w:cs="宋体" w:eastAsia="宋体" w:hint="default"/>
          <w:b/>
          <w:bCs/>
          <w:sz w:val="21"/>
          <w:szCs w:val="21"/>
        </w:rPr>
        <w:t>、其他</w:t>
      </w:r>
      <w:r>
        <w:rPr>
          <w:rFonts w:ascii="宋体" w:hAnsi="宋体" w:cs="宋体" w:eastAsia="宋体" w:hint="default"/>
          <w:b/>
          <w:bCs/>
          <w:w w:val="99"/>
          <w:sz w:val="21"/>
          <w:szCs w:val="21"/>
        </w:rPr>
        <w:t> </w:t>
      </w:r>
      <w:r>
        <w:rPr>
          <w:rFonts w:ascii="宋体" w:hAnsi="宋体" w:cs="宋体" w:eastAsia="宋体" w:hint="default"/>
          <w:sz w:val="24"/>
          <w:szCs w:val="24"/>
        </w:rPr>
        <w:t>无</w:t>
      </w:r>
    </w:p>
    <w:p>
      <w:pPr>
        <w:spacing w:after="0" w:line="374" w:lineRule="auto"/>
        <w:jc w:val="left"/>
        <w:rPr>
          <w:rFonts w:ascii="宋体" w:hAnsi="宋体" w:cs="宋体" w:eastAsia="宋体" w:hint="default"/>
          <w:sz w:val="24"/>
          <w:szCs w:val="24"/>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3"/>
          <w:szCs w:val="23"/>
        </w:rPr>
      </w:pPr>
    </w:p>
    <w:p>
      <w:pPr>
        <w:pStyle w:val="Heading1"/>
        <w:spacing w:line="240" w:lineRule="auto"/>
        <w:ind w:left="3286" w:right="996"/>
        <w:jc w:val="left"/>
        <w:rPr>
          <w:b w:val="0"/>
          <w:bCs w:val="0"/>
        </w:rPr>
      </w:pPr>
      <w:bookmarkStart w:name="第十二节 备查文件目录" w:id="558"/>
      <w:bookmarkEnd w:id="558"/>
      <w:r>
        <w:rPr>
          <w:b w:val="0"/>
          <w:bCs w:val="0"/>
        </w:rPr>
      </w:r>
      <w:bookmarkStart w:name="_bookmark12" w:id="559"/>
      <w:bookmarkEnd w:id="559"/>
      <w:r>
        <w:rPr>
          <w:b w:val="0"/>
          <w:bCs w:val="0"/>
        </w:rPr>
      </w:r>
      <w:r>
        <w:rPr/>
        <w:t>第十二节</w:t>
      </w:r>
      <w:r>
        <w:rPr>
          <w:spacing w:val="-8"/>
        </w:rPr>
        <w:t> </w:t>
      </w:r>
      <w:r>
        <w:rPr/>
        <w:t>备查文件目录</w:t>
      </w:r>
      <w:r>
        <w:rPr>
          <w:b w:val="0"/>
          <w:bCs w:val="0"/>
        </w:rPr>
      </w:r>
    </w:p>
    <w:p>
      <w:pPr>
        <w:spacing w:line="240" w:lineRule="auto" w:before="0"/>
        <w:rPr>
          <w:rFonts w:ascii="宋体" w:hAnsi="宋体" w:cs="宋体" w:eastAsia="宋体" w:hint="default"/>
          <w:b/>
          <w:bCs/>
          <w:sz w:val="32"/>
          <w:szCs w:val="32"/>
        </w:rPr>
      </w:pPr>
    </w:p>
    <w:p>
      <w:pPr>
        <w:pStyle w:val="BodyText"/>
        <w:spacing w:line="352" w:lineRule="auto" w:before="214"/>
        <w:ind w:right="1153" w:firstLine="480"/>
        <w:jc w:val="left"/>
      </w:pPr>
      <w:r>
        <w:rPr/>
        <w:t>一、载有公司法定负责人、主管会计工作负责人、会计机构负责人签名并盖章的会计报 表。</w:t>
      </w:r>
    </w:p>
    <w:p>
      <w:pPr>
        <w:pStyle w:val="BodyText"/>
        <w:spacing w:line="350" w:lineRule="auto" w:before="32"/>
        <w:ind w:left="633" w:right="1153"/>
        <w:jc w:val="left"/>
      </w:pPr>
      <w:r>
        <w:rPr/>
        <w:t>二、载有会计师事务所盖章、注册会计师签名并盖章的财务审计报告原件。 三、报告期内，在中国证监会指定网站上公开披露过的所有公司文件的正本及公告的原</w:t>
      </w:r>
    </w:p>
    <w:p>
      <w:pPr>
        <w:pStyle w:val="BodyText"/>
        <w:spacing w:line="240" w:lineRule="auto"/>
        <w:ind w:right="996"/>
        <w:jc w:val="left"/>
      </w:pPr>
      <w:r>
        <w:rPr/>
        <w:t>稿。</w:t>
      </w:r>
    </w:p>
    <w:p>
      <w:pPr>
        <w:pStyle w:val="BodyText"/>
        <w:spacing w:line="240" w:lineRule="auto" w:before="145"/>
        <w:ind w:left="634" w:right="996"/>
        <w:jc w:val="left"/>
      </w:pPr>
      <w:r>
        <w:rPr/>
        <w:t>四、以上备查文件的备置地点：证券办公室。</w:t>
      </w:r>
    </w:p>
    <w:sectPr>
      <w:pgSz w:w="11910" w:h="16840"/>
      <w:pgMar w:header="747" w:footer="979" w:top="1060" w:bottom="1160" w:left="98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916624" type="#_x0000_t75" stroked="false">
          <v:imagedata r:id="rId1" o:title=""/>
        </v:shape>
      </w:pict>
    </w:r>
    <w:r>
      <w:rPr/>
      <w:pict>
        <v:shape style="position:absolute;margin-left:533.179993pt;margin-top:795.517944pt;width:6.5pt;height:11pt;mso-position-horizontal-relative:page;mso-position-vertical-relative:page;z-index:-916600"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916576" type="#_x0000_t75" stroked="false">
          <v:imagedata r:id="rId1" o:title=""/>
        </v:shape>
      </w:pict>
    </w:r>
    <w:r>
      <w:rPr/>
      <w:pict>
        <v:shape style="position:absolute;margin-left:527.679993pt;margin-top:781.957947pt;width:13pt;height:11pt;mso-position-horizontal-relative:page;mso-position-vertical-relative:page;z-index:-91655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916528" type="#_x0000_t75" stroked="false">
          <v:imagedata r:id="rId1" o:title=""/>
        </v:shape>
      </w:pict>
    </w:r>
    <w:r>
      <w:rPr/>
      <w:pict>
        <v:shape style="position:absolute;margin-left:528.679993pt;margin-top:781.957947pt;width:11pt;height:11pt;mso-position-horizontal-relative:page;mso-position-vertical-relative:page;z-index:-916504"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76</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916480" type="#_x0000_t75" stroked="false">
          <v:imagedata r:id="rId1" o:title=""/>
        </v:shape>
      </w:pict>
    </w:r>
    <w:r>
      <w:rPr/>
      <w:pict>
        <v:shape style="position:absolute;margin-left:527.679993pt;margin-top:781.957947pt;width:13pt;height:11pt;mso-position-horizontal-relative:page;mso-position-vertical-relative:page;z-index:-91645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77</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916432" type="#_x0000_t75" stroked="false">
          <v:imagedata r:id="rId1" o:title=""/>
        </v:shape>
      </w:pict>
    </w:r>
    <w:r>
      <w:rPr/>
      <w:pict>
        <v:shape style="position:absolute;margin-left:524.179993pt;margin-top:781.957947pt;width:15.5pt;height:11pt;mso-position-horizontal-relative:page;mso-position-vertical-relative:page;z-index:-916408"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100</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916384" type="#_x0000_t75" stroked="false">
          <v:imagedata r:id="rId1" o:title=""/>
        </v:shape>
      </w:pict>
    </w:r>
    <w:r>
      <w:rPr/>
      <w:pict>
        <v:shape style="position:absolute;margin-left:523.179993pt;margin-top:781.957947pt;width:17.5pt;height:11pt;mso-position-horizontal-relative:page;mso-position-vertical-relative:page;z-index:-91636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101</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44.220001pt;margin-top:36.325607pt;width:195.5pt;height:11.5pt;mso-position-horizontal-relative:page;mso-position-vertical-relative:page;z-index:-916648"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河南辉煌科技股份有限公司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297"/>
      <w:ind w:left="153"/>
    </w:pPr>
    <w:rPr>
      <w:rFonts w:ascii="宋体" w:hAnsi="宋体" w:eastAsia="宋体"/>
      <w:b/>
      <w:bCs/>
      <w:sz w:val="28"/>
      <w:szCs w:val="28"/>
    </w:rPr>
  </w:style>
  <w:style w:styleId="BodyText" w:type="paragraph">
    <w:name w:val="Body Text"/>
    <w:basedOn w:val="Normal"/>
    <w:uiPriority w:val="1"/>
    <w:qFormat/>
    <w:pPr>
      <w:spacing w:before="36"/>
      <w:ind w:left="153"/>
    </w:pPr>
    <w:rPr>
      <w:rFonts w:ascii="宋体" w:hAnsi="宋体" w:eastAsia="宋体"/>
      <w:sz w:val="24"/>
      <w:szCs w:val="24"/>
    </w:rPr>
  </w:style>
  <w:style w:styleId="Heading1" w:type="paragraph">
    <w:name w:val="Heading 1"/>
    <w:basedOn w:val="Normal"/>
    <w:uiPriority w:val="1"/>
    <w:qFormat/>
    <w:pPr>
      <w:spacing w:before="1"/>
      <w:ind w:left="15"/>
      <w:outlineLvl w:val="1"/>
    </w:pPr>
    <w:rPr>
      <w:rFonts w:ascii="宋体" w:hAnsi="宋体" w:eastAsia="宋体"/>
      <w:b/>
      <w:bCs/>
      <w:sz w:val="32"/>
      <w:szCs w:val="32"/>
    </w:rPr>
  </w:style>
  <w:style w:styleId="Heading2" w:type="paragraph">
    <w:name w:val="Heading 2"/>
    <w:basedOn w:val="Normal"/>
    <w:uiPriority w:val="1"/>
    <w:qFormat/>
    <w:pPr>
      <w:spacing w:before="26"/>
      <w:ind w:left="636"/>
      <w:outlineLvl w:val="2"/>
    </w:pPr>
    <w:rPr>
      <w:rFonts w:ascii="宋体" w:hAnsi="宋体" w:eastAsia="宋体"/>
      <w:b/>
      <w:bCs/>
      <w:sz w:val="24"/>
      <w:szCs w:val="24"/>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png"/><Relationship Id="rId8" Type="http://schemas.openxmlformats.org/officeDocument/2006/relationships/footer" Target="footer2.xml"/><Relationship Id="rId9" Type="http://schemas.openxmlformats.org/officeDocument/2006/relationships/hyperlink" Target="http://www.hhkj.cn/" TargetMode="External"/><Relationship Id="rId10" Type="http://schemas.openxmlformats.org/officeDocument/2006/relationships/hyperlink" Target="mailto:zqb@hhkj.cn" TargetMode="External"/><Relationship Id="rId11" Type="http://schemas.openxmlformats.org/officeDocument/2006/relationships/hyperlink" Target="mailto:duxusheng@hhkj.cn" TargetMode="External"/><Relationship Id="rId12" Type="http://schemas.openxmlformats.org/officeDocument/2006/relationships/hyperlink" Target="mailto:guozhimin@hhkj.cn" TargetMode="External"/><Relationship Id="rId13" Type="http://schemas.openxmlformats.org/officeDocument/2006/relationships/hyperlink" Target="http://www.cninfo.com.cn/" TargetMode="External"/><Relationship Id="rId14" Type="http://schemas.openxmlformats.org/officeDocument/2006/relationships/image" Target="media/image3.png"/><Relationship Id="rId15" Type="http://schemas.openxmlformats.org/officeDocument/2006/relationships/footer" Target="footer3.xml"/><Relationship Id="rId16" Type="http://schemas.openxmlformats.org/officeDocument/2006/relationships/footer" Target="footer4.xml"/><Relationship Id="rId17" Type="http://schemas.openxmlformats.org/officeDocument/2006/relationships/footer" Target="footer5.xml"/><Relationship Id="rId18" Type="http://schemas.openxmlformats.org/officeDocument/2006/relationships/footer" Target="footer6.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er4.xml.rels><?xml version="1.0" encoding="UTF-8" standalone="yes"?>
<Relationships xmlns="http://schemas.openxmlformats.org/package/2006/relationships"><Relationship Id="rId1" Type="http://schemas.openxmlformats.org/officeDocument/2006/relationships/image" Target="media/image1.png"/></Relationships>

</file>

<file path=word/_rels/footer5.xml.rels><?xml version="1.0" encoding="UTF-8" standalone="yes"?>
<Relationships xmlns="http://schemas.openxmlformats.org/package/2006/relationships"><Relationship Id="rId1" Type="http://schemas.openxmlformats.org/officeDocument/2006/relationships/image" Target="media/image1.png"/></Relationships>

</file>

<file path=word/_rels/footer6.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河南辉煌科技股份有限公司</dc:creator>
  <dc:title>河南辉煌科技股份有限公司2017年年度报告全文</dc:title>
  <dcterms:created xsi:type="dcterms:W3CDTF">2020-05-02T21:58:45Z</dcterms:created>
  <dcterms:modified xsi:type="dcterms:W3CDTF">2020-05-02T21:58:45Z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2018-04-23T00:00:00Z</vt:filetime>
  </property>
  <property fmtid="{D5CDD505-2E9C-101B-9397-08002B2CF9AE}" pid="3" name="Creator">
    <vt:lpwstr>Microsoft® Office Word 2007</vt:lpwstr>
  </property>
  <property fmtid="{D5CDD505-2E9C-101B-9397-08002B2CF9AE}" pid="4" name="LastSaved">
    <vt:filetime>2020-05-02T00:00:00Z</vt:filetime>
  </property>
</Properties>
</file>